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6041825" w14:textId="77777777" w:rsidR="000E0FCD" w:rsidRPr="0012431B" w:rsidRDefault="000E0FCD" w:rsidP="000E0FCD">
      <w:pPr>
        <w:pStyle w:val="regpar"/>
        <w:jc w:val="right"/>
        <w:rPr>
          <w:rFonts w:ascii="Segoe UI" w:hAnsi="Segoe UI" w:cs="Segoe UI"/>
          <w:sz w:val="22"/>
          <w:szCs w:val="22"/>
        </w:rPr>
      </w:pPr>
      <w:r>
        <w:rPr>
          <w:rFonts w:ascii="Segoe UI" w:hAnsi="Segoe UI" w:cs="Segoe UI" w:hint="cs"/>
          <w:sz w:val="22"/>
          <w:szCs w:val="22"/>
        </w:rPr>
        <w:t>J</w:t>
      </w:r>
      <w:r>
        <w:rPr>
          <w:rFonts w:ascii="Segoe UI" w:hAnsi="Segoe UI" w:cs="Segoe UI"/>
          <w:sz w:val="22"/>
          <w:szCs w:val="22"/>
        </w:rPr>
        <w:t>anuary 14, 2026</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38DA33A8" w14:textId="77777777" w:rsidR="000E0FCD" w:rsidRPr="007064D7" w:rsidRDefault="000E0FCD" w:rsidP="000E0FCD">
      <w:pPr>
        <w:pStyle w:val="regpar"/>
        <w:ind w:firstLine="0"/>
        <w:jc w:val="center"/>
        <w:rPr>
          <w:rFonts w:ascii="Segoe UI" w:hAnsi="Segoe UI" w:cs="Segoe UI"/>
          <w:b/>
          <w:bCs/>
        </w:rPr>
      </w:pPr>
      <w:r>
        <w:rPr>
          <w:rFonts w:ascii="Segoe UI" w:hAnsi="Segoe UI" w:cs="Segoe UI"/>
          <w:b/>
          <w:bCs/>
          <w:sz w:val="22"/>
          <w:szCs w:val="22"/>
        </w:rPr>
        <w:t>The monthly Index of Economic Activity increased by 0.3 percent in December</w:t>
      </w:r>
    </w:p>
    <w:p w14:paraId="25FC955D" w14:textId="77777777" w:rsidR="000E0FCD" w:rsidRPr="007064D7" w:rsidRDefault="000E0FCD" w:rsidP="000E0FCD">
      <w:pPr>
        <w:pStyle w:val="regpar"/>
        <w:ind w:firstLine="0"/>
        <w:jc w:val="center"/>
        <w:rPr>
          <w:rFonts w:ascii="Segoe UI" w:hAnsi="Segoe UI" w:cs="Segoe UI"/>
        </w:rPr>
      </w:pPr>
    </w:p>
    <w:p w14:paraId="6FC90429" w14:textId="77777777" w:rsidR="000E0FCD" w:rsidRDefault="000E0FCD" w:rsidP="000E0FCD">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increased by 0.3 percent in December. The index this month reflects the average monthly growth estimate for the three months from October to December.  </w:t>
      </w:r>
      <w:proofErr w:type="gramStart"/>
      <w:r>
        <w:rPr>
          <w:rFonts w:ascii="Segoe UI" w:hAnsi="Segoe UI" w:cs="Segoe UI"/>
          <w:sz w:val="22"/>
          <w:szCs w:val="22"/>
        </w:rPr>
        <w:t>The Index was positively influenced by data on credit card purchases in November,  goods export data for October and December, exports of other services and tourism services in September and October, labor market and indirect taxes data in October and November, income tax and health tax receipts in November, the Tel Aviv Stock Exchange stock index and the Nasdaq index in recent months, and gasoline consumption data for November.</w:t>
      </w:r>
      <w:proofErr w:type="gramEnd"/>
      <w:r>
        <w:rPr>
          <w:rFonts w:ascii="Segoe UI" w:hAnsi="Segoe UI" w:cs="Segoe UI"/>
          <w:sz w:val="22"/>
          <w:szCs w:val="22"/>
        </w:rPr>
        <w:t xml:space="preserve"> In contrast, retail trade data for October and November and imports of durable consumption goods for October and December moderated the increase in the index (Tables 1 and 2). </w:t>
      </w:r>
    </w:p>
    <w:p w14:paraId="0DB17BE1" w14:textId="77777777" w:rsidR="000E0FCD" w:rsidRDefault="000E0FCD" w:rsidP="000E0FCD">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similar the long-term growth trend (about 0.3 percent).</w:t>
      </w:r>
    </w:p>
    <w:p w14:paraId="6CEA1843" w14:textId="77777777" w:rsidR="000E0FCD" w:rsidRDefault="000E0FCD" w:rsidP="000E0FCD">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November </w:t>
      </w:r>
      <w:proofErr w:type="gramStart"/>
      <w:r>
        <w:rPr>
          <w:rFonts w:ascii="Segoe UI" w:hAnsi="Segoe UI" w:cs="Segoe UI"/>
          <w:sz w:val="22"/>
          <w:szCs w:val="22"/>
        </w:rPr>
        <w:t>was revised</w:t>
      </w:r>
      <w:proofErr w:type="gramEnd"/>
      <w:r>
        <w:rPr>
          <w:rFonts w:ascii="Segoe UI" w:hAnsi="Segoe UI" w:cs="Segoe UI"/>
          <w:sz w:val="22"/>
          <w:szCs w:val="22"/>
        </w:rPr>
        <w:t xml:space="preserve"> slightly upward with the completion of data that were previously missing.</w:t>
      </w:r>
    </w:p>
    <w:p w14:paraId="16EE5324" w14:textId="6BB1C503" w:rsidR="00B227DE" w:rsidRDefault="000E0FCD" w:rsidP="000E0FCD">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revisions to the Index, and Table 2 presents the monthly rate of change in the Index’s components.</w:t>
      </w:r>
    </w:p>
    <w:p w14:paraId="7B466BD7" w14:textId="57A4113D" w:rsidR="00D25960" w:rsidRDefault="00D25960" w:rsidP="00D25960">
      <w:pPr>
        <w:pStyle w:val="regpar"/>
      </w:pPr>
    </w:p>
    <w:p w14:paraId="4C362DFF" w14:textId="558F6B7F" w:rsidR="00D25960" w:rsidRDefault="00D25960" w:rsidP="00D25960">
      <w:pPr>
        <w:pStyle w:val="regpar"/>
      </w:pPr>
    </w:p>
    <w:p w14:paraId="7A1BDB7F" w14:textId="19C09AB7" w:rsidR="00D25960" w:rsidRDefault="00D25960" w:rsidP="00D25960">
      <w:pPr>
        <w:pStyle w:val="regpar"/>
      </w:pPr>
    </w:p>
    <w:p w14:paraId="0CFC1076" w14:textId="3D103843" w:rsidR="00D25960" w:rsidRDefault="00D25960" w:rsidP="00D25960">
      <w:pPr>
        <w:pStyle w:val="regpar"/>
      </w:pPr>
    </w:p>
    <w:p w14:paraId="324B416D" w14:textId="0C19B955" w:rsidR="00D25960" w:rsidRDefault="00D25960" w:rsidP="00D25960">
      <w:pPr>
        <w:pStyle w:val="regpar"/>
      </w:pPr>
    </w:p>
    <w:p w14:paraId="51E7B756" w14:textId="417146B1" w:rsidR="00D25960" w:rsidRDefault="00D25960" w:rsidP="00D25960">
      <w:pPr>
        <w:pStyle w:val="regpar"/>
      </w:pPr>
    </w:p>
    <w:p w14:paraId="31B1D615" w14:textId="0E6EBF0B" w:rsidR="00D25960" w:rsidRDefault="00D25960" w:rsidP="00D25960">
      <w:pPr>
        <w:pStyle w:val="regpar"/>
      </w:pPr>
    </w:p>
    <w:p w14:paraId="49A3D38D" w14:textId="2CF797CC" w:rsidR="00D25960" w:rsidRDefault="00D25960" w:rsidP="00D25960">
      <w:pPr>
        <w:pStyle w:val="regpar"/>
      </w:pPr>
    </w:p>
    <w:p w14:paraId="31874334" w14:textId="77777777" w:rsidR="00D25960" w:rsidRPr="00D25960" w:rsidRDefault="00D25960" w:rsidP="00D25960">
      <w:pPr>
        <w:pStyle w:val="regpar"/>
      </w:pPr>
    </w:p>
    <w:p w14:paraId="1A0CD6E1" w14:textId="77777777" w:rsidR="000E0FCD" w:rsidRDefault="000E0FCD" w:rsidP="00B227DE">
      <w:pPr>
        <w:spacing w:before="100" w:beforeAutospacing="1" w:after="100" w:afterAutospacing="1"/>
        <w:jc w:val="both"/>
        <w:rPr>
          <w:rFonts w:ascii="Segoe UI" w:hAnsi="Segoe UI" w:cs="Segoe UI"/>
          <w:b/>
          <w:bCs/>
          <w:sz w:val="22"/>
          <w:szCs w:val="22"/>
        </w:rPr>
      </w:pPr>
    </w:p>
    <w:p w14:paraId="79C013CD" w14:textId="77777777" w:rsidR="000E0FCD" w:rsidRDefault="000E0FCD" w:rsidP="00B227DE">
      <w:pPr>
        <w:spacing w:before="100" w:beforeAutospacing="1" w:after="100" w:afterAutospacing="1"/>
        <w:jc w:val="both"/>
        <w:rPr>
          <w:rFonts w:ascii="Segoe UI" w:hAnsi="Segoe UI" w:cs="Segoe UI"/>
          <w:b/>
          <w:bCs/>
          <w:sz w:val="22"/>
          <w:szCs w:val="22"/>
        </w:rPr>
      </w:pPr>
    </w:p>
    <w:p w14:paraId="049EFA40" w14:textId="799C3C3E"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lastRenderedPageBreak/>
        <w:t>FIGURE 1</w:t>
      </w:r>
      <w:r w:rsidR="000A560F">
        <w:rPr>
          <w:rFonts w:ascii="Segoe UI" w:hAnsi="Segoe UI" w:cs="Segoe UI"/>
          <w:b/>
          <w:bCs/>
          <w:sz w:val="22"/>
          <w:szCs w:val="22"/>
        </w:rPr>
        <w:t>: The Monthly Index of Economic Activity</w:t>
      </w:r>
    </w:p>
    <w:p w14:paraId="649C93E0" w14:textId="0712E79A" w:rsidR="00D25960" w:rsidRPr="00D25960" w:rsidRDefault="0071415F" w:rsidP="0071415F">
      <w:pPr>
        <w:pStyle w:val="regpar"/>
      </w:pPr>
      <w:r w:rsidRPr="0071415F">
        <w:rPr>
          <w:noProof/>
        </w:rPr>
        <w:drawing>
          <wp:inline distT="0" distB="0" distL="0" distR="0" wp14:anchorId="15EEF738" wp14:editId="3FBCEB6F">
            <wp:extent cx="5760720" cy="3438797"/>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38797"/>
                    </a:xfrm>
                    <a:prstGeom prst="rect">
                      <a:avLst/>
                    </a:prstGeom>
                    <a:noFill/>
                    <a:ln>
                      <a:noFill/>
                    </a:ln>
                  </pic:spPr>
                </pic:pic>
              </a:graphicData>
            </a:graphic>
          </wp:inline>
        </w:drawing>
      </w:r>
    </w:p>
    <w:p w14:paraId="549CE8C4" w14:textId="77777777" w:rsidR="00D25960" w:rsidRDefault="00D25960">
      <w:pPr>
        <w:rPr>
          <w:noProof/>
        </w:rPr>
      </w:pPr>
    </w:p>
    <w:p w14:paraId="79DE6B4C" w14:textId="77777777" w:rsidR="00D25960" w:rsidRDefault="00D25960"/>
    <w:p w14:paraId="496C8D8E" w14:textId="77777777" w:rsidR="00D25960" w:rsidRDefault="00D25960"/>
    <w:p w14:paraId="02B490AE" w14:textId="153AE886" w:rsidR="00D25960" w:rsidRDefault="0071415F">
      <w:r w:rsidRPr="0071415F">
        <w:rPr>
          <w:noProof/>
        </w:rPr>
        <w:drawing>
          <wp:inline distT="0" distB="0" distL="0" distR="0" wp14:anchorId="23C96CD6" wp14:editId="4E20F3E7">
            <wp:extent cx="5760720" cy="310564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105640"/>
                    </a:xfrm>
                    <a:prstGeom prst="rect">
                      <a:avLst/>
                    </a:prstGeom>
                    <a:noFill/>
                    <a:ln>
                      <a:noFill/>
                    </a:ln>
                  </pic:spPr>
                </pic:pic>
              </a:graphicData>
            </a:graphic>
          </wp:inline>
        </w:drawing>
      </w:r>
    </w:p>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5A93C05F" w:rsidR="00CC3F41" w:rsidRDefault="0071415F" w:rsidP="003A1D71">
      <w:bookmarkStart w:id="0" w:name="_GoBack"/>
      <w:r w:rsidRPr="0071415F">
        <w:rPr>
          <w:noProof/>
        </w:rPr>
        <w:lastRenderedPageBreak/>
        <w:drawing>
          <wp:inline distT="0" distB="0" distL="0" distR="0" wp14:anchorId="030F29A2" wp14:editId="74759C42">
            <wp:extent cx="6097905" cy="4641850"/>
            <wp:effectExtent l="0" t="0" r="0" b="635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034" cy="4647277"/>
                    </a:xfrm>
                    <a:prstGeom prst="rect">
                      <a:avLst/>
                    </a:prstGeom>
                    <a:noFill/>
                    <a:ln>
                      <a:noFill/>
                    </a:ln>
                  </pic:spPr>
                </pic:pic>
              </a:graphicData>
            </a:graphic>
          </wp:inline>
        </w:drawing>
      </w:r>
      <w:bookmarkEnd w:id="0"/>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1DDFFBE7" w14:textId="77777777" w:rsidR="000E0FCD" w:rsidRPr="00B227DE" w:rsidRDefault="000E0FCD" w:rsidP="000E0FCD">
      <w:pPr>
        <w:pStyle w:val="a7"/>
        <w:rPr>
          <w:rFonts w:ascii="Segoe UI" w:hAnsi="Segoe UI" w:cs="Segoe UI"/>
          <w:rtl/>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B39"/>
    <w:rsid w:val="003A6723"/>
    <w:rsid w:val="003B0942"/>
    <w:rsid w:val="003B2C70"/>
    <w:rsid w:val="003B4074"/>
    <w:rsid w:val="003B4DF1"/>
    <w:rsid w:val="003C3B6F"/>
    <w:rsid w:val="003C522E"/>
    <w:rsid w:val="003C6E15"/>
    <w:rsid w:val="003D0E36"/>
    <w:rsid w:val="003D71F7"/>
    <w:rsid w:val="003E0432"/>
    <w:rsid w:val="003E107B"/>
    <w:rsid w:val="003F360E"/>
    <w:rsid w:val="003F4CF0"/>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960"/>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9767C"/>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54CF2-F786-4F0E-8402-FF3FC797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1531</Characters>
  <Application>Microsoft Office Word</Application>
  <DocSecurity>4</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2026-01-14T12:22:00Z</dcterms:created>
  <dcterms:modified xsi:type="dcterms:W3CDTF">2026-01-14T12:22:00Z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