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rawings/drawing1.xml" ContentType="application/vnd.openxmlformats-officedocument.drawingml.chartshapes+xml"/>
  <Override PartName="/word/drawings/drawing3.xml" ContentType="application/vnd.openxmlformats-officedocument.drawingml.chartshapes+xml"/>
  <Override PartName="/word/drawings/drawing2.xml" ContentType="application/vnd.openxmlformats-officedocument.drawingml.chartshapes+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1.xml" ContentType="application/vnd.openxmlformats-officedocument.theme+xml"/>
  <Override PartName="/word/charts/chart4.xml" ContentType="application/vnd.openxmlformats-officedocument.drawingml.chart+xml"/>
  <Override PartName="/word/charts/chart5.xml" ContentType="application/vnd.openxmlformats-officedocument.drawingml.chart+xml"/>
  <Override PartName="/word/customizations.xml" ContentType="application/vnd.ms-word.keyMapCustomizations+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24CA8" w14:textId="77777777" w:rsidR="00B951F5" w:rsidRPr="00F24C7B" w:rsidRDefault="00B951F5" w:rsidP="00F24C7B">
      <w:pPr>
        <w:bidi w:val="0"/>
        <w:rPr>
          <w:rFonts w:asciiTheme="majorBidi" w:hAnsiTheme="majorBidi" w:cstheme="majorBidi"/>
        </w:rPr>
      </w:pPr>
    </w:p>
    <w:p w14:paraId="70439AA0" w14:textId="77777777" w:rsidR="00BC4342" w:rsidRPr="00F24C7B" w:rsidRDefault="00BC4342" w:rsidP="00F24C7B">
      <w:pPr>
        <w:pStyle w:val="Heading1"/>
        <w:bidi w:val="0"/>
        <w:jc w:val="center"/>
        <w:rPr>
          <w:rFonts w:asciiTheme="majorBidi" w:hAnsiTheme="majorBidi" w:cstheme="majorBidi"/>
          <w:color w:val="auto"/>
          <w:sz w:val="32"/>
          <w:szCs w:val="32"/>
          <w:rtl/>
        </w:rPr>
      </w:pPr>
    </w:p>
    <w:tbl>
      <w:tblPr>
        <w:tblpPr w:leftFromText="180" w:rightFromText="180" w:vertAnchor="page" w:horzAnchor="margin" w:tblpXSpec="center" w:tblpY="1021"/>
        <w:tblW w:w="8520" w:type="dxa"/>
        <w:tblLayout w:type="fixed"/>
        <w:tblLook w:val="0000" w:firstRow="0" w:lastRow="0" w:firstColumn="0" w:lastColumn="0" w:noHBand="0" w:noVBand="0"/>
        <w:tblCaption w:val="כותרת"/>
        <w:tblDescription w:val="כותרת"/>
      </w:tblPr>
      <w:tblGrid>
        <w:gridCol w:w="2840"/>
        <w:gridCol w:w="2596"/>
        <w:gridCol w:w="3084"/>
      </w:tblGrid>
      <w:tr w:rsidR="00BC4342" w:rsidRPr="00F24C7B" w14:paraId="0B02DFD2" w14:textId="77777777" w:rsidTr="000C30D2">
        <w:tc>
          <w:tcPr>
            <w:tcW w:w="2840" w:type="dxa"/>
            <w:tcBorders>
              <w:top w:val="nil"/>
              <w:left w:val="nil"/>
              <w:bottom w:val="nil"/>
              <w:right w:val="nil"/>
            </w:tcBorders>
            <w:vAlign w:val="center"/>
          </w:tcPr>
          <w:p w14:paraId="6C8FE4E8" w14:textId="77777777" w:rsidR="00BC4342" w:rsidRPr="00F24C7B" w:rsidRDefault="00BC4342" w:rsidP="00F24C7B">
            <w:pPr>
              <w:bidi w:val="0"/>
              <w:jc w:val="center"/>
              <w:rPr>
                <w:rFonts w:asciiTheme="majorBidi" w:hAnsiTheme="majorBidi" w:cstheme="majorBidi"/>
                <w:b/>
                <w:bCs/>
                <w:sz w:val="28"/>
                <w:szCs w:val="28"/>
              </w:rPr>
            </w:pPr>
            <w:r w:rsidRPr="00F24C7B">
              <w:rPr>
                <w:rFonts w:asciiTheme="majorBidi" w:hAnsiTheme="majorBidi" w:cstheme="majorBidi"/>
                <w:b/>
                <w:bCs/>
                <w:sz w:val="28"/>
                <w:szCs w:val="28"/>
                <w:lang w:val="en"/>
              </w:rPr>
              <w:t>Bank of Israel</w:t>
            </w:r>
          </w:p>
          <w:p w14:paraId="674D90FD" w14:textId="77777777" w:rsidR="00BC4342" w:rsidRPr="00F24C7B" w:rsidRDefault="00BC4342" w:rsidP="00F24C7B">
            <w:pPr>
              <w:bidi w:val="0"/>
              <w:ind w:right="-101"/>
              <w:jc w:val="center"/>
              <w:rPr>
                <w:rFonts w:asciiTheme="majorBidi" w:hAnsiTheme="majorBidi" w:cstheme="majorBidi"/>
              </w:rPr>
            </w:pPr>
            <w:r w:rsidRPr="00F24C7B">
              <w:rPr>
                <w:rFonts w:asciiTheme="majorBidi" w:hAnsiTheme="majorBidi" w:cstheme="majorBidi"/>
                <w:lang w:val="en"/>
              </w:rPr>
              <w:t>Office of the Spokesperson and Economic Information</w:t>
            </w:r>
          </w:p>
        </w:tc>
        <w:tc>
          <w:tcPr>
            <w:tcW w:w="2596" w:type="dxa"/>
            <w:tcBorders>
              <w:top w:val="nil"/>
              <w:left w:val="nil"/>
              <w:bottom w:val="nil"/>
              <w:right w:val="nil"/>
            </w:tcBorders>
          </w:tcPr>
          <w:p w14:paraId="25C02BBA" w14:textId="77777777" w:rsidR="00BC4342" w:rsidRPr="00F24C7B" w:rsidRDefault="00BC4342" w:rsidP="00F24C7B">
            <w:pPr>
              <w:bidi w:val="0"/>
              <w:jc w:val="center"/>
              <w:rPr>
                <w:rFonts w:asciiTheme="majorBidi" w:hAnsiTheme="majorBidi" w:cstheme="majorBidi"/>
              </w:rPr>
            </w:pPr>
            <w:r w:rsidRPr="00F24C7B">
              <w:rPr>
                <w:rFonts w:asciiTheme="majorBidi" w:hAnsiTheme="majorBidi" w:cstheme="majorBidi"/>
                <w:noProof/>
              </w:rPr>
              <w:drawing>
                <wp:inline distT="0" distB="0" distL="0" distR="0" wp14:anchorId="6338DCBD" wp14:editId="17792D08">
                  <wp:extent cx="887105" cy="887105"/>
                  <wp:effectExtent l="0" t="0" r="8255" b="8255"/>
                  <wp:docPr id="5" name="תמונה 5" descr="לוגו בנק ישראל" title="לוגו בנק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34r\AppData\Local\Microsoft\Windows\Temporary Internet Files\Content.Word\תמונת לוגו חדש.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7100" cy="887100"/>
                          </a:xfrm>
                          <a:prstGeom prst="rect">
                            <a:avLst/>
                          </a:prstGeom>
                          <a:noFill/>
                          <a:ln>
                            <a:noFill/>
                          </a:ln>
                        </pic:spPr>
                      </pic:pic>
                    </a:graphicData>
                  </a:graphic>
                </wp:inline>
              </w:drawing>
            </w:r>
          </w:p>
        </w:tc>
        <w:tc>
          <w:tcPr>
            <w:tcW w:w="3084" w:type="dxa"/>
            <w:tcBorders>
              <w:top w:val="nil"/>
              <w:left w:val="nil"/>
              <w:bottom w:val="nil"/>
              <w:right w:val="nil"/>
            </w:tcBorders>
            <w:shd w:val="clear" w:color="auto" w:fill="auto"/>
            <w:vAlign w:val="center"/>
          </w:tcPr>
          <w:p w14:paraId="585A5509" w14:textId="77777777" w:rsidR="00E5622C" w:rsidRPr="00F24C7B" w:rsidRDefault="00E5622C" w:rsidP="00F24C7B">
            <w:pPr>
              <w:bidi w:val="0"/>
              <w:spacing w:line="480" w:lineRule="auto"/>
              <w:jc w:val="center"/>
              <w:rPr>
                <w:rFonts w:asciiTheme="majorBidi" w:hAnsiTheme="majorBidi" w:cstheme="majorBidi"/>
                <w:rtl/>
              </w:rPr>
            </w:pPr>
          </w:p>
          <w:p w14:paraId="1C7D2BA3" w14:textId="77777777" w:rsidR="00BC4342" w:rsidRPr="00F24C7B" w:rsidRDefault="00E5622C" w:rsidP="00F24C7B">
            <w:pPr>
              <w:bidi w:val="0"/>
              <w:spacing w:line="480" w:lineRule="auto"/>
              <w:rPr>
                <w:rFonts w:asciiTheme="majorBidi" w:hAnsiTheme="majorBidi" w:cstheme="majorBidi"/>
              </w:rPr>
            </w:pPr>
            <w:r w:rsidRPr="00F24C7B">
              <w:rPr>
                <w:rFonts w:asciiTheme="majorBidi" w:hAnsiTheme="majorBidi" w:cstheme="majorBidi"/>
                <w:lang w:val="en"/>
              </w:rPr>
              <w:t xml:space="preserve">            Jerusalem</w:t>
            </w:r>
          </w:p>
          <w:p w14:paraId="08FFDF3D" w14:textId="36165924" w:rsidR="00BC4342" w:rsidRPr="00F24C7B" w:rsidRDefault="00BC4342" w:rsidP="00F24C7B">
            <w:pPr>
              <w:bidi w:val="0"/>
              <w:spacing w:line="480" w:lineRule="auto"/>
              <w:jc w:val="right"/>
              <w:rPr>
                <w:rFonts w:asciiTheme="majorBidi" w:hAnsiTheme="majorBidi" w:cstheme="majorBidi"/>
                <w:rtl/>
              </w:rPr>
            </w:pPr>
            <w:r w:rsidRPr="00F24C7B">
              <w:rPr>
                <w:rFonts w:asciiTheme="majorBidi" w:hAnsiTheme="majorBidi" w:cstheme="majorBidi"/>
                <w:lang w:val="en"/>
              </w:rPr>
              <w:t>August 2</w:t>
            </w:r>
            <w:r w:rsidR="00364805">
              <w:rPr>
                <w:rFonts w:asciiTheme="majorBidi" w:hAnsiTheme="majorBidi" w:cstheme="majorBidi"/>
                <w:lang w:val="en"/>
              </w:rPr>
              <w:t>,</w:t>
            </w:r>
            <w:r w:rsidRPr="00F24C7B">
              <w:rPr>
                <w:rFonts w:asciiTheme="majorBidi" w:hAnsiTheme="majorBidi" w:cstheme="majorBidi"/>
                <w:lang w:val="en"/>
              </w:rPr>
              <w:t xml:space="preserve"> 2020</w:t>
            </w:r>
          </w:p>
          <w:p w14:paraId="5B23E486" w14:textId="77777777" w:rsidR="00277B18" w:rsidRPr="00F24C7B" w:rsidRDefault="00277B18" w:rsidP="00F24C7B">
            <w:pPr>
              <w:bidi w:val="0"/>
              <w:spacing w:line="480" w:lineRule="auto"/>
              <w:jc w:val="right"/>
              <w:rPr>
                <w:rFonts w:asciiTheme="majorBidi" w:hAnsiTheme="majorBidi" w:cstheme="majorBidi"/>
                <w:rtl/>
              </w:rPr>
            </w:pPr>
          </w:p>
        </w:tc>
      </w:tr>
    </w:tbl>
    <w:p w14:paraId="0851276D" w14:textId="77777777" w:rsidR="00BC4342" w:rsidRPr="00F24C7B" w:rsidRDefault="00BC4342" w:rsidP="00F24C7B">
      <w:pPr>
        <w:bidi w:val="0"/>
        <w:ind w:left="-942" w:right="-101"/>
        <w:rPr>
          <w:rFonts w:asciiTheme="majorBidi" w:hAnsiTheme="majorBidi" w:cstheme="majorBidi"/>
          <w:rtl/>
        </w:rPr>
      </w:pPr>
    </w:p>
    <w:p w14:paraId="651E0CFD" w14:textId="77777777" w:rsidR="00F24C7B" w:rsidRDefault="00BC7F41" w:rsidP="00F24C7B">
      <w:pPr>
        <w:pStyle w:val="Heading1"/>
        <w:bidi w:val="0"/>
        <w:spacing w:line="240" w:lineRule="auto"/>
        <w:ind w:left="-34"/>
        <w:jc w:val="center"/>
        <w:rPr>
          <w:rFonts w:asciiTheme="majorBidi" w:hAnsiTheme="majorBidi" w:cstheme="majorBidi"/>
          <w:color w:val="auto"/>
          <w:lang w:val="en"/>
        </w:rPr>
      </w:pPr>
      <w:r w:rsidRPr="00F24C7B">
        <w:rPr>
          <w:rFonts w:asciiTheme="majorBidi" w:hAnsiTheme="majorBidi" w:cstheme="majorBidi"/>
          <w:color w:val="auto"/>
          <w:lang w:val="en"/>
        </w:rPr>
        <w:t xml:space="preserve">Semiannual Report on the Prices of Common Banking Services </w:t>
      </w:r>
    </w:p>
    <w:p w14:paraId="12947A26" w14:textId="77777777" w:rsidR="00F24C7B" w:rsidRPr="00DD13CB" w:rsidRDefault="00F24C7B" w:rsidP="00F24C7B">
      <w:pPr>
        <w:pStyle w:val="Heading1"/>
        <w:bidi w:val="0"/>
        <w:spacing w:line="240" w:lineRule="auto"/>
        <w:ind w:left="-34"/>
        <w:jc w:val="center"/>
        <w:rPr>
          <w:rFonts w:asciiTheme="majorBidi" w:hAnsiTheme="majorBidi" w:cstheme="majorBidi"/>
          <w:color w:val="auto"/>
        </w:rPr>
      </w:pPr>
    </w:p>
    <w:p w14:paraId="2C62338D" w14:textId="2871CA7E" w:rsidR="00BC7F41" w:rsidRPr="00F24C7B" w:rsidRDefault="00BC7F41" w:rsidP="00AE7B49">
      <w:pPr>
        <w:pStyle w:val="Heading1"/>
        <w:bidi w:val="0"/>
        <w:spacing w:line="240" w:lineRule="auto"/>
        <w:ind w:left="-34"/>
        <w:jc w:val="center"/>
        <w:rPr>
          <w:rFonts w:asciiTheme="majorBidi" w:hAnsiTheme="majorBidi" w:cstheme="majorBidi"/>
          <w:color w:val="auto"/>
          <w:rtl/>
        </w:rPr>
      </w:pPr>
      <w:proofErr w:type="gramStart"/>
      <w:r w:rsidRPr="00F24C7B">
        <w:rPr>
          <w:rFonts w:asciiTheme="majorBidi" w:hAnsiTheme="majorBidi" w:cstheme="majorBidi"/>
          <w:color w:val="auto"/>
          <w:lang w:val="en"/>
        </w:rPr>
        <w:t>for</w:t>
      </w:r>
      <w:proofErr w:type="gramEnd"/>
      <w:r w:rsidRPr="00F24C7B">
        <w:rPr>
          <w:rFonts w:asciiTheme="majorBidi" w:hAnsiTheme="majorBidi" w:cstheme="majorBidi"/>
          <w:color w:val="auto"/>
          <w:lang w:val="en"/>
        </w:rPr>
        <w:t xml:space="preserve"> Households</w:t>
      </w:r>
      <w:r w:rsidR="00AE7B49">
        <w:rPr>
          <w:rFonts w:asciiTheme="majorBidi" w:hAnsiTheme="majorBidi" w:cstheme="majorBidi"/>
          <w:color w:val="auto"/>
          <w:lang w:val="en"/>
        </w:rPr>
        <w:t>—</w:t>
      </w:r>
      <w:r w:rsidRPr="00F24C7B">
        <w:rPr>
          <w:rFonts w:asciiTheme="majorBidi" w:hAnsiTheme="majorBidi" w:cstheme="majorBidi"/>
          <w:color w:val="auto"/>
          <w:lang w:val="en"/>
        </w:rPr>
        <w:t>2019</w:t>
      </w:r>
    </w:p>
    <w:p w14:paraId="4E606F7B" w14:textId="77777777" w:rsidR="00E5622C" w:rsidRPr="00F24C7B" w:rsidRDefault="00E5622C" w:rsidP="00F24C7B">
      <w:pPr>
        <w:pStyle w:val="Heading1"/>
        <w:bidi w:val="0"/>
        <w:jc w:val="center"/>
        <w:rPr>
          <w:rFonts w:asciiTheme="majorBidi" w:hAnsiTheme="majorBidi" w:cstheme="majorBidi"/>
          <w:color w:val="auto"/>
          <w:rtl/>
        </w:rPr>
      </w:pPr>
    </w:p>
    <w:p w14:paraId="64A1918E" w14:textId="77777777" w:rsidR="00BC7F41" w:rsidRPr="00F24C7B" w:rsidRDefault="00BC7F41" w:rsidP="00F24C7B">
      <w:pPr>
        <w:bidi w:val="0"/>
        <w:jc w:val="center"/>
        <w:rPr>
          <w:rFonts w:asciiTheme="majorBidi" w:hAnsiTheme="majorBidi" w:cstheme="majorBidi"/>
          <w:b/>
          <w:bCs/>
          <w:color w:val="002060"/>
          <w:sz w:val="12"/>
          <w:szCs w:val="12"/>
          <w:u w:val="double"/>
          <w:rtl/>
        </w:rPr>
      </w:pPr>
    </w:p>
    <w:p w14:paraId="2559E68E" w14:textId="4F096A66" w:rsidR="00B951F5" w:rsidRPr="00F24C7B" w:rsidRDefault="000A0132" w:rsidP="00F24C7B">
      <w:pPr>
        <w:bidi w:val="0"/>
        <w:rPr>
          <w:rFonts w:asciiTheme="majorBidi" w:hAnsiTheme="majorBidi" w:cstheme="majorBidi"/>
          <w:rtl/>
        </w:rPr>
      </w:pPr>
      <w:r w:rsidRPr="00F24C7B">
        <w:rPr>
          <w:rFonts w:asciiTheme="majorBidi" w:hAnsiTheme="majorBidi" w:cstheme="majorBidi"/>
          <w:lang w:val="en"/>
        </w:rPr>
        <w:t>On July 29</w:t>
      </w:r>
      <w:r w:rsidR="001E4153">
        <w:rPr>
          <w:rFonts w:asciiTheme="majorBidi" w:hAnsiTheme="majorBidi" w:cstheme="majorBidi"/>
          <w:lang w:val="en"/>
        </w:rPr>
        <w:t>,</w:t>
      </w:r>
      <w:r w:rsidRPr="00F24C7B">
        <w:rPr>
          <w:rFonts w:asciiTheme="majorBidi" w:hAnsiTheme="majorBidi" w:cstheme="majorBidi"/>
          <w:lang w:val="en"/>
        </w:rPr>
        <w:t xml:space="preserve"> 2020, the Supervisor of Banks, Mr. </w:t>
      </w:r>
      <w:proofErr w:type="spellStart"/>
      <w:r w:rsidRPr="00F24C7B">
        <w:rPr>
          <w:rFonts w:asciiTheme="majorBidi" w:hAnsiTheme="majorBidi" w:cstheme="majorBidi"/>
          <w:lang w:val="en"/>
        </w:rPr>
        <w:t>Yair</w:t>
      </w:r>
      <w:proofErr w:type="spellEnd"/>
      <w:r w:rsidRPr="00F24C7B">
        <w:rPr>
          <w:rFonts w:asciiTheme="majorBidi" w:hAnsiTheme="majorBidi" w:cstheme="majorBidi"/>
          <w:lang w:val="en"/>
        </w:rPr>
        <w:t xml:space="preserve"> </w:t>
      </w:r>
      <w:proofErr w:type="spellStart"/>
      <w:r w:rsidRPr="00F24C7B">
        <w:rPr>
          <w:rFonts w:asciiTheme="majorBidi" w:hAnsiTheme="majorBidi" w:cstheme="majorBidi"/>
          <w:lang w:val="en"/>
        </w:rPr>
        <w:t>Avidan</w:t>
      </w:r>
      <w:proofErr w:type="spellEnd"/>
      <w:r w:rsidRPr="00F24C7B">
        <w:rPr>
          <w:rFonts w:asciiTheme="majorBidi" w:hAnsiTheme="majorBidi" w:cstheme="majorBidi"/>
          <w:lang w:val="en"/>
        </w:rPr>
        <w:t xml:space="preserve">, presented the </w:t>
      </w:r>
      <w:r w:rsidRPr="00F24C7B">
        <w:rPr>
          <w:rFonts w:asciiTheme="majorBidi" w:hAnsiTheme="majorBidi" w:cstheme="majorBidi"/>
          <w:b/>
          <w:bCs/>
          <w:lang w:val="en"/>
        </w:rPr>
        <w:t xml:space="preserve">Semiannual Report on the Prices of Common Banking Services for Households </w:t>
      </w:r>
      <w:r w:rsidRPr="00F24C7B">
        <w:rPr>
          <w:rFonts w:asciiTheme="majorBidi" w:hAnsiTheme="majorBidi" w:cstheme="majorBidi"/>
          <w:lang w:val="en"/>
        </w:rPr>
        <w:t>to the Knesset’s Economic Affairs Committee. The report is based on the reports of the banks and credit card companies of actual income from fees collected during 2019.</w:t>
      </w:r>
    </w:p>
    <w:p w14:paraId="04EE93A1" w14:textId="77777777" w:rsidR="00B951F5" w:rsidRPr="00F24C7B" w:rsidRDefault="00B951F5" w:rsidP="00F24C7B">
      <w:pPr>
        <w:pStyle w:val="Heading2"/>
        <w:numPr>
          <w:ilvl w:val="0"/>
          <w:numId w:val="0"/>
        </w:numPr>
        <w:bidi w:val="0"/>
        <w:spacing w:line="240" w:lineRule="auto"/>
        <w:rPr>
          <w:rFonts w:asciiTheme="majorBidi" w:hAnsiTheme="majorBidi" w:cstheme="majorBidi"/>
          <w:b w:val="0"/>
          <w:bCs w:val="0"/>
          <w:color w:val="auto"/>
          <w:rtl/>
        </w:rPr>
      </w:pPr>
    </w:p>
    <w:p w14:paraId="4FA24A40" w14:textId="77777777" w:rsidR="00B951F5" w:rsidRPr="00F24C7B" w:rsidRDefault="00B951F5" w:rsidP="00F24C7B">
      <w:pPr>
        <w:pStyle w:val="Heading2"/>
        <w:numPr>
          <w:ilvl w:val="0"/>
          <w:numId w:val="0"/>
        </w:numPr>
        <w:bidi w:val="0"/>
        <w:rPr>
          <w:rFonts w:asciiTheme="majorBidi" w:hAnsiTheme="majorBidi" w:cstheme="majorBidi"/>
          <w:sz w:val="32"/>
          <w:szCs w:val="32"/>
          <w:u w:val="double"/>
          <w:rtl/>
        </w:rPr>
      </w:pPr>
      <w:r w:rsidRPr="00F24C7B">
        <w:rPr>
          <w:rFonts w:asciiTheme="majorBidi" w:hAnsiTheme="majorBidi" w:cstheme="majorBidi"/>
          <w:lang w:val="en"/>
        </w:rPr>
        <w:t>Main points of the report:</w:t>
      </w:r>
    </w:p>
    <w:p w14:paraId="20074D06" w14:textId="1F9A96FA" w:rsidR="00B951F5" w:rsidRPr="00F24C7B" w:rsidRDefault="00796388" w:rsidP="00A312F0">
      <w:pPr>
        <w:numPr>
          <w:ilvl w:val="0"/>
          <w:numId w:val="4"/>
        </w:numPr>
        <w:tabs>
          <w:tab w:val="clear" w:pos="567"/>
          <w:tab w:val="clear" w:pos="1134"/>
          <w:tab w:val="clear" w:pos="1814"/>
          <w:tab w:val="clear" w:pos="2665"/>
          <w:tab w:val="left" w:pos="374"/>
        </w:tabs>
        <w:bidi w:val="0"/>
        <w:rPr>
          <w:rFonts w:asciiTheme="majorBidi" w:hAnsiTheme="majorBidi" w:cstheme="majorBidi"/>
        </w:rPr>
      </w:pPr>
      <w:r w:rsidRPr="00F24C7B">
        <w:rPr>
          <w:rFonts w:asciiTheme="majorBidi" w:hAnsiTheme="majorBidi" w:cstheme="majorBidi"/>
          <w:lang w:val="en"/>
        </w:rPr>
        <w:t xml:space="preserve">During the past eleven years, there has been a decline of about 34 percent in the share of the banking system’s income derived from fees out of total assets. The decline is attributed to a range of regulatory measures taken by the Banking Supervision Department and the banking system during this period, as well as </w:t>
      </w:r>
      <w:r w:rsidR="00676D7F">
        <w:rPr>
          <w:rFonts w:asciiTheme="majorBidi" w:hAnsiTheme="majorBidi" w:cstheme="majorBidi"/>
        </w:rPr>
        <w:t>accounting effects from</w:t>
      </w:r>
      <w:r w:rsidRPr="00F24C7B">
        <w:rPr>
          <w:rFonts w:asciiTheme="majorBidi" w:hAnsiTheme="majorBidi" w:cstheme="majorBidi"/>
          <w:lang w:val="en"/>
        </w:rPr>
        <w:t xml:space="preserve"> the sale of </w:t>
      </w:r>
      <w:proofErr w:type="spellStart"/>
      <w:r w:rsidRPr="00F24C7B">
        <w:rPr>
          <w:rFonts w:asciiTheme="majorBidi" w:hAnsiTheme="majorBidi" w:cstheme="majorBidi"/>
          <w:lang w:val="en"/>
        </w:rPr>
        <w:t>Isracard</w:t>
      </w:r>
      <w:proofErr w:type="spellEnd"/>
      <w:r w:rsidRPr="00F24C7B">
        <w:rPr>
          <w:rFonts w:asciiTheme="majorBidi" w:hAnsiTheme="majorBidi" w:cstheme="majorBidi"/>
          <w:lang w:val="en"/>
        </w:rPr>
        <w:t xml:space="preserve"> and </w:t>
      </w:r>
      <w:proofErr w:type="spellStart"/>
      <w:r w:rsidRPr="00F24C7B">
        <w:rPr>
          <w:rFonts w:asciiTheme="majorBidi" w:hAnsiTheme="majorBidi" w:cstheme="majorBidi"/>
          <w:lang w:val="en"/>
        </w:rPr>
        <w:t>Leumi</w:t>
      </w:r>
      <w:proofErr w:type="spellEnd"/>
      <w:r w:rsidRPr="00F24C7B">
        <w:rPr>
          <w:rFonts w:asciiTheme="majorBidi" w:hAnsiTheme="majorBidi" w:cstheme="majorBidi"/>
          <w:lang w:val="en"/>
        </w:rPr>
        <w:t xml:space="preserve"> Card (Max) by the banks as part of the implementation of the </w:t>
      </w:r>
      <w:r w:rsidR="00E64F02">
        <w:rPr>
          <w:rFonts w:asciiTheme="majorBidi" w:hAnsiTheme="majorBidi" w:cstheme="majorBidi"/>
        </w:rPr>
        <w:t xml:space="preserve">Reducing Concentration and Promoting </w:t>
      </w:r>
      <w:r w:rsidRPr="00F24C7B">
        <w:rPr>
          <w:rFonts w:asciiTheme="majorBidi" w:hAnsiTheme="majorBidi" w:cstheme="majorBidi"/>
          <w:lang w:val="en"/>
        </w:rPr>
        <w:t xml:space="preserve">Competition </w:t>
      </w:r>
      <w:r w:rsidR="00E64F02">
        <w:rPr>
          <w:rFonts w:asciiTheme="majorBidi" w:hAnsiTheme="majorBidi" w:cstheme="majorBidi"/>
          <w:lang w:val="en"/>
        </w:rPr>
        <w:t xml:space="preserve">Law, </w:t>
      </w:r>
      <w:r w:rsidRPr="00F24C7B">
        <w:rPr>
          <w:rFonts w:asciiTheme="majorBidi" w:hAnsiTheme="majorBidi" w:cstheme="majorBidi"/>
          <w:lang w:val="en"/>
        </w:rPr>
        <w:t>57</w:t>
      </w:r>
      <w:r w:rsidR="00A312F0">
        <w:rPr>
          <w:rFonts w:asciiTheme="majorBidi" w:hAnsiTheme="majorBidi" w:cstheme="majorBidi"/>
          <w:lang w:val="en"/>
        </w:rPr>
        <w:t>7</w:t>
      </w:r>
      <w:r w:rsidRPr="00F24C7B">
        <w:rPr>
          <w:rFonts w:asciiTheme="majorBidi" w:hAnsiTheme="majorBidi" w:cstheme="majorBidi"/>
          <w:lang w:val="en"/>
        </w:rPr>
        <w:t xml:space="preserve">7-2017. </w:t>
      </w:r>
    </w:p>
    <w:p w14:paraId="53229580" w14:textId="51D9F140" w:rsidR="00603778" w:rsidRPr="00F24C7B" w:rsidRDefault="00B951F5" w:rsidP="00E64F02">
      <w:pPr>
        <w:numPr>
          <w:ilvl w:val="0"/>
          <w:numId w:val="4"/>
        </w:numPr>
        <w:tabs>
          <w:tab w:val="clear" w:pos="567"/>
          <w:tab w:val="clear" w:pos="1134"/>
          <w:tab w:val="clear" w:pos="1814"/>
          <w:tab w:val="clear" w:pos="2665"/>
          <w:tab w:val="left" w:pos="374"/>
        </w:tabs>
        <w:bidi w:val="0"/>
        <w:rPr>
          <w:rFonts w:asciiTheme="majorBidi" w:hAnsiTheme="majorBidi" w:cstheme="majorBidi"/>
        </w:rPr>
      </w:pPr>
      <w:r w:rsidRPr="00F24C7B">
        <w:rPr>
          <w:rFonts w:asciiTheme="majorBidi" w:hAnsiTheme="majorBidi" w:cstheme="majorBidi"/>
          <w:lang w:val="en"/>
        </w:rPr>
        <w:t>The average monthly cost for a household or private banking account in 2019 was NIS 26.9. During the past nine years (2011</w:t>
      </w:r>
      <w:r w:rsidR="00E64F02">
        <w:rPr>
          <w:rFonts w:asciiTheme="majorBidi" w:hAnsiTheme="majorBidi" w:cstheme="majorBidi"/>
          <w:lang w:val="en"/>
        </w:rPr>
        <w:t>–</w:t>
      </w:r>
      <w:r w:rsidRPr="00F24C7B">
        <w:rPr>
          <w:rFonts w:asciiTheme="majorBidi" w:hAnsiTheme="majorBidi" w:cstheme="majorBidi"/>
          <w:lang w:val="en"/>
        </w:rPr>
        <w:t>19) there was a decline of approximately 17 percent in the average monthly cost for a household or private banking account. This cost is comprised of:</w:t>
      </w:r>
    </w:p>
    <w:p w14:paraId="70CE43C9" w14:textId="3A1EB6DE" w:rsidR="00603778" w:rsidRPr="00F24C7B" w:rsidRDefault="00B951F5" w:rsidP="00D101B5">
      <w:pPr>
        <w:pStyle w:val="ListParagraph"/>
        <w:numPr>
          <w:ilvl w:val="0"/>
          <w:numId w:val="9"/>
        </w:numPr>
        <w:tabs>
          <w:tab w:val="clear" w:pos="567"/>
          <w:tab w:val="clear" w:pos="1134"/>
          <w:tab w:val="clear" w:pos="1814"/>
          <w:tab w:val="clear" w:pos="2665"/>
          <w:tab w:val="left" w:pos="374"/>
        </w:tabs>
        <w:bidi w:val="0"/>
        <w:rPr>
          <w:rFonts w:asciiTheme="majorBidi" w:hAnsiTheme="majorBidi" w:cstheme="majorBidi"/>
        </w:rPr>
      </w:pPr>
      <w:r w:rsidRPr="00F24C7B">
        <w:rPr>
          <w:rFonts w:asciiTheme="majorBidi" w:hAnsiTheme="majorBidi" w:cstheme="majorBidi"/>
          <w:lang w:val="en"/>
        </w:rPr>
        <w:t xml:space="preserve">The cost of </w:t>
      </w:r>
      <w:r w:rsidRPr="00F24C7B">
        <w:rPr>
          <w:rFonts w:asciiTheme="majorBidi" w:hAnsiTheme="majorBidi" w:cstheme="majorBidi"/>
          <w:b/>
          <w:bCs/>
          <w:lang w:val="en"/>
        </w:rPr>
        <w:t>current-account activity</w:t>
      </w:r>
      <w:r w:rsidRPr="00F24C7B">
        <w:rPr>
          <w:rFonts w:asciiTheme="majorBidi" w:hAnsiTheme="majorBidi" w:cstheme="majorBidi"/>
          <w:lang w:val="en"/>
        </w:rPr>
        <w:t xml:space="preserve">, which </w:t>
      </w:r>
      <w:r w:rsidRPr="00F24C7B">
        <w:rPr>
          <w:rFonts w:asciiTheme="majorBidi" w:hAnsiTheme="majorBidi" w:cstheme="majorBidi"/>
          <w:b/>
          <w:bCs/>
          <w:lang w:val="en"/>
        </w:rPr>
        <w:t xml:space="preserve">decreased </w:t>
      </w:r>
      <w:r w:rsidRPr="00F24C7B">
        <w:rPr>
          <w:rFonts w:asciiTheme="majorBidi" w:hAnsiTheme="majorBidi" w:cstheme="majorBidi"/>
          <w:lang w:val="en"/>
        </w:rPr>
        <w:t>by a total of approx</w:t>
      </w:r>
      <w:r w:rsidR="00D101B5">
        <w:rPr>
          <w:rFonts w:asciiTheme="majorBidi" w:hAnsiTheme="majorBidi" w:cstheme="majorBidi"/>
          <w:lang w:val="en"/>
        </w:rPr>
        <w:t>imately</w:t>
      </w:r>
      <w:r w:rsidRPr="00F24C7B">
        <w:rPr>
          <w:rFonts w:asciiTheme="majorBidi" w:hAnsiTheme="majorBidi" w:cstheme="majorBidi"/>
          <w:lang w:val="en"/>
        </w:rPr>
        <w:t xml:space="preserve"> 39 percent;</w:t>
      </w:r>
    </w:p>
    <w:p w14:paraId="340B72A0" w14:textId="789DF242" w:rsidR="006E0A15" w:rsidRPr="00F24C7B" w:rsidRDefault="00B951F5" w:rsidP="00CB7B40">
      <w:pPr>
        <w:pStyle w:val="ListParagraph"/>
        <w:numPr>
          <w:ilvl w:val="0"/>
          <w:numId w:val="9"/>
        </w:numPr>
        <w:tabs>
          <w:tab w:val="clear" w:pos="567"/>
          <w:tab w:val="clear" w:pos="1134"/>
          <w:tab w:val="clear" w:pos="1814"/>
          <w:tab w:val="clear" w:pos="2665"/>
          <w:tab w:val="left" w:pos="374"/>
        </w:tabs>
        <w:bidi w:val="0"/>
        <w:rPr>
          <w:rFonts w:asciiTheme="majorBidi" w:hAnsiTheme="majorBidi" w:cstheme="majorBidi"/>
          <w:b/>
          <w:bCs/>
          <w:sz w:val="18"/>
          <w:szCs w:val="18"/>
          <w:u w:val="single"/>
        </w:rPr>
      </w:pPr>
      <w:r w:rsidRPr="00F24C7B">
        <w:rPr>
          <w:rFonts w:asciiTheme="majorBidi" w:hAnsiTheme="majorBidi" w:cstheme="majorBidi"/>
          <w:lang w:val="en"/>
        </w:rPr>
        <w:t xml:space="preserve">The cost of </w:t>
      </w:r>
      <w:r w:rsidRPr="00F24C7B">
        <w:rPr>
          <w:rFonts w:asciiTheme="majorBidi" w:hAnsiTheme="majorBidi" w:cstheme="majorBidi"/>
          <w:b/>
          <w:bCs/>
          <w:lang w:val="en"/>
        </w:rPr>
        <w:t>credit cards</w:t>
      </w:r>
      <w:r w:rsidRPr="00F24C7B">
        <w:rPr>
          <w:rFonts w:asciiTheme="majorBidi" w:hAnsiTheme="majorBidi" w:cstheme="majorBidi"/>
          <w:lang w:val="en"/>
        </w:rPr>
        <w:t>,</w:t>
      </w:r>
      <w:r w:rsidRPr="00F24C7B">
        <w:rPr>
          <w:rFonts w:asciiTheme="majorBidi" w:hAnsiTheme="majorBidi" w:cstheme="majorBidi"/>
          <w:b/>
          <w:bCs/>
          <w:lang w:val="en"/>
        </w:rPr>
        <w:t xml:space="preserve"> </w:t>
      </w:r>
      <w:r w:rsidRPr="00F24C7B">
        <w:rPr>
          <w:rFonts w:asciiTheme="majorBidi" w:hAnsiTheme="majorBidi" w:cstheme="majorBidi"/>
          <w:lang w:val="en"/>
        </w:rPr>
        <w:t xml:space="preserve">which </w:t>
      </w:r>
      <w:r w:rsidRPr="00F24C7B">
        <w:rPr>
          <w:rFonts w:asciiTheme="majorBidi" w:hAnsiTheme="majorBidi" w:cstheme="majorBidi"/>
          <w:b/>
          <w:bCs/>
          <w:lang w:val="en"/>
        </w:rPr>
        <w:t>increased</w:t>
      </w:r>
      <w:r w:rsidRPr="00F24C7B">
        <w:rPr>
          <w:rFonts w:asciiTheme="majorBidi" w:hAnsiTheme="majorBidi" w:cstheme="majorBidi"/>
          <w:lang w:val="en"/>
        </w:rPr>
        <w:t xml:space="preserve"> by a total of approx</w:t>
      </w:r>
      <w:r w:rsidR="0079470F">
        <w:rPr>
          <w:rFonts w:asciiTheme="majorBidi" w:hAnsiTheme="majorBidi" w:cstheme="majorBidi"/>
          <w:lang w:val="en"/>
        </w:rPr>
        <w:t xml:space="preserve">imately </w:t>
      </w:r>
      <w:r w:rsidRPr="00F24C7B">
        <w:rPr>
          <w:rFonts w:asciiTheme="majorBidi" w:hAnsiTheme="majorBidi" w:cstheme="majorBidi"/>
          <w:lang w:val="en"/>
        </w:rPr>
        <w:t xml:space="preserve">21 percent. The increase is attributed to the increase in credit card fees, to the trend of a growing number of credit cards held by customers per account, and an increase in the volume of foreign currency transactions and withdrawals. </w:t>
      </w:r>
    </w:p>
    <w:p w14:paraId="363940AA" w14:textId="77777777" w:rsidR="00B951F5" w:rsidRPr="00F24C7B" w:rsidRDefault="000C1EF4" w:rsidP="00F24C7B">
      <w:pPr>
        <w:numPr>
          <w:ilvl w:val="0"/>
          <w:numId w:val="4"/>
        </w:numPr>
        <w:tabs>
          <w:tab w:val="clear" w:pos="567"/>
          <w:tab w:val="clear" w:pos="1134"/>
          <w:tab w:val="clear" w:pos="1814"/>
          <w:tab w:val="clear" w:pos="2665"/>
          <w:tab w:val="left" w:pos="374"/>
        </w:tabs>
        <w:bidi w:val="0"/>
        <w:rPr>
          <w:rFonts w:asciiTheme="majorBidi" w:hAnsiTheme="majorBidi" w:cstheme="majorBidi"/>
          <w:b/>
          <w:bCs/>
          <w:sz w:val="18"/>
          <w:szCs w:val="18"/>
          <w:u w:val="single"/>
        </w:rPr>
      </w:pPr>
      <w:r w:rsidRPr="00F24C7B">
        <w:rPr>
          <w:rFonts w:asciiTheme="majorBidi" w:hAnsiTheme="majorBidi" w:cstheme="majorBidi"/>
          <w:lang w:val="en"/>
        </w:rPr>
        <w:t>A significant measure that went into effect in August 2019 is proactive enrollment of small businesses and authorized businesses in the basic or extended fee tracks service, whichever is the most worthwhile for them. The measure is expected to contribute to a reduction in current account fees for small businesses and authorized businesses.</w:t>
      </w:r>
    </w:p>
    <w:p w14:paraId="3542757D" w14:textId="1B2685AE" w:rsidR="00603778" w:rsidRPr="00F24C7B" w:rsidRDefault="00ED0437" w:rsidP="00F24C7B">
      <w:pPr>
        <w:numPr>
          <w:ilvl w:val="0"/>
          <w:numId w:val="4"/>
        </w:numPr>
        <w:tabs>
          <w:tab w:val="clear" w:pos="567"/>
          <w:tab w:val="clear" w:pos="1134"/>
          <w:tab w:val="clear" w:pos="1814"/>
          <w:tab w:val="clear" w:pos="2665"/>
          <w:tab w:val="left" w:pos="374"/>
        </w:tabs>
        <w:bidi w:val="0"/>
        <w:rPr>
          <w:rFonts w:asciiTheme="majorBidi" w:hAnsiTheme="majorBidi" w:cstheme="majorBidi"/>
          <w:b/>
          <w:bCs/>
          <w:color w:val="17365D"/>
          <w:rtl/>
        </w:rPr>
      </w:pPr>
      <w:r w:rsidRPr="00F24C7B">
        <w:rPr>
          <w:rFonts w:asciiTheme="majorBidi" w:hAnsiTheme="majorBidi" w:cstheme="majorBidi"/>
          <w:lang w:val="en"/>
        </w:rPr>
        <w:t>Since the period covered by this report is 2019, the presented data do not reflect the effects of the coronavirus crisis.</w:t>
      </w:r>
      <w:r w:rsidR="00603778" w:rsidRPr="00F24C7B">
        <w:rPr>
          <w:rFonts w:asciiTheme="majorBidi" w:hAnsiTheme="majorBidi" w:cstheme="majorBidi"/>
          <w:rtl/>
        </w:rPr>
        <w:br w:type="page"/>
      </w:r>
    </w:p>
    <w:p w14:paraId="51A1FF65" w14:textId="77777777" w:rsidR="007049CE" w:rsidRPr="00F24C7B" w:rsidRDefault="007049CE" w:rsidP="00F24C7B">
      <w:pPr>
        <w:pStyle w:val="Heading2"/>
        <w:numPr>
          <w:ilvl w:val="0"/>
          <w:numId w:val="5"/>
        </w:numPr>
        <w:bidi w:val="0"/>
        <w:rPr>
          <w:rFonts w:asciiTheme="majorBidi" w:hAnsiTheme="majorBidi" w:cstheme="majorBidi"/>
          <w:sz w:val="22"/>
          <w:szCs w:val="22"/>
        </w:rPr>
      </w:pPr>
      <w:r w:rsidRPr="00F24C7B">
        <w:rPr>
          <w:rFonts w:asciiTheme="majorBidi" w:hAnsiTheme="majorBidi" w:cstheme="majorBidi"/>
          <w:sz w:val="22"/>
          <w:szCs w:val="22"/>
          <w:lang w:val="en"/>
        </w:rPr>
        <w:lastRenderedPageBreak/>
        <w:t xml:space="preserve">The banking system’s income from fees </w:t>
      </w:r>
    </w:p>
    <w:p w14:paraId="4ECFAE5E" w14:textId="550E8861" w:rsidR="007049CE" w:rsidRPr="00F24C7B" w:rsidRDefault="007049CE" w:rsidP="00D101B5">
      <w:pPr>
        <w:shd w:val="clear" w:color="auto" w:fill="D9D9D9" w:themeFill="background1" w:themeFillShade="D9"/>
        <w:tabs>
          <w:tab w:val="clear" w:pos="567"/>
          <w:tab w:val="clear" w:pos="1134"/>
          <w:tab w:val="clear" w:pos="1814"/>
          <w:tab w:val="clear" w:pos="2665"/>
          <w:tab w:val="left" w:pos="374"/>
        </w:tabs>
        <w:bidi w:val="0"/>
        <w:ind w:left="360"/>
        <w:rPr>
          <w:rFonts w:asciiTheme="majorBidi" w:hAnsiTheme="majorBidi" w:cstheme="majorBidi"/>
          <w:sz w:val="22"/>
          <w:szCs w:val="22"/>
        </w:rPr>
      </w:pPr>
      <w:r w:rsidRPr="00F24C7B">
        <w:rPr>
          <w:rFonts w:asciiTheme="majorBidi" w:hAnsiTheme="majorBidi" w:cstheme="majorBidi"/>
          <w:b/>
          <w:bCs/>
          <w:sz w:val="22"/>
          <w:szCs w:val="22"/>
          <w:lang w:val="en"/>
        </w:rPr>
        <w:t>During the past eleven years, there has been a decline of approx</w:t>
      </w:r>
      <w:r w:rsidR="00D101B5">
        <w:rPr>
          <w:rFonts w:asciiTheme="majorBidi" w:hAnsiTheme="majorBidi" w:cstheme="majorBidi"/>
          <w:b/>
          <w:bCs/>
          <w:sz w:val="22"/>
          <w:szCs w:val="22"/>
          <w:lang w:val="en"/>
        </w:rPr>
        <w:t xml:space="preserve">imately </w:t>
      </w:r>
      <w:r w:rsidRPr="00F24C7B">
        <w:rPr>
          <w:rFonts w:asciiTheme="majorBidi" w:hAnsiTheme="majorBidi" w:cstheme="majorBidi"/>
          <w:b/>
          <w:bCs/>
          <w:sz w:val="22"/>
          <w:szCs w:val="22"/>
          <w:lang w:val="en"/>
        </w:rPr>
        <w:t xml:space="preserve">34 percent in the share of the banking system’s income derived from fees out of total assets. The decline is attributed to a range of regulatory measures taken by the Banking Supervision Department </w:t>
      </w:r>
      <w:r w:rsidR="00DD13CB">
        <w:rPr>
          <w:rFonts w:asciiTheme="majorBidi" w:hAnsiTheme="majorBidi" w:cstheme="majorBidi"/>
          <w:b/>
          <w:bCs/>
          <w:sz w:val="22"/>
          <w:szCs w:val="22"/>
        </w:rPr>
        <w:t xml:space="preserve">and the banking system </w:t>
      </w:r>
      <w:r w:rsidRPr="00F24C7B">
        <w:rPr>
          <w:rFonts w:asciiTheme="majorBidi" w:hAnsiTheme="majorBidi" w:cstheme="majorBidi"/>
          <w:b/>
          <w:bCs/>
          <w:sz w:val="22"/>
          <w:szCs w:val="22"/>
          <w:lang w:val="en"/>
        </w:rPr>
        <w:t>during that period. The decline in the year-on-year calculated ratio for 2019 is attrib</w:t>
      </w:r>
      <w:r w:rsidRPr="00E64F02">
        <w:rPr>
          <w:rFonts w:asciiTheme="majorBidi" w:hAnsiTheme="majorBidi" w:cstheme="majorBidi"/>
          <w:b/>
          <w:bCs/>
          <w:sz w:val="22"/>
          <w:szCs w:val="22"/>
          <w:lang w:val="en"/>
        </w:rPr>
        <w:t>uted to</w:t>
      </w:r>
      <w:r w:rsidR="00E64F02">
        <w:rPr>
          <w:rFonts w:asciiTheme="majorBidi" w:hAnsiTheme="majorBidi" w:cstheme="majorBidi"/>
          <w:b/>
          <w:bCs/>
          <w:sz w:val="22"/>
          <w:szCs w:val="22"/>
          <w:lang w:val="en"/>
        </w:rPr>
        <w:t xml:space="preserve"> </w:t>
      </w:r>
      <w:r w:rsidRPr="00E64F02">
        <w:rPr>
          <w:rFonts w:asciiTheme="majorBidi" w:hAnsiTheme="majorBidi" w:cstheme="majorBidi"/>
          <w:b/>
          <w:bCs/>
          <w:sz w:val="22"/>
          <w:szCs w:val="22"/>
          <w:lang w:val="en"/>
        </w:rPr>
        <w:t xml:space="preserve">accounting effects from the sale of </w:t>
      </w:r>
      <w:proofErr w:type="spellStart"/>
      <w:r w:rsidRPr="00E64F02">
        <w:rPr>
          <w:rFonts w:asciiTheme="majorBidi" w:hAnsiTheme="majorBidi" w:cstheme="majorBidi"/>
          <w:b/>
          <w:bCs/>
          <w:sz w:val="22"/>
          <w:szCs w:val="22"/>
          <w:lang w:val="en"/>
        </w:rPr>
        <w:t>Isracard</w:t>
      </w:r>
      <w:proofErr w:type="spellEnd"/>
      <w:r w:rsidRPr="00E64F02">
        <w:rPr>
          <w:rFonts w:asciiTheme="majorBidi" w:hAnsiTheme="majorBidi" w:cstheme="majorBidi"/>
          <w:b/>
          <w:bCs/>
          <w:sz w:val="22"/>
          <w:szCs w:val="22"/>
          <w:lang w:val="en"/>
        </w:rPr>
        <w:t xml:space="preserve"> and </w:t>
      </w:r>
      <w:proofErr w:type="spellStart"/>
      <w:r w:rsidRPr="00E64F02">
        <w:rPr>
          <w:rFonts w:asciiTheme="majorBidi" w:hAnsiTheme="majorBidi" w:cstheme="majorBidi"/>
          <w:b/>
          <w:bCs/>
          <w:sz w:val="22"/>
          <w:szCs w:val="22"/>
          <w:lang w:val="en"/>
        </w:rPr>
        <w:t>Leumi</w:t>
      </w:r>
      <w:proofErr w:type="spellEnd"/>
      <w:r w:rsidRPr="00E64F02">
        <w:rPr>
          <w:rFonts w:asciiTheme="majorBidi" w:hAnsiTheme="majorBidi" w:cstheme="majorBidi"/>
          <w:b/>
          <w:bCs/>
          <w:sz w:val="22"/>
          <w:szCs w:val="22"/>
          <w:lang w:val="en"/>
        </w:rPr>
        <w:t xml:space="preserve"> Card (Max) by the Banks as part of the implementation of the </w:t>
      </w:r>
      <w:r w:rsidR="00E64F02" w:rsidRPr="00E64F02">
        <w:rPr>
          <w:rFonts w:asciiTheme="majorBidi" w:hAnsiTheme="majorBidi" w:cstheme="majorBidi"/>
          <w:b/>
          <w:bCs/>
        </w:rPr>
        <w:t xml:space="preserve">Reducing Concentration and Promoting </w:t>
      </w:r>
      <w:r w:rsidR="00E64F02" w:rsidRPr="00E64F02">
        <w:rPr>
          <w:rFonts w:asciiTheme="majorBidi" w:hAnsiTheme="majorBidi" w:cstheme="majorBidi"/>
          <w:b/>
          <w:bCs/>
          <w:lang w:val="en"/>
        </w:rPr>
        <w:t>Competition Law,</w:t>
      </w:r>
      <w:r w:rsidRPr="00E64F02">
        <w:rPr>
          <w:rFonts w:asciiTheme="majorBidi" w:hAnsiTheme="majorBidi" w:cstheme="majorBidi"/>
          <w:b/>
          <w:bCs/>
          <w:sz w:val="22"/>
          <w:szCs w:val="22"/>
          <w:lang w:val="en"/>
        </w:rPr>
        <w:t xml:space="preserve"> 57</w:t>
      </w:r>
      <w:r w:rsidR="00A312F0">
        <w:rPr>
          <w:rFonts w:asciiTheme="majorBidi" w:hAnsiTheme="majorBidi" w:cstheme="majorBidi"/>
          <w:b/>
          <w:bCs/>
          <w:sz w:val="22"/>
          <w:szCs w:val="22"/>
          <w:lang w:val="en"/>
        </w:rPr>
        <w:t>7</w:t>
      </w:r>
      <w:r w:rsidRPr="00E64F02">
        <w:rPr>
          <w:rFonts w:asciiTheme="majorBidi" w:hAnsiTheme="majorBidi" w:cstheme="majorBidi"/>
          <w:b/>
          <w:bCs/>
          <w:sz w:val="22"/>
          <w:szCs w:val="22"/>
          <w:lang w:val="en"/>
        </w:rPr>
        <w:t xml:space="preserve">7-2017. </w:t>
      </w:r>
    </w:p>
    <w:p w14:paraId="10611C7A" w14:textId="77777777" w:rsidR="007049CE" w:rsidRPr="00F24C7B" w:rsidRDefault="007049CE" w:rsidP="00F24C7B">
      <w:pPr>
        <w:tabs>
          <w:tab w:val="clear" w:pos="567"/>
          <w:tab w:val="left" w:pos="-35"/>
        </w:tabs>
        <w:bidi w:val="0"/>
        <w:ind w:left="-35"/>
        <w:rPr>
          <w:rFonts w:asciiTheme="majorBidi" w:hAnsiTheme="majorBidi" w:cstheme="majorBidi"/>
          <w:b/>
          <w:bCs/>
          <w:color w:val="0070C0"/>
          <w:sz w:val="22"/>
          <w:szCs w:val="22"/>
          <w:u w:val="single"/>
        </w:rPr>
      </w:pPr>
    </w:p>
    <w:p w14:paraId="788E1D01" w14:textId="77777777" w:rsidR="007049CE" w:rsidRPr="00F24C7B" w:rsidRDefault="007049CE" w:rsidP="00F24C7B">
      <w:pPr>
        <w:bidi w:val="0"/>
        <w:ind w:left="-55"/>
        <w:jc w:val="center"/>
        <w:rPr>
          <w:rFonts w:asciiTheme="majorBidi" w:hAnsiTheme="majorBidi" w:cstheme="majorBidi"/>
          <w:sz w:val="22"/>
          <w:szCs w:val="22"/>
          <w:u w:val="single"/>
          <w:rtl/>
        </w:rPr>
      </w:pPr>
      <w:r w:rsidRPr="00F24C7B">
        <w:rPr>
          <w:rFonts w:asciiTheme="majorBidi" w:hAnsiTheme="majorBidi" w:cstheme="majorBidi"/>
          <w:sz w:val="22"/>
          <w:szCs w:val="22"/>
          <w:u w:val="single"/>
          <w:lang w:val="en"/>
        </w:rPr>
        <w:t xml:space="preserve">Figure 1 - Development of total income from fees relative to the </w:t>
      </w:r>
      <w:r w:rsidRPr="00171A63">
        <w:rPr>
          <w:rFonts w:asciiTheme="majorBidi" w:hAnsiTheme="majorBidi" w:cstheme="majorBidi"/>
          <w:sz w:val="22"/>
          <w:szCs w:val="22"/>
          <w:u w:val="single"/>
          <w:lang w:val="en"/>
        </w:rPr>
        <w:t>banking system’s total assets</w:t>
      </w:r>
      <w:r w:rsidRPr="00F24C7B">
        <w:rPr>
          <w:rFonts w:asciiTheme="majorBidi" w:hAnsiTheme="majorBidi" w:cstheme="majorBidi"/>
          <w:sz w:val="22"/>
          <w:szCs w:val="22"/>
          <w:u w:val="single"/>
          <w:lang w:val="en"/>
        </w:rPr>
        <w:t xml:space="preserve"> </w:t>
      </w:r>
    </w:p>
    <w:p w14:paraId="7EFBA167" w14:textId="77777777" w:rsidR="007049CE" w:rsidRPr="00F24C7B" w:rsidRDefault="007049CE" w:rsidP="00F24C7B">
      <w:pPr>
        <w:bidi w:val="0"/>
        <w:ind w:left="-55"/>
        <w:jc w:val="center"/>
        <w:rPr>
          <w:rFonts w:asciiTheme="majorBidi" w:hAnsiTheme="majorBidi" w:cstheme="majorBidi"/>
          <w:sz w:val="22"/>
          <w:szCs w:val="22"/>
          <w:highlight w:val="yellow"/>
          <w:rtl/>
        </w:rPr>
      </w:pPr>
      <w:r w:rsidRPr="00F24C7B">
        <w:rPr>
          <w:rFonts w:asciiTheme="majorBidi" w:hAnsiTheme="majorBidi" w:cstheme="majorBidi"/>
          <w:sz w:val="22"/>
          <w:szCs w:val="22"/>
          <w:u w:val="single"/>
          <w:lang w:val="en"/>
        </w:rPr>
        <w:t>(</w:t>
      </w:r>
      <w:proofErr w:type="gramStart"/>
      <w:r w:rsidRPr="00F24C7B">
        <w:rPr>
          <w:rFonts w:asciiTheme="majorBidi" w:hAnsiTheme="majorBidi" w:cstheme="majorBidi"/>
          <w:sz w:val="22"/>
          <w:szCs w:val="22"/>
          <w:u w:val="single"/>
          <w:lang w:val="en"/>
        </w:rPr>
        <w:t>households</w:t>
      </w:r>
      <w:proofErr w:type="gramEnd"/>
      <w:r w:rsidRPr="00F24C7B">
        <w:rPr>
          <w:rFonts w:asciiTheme="majorBidi" w:hAnsiTheme="majorBidi" w:cstheme="majorBidi"/>
          <w:sz w:val="22"/>
          <w:szCs w:val="22"/>
          <w:u w:val="single"/>
          <w:lang w:val="en"/>
        </w:rPr>
        <w:t>, private banking, and businesses)</w:t>
      </w:r>
    </w:p>
    <w:p w14:paraId="166BD7F1" w14:textId="07818AA0" w:rsidR="007049CE" w:rsidRPr="00F24C7B" w:rsidRDefault="00741370" w:rsidP="00F24C7B">
      <w:pPr>
        <w:bidi w:val="0"/>
        <w:ind w:left="-55"/>
        <w:jc w:val="center"/>
        <w:rPr>
          <w:rFonts w:asciiTheme="majorBidi" w:hAnsiTheme="majorBidi" w:cstheme="majorBidi"/>
          <w:b/>
          <w:bCs/>
          <w:rtl/>
        </w:rPr>
      </w:pPr>
      <w:r w:rsidRPr="00741370">
        <w:rPr>
          <w:noProof/>
        </w:rPr>
        <w:drawing>
          <wp:inline distT="0" distB="0" distL="0" distR="0" wp14:anchorId="57C5F7DC" wp14:editId="1E08B32A">
            <wp:extent cx="6188710" cy="55669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8710" cy="5566980"/>
                    </a:xfrm>
                    <a:prstGeom prst="rect">
                      <a:avLst/>
                    </a:prstGeom>
                    <a:noFill/>
                    <a:ln>
                      <a:noFill/>
                    </a:ln>
                  </pic:spPr>
                </pic:pic>
              </a:graphicData>
            </a:graphic>
          </wp:inline>
        </w:drawing>
      </w:r>
    </w:p>
    <w:p w14:paraId="42480534" w14:textId="77777777" w:rsidR="007049CE" w:rsidRPr="00F24C7B" w:rsidRDefault="007049CE" w:rsidP="00F24C7B">
      <w:pPr>
        <w:bidi w:val="0"/>
        <w:ind w:left="-55"/>
        <w:jc w:val="center"/>
        <w:rPr>
          <w:rFonts w:asciiTheme="majorBidi" w:hAnsiTheme="majorBidi" w:cstheme="majorBidi"/>
          <w:b/>
          <w:bCs/>
          <w:rtl/>
        </w:rPr>
      </w:pPr>
    </w:p>
    <w:p w14:paraId="5FFC6EC2" w14:textId="77777777" w:rsidR="007049CE" w:rsidRPr="00F24C7B" w:rsidRDefault="007049CE" w:rsidP="00F24C7B">
      <w:pPr>
        <w:tabs>
          <w:tab w:val="clear" w:pos="567"/>
          <w:tab w:val="clear" w:pos="1134"/>
          <w:tab w:val="clear" w:pos="1814"/>
          <w:tab w:val="clear" w:pos="2665"/>
        </w:tabs>
        <w:bidi w:val="0"/>
        <w:spacing w:line="240" w:lineRule="auto"/>
        <w:jc w:val="left"/>
        <w:rPr>
          <w:rFonts w:asciiTheme="majorBidi" w:hAnsiTheme="majorBidi" w:cstheme="majorBidi"/>
          <w:rtl/>
        </w:rPr>
      </w:pPr>
      <w:r w:rsidRPr="00F24C7B">
        <w:rPr>
          <w:rFonts w:asciiTheme="majorBidi" w:hAnsiTheme="majorBidi" w:cstheme="majorBidi"/>
          <w:rtl/>
        </w:rPr>
        <w:br w:type="page"/>
      </w:r>
    </w:p>
    <w:p w14:paraId="723204A1" w14:textId="63E752C9" w:rsidR="006739F1" w:rsidRPr="00F24C7B" w:rsidRDefault="006739F1" w:rsidP="00676D7F">
      <w:pPr>
        <w:pStyle w:val="Heading2"/>
        <w:numPr>
          <w:ilvl w:val="0"/>
          <w:numId w:val="5"/>
        </w:numPr>
        <w:bidi w:val="0"/>
        <w:rPr>
          <w:rFonts w:asciiTheme="majorBidi" w:hAnsiTheme="majorBidi" w:cstheme="majorBidi"/>
          <w:rtl/>
        </w:rPr>
      </w:pPr>
      <w:r w:rsidRPr="00F24C7B">
        <w:rPr>
          <w:rFonts w:asciiTheme="majorBidi" w:hAnsiTheme="majorBidi" w:cstheme="majorBidi"/>
          <w:lang w:val="en"/>
        </w:rPr>
        <w:lastRenderedPageBreak/>
        <w:t xml:space="preserve">The cost of managing a current account and holding </w:t>
      </w:r>
      <w:r w:rsidR="00676D7F">
        <w:rPr>
          <w:rFonts w:asciiTheme="majorBidi" w:hAnsiTheme="majorBidi" w:cstheme="majorBidi"/>
          <w:lang w:val="en"/>
        </w:rPr>
        <w:t>credit</w:t>
      </w:r>
      <w:r w:rsidR="00676D7F" w:rsidRPr="00F24C7B">
        <w:rPr>
          <w:rFonts w:asciiTheme="majorBidi" w:hAnsiTheme="majorBidi" w:cstheme="majorBidi"/>
          <w:lang w:val="en"/>
        </w:rPr>
        <w:t xml:space="preserve"> </w:t>
      </w:r>
      <w:r w:rsidRPr="00F24C7B">
        <w:rPr>
          <w:rFonts w:asciiTheme="majorBidi" w:hAnsiTheme="majorBidi" w:cstheme="majorBidi"/>
          <w:lang w:val="en"/>
        </w:rPr>
        <w:t>cards per current account - households and private banking</w:t>
      </w:r>
    </w:p>
    <w:p w14:paraId="03E893DF" w14:textId="3C5FD18C" w:rsidR="006739F1" w:rsidRPr="00F24C7B" w:rsidRDefault="006739F1" w:rsidP="00676D7F">
      <w:pPr>
        <w:shd w:val="clear" w:color="auto" w:fill="D9D9D9" w:themeFill="background1" w:themeFillShade="D9"/>
        <w:tabs>
          <w:tab w:val="clear" w:pos="567"/>
          <w:tab w:val="clear" w:pos="1134"/>
          <w:tab w:val="clear" w:pos="1814"/>
          <w:tab w:val="clear" w:pos="2665"/>
        </w:tabs>
        <w:bidi w:val="0"/>
        <w:rPr>
          <w:rFonts w:asciiTheme="majorBidi" w:hAnsiTheme="majorBidi" w:cstheme="majorBidi"/>
          <w:b/>
          <w:bCs/>
          <w:rtl/>
        </w:rPr>
      </w:pPr>
      <w:r w:rsidRPr="00F24C7B">
        <w:rPr>
          <w:rFonts w:asciiTheme="majorBidi" w:hAnsiTheme="majorBidi" w:cstheme="majorBidi"/>
          <w:b/>
          <w:bCs/>
          <w:lang w:val="en"/>
        </w:rPr>
        <w:t xml:space="preserve">The average cost of managing a current account and holding </w:t>
      </w:r>
      <w:r w:rsidR="00676D7F">
        <w:rPr>
          <w:rFonts w:asciiTheme="majorBidi" w:hAnsiTheme="majorBidi" w:cstheme="majorBidi"/>
          <w:b/>
          <w:bCs/>
          <w:lang w:val="en"/>
        </w:rPr>
        <w:t>credit</w:t>
      </w:r>
      <w:r w:rsidR="00676D7F" w:rsidRPr="00F24C7B">
        <w:rPr>
          <w:rFonts w:asciiTheme="majorBidi" w:hAnsiTheme="majorBidi" w:cstheme="majorBidi"/>
          <w:b/>
          <w:bCs/>
          <w:lang w:val="en"/>
        </w:rPr>
        <w:t xml:space="preserve"> </w:t>
      </w:r>
      <w:r w:rsidRPr="00F24C7B">
        <w:rPr>
          <w:rFonts w:asciiTheme="majorBidi" w:hAnsiTheme="majorBidi" w:cstheme="majorBidi"/>
          <w:b/>
          <w:bCs/>
          <w:lang w:val="en"/>
        </w:rPr>
        <w:t>cards per account of households and private banking</w:t>
      </w:r>
      <w:r w:rsidRPr="00F24C7B">
        <w:rPr>
          <w:rStyle w:val="FootnoteReference"/>
          <w:rFonts w:asciiTheme="majorBidi" w:hAnsiTheme="majorBidi" w:cstheme="majorBidi"/>
          <w:b/>
          <w:bCs/>
          <w:lang w:val="en"/>
        </w:rPr>
        <w:footnoteReference w:id="1"/>
      </w:r>
      <w:r w:rsidRPr="00F24C7B">
        <w:rPr>
          <w:rFonts w:asciiTheme="majorBidi" w:hAnsiTheme="majorBidi" w:cstheme="majorBidi"/>
          <w:b/>
          <w:bCs/>
          <w:lang w:val="en"/>
        </w:rPr>
        <w:t xml:space="preserve"> in 2019 totaled NIS 26.9 per month, a 0.7 percent in average cost compared to the end of 2018. During the past nine years (2011–19) the cost declined by approximately 17 percent.</w:t>
      </w:r>
    </w:p>
    <w:p w14:paraId="0C7D7D66" w14:textId="77777777" w:rsidR="006739F1" w:rsidRPr="00F24C7B" w:rsidRDefault="006739F1" w:rsidP="00F24C7B">
      <w:pPr>
        <w:bidi w:val="0"/>
        <w:ind w:left="-55"/>
        <w:jc w:val="center"/>
        <w:rPr>
          <w:rFonts w:asciiTheme="majorBidi" w:hAnsiTheme="majorBidi" w:cstheme="majorBidi"/>
          <w:u w:val="single"/>
          <w:rtl/>
        </w:rPr>
      </w:pPr>
    </w:p>
    <w:p w14:paraId="45406C0D" w14:textId="7DE05D69" w:rsidR="006739F1" w:rsidRPr="00F24C7B" w:rsidDel="00861CB0" w:rsidRDefault="006739F1" w:rsidP="00113E1C">
      <w:pPr>
        <w:bidi w:val="0"/>
        <w:ind w:left="-55"/>
        <w:jc w:val="center"/>
        <w:rPr>
          <w:rFonts w:asciiTheme="majorBidi" w:hAnsiTheme="majorBidi" w:cstheme="majorBidi"/>
          <w:u w:val="single"/>
          <w:rtl/>
        </w:rPr>
      </w:pPr>
      <w:r w:rsidRPr="00F24C7B">
        <w:rPr>
          <w:rFonts w:asciiTheme="majorBidi" w:hAnsiTheme="majorBidi" w:cstheme="majorBidi"/>
          <w:u w:val="single"/>
          <w:lang w:val="en"/>
        </w:rPr>
        <w:t xml:space="preserve">Figure 2 - Development of the average monthly cost per current account for managing a current account and holding </w:t>
      </w:r>
      <w:r w:rsidR="00676D7F">
        <w:rPr>
          <w:rFonts w:asciiTheme="majorBidi" w:hAnsiTheme="majorBidi" w:cstheme="majorBidi"/>
          <w:u w:val="single"/>
          <w:lang w:val="en"/>
        </w:rPr>
        <w:t>credit</w:t>
      </w:r>
      <w:r w:rsidR="00676D7F" w:rsidRPr="00F24C7B">
        <w:rPr>
          <w:rFonts w:asciiTheme="majorBidi" w:hAnsiTheme="majorBidi" w:cstheme="majorBidi"/>
          <w:u w:val="single"/>
          <w:lang w:val="en"/>
        </w:rPr>
        <w:t xml:space="preserve"> </w:t>
      </w:r>
      <w:r w:rsidRPr="00F24C7B">
        <w:rPr>
          <w:rFonts w:asciiTheme="majorBidi" w:hAnsiTheme="majorBidi" w:cstheme="majorBidi"/>
          <w:u w:val="single"/>
          <w:lang w:val="en"/>
        </w:rPr>
        <w:t>card</w:t>
      </w:r>
      <w:r w:rsidR="00113E1C">
        <w:rPr>
          <w:rFonts w:asciiTheme="majorBidi" w:hAnsiTheme="majorBidi" w:cstheme="majorBidi"/>
          <w:u w:val="single"/>
          <w:lang w:val="en"/>
        </w:rPr>
        <w:t>s</w:t>
      </w:r>
      <w:r w:rsidRPr="00F24C7B">
        <w:rPr>
          <w:rFonts w:asciiTheme="majorBidi" w:hAnsiTheme="majorBidi" w:cstheme="majorBidi"/>
          <w:u w:val="single"/>
          <w:lang w:val="en"/>
        </w:rPr>
        <w:t xml:space="preserve"> for households and private banking accounts in the banking system, in NIS, 2011</w:t>
      </w:r>
      <w:r w:rsidR="00E64F02">
        <w:rPr>
          <w:rFonts w:asciiTheme="majorBidi" w:hAnsiTheme="majorBidi" w:cstheme="majorBidi"/>
          <w:u w:val="single"/>
          <w:lang w:val="en"/>
        </w:rPr>
        <w:t>–</w:t>
      </w:r>
      <w:r w:rsidRPr="00F24C7B">
        <w:rPr>
          <w:rFonts w:asciiTheme="majorBidi" w:hAnsiTheme="majorBidi" w:cstheme="majorBidi"/>
          <w:u w:val="single"/>
          <w:lang w:val="en"/>
        </w:rPr>
        <w:t>19</w:t>
      </w:r>
    </w:p>
    <w:p w14:paraId="537DF8D3" w14:textId="77777777" w:rsidR="006739F1" w:rsidRPr="00F24C7B" w:rsidDel="00861CB0" w:rsidRDefault="006739F1" w:rsidP="00F24C7B">
      <w:pPr>
        <w:bidi w:val="0"/>
        <w:ind w:left="-55"/>
        <w:jc w:val="center"/>
        <w:rPr>
          <w:rFonts w:asciiTheme="majorBidi" w:hAnsiTheme="majorBidi" w:cstheme="majorBidi"/>
          <w:u w:val="single"/>
          <w:rtl/>
        </w:rPr>
      </w:pPr>
      <w:r w:rsidRPr="00F24C7B">
        <w:rPr>
          <w:rFonts w:asciiTheme="majorBidi" w:hAnsiTheme="majorBidi" w:cstheme="majorBidi"/>
          <w:lang w:val="en"/>
        </w:rPr>
        <w:t xml:space="preserve"> </w:t>
      </w:r>
      <w:r w:rsidRPr="00F24C7B">
        <w:rPr>
          <w:rStyle w:val="FootnoteReference"/>
          <w:rFonts w:asciiTheme="majorBidi" w:hAnsiTheme="majorBidi" w:cstheme="majorBidi"/>
          <w:lang w:val="en"/>
        </w:rPr>
        <w:footnoteReference w:id="2"/>
      </w:r>
    </w:p>
    <w:p w14:paraId="22BFA925" w14:textId="266D70DE" w:rsidR="006739F1" w:rsidRPr="00F24C7B" w:rsidRDefault="00DA16CD" w:rsidP="00F24C7B">
      <w:pPr>
        <w:tabs>
          <w:tab w:val="clear" w:pos="567"/>
          <w:tab w:val="clear" w:pos="1134"/>
          <w:tab w:val="clear" w:pos="1814"/>
          <w:tab w:val="clear" w:pos="2665"/>
        </w:tabs>
        <w:bidi w:val="0"/>
        <w:rPr>
          <w:rFonts w:asciiTheme="majorBidi" w:hAnsiTheme="majorBidi" w:cstheme="majorBidi"/>
          <w:b/>
          <w:bCs/>
          <w:rtl/>
        </w:rPr>
      </w:pPr>
      <w:r>
        <w:rPr>
          <w:noProof/>
        </w:rPr>
        <w:drawing>
          <wp:inline distT="0" distB="0" distL="0" distR="0" wp14:anchorId="4F8FAA39" wp14:editId="731063F0">
            <wp:extent cx="6188710" cy="2771775"/>
            <wp:effectExtent l="0" t="0" r="0" b="0"/>
            <wp:docPr id="4" name="תרשים 4">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DC8B8E6" w14:textId="77777777" w:rsidR="006739F1" w:rsidRPr="00F24C7B" w:rsidRDefault="006739F1" w:rsidP="00F24C7B">
      <w:pPr>
        <w:tabs>
          <w:tab w:val="clear" w:pos="567"/>
          <w:tab w:val="clear" w:pos="1134"/>
          <w:tab w:val="clear" w:pos="1814"/>
          <w:tab w:val="clear" w:pos="2665"/>
        </w:tabs>
        <w:bidi w:val="0"/>
        <w:rPr>
          <w:rFonts w:asciiTheme="majorBidi" w:hAnsiTheme="majorBidi" w:cstheme="majorBidi"/>
          <w:b/>
          <w:bCs/>
          <w:sz w:val="14"/>
          <w:szCs w:val="14"/>
          <w:rtl/>
        </w:rPr>
      </w:pPr>
    </w:p>
    <w:p w14:paraId="086A1BD6" w14:textId="33C3DCD8" w:rsidR="006739F1" w:rsidRPr="00F24C7B" w:rsidRDefault="006739F1" w:rsidP="00113E1C">
      <w:pPr>
        <w:tabs>
          <w:tab w:val="clear" w:pos="567"/>
          <w:tab w:val="clear" w:pos="1134"/>
          <w:tab w:val="clear" w:pos="1814"/>
          <w:tab w:val="clear" w:pos="2665"/>
        </w:tabs>
        <w:bidi w:val="0"/>
        <w:rPr>
          <w:rFonts w:asciiTheme="majorBidi" w:hAnsiTheme="majorBidi" w:cstheme="majorBidi"/>
          <w:rtl/>
        </w:rPr>
      </w:pPr>
      <w:r w:rsidRPr="00F24C7B">
        <w:rPr>
          <w:rFonts w:asciiTheme="majorBidi" w:hAnsiTheme="majorBidi" w:cstheme="majorBidi"/>
          <w:b/>
          <w:bCs/>
          <w:lang w:val="en"/>
        </w:rPr>
        <w:t xml:space="preserve">The average monthly cost </w:t>
      </w:r>
      <w:r w:rsidRPr="00F24C7B">
        <w:rPr>
          <w:rFonts w:asciiTheme="majorBidi" w:hAnsiTheme="majorBidi" w:cstheme="majorBidi"/>
          <w:lang w:val="en"/>
        </w:rPr>
        <w:t>of managing a bank account and holding credit card</w:t>
      </w:r>
      <w:r w:rsidR="00113E1C">
        <w:rPr>
          <w:rFonts w:asciiTheme="majorBidi" w:hAnsiTheme="majorBidi" w:cstheme="majorBidi"/>
          <w:lang w:val="en"/>
        </w:rPr>
        <w:t>s</w:t>
      </w:r>
      <w:r w:rsidRPr="00F24C7B">
        <w:rPr>
          <w:rFonts w:asciiTheme="majorBidi" w:hAnsiTheme="majorBidi" w:cstheme="majorBidi"/>
          <w:lang w:val="en"/>
        </w:rPr>
        <w:t xml:space="preserve"> in the account is comprised of the account management fees (current account and receiving information) and of the cost of holding </w:t>
      </w:r>
      <w:r w:rsidR="00113E1C">
        <w:rPr>
          <w:rFonts w:asciiTheme="majorBidi" w:hAnsiTheme="majorBidi" w:cstheme="majorBidi"/>
          <w:lang w:val="en"/>
        </w:rPr>
        <w:t xml:space="preserve">credit </w:t>
      </w:r>
      <w:r w:rsidRPr="00F24C7B">
        <w:rPr>
          <w:rFonts w:asciiTheme="majorBidi" w:hAnsiTheme="majorBidi" w:cstheme="majorBidi"/>
          <w:lang w:val="en"/>
        </w:rPr>
        <w:t>card</w:t>
      </w:r>
      <w:r w:rsidR="00113E1C">
        <w:rPr>
          <w:rFonts w:asciiTheme="majorBidi" w:hAnsiTheme="majorBidi" w:cstheme="majorBidi"/>
          <w:lang w:val="en"/>
        </w:rPr>
        <w:t>s</w:t>
      </w:r>
      <w:r w:rsidRPr="00F24C7B">
        <w:rPr>
          <w:rFonts w:asciiTheme="majorBidi" w:hAnsiTheme="majorBidi" w:cstheme="majorBidi"/>
          <w:lang w:val="en"/>
        </w:rPr>
        <w:t>.</w:t>
      </w:r>
    </w:p>
    <w:p w14:paraId="69BA90C5" w14:textId="77777777" w:rsidR="006739F1" w:rsidRPr="00F24C7B" w:rsidRDefault="006739F1" w:rsidP="00F24C7B">
      <w:pPr>
        <w:tabs>
          <w:tab w:val="clear" w:pos="567"/>
          <w:tab w:val="clear" w:pos="1134"/>
          <w:tab w:val="clear" w:pos="1814"/>
          <w:tab w:val="clear" w:pos="2665"/>
        </w:tabs>
        <w:bidi w:val="0"/>
        <w:rPr>
          <w:rFonts w:asciiTheme="majorBidi" w:hAnsiTheme="majorBidi" w:cstheme="majorBidi"/>
          <w:rtl/>
        </w:rPr>
      </w:pPr>
    </w:p>
    <w:p w14:paraId="3550BFF7" w14:textId="6FE0C023" w:rsidR="006739F1" w:rsidRPr="00F24C7B" w:rsidRDefault="006739F1" w:rsidP="00D101B5">
      <w:pPr>
        <w:numPr>
          <w:ilvl w:val="0"/>
          <w:numId w:val="1"/>
        </w:numPr>
        <w:tabs>
          <w:tab w:val="clear" w:pos="567"/>
          <w:tab w:val="clear" w:pos="720"/>
          <w:tab w:val="clear" w:pos="1134"/>
          <w:tab w:val="clear" w:pos="1814"/>
          <w:tab w:val="clear" w:pos="2665"/>
          <w:tab w:val="num" w:pos="1421"/>
        </w:tabs>
        <w:bidi w:val="0"/>
        <w:ind w:left="1145" w:hanging="425"/>
        <w:rPr>
          <w:rFonts w:asciiTheme="majorBidi" w:hAnsiTheme="majorBidi" w:cstheme="majorBidi"/>
        </w:rPr>
      </w:pPr>
      <w:r w:rsidRPr="00F24C7B">
        <w:rPr>
          <w:rFonts w:asciiTheme="majorBidi" w:hAnsiTheme="majorBidi" w:cstheme="majorBidi"/>
          <w:b/>
          <w:bCs/>
          <w:lang w:val="en"/>
        </w:rPr>
        <w:t xml:space="preserve">The average monthly cost of managing a current account and receiving information was approximately NIS 12.4 </w:t>
      </w:r>
      <w:r w:rsidRPr="00F24C7B">
        <w:rPr>
          <w:rFonts w:asciiTheme="majorBidi" w:hAnsiTheme="majorBidi" w:cstheme="majorBidi"/>
          <w:lang w:val="en"/>
        </w:rPr>
        <w:t>-</w:t>
      </w:r>
      <w:r w:rsidRPr="00F24C7B">
        <w:rPr>
          <w:rFonts w:asciiTheme="majorBidi" w:hAnsiTheme="majorBidi" w:cstheme="majorBidi"/>
          <w:b/>
          <w:bCs/>
          <w:lang w:val="en"/>
        </w:rPr>
        <w:t xml:space="preserve"> </w:t>
      </w:r>
      <w:r w:rsidRPr="00F24C7B">
        <w:rPr>
          <w:rFonts w:asciiTheme="majorBidi" w:hAnsiTheme="majorBidi" w:cstheme="majorBidi"/>
          <w:lang w:val="en"/>
        </w:rPr>
        <w:t>in</w:t>
      </w:r>
      <w:r w:rsidRPr="00F24C7B">
        <w:rPr>
          <w:rFonts w:asciiTheme="majorBidi" w:hAnsiTheme="majorBidi" w:cstheme="majorBidi"/>
          <w:b/>
          <w:bCs/>
          <w:lang w:val="en"/>
        </w:rPr>
        <w:t xml:space="preserve"> </w:t>
      </w:r>
      <w:r w:rsidRPr="00F24C7B">
        <w:rPr>
          <w:rFonts w:asciiTheme="majorBidi" w:hAnsiTheme="majorBidi" w:cstheme="majorBidi"/>
          <w:lang w:val="en"/>
        </w:rPr>
        <w:t xml:space="preserve">2019, the trend of decline in the cost of managing an </w:t>
      </w:r>
      <w:r w:rsidRPr="00F24C7B">
        <w:rPr>
          <w:rFonts w:asciiTheme="majorBidi" w:hAnsiTheme="majorBidi" w:cstheme="majorBidi"/>
          <w:lang w:val="en"/>
        </w:rPr>
        <w:lastRenderedPageBreak/>
        <w:t xml:space="preserve">account continued. The cost </w:t>
      </w:r>
      <w:r w:rsidRPr="00F24C7B">
        <w:rPr>
          <w:rFonts w:asciiTheme="majorBidi" w:hAnsiTheme="majorBidi" w:cstheme="majorBidi"/>
          <w:b/>
          <w:bCs/>
          <w:lang w:val="en"/>
        </w:rPr>
        <w:t>declined</w:t>
      </w:r>
      <w:r w:rsidRPr="00F24C7B">
        <w:rPr>
          <w:rFonts w:asciiTheme="majorBidi" w:hAnsiTheme="majorBidi" w:cstheme="majorBidi"/>
          <w:lang w:val="en"/>
        </w:rPr>
        <w:t xml:space="preserve"> by 6.1 percent during 2019. During the past 9 years, there has been a cumulative decline of approx</w:t>
      </w:r>
      <w:r w:rsidR="00D101B5">
        <w:rPr>
          <w:rFonts w:asciiTheme="majorBidi" w:hAnsiTheme="majorBidi" w:cstheme="majorBidi"/>
          <w:lang w:val="en"/>
        </w:rPr>
        <w:t xml:space="preserve">imately </w:t>
      </w:r>
      <w:r w:rsidRPr="00F24C7B">
        <w:rPr>
          <w:rFonts w:asciiTheme="majorBidi" w:hAnsiTheme="majorBidi" w:cstheme="majorBidi"/>
          <w:lang w:val="en"/>
        </w:rPr>
        <w:t>39 percent.</w:t>
      </w:r>
    </w:p>
    <w:p w14:paraId="75E13DDE" w14:textId="77777777" w:rsidR="006739F1" w:rsidRPr="00F24C7B" w:rsidRDefault="006739F1" w:rsidP="00F24C7B">
      <w:pPr>
        <w:tabs>
          <w:tab w:val="clear" w:pos="567"/>
          <w:tab w:val="clear" w:pos="1134"/>
          <w:tab w:val="clear" w:pos="1814"/>
          <w:tab w:val="clear" w:pos="2665"/>
        </w:tabs>
        <w:bidi w:val="0"/>
        <w:ind w:left="1145"/>
        <w:rPr>
          <w:rFonts w:asciiTheme="majorBidi" w:hAnsiTheme="majorBidi" w:cstheme="majorBidi"/>
          <w:b/>
          <w:bCs/>
          <w:rtl/>
        </w:rPr>
      </w:pPr>
      <w:r w:rsidRPr="00F24C7B">
        <w:rPr>
          <w:rFonts w:asciiTheme="majorBidi" w:hAnsiTheme="majorBidi" w:cstheme="majorBidi"/>
          <w:lang w:val="en"/>
        </w:rPr>
        <w:t>This cost includes the following services: basic banking transactions (such as cash deposit or withdrawal, bank transfers, etc.) carried out by a teller or via direct channels, checking transactions, authorized debits of the account, standing orders, issuing standard reports, receiving information through communication channels such as phone, mobile device, email, and locating documents.</w:t>
      </w:r>
      <w:r w:rsidRPr="00F24C7B">
        <w:rPr>
          <w:rFonts w:asciiTheme="majorBidi" w:hAnsiTheme="majorBidi" w:cstheme="majorBidi"/>
          <w:b/>
          <w:bCs/>
          <w:lang w:val="en"/>
        </w:rPr>
        <w:t xml:space="preserve">  </w:t>
      </w:r>
    </w:p>
    <w:p w14:paraId="5D0F775D" w14:textId="77777777" w:rsidR="006739F1" w:rsidRPr="00F24C7B" w:rsidRDefault="006739F1" w:rsidP="00F24C7B">
      <w:pPr>
        <w:tabs>
          <w:tab w:val="clear" w:pos="567"/>
          <w:tab w:val="clear" w:pos="1134"/>
          <w:tab w:val="clear" w:pos="1814"/>
          <w:tab w:val="clear" w:pos="2665"/>
        </w:tabs>
        <w:bidi w:val="0"/>
        <w:ind w:left="1145"/>
        <w:rPr>
          <w:rFonts w:asciiTheme="majorBidi" w:hAnsiTheme="majorBidi" w:cstheme="majorBidi"/>
          <w:b/>
          <w:bCs/>
          <w:rtl/>
        </w:rPr>
      </w:pPr>
    </w:p>
    <w:p w14:paraId="35632598" w14:textId="0679EAE7" w:rsidR="006739F1" w:rsidRPr="00F24C7B" w:rsidRDefault="006739F1" w:rsidP="00113E1C">
      <w:pPr>
        <w:pStyle w:val="ListParagraph"/>
        <w:numPr>
          <w:ilvl w:val="0"/>
          <w:numId w:val="11"/>
        </w:numPr>
        <w:tabs>
          <w:tab w:val="clear" w:pos="567"/>
          <w:tab w:val="clear" w:pos="1134"/>
          <w:tab w:val="clear" w:pos="1814"/>
          <w:tab w:val="clear" w:pos="2665"/>
        </w:tabs>
        <w:bidi w:val="0"/>
        <w:ind w:left="1145"/>
        <w:rPr>
          <w:rFonts w:asciiTheme="majorBidi" w:hAnsiTheme="majorBidi" w:cstheme="majorBidi"/>
        </w:rPr>
      </w:pPr>
      <w:r w:rsidRPr="00F24C7B">
        <w:rPr>
          <w:rFonts w:asciiTheme="majorBidi" w:hAnsiTheme="majorBidi" w:cstheme="majorBidi"/>
          <w:b/>
          <w:bCs/>
          <w:lang w:val="en"/>
        </w:rPr>
        <w:t xml:space="preserve">The monthly cost of holding and using </w:t>
      </w:r>
      <w:r w:rsidR="00113E1C">
        <w:rPr>
          <w:rFonts w:asciiTheme="majorBidi" w:hAnsiTheme="majorBidi" w:cstheme="majorBidi"/>
          <w:b/>
          <w:bCs/>
          <w:lang w:val="en"/>
        </w:rPr>
        <w:t>credit</w:t>
      </w:r>
      <w:r w:rsidR="00113E1C" w:rsidRPr="00F24C7B">
        <w:rPr>
          <w:rFonts w:asciiTheme="majorBidi" w:hAnsiTheme="majorBidi" w:cstheme="majorBidi"/>
          <w:b/>
          <w:bCs/>
          <w:lang w:val="en"/>
        </w:rPr>
        <w:t xml:space="preserve"> </w:t>
      </w:r>
      <w:r w:rsidRPr="00F24C7B">
        <w:rPr>
          <w:rFonts w:asciiTheme="majorBidi" w:hAnsiTheme="majorBidi" w:cstheme="majorBidi"/>
          <w:b/>
          <w:bCs/>
          <w:lang w:val="en"/>
        </w:rPr>
        <w:t>cards was approximately NIS 14.3 per account, on average.</w:t>
      </w:r>
      <w:r w:rsidRPr="00F24C7B">
        <w:rPr>
          <w:rFonts w:asciiTheme="majorBidi" w:hAnsiTheme="majorBidi" w:cstheme="majorBidi"/>
          <w:lang w:val="en"/>
        </w:rPr>
        <w:t xml:space="preserve"> This cost includes primarily card fees, as well as additional costs in respect of withdrawing foreign currency abroad, transactions abroad, and more. </w:t>
      </w:r>
    </w:p>
    <w:p w14:paraId="37A606E5" w14:textId="7F0750EF" w:rsidR="006739F1" w:rsidRPr="00F24C7B" w:rsidRDefault="006739F1" w:rsidP="00A14A48">
      <w:pPr>
        <w:pStyle w:val="ListParagraph"/>
        <w:tabs>
          <w:tab w:val="clear" w:pos="567"/>
          <w:tab w:val="clear" w:pos="1134"/>
          <w:tab w:val="clear" w:pos="1814"/>
          <w:tab w:val="clear" w:pos="2665"/>
        </w:tabs>
        <w:bidi w:val="0"/>
        <w:ind w:left="1145"/>
        <w:rPr>
          <w:rFonts w:asciiTheme="majorBidi" w:hAnsiTheme="majorBidi" w:cstheme="majorBidi"/>
        </w:rPr>
      </w:pPr>
      <w:r w:rsidRPr="00F24C7B">
        <w:rPr>
          <w:rFonts w:asciiTheme="majorBidi" w:hAnsiTheme="majorBidi" w:cstheme="majorBidi"/>
          <w:lang w:val="en"/>
        </w:rPr>
        <w:t xml:space="preserve">In the past year, there was a 4 percent </w:t>
      </w:r>
      <w:r w:rsidRPr="00F24C7B">
        <w:rPr>
          <w:rFonts w:asciiTheme="majorBidi" w:hAnsiTheme="majorBidi" w:cstheme="majorBidi"/>
          <w:b/>
          <w:bCs/>
          <w:lang w:val="en"/>
        </w:rPr>
        <w:t>increase</w:t>
      </w:r>
      <w:r w:rsidRPr="00F24C7B">
        <w:rPr>
          <w:rFonts w:asciiTheme="majorBidi" w:hAnsiTheme="majorBidi" w:cstheme="majorBidi"/>
          <w:lang w:val="en"/>
        </w:rPr>
        <w:t xml:space="preserve"> in the cost of holding and using </w:t>
      </w:r>
      <w:r w:rsidR="00A14A48">
        <w:rPr>
          <w:rFonts w:asciiTheme="majorBidi" w:hAnsiTheme="majorBidi" w:cstheme="majorBidi"/>
          <w:lang w:val="en"/>
        </w:rPr>
        <w:t>credit</w:t>
      </w:r>
      <w:r w:rsidR="00A14A48" w:rsidRPr="00F24C7B">
        <w:rPr>
          <w:rFonts w:asciiTheme="majorBidi" w:hAnsiTheme="majorBidi" w:cstheme="majorBidi"/>
          <w:lang w:val="en"/>
        </w:rPr>
        <w:t xml:space="preserve"> </w:t>
      </w:r>
      <w:r w:rsidRPr="00F24C7B">
        <w:rPr>
          <w:rFonts w:asciiTheme="majorBidi" w:hAnsiTheme="majorBidi" w:cstheme="majorBidi"/>
          <w:lang w:val="en"/>
        </w:rPr>
        <w:t xml:space="preserve">cards, and in the past 9 years, there was a cumulative </w:t>
      </w:r>
      <w:r w:rsidRPr="00F24C7B">
        <w:rPr>
          <w:rFonts w:asciiTheme="majorBidi" w:hAnsiTheme="majorBidi" w:cstheme="majorBidi"/>
          <w:b/>
          <w:bCs/>
          <w:lang w:val="en"/>
        </w:rPr>
        <w:t xml:space="preserve">increase of 21 percent </w:t>
      </w:r>
      <w:r w:rsidRPr="00F24C7B">
        <w:rPr>
          <w:rFonts w:asciiTheme="majorBidi" w:hAnsiTheme="majorBidi" w:cstheme="majorBidi"/>
          <w:lang w:val="en"/>
        </w:rPr>
        <w:t>in that cost. The increase is attributed to:</w:t>
      </w:r>
    </w:p>
    <w:p w14:paraId="77634E63" w14:textId="77777777" w:rsidR="006739F1" w:rsidRPr="00F24C7B" w:rsidRDefault="006739F1" w:rsidP="00F24C7B">
      <w:pPr>
        <w:pStyle w:val="ListParagraph"/>
        <w:numPr>
          <w:ilvl w:val="0"/>
          <w:numId w:val="18"/>
        </w:numPr>
        <w:tabs>
          <w:tab w:val="clear" w:pos="567"/>
          <w:tab w:val="clear" w:pos="1134"/>
          <w:tab w:val="clear" w:pos="1814"/>
          <w:tab w:val="clear" w:pos="2665"/>
        </w:tabs>
        <w:bidi w:val="0"/>
        <w:rPr>
          <w:rFonts w:asciiTheme="majorBidi" w:hAnsiTheme="majorBidi" w:cstheme="majorBidi"/>
        </w:rPr>
      </w:pPr>
      <w:r w:rsidRPr="00F24C7B">
        <w:rPr>
          <w:rFonts w:asciiTheme="majorBidi" w:hAnsiTheme="majorBidi" w:cstheme="majorBidi"/>
          <w:lang w:val="en"/>
        </w:rPr>
        <w:t xml:space="preserve">The increase in the number of cards held by customers per account – please see Figure 3 hereinafter; </w:t>
      </w:r>
    </w:p>
    <w:p w14:paraId="37C32BF1" w14:textId="77777777" w:rsidR="006739F1" w:rsidRPr="00F24C7B" w:rsidRDefault="006739F1" w:rsidP="00F24C7B">
      <w:pPr>
        <w:pStyle w:val="ListParagraph"/>
        <w:numPr>
          <w:ilvl w:val="0"/>
          <w:numId w:val="18"/>
        </w:numPr>
        <w:tabs>
          <w:tab w:val="clear" w:pos="567"/>
          <w:tab w:val="clear" w:pos="1134"/>
          <w:tab w:val="clear" w:pos="1814"/>
          <w:tab w:val="clear" w:pos="2665"/>
        </w:tabs>
        <w:bidi w:val="0"/>
        <w:rPr>
          <w:rFonts w:asciiTheme="majorBidi" w:hAnsiTheme="majorBidi" w:cstheme="majorBidi"/>
          <w:rtl/>
        </w:rPr>
      </w:pPr>
      <w:r w:rsidRPr="00F24C7B">
        <w:rPr>
          <w:rFonts w:asciiTheme="majorBidi" w:hAnsiTheme="majorBidi" w:cstheme="majorBidi"/>
          <w:lang w:val="en"/>
        </w:rPr>
        <w:t>Increase in credit card fees - the average monthly card fee was NIS 6.5 per card, per month (the average monthly card fee is calculated as total revenue from card fees from such cards relative to the number of such cards in the system), compared to NIS 6.3 per card in 2018.</w:t>
      </w:r>
    </w:p>
    <w:p w14:paraId="55799FAE" w14:textId="77777777" w:rsidR="006739F1" w:rsidRPr="00F24C7B" w:rsidRDefault="006739F1" w:rsidP="00F24C7B">
      <w:pPr>
        <w:pStyle w:val="ListParagraph"/>
        <w:numPr>
          <w:ilvl w:val="0"/>
          <w:numId w:val="18"/>
        </w:numPr>
        <w:tabs>
          <w:tab w:val="clear" w:pos="567"/>
          <w:tab w:val="clear" w:pos="1134"/>
          <w:tab w:val="clear" w:pos="1814"/>
          <w:tab w:val="clear" w:pos="2665"/>
        </w:tabs>
        <w:bidi w:val="0"/>
        <w:ind w:left="1145"/>
        <w:rPr>
          <w:rFonts w:asciiTheme="majorBidi" w:hAnsiTheme="majorBidi" w:cstheme="majorBidi"/>
          <w:rtl/>
        </w:rPr>
      </w:pPr>
      <w:r w:rsidRPr="00F24C7B">
        <w:rPr>
          <w:rFonts w:asciiTheme="majorBidi" w:hAnsiTheme="majorBidi" w:cstheme="majorBidi"/>
          <w:lang w:val="en"/>
        </w:rPr>
        <w:t xml:space="preserve">Increase in total foreign currency transactions and withdrawals - there was an 11 percent increase in total foreign currency transactions and withdrawals made by the public, which resulted in a 7 percent increase in the public’s expenses for fees for such activities. </w:t>
      </w:r>
    </w:p>
    <w:p w14:paraId="13E69A25" w14:textId="77777777" w:rsidR="00F24C7B" w:rsidRDefault="00F24C7B" w:rsidP="00F24C7B">
      <w:pPr>
        <w:bidi w:val="0"/>
        <w:ind w:left="-55"/>
        <w:jc w:val="center"/>
        <w:rPr>
          <w:rFonts w:asciiTheme="majorBidi" w:hAnsiTheme="majorBidi" w:cstheme="majorBidi"/>
          <w:u w:val="single"/>
          <w:lang w:val="en"/>
        </w:rPr>
      </w:pPr>
    </w:p>
    <w:p w14:paraId="6EADF78C" w14:textId="77777777" w:rsidR="00F24C7B" w:rsidRDefault="00F24C7B">
      <w:pPr>
        <w:tabs>
          <w:tab w:val="clear" w:pos="567"/>
          <w:tab w:val="clear" w:pos="1134"/>
          <w:tab w:val="clear" w:pos="1814"/>
          <w:tab w:val="clear" w:pos="2665"/>
        </w:tabs>
        <w:bidi w:val="0"/>
        <w:spacing w:line="240" w:lineRule="auto"/>
        <w:jc w:val="left"/>
        <w:rPr>
          <w:rFonts w:asciiTheme="majorBidi" w:hAnsiTheme="majorBidi" w:cstheme="majorBidi"/>
          <w:u w:val="single"/>
          <w:lang w:val="en"/>
        </w:rPr>
      </w:pPr>
      <w:r>
        <w:rPr>
          <w:rFonts w:asciiTheme="majorBidi" w:hAnsiTheme="majorBidi" w:cstheme="majorBidi"/>
          <w:u w:val="single"/>
          <w:lang w:val="en"/>
        </w:rPr>
        <w:br w:type="page"/>
      </w:r>
    </w:p>
    <w:p w14:paraId="35EFBBF7" w14:textId="3A44893C" w:rsidR="006739F1" w:rsidRPr="00F24C7B" w:rsidRDefault="006739F1" w:rsidP="00E64F02">
      <w:pPr>
        <w:bidi w:val="0"/>
        <w:ind w:left="-55"/>
        <w:jc w:val="center"/>
        <w:rPr>
          <w:rFonts w:asciiTheme="majorBidi" w:hAnsiTheme="majorBidi" w:cstheme="majorBidi"/>
          <w:u w:val="single"/>
          <w:rtl/>
        </w:rPr>
      </w:pPr>
      <w:r w:rsidRPr="00F24C7B">
        <w:rPr>
          <w:rFonts w:asciiTheme="majorBidi" w:hAnsiTheme="majorBidi" w:cstheme="majorBidi"/>
          <w:u w:val="single"/>
          <w:lang w:val="en"/>
        </w:rPr>
        <w:lastRenderedPageBreak/>
        <w:t>Figure 3 - Development of the ratio of the number of cards per current account in NIS, 2011</w:t>
      </w:r>
      <w:r w:rsidR="00E64F02">
        <w:rPr>
          <w:rFonts w:asciiTheme="majorBidi" w:hAnsiTheme="majorBidi" w:cstheme="majorBidi"/>
          <w:u w:val="single"/>
          <w:lang w:val="en"/>
        </w:rPr>
        <w:t>–</w:t>
      </w:r>
      <w:r w:rsidRPr="00F24C7B">
        <w:rPr>
          <w:rFonts w:asciiTheme="majorBidi" w:hAnsiTheme="majorBidi" w:cstheme="majorBidi"/>
          <w:u w:val="single"/>
          <w:lang w:val="en"/>
        </w:rPr>
        <w:t xml:space="preserve">19 </w:t>
      </w:r>
    </w:p>
    <w:p w14:paraId="490ABFD5" w14:textId="77777777" w:rsidR="006739F1" w:rsidRPr="00F24C7B" w:rsidRDefault="006739F1" w:rsidP="00F24C7B">
      <w:pPr>
        <w:bidi w:val="0"/>
        <w:ind w:left="-55"/>
        <w:jc w:val="center"/>
        <w:rPr>
          <w:rFonts w:asciiTheme="majorBidi" w:hAnsiTheme="majorBidi" w:cstheme="majorBidi"/>
          <w:u w:val="single"/>
          <w:rtl/>
        </w:rPr>
      </w:pPr>
    </w:p>
    <w:p w14:paraId="3C6E24B2" w14:textId="6283CE4B" w:rsidR="006739F1" w:rsidRPr="00F24C7B" w:rsidRDefault="006739F1" w:rsidP="00F24C7B">
      <w:pPr>
        <w:shd w:val="clear" w:color="auto" w:fill="D9D9D9" w:themeFill="background1" w:themeFillShade="D9"/>
        <w:tabs>
          <w:tab w:val="clear" w:pos="567"/>
          <w:tab w:val="clear" w:pos="1134"/>
          <w:tab w:val="clear" w:pos="1814"/>
          <w:tab w:val="clear" w:pos="2665"/>
        </w:tabs>
        <w:bidi w:val="0"/>
        <w:rPr>
          <w:rFonts w:asciiTheme="majorBidi" w:hAnsiTheme="majorBidi" w:cstheme="majorBidi"/>
          <w:b/>
          <w:bCs/>
          <w:rtl/>
        </w:rPr>
      </w:pPr>
      <w:r w:rsidRPr="00F24C7B">
        <w:rPr>
          <w:rFonts w:asciiTheme="majorBidi" w:hAnsiTheme="majorBidi" w:cstheme="majorBidi"/>
          <w:b/>
          <w:bCs/>
          <w:lang w:val="en"/>
        </w:rPr>
        <w:t>As of December 31</w:t>
      </w:r>
      <w:r w:rsidR="00E64F02">
        <w:rPr>
          <w:rFonts w:asciiTheme="majorBidi" w:hAnsiTheme="majorBidi" w:cstheme="majorBidi"/>
          <w:b/>
          <w:bCs/>
          <w:lang w:val="en"/>
        </w:rPr>
        <w:t>,</w:t>
      </w:r>
      <w:r w:rsidRPr="00F24C7B">
        <w:rPr>
          <w:rFonts w:asciiTheme="majorBidi" w:hAnsiTheme="majorBidi" w:cstheme="majorBidi"/>
          <w:b/>
          <w:bCs/>
          <w:lang w:val="en"/>
        </w:rPr>
        <w:t xml:space="preserve"> 2019, the average number of cards per account is 1.63.</w:t>
      </w:r>
    </w:p>
    <w:p w14:paraId="3307B031" w14:textId="4EFF6D60" w:rsidR="0011244B" w:rsidRPr="0011244B" w:rsidRDefault="006739F1" w:rsidP="0011244B">
      <w:pPr>
        <w:shd w:val="clear" w:color="auto" w:fill="D9D9D9" w:themeFill="background1" w:themeFillShade="D9"/>
        <w:tabs>
          <w:tab w:val="clear" w:pos="567"/>
          <w:tab w:val="clear" w:pos="1134"/>
          <w:tab w:val="clear" w:pos="1814"/>
          <w:tab w:val="clear" w:pos="2665"/>
        </w:tabs>
        <w:bidi w:val="0"/>
        <w:rPr>
          <w:rFonts w:asciiTheme="majorBidi" w:hAnsiTheme="majorBidi" w:cstheme="majorBidi"/>
          <w:lang w:val="en"/>
        </w:rPr>
      </w:pPr>
      <w:r w:rsidRPr="00F24C7B">
        <w:rPr>
          <w:rFonts w:asciiTheme="majorBidi" w:hAnsiTheme="majorBidi" w:cstheme="majorBidi"/>
          <w:b/>
          <w:bCs/>
          <w:lang w:val="en"/>
        </w:rPr>
        <w:t>During the past 9 years, there was an increase of approximately 38 percent in the average number of cards per account compared with 2011.</w:t>
      </w:r>
      <w:r w:rsidRPr="00F24C7B">
        <w:rPr>
          <w:rFonts w:asciiTheme="majorBidi" w:hAnsiTheme="majorBidi" w:cstheme="majorBidi"/>
          <w:lang w:val="en"/>
        </w:rPr>
        <w:t xml:space="preserve"> </w:t>
      </w:r>
    </w:p>
    <w:p w14:paraId="76DE07FA" w14:textId="04033693" w:rsidR="006739F1" w:rsidRPr="00F24C7B" w:rsidRDefault="0011244B" w:rsidP="00F24C7B">
      <w:pPr>
        <w:tabs>
          <w:tab w:val="clear" w:pos="567"/>
          <w:tab w:val="clear" w:pos="1134"/>
          <w:tab w:val="clear" w:pos="1814"/>
          <w:tab w:val="clear" w:pos="2665"/>
        </w:tabs>
        <w:bidi w:val="0"/>
        <w:ind w:left="1145"/>
        <w:jc w:val="center"/>
        <w:rPr>
          <w:rFonts w:asciiTheme="majorBidi" w:hAnsiTheme="majorBidi" w:cstheme="majorBidi"/>
          <w:sz w:val="16"/>
          <w:szCs w:val="16"/>
          <w:rtl/>
        </w:rPr>
      </w:pPr>
      <w:r>
        <w:rPr>
          <w:noProof/>
        </w:rPr>
        <w:drawing>
          <wp:inline distT="0" distB="0" distL="0" distR="0" wp14:anchorId="0A516492" wp14:editId="19BF7D8A">
            <wp:extent cx="6188710" cy="2728595"/>
            <wp:effectExtent l="0" t="0" r="2540" b="14605"/>
            <wp:docPr id="6" name="תרשים 6">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EE50B2A" w14:textId="77777777" w:rsidR="006739F1" w:rsidRPr="00F24C7B" w:rsidRDefault="006739F1" w:rsidP="00F24C7B">
      <w:pPr>
        <w:pStyle w:val="Heading2"/>
        <w:numPr>
          <w:ilvl w:val="0"/>
          <w:numId w:val="0"/>
        </w:numPr>
        <w:bidi w:val="0"/>
        <w:ind w:left="360"/>
        <w:rPr>
          <w:rFonts w:asciiTheme="majorBidi" w:hAnsiTheme="majorBidi" w:cstheme="majorBidi"/>
          <w:rtl/>
        </w:rPr>
      </w:pPr>
    </w:p>
    <w:p w14:paraId="73EA2225" w14:textId="77777777" w:rsidR="006739F1" w:rsidRPr="00F24C7B" w:rsidRDefault="006739F1" w:rsidP="00F24C7B">
      <w:pPr>
        <w:pStyle w:val="ListParagraph"/>
        <w:tabs>
          <w:tab w:val="clear" w:pos="567"/>
          <w:tab w:val="clear" w:pos="1134"/>
          <w:tab w:val="clear" w:pos="1814"/>
          <w:tab w:val="clear" w:pos="2665"/>
        </w:tabs>
        <w:bidi w:val="0"/>
        <w:ind w:left="-35"/>
        <w:rPr>
          <w:rFonts w:asciiTheme="majorBidi" w:hAnsiTheme="majorBidi" w:cstheme="majorBidi"/>
        </w:rPr>
      </w:pPr>
      <w:r w:rsidRPr="00F24C7B">
        <w:rPr>
          <w:rFonts w:asciiTheme="majorBidi" w:hAnsiTheme="majorBidi" w:cstheme="majorBidi"/>
          <w:lang w:val="en"/>
        </w:rPr>
        <w:t xml:space="preserve">The average monthly cost of card fees charged per account, weighted by the average number of cards per account, is approximately NIS 10.7 (calculated as total card fees charged by credit card companies and banks relative to the average number of cards per account in NIS), compared to NIS 10.1 in 2018.  </w:t>
      </w:r>
    </w:p>
    <w:p w14:paraId="782CE81D" w14:textId="77777777" w:rsidR="006739F1" w:rsidRPr="00F24C7B" w:rsidRDefault="006739F1" w:rsidP="00F24C7B">
      <w:pPr>
        <w:tabs>
          <w:tab w:val="clear" w:pos="567"/>
          <w:tab w:val="clear" w:pos="1134"/>
          <w:tab w:val="clear" w:pos="1814"/>
          <w:tab w:val="clear" w:pos="2665"/>
        </w:tabs>
        <w:bidi w:val="0"/>
        <w:spacing w:line="240" w:lineRule="auto"/>
        <w:jc w:val="left"/>
        <w:rPr>
          <w:rFonts w:asciiTheme="majorBidi" w:hAnsiTheme="majorBidi" w:cstheme="majorBidi"/>
        </w:rPr>
      </w:pPr>
      <w:r w:rsidRPr="00F24C7B">
        <w:rPr>
          <w:rFonts w:asciiTheme="majorBidi" w:hAnsiTheme="majorBidi" w:cstheme="majorBidi"/>
          <w:lang w:val="en"/>
        </w:rPr>
        <w:br w:type="page"/>
      </w:r>
    </w:p>
    <w:p w14:paraId="6DD19858" w14:textId="77777777" w:rsidR="006739F1" w:rsidRPr="00F24C7B" w:rsidRDefault="006739F1" w:rsidP="00F24C7B">
      <w:pPr>
        <w:tabs>
          <w:tab w:val="clear" w:pos="567"/>
          <w:tab w:val="clear" w:pos="1134"/>
          <w:tab w:val="clear" w:pos="1814"/>
          <w:tab w:val="clear" w:pos="2665"/>
        </w:tabs>
        <w:bidi w:val="0"/>
        <w:spacing w:line="240" w:lineRule="auto"/>
        <w:jc w:val="left"/>
        <w:rPr>
          <w:rFonts w:asciiTheme="majorBidi" w:hAnsiTheme="majorBidi" w:cstheme="majorBidi"/>
          <w:b/>
          <w:bCs/>
          <w:color w:val="17365D"/>
          <w:rtl/>
        </w:rPr>
      </w:pPr>
    </w:p>
    <w:p w14:paraId="1CCE52E5" w14:textId="0AC93C9D" w:rsidR="006739F1" w:rsidRPr="00F24C7B" w:rsidRDefault="006739F1" w:rsidP="00A14A48">
      <w:pPr>
        <w:pStyle w:val="Heading2"/>
        <w:bidi w:val="0"/>
        <w:rPr>
          <w:rFonts w:asciiTheme="majorBidi" w:hAnsiTheme="majorBidi" w:cstheme="majorBidi"/>
        </w:rPr>
      </w:pPr>
      <w:r w:rsidRPr="00F24C7B">
        <w:rPr>
          <w:rFonts w:asciiTheme="majorBidi" w:hAnsiTheme="majorBidi" w:cstheme="majorBidi"/>
          <w:lang w:val="en"/>
        </w:rPr>
        <w:t xml:space="preserve">Fee schedules in respect of foreign currency transactions and withdrawals using </w:t>
      </w:r>
      <w:r w:rsidR="00A14A48">
        <w:rPr>
          <w:rFonts w:asciiTheme="majorBidi" w:hAnsiTheme="majorBidi" w:cstheme="majorBidi"/>
          <w:lang w:val="en"/>
        </w:rPr>
        <w:t>credit</w:t>
      </w:r>
      <w:r w:rsidR="00A14A48" w:rsidRPr="00F24C7B">
        <w:rPr>
          <w:rFonts w:asciiTheme="majorBidi" w:hAnsiTheme="majorBidi" w:cstheme="majorBidi"/>
          <w:lang w:val="en"/>
        </w:rPr>
        <w:t xml:space="preserve"> </w:t>
      </w:r>
      <w:r w:rsidRPr="00F24C7B">
        <w:rPr>
          <w:rFonts w:asciiTheme="majorBidi" w:hAnsiTheme="majorBidi" w:cstheme="majorBidi"/>
          <w:lang w:val="en"/>
        </w:rPr>
        <w:t>card</w:t>
      </w:r>
    </w:p>
    <w:p w14:paraId="324ED676" w14:textId="65271618" w:rsidR="006739F1" w:rsidRPr="00F24C7B" w:rsidRDefault="006739F1" w:rsidP="00A14A48">
      <w:pPr>
        <w:shd w:val="clear" w:color="auto" w:fill="D9D9D9"/>
        <w:bidi w:val="0"/>
        <w:ind w:left="-55"/>
        <w:jc w:val="center"/>
        <w:rPr>
          <w:rFonts w:asciiTheme="majorBidi" w:hAnsiTheme="majorBidi" w:cstheme="majorBidi"/>
          <w:b/>
          <w:bCs/>
          <w:sz w:val="28"/>
          <w:szCs w:val="28"/>
          <w:rtl/>
        </w:rPr>
      </w:pPr>
      <w:r w:rsidRPr="00F24C7B">
        <w:rPr>
          <w:rFonts w:asciiTheme="majorBidi" w:hAnsiTheme="majorBidi" w:cstheme="majorBidi"/>
          <w:b/>
          <w:bCs/>
          <w:sz w:val="28"/>
          <w:szCs w:val="28"/>
          <w:lang w:val="en"/>
        </w:rPr>
        <w:t xml:space="preserve">The Banking Supervision Department urges the public to compare the service fee schedules among the companies, and to carry out </w:t>
      </w:r>
      <w:r w:rsidR="00A14A48">
        <w:rPr>
          <w:rFonts w:asciiTheme="majorBidi" w:hAnsiTheme="majorBidi" w:cstheme="majorBidi"/>
          <w:b/>
          <w:bCs/>
          <w:sz w:val="28"/>
          <w:szCs w:val="28"/>
          <w:lang w:val="en"/>
        </w:rPr>
        <w:t>credit</w:t>
      </w:r>
      <w:r w:rsidR="00A14A48" w:rsidRPr="00F24C7B">
        <w:rPr>
          <w:rFonts w:asciiTheme="majorBidi" w:hAnsiTheme="majorBidi" w:cstheme="majorBidi"/>
          <w:b/>
          <w:bCs/>
          <w:sz w:val="28"/>
          <w:szCs w:val="28"/>
          <w:lang w:val="en"/>
        </w:rPr>
        <w:t xml:space="preserve"> </w:t>
      </w:r>
      <w:r w:rsidRPr="00F24C7B">
        <w:rPr>
          <w:rFonts w:asciiTheme="majorBidi" w:hAnsiTheme="majorBidi" w:cstheme="majorBidi"/>
          <w:b/>
          <w:bCs/>
          <w:sz w:val="28"/>
          <w:szCs w:val="28"/>
          <w:lang w:val="en"/>
        </w:rPr>
        <w:t>card transactions and withdrawals in an informed manner.</w:t>
      </w:r>
    </w:p>
    <w:p w14:paraId="15863A59" w14:textId="77777777" w:rsidR="006739F1" w:rsidRPr="00F24C7B" w:rsidRDefault="006739F1" w:rsidP="00F24C7B">
      <w:pPr>
        <w:pStyle w:val="Heading2"/>
        <w:numPr>
          <w:ilvl w:val="0"/>
          <w:numId w:val="0"/>
        </w:numPr>
        <w:bidi w:val="0"/>
        <w:ind w:left="-35"/>
        <w:rPr>
          <w:rFonts w:asciiTheme="majorBidi" w:hAnsiTheme="majorBidi" w:cstheme="majorBidi"/>
          <w:rtl/>
        </w:rPr>
      </w:pPr>
    </w:p>
    <w:p w14:paraId="597914C3" w14:textId="2787865D" w:rsidR="006739F1" w:rsidRPr="00F24C7B" w:rsidRDefault="006739F1" w:rsidP="00A14A48">
      <w:pPr>
        <w:bidi w:val="0"/>
        <w:jc w:val="center"/>
        <w:rPr>
          <w:rFonts w:asciiTheme="majorBidi" w:hAnsiTheme="majorBidi" w:cstheme="majorBidi"/>
          <w:color w:val="0070C0"/>
          <w:sz w:val="28"/>
          <w:szCs w:val="28"/>
          <w:u w:val="single"/>
        </w:rPr>
      </w:pPr>
      <w:r w:rsidRPr="00F24C7B">
        <w:rPr>
          <w:rFonts w:asciiTheme="majorBidi" w:hAnsiTheme="majorBidi" w:cstheme="majorBidi"/>
          <w:u w:val="single"/>
          <w:lang w:val="en"/>
        </w:rPr>
        <w:t xml:space="preserve">Table 1 - Comparison of fee schedules in respect of foreign currency transactions and withdrawals using </w:t>
      </w:r>
      <w:r w:rsidR="00A14A48">
        <w:rPr>
          <w:rFonts w:asciiTheme="majorBidi" w:hAnsiTheme="majorBidi" w:cstheme="majorBidi"/>
          <w:u w:val="single"/>
          <w:lang w:val="en"/>
        </w:rPr>
        <w:t>credit</w:t>
      </w:r>
      <w:r w:rsidR="00A14A48" w:rsidRPr="00F24C7B">
        <w:rPr>
          <w:rFonts w:asciiTheme="majorBidi" w:hAnsiTheme="majorBidi" w:cstheme="majorBidi"/>
          <w:u w:val="single"/>
          <w:lang w:val="en"/>
        </w:rPr>
        <w:t xml:space="preserve"> </w:t>
      </w:r>
      <w:r w:rsidRPr="00F24C7B">
        <w:rPr>
          <w:rFonts w:asciiTheme="majorBidi" w:hAnsiTheme="majorBidi" w:cstheme="majorBidi"/>
          <w:u w:val="single"/>
          <w:lang w:val="en"/>
        </w:rPr>
        <w:t>cards, as of June 22</w:t>
      </w:r>
      <w:r w:rsidR="00E64F02">
        <w:rPr>
          <w:rFonts w:asciiTheme="majorBidi" w:hAnsiTheme="majorBidi" w:cstheme="majorBidi"/>
          <w:u w:val="single"/>
          <w:lang w:val="en"/>
        </w:rPr>
        <w:t>,</w:t>
      </w:r>
      <w:r w:rsidRPr="00F24C7B">
        <w:rPr>
          <w:rFonts w:asciiTheme="majorBidi" w:hAnsiTheme="majorBidi" w:cstheme="majorBidi"/>
          <w:u w:val="single"/>
          <w:lang w:val="en"/>
        </w:rPr>
        <w:t xml:space="preserve"> 2020</w:t>
      </w:r>
    </w:p>
    <w:tbl>
      <w:tblPr>
        <w:tblW w:w="3904" w:type="pct"/>
        <w:tblInd w:w="1101" w:type="dxa"/>
        <w:tblLook w:val="04A0" w:firstRow="1" w:lastRow="0" w:firstColumn="1" w:lastColumn="0" w:noHBand="0" w:noVBand="1"/>
      </w:tblPr>
      <w:tblGrid>
        <w:gridCol w:w="2846"/>
        <w:gridCol w:w="1422"/>
        <w:gridCol w:w="1706"/>
        <w:gridCol w:w="1636"/>
      </w:tblGrid>
      <w:tr w:rsidR="006739F1" w:rsidRPr="00F24C7B" w14:paraId="030C2671" w14:textId="77777777" w:rsidTr="00BB557A">
        <w:trPr>
          <w:trHeight w:val="698"/>
        </w:trPr>
        <w:tc>
          <w:tcPr>
            <w:tcW w:w="1869" w:type="pct"/>
            <w:tcBorders>
              <w:bottom w:val="single" w:sz="12" w:space="0" w:color="000000"/>
              <w:right w:val="single" w:sz="12" w:space="0" w:color="000000"/>
            </w:tcBorders>
            <w:shd w:val="clear" w:color="auto" w:fill="auto"/>
          </w:tcPr>
          <w:p w14:paraId="151E7208" w14:textId="77777777" w:rsidR="006739F1" w:rsidRPr="00F24C7B" w:rsidRDefault="006739F1" w:rsidP="00F24C7B">
            <w:pPr>
              <w:bidi w:val="0"/>
              <w:spacing w:before="240" w:after="240" w:line="240" w:lineRule="auto"/>
              <w:jc w:val="left"/>
              <w:rPr>
                <w:rFonts w:asciiTheme="majorBidi" w:hAnsiTheme="majorBidi" w:cstheme="majorBidi"/>
                <w:b/>
                <w:bCs/>
                <w:sz w:val="22"/>
                <w:szCs w:val="22"/>
                <w:rtl/>
              </w:rPr>
            </w:pPr>
            <w:r w:rsidRPr="00F24C7B">
              <w:rPr>
                <w:rFonts w:asciiTheme="majorBidi" w:hAnsiTheme="majorBidi" w:cstheme="majorBidi"/>
                <w:b/>
                <w:bCs/>
                <w:sz w:val="22"/>
                <w:szCs w:val="22"/>
                <w:lang w:val="en"/>
              </w:rPr>
              <w:t>Fee per foreign currency transaction</w:t>
            </w:r>
          </w:p>
        </w:tc>
        <w:tc>
          <w:tcPr>
            <w:tcW w:w="934" w:type="pct"/>
            <w:tcBorders>
              <w:bottom w:val="single" w:sz="12" w:space="0" w:color="000000"/>
            </w:tcBorders>
            <w:shd w:val="clear" w:color="auto" w:fill="auto"/>
            <w:vAlign w:val="center"/>
          </w:tcPr>
          <w:p w14:paraId="4C0953AE" w14:textId="59A45BE8" w:rsidR="006739F1" w:rsidRPr="00F24C7B" w:rsidRDefault="006739F1" w:rsidP="00E64F02">
            <w:pPr>
              <w:bidi w:val="0"/>
              <w:spacing w:before="240" w:after="240" w:line="240" w:lineRule="auto"/>
              <w:jc w:val="center"/>
              <w:rPr>
                <w:rFonts w:asciiTheme="majorBidi" w:hAnsiTheme="majorBidi" w:cstheme="majorBidi"/>
                <w:b/>
                <w:bCs/>
                <w:rtl/>
              </w:rPr>
            </w:pPr>
            <w:r w:rsidRPr="00F24C7B">
              <w:rPr>
                <w:rFonts w:asciiTheme="majorBidi" w:hAnsiTheme="majorBidi" w:cstheme="majorBidi"/>
                <w:b/>
                <w:bCs/>
                <w:lang w:val="en"/>
              </w:rPr>
              <w:t xml:space="preserve"> C</w:t>
            </w:r>
            <w:r w:rsidR="00E64F02">
              <w:rPr>
                <w:rFonts w:asciiTheme="majorBidi" w:hAnsiTheme="majorBidi" w:cstheme="majorBidi"/>
                <w:b/>
                <w:bCs/>
                <w:lang w:val="en"/>
              </w:rPr>
              <w:t>al</w:t>
            </w:r>
            <w:r w:rsidRPr="00F24C7B">
              <w:rPr>
                <w:rFonts w:asciiTheme="majorBidi" w:hAnsiTheme="majorBidi" w:cstheme="majorBidi"/>
                <w:b/>
                <w:bCs/>
                <w:lang w:val="en"/>
              </w:rPr>
              <w:t xml:space="preserve"> </w:t>
            </w:r>
          </w:p>
        </w:tc>
        <w:tc>
          <w:tcPr>
            <w:tcW w:w="1121" w:type="pct"/>
            <w:tcBorders>
              <w:bottom w:val="single" w:sz="12" w:space="0" w:color="000000"/>
            </w:tcBorders>
            <w:shd w:val="clear" w:color="auto" w:fill="auto"/>
            <w:vAlign w:val="center"/>
          </w:tcPr>
          <w:p w14:paraId="1CDC0B96" w14:textId="77777777" w:rsidR="006739F1" w:rsidRPr="00F24C7B" w:rsidRDefault="006739F1" w:rsidP="00F24C7B">
            <w:pPr>
              <w:bidi w:val="0"/>
              <w:spacing w:before="240" w:after="240" w:line="240" w:lineRule="auto"/>
              <w:jc w:val="center"/>
              <w:rPr>
                <w:rFonts w:asciiTheme="majorBidi" w:hAnsiTheme="majorBidi" w:cstheme="majorBidi"/>
                <w:b/>
                <w:bCs/>
                <w:rtl/>
              </w:rPr>
            </w:pPr>
            <w:r w:rsidRPr="00F24C7B">
              <w:rPr>
                <w:rFonts w:asciiTheme="majorBidi" w:hAnsiTheme="majorBidi" w:cstheme="majorBidi"/>
                <w:b/>
                <w:bCs/>
                <w:lang w:val="en"/>
              </w:rPr>
              <w:t>Max</w:t>
            </w:r>
          </w:p>
        </w:tc>
        <w:tc>
          <w:tcPr>
            <w:tcW w:w="1075" w:type="pct"/>
            <w:tcBorders>
              <w:bottom w:val="single" w:sz="12" w:space="0" w:color="000000"/>
            </w:tcBorders>
            <w:shd w:val="clear" w:color="auto" w:fill="auto"/>
            <w:vAlign w:val="center"/>
          </w:tcPr>
          <w:p w14:paraId="40B53702" w14:textId="77777777" w:rsidR="006739F1" w:rsidRPr="00F24C7B" w:rsidRDefault="006739F1" w:rsidP="00F24C7B">
            <w:pPr>
              <w:bidi w:val="0"/>
              <w:spacing w:before="240" w:after="240" w:line="240" w:lineRule="auto"/>
              <w:jc w:val="center"/>
              <w:rPr>
                <w:rFonts w:asciiTheme="majorBidi" w:hAnsiTheme="majorBidi" w:cstheme="majorBidi"/>
                <w:b/>
                <w:bCs/>
                <w:rtl/>
              </w:rPr>
            </w:pPr>
            <w:proofErr w:type="spellStart"/>
            <w:r w:rsidRPr="00F24C7B">
              <w:rPr>
                <w:rFonts w:asciiTheme="majorBidi" w:hAnsiTheme="majorBidi" w:cstheme="majorBidi"/>
                <w:b/>
                <w:bCs/>
                <w:lang w:val="en"/>
              </w:rPr>
              <w:t>Isracard</w:t>
            </w:r>
            <w:proofErr w:type="spellEnd"/>
          </w:p>
        </w:tc>
      </w:tr>
      <w:tr w:rsidR="006739F1" w:rsidRPr="00F24C7B" w14:paraId="4C6B0C58" w14:textId="77777777" w:rsidTr="00BB557A">
        <w:trPr>
          <w:trHeight w:val="390"/>
        </w:trPr>
        <w:tc>
          <w:tcPr>
            <w:tcW w:w="1869" w:type="pct"/>
            <w:tcBorders>
              <w:right w:val="single" w:sz="12" w:space="0" w:color="000000"/>
            </w:tcBorders>
            <w:shd w:val="clear" w:color="auto" w:fill="auto"/>
          </w:tcPr>
          <w:p w14:paraId="042B60F2" w14:textId="77777777" w:rsidR="006739F1" w:rsidRPr="00F24C7B" w:rsidRDefault="006739F1" w:rsidP="00F24C7B">
            <w:pPr>
              <w:bidi w:val="0"/>
              <w:spacing w:before="240" w:after="240"/>
              <w:jc w:val="left"/>
              <w:rPr>
                <w:rFonts w:asciiTheme="majorBidi" w:hAnsiTheme="majorBidi" w:cstheme="majorBidi"/>
                <w:b/>
                <w:bCs/>
                <w:sz w:val="22"/>
                <w:szCs w:val="22"/>
                <w:rtl/>
              </w:rPr>
            </w:pPr>
            <w:r w:rsidRPr="00F24C7B">
              <w:rPr>
                <w:rFonts w:asciiTheme="majorBidi" w:hAnsiTheme="majorBidi" w:cstheme="majorBidi"/>
                <w:b/>
                <w:bCs/>
                <w:sz w:val="22"/>
                <w:szCs w:val="22"/>
                <w:lang w:val="en"/>
              </w:rPr>
              <w:t>Fee for foreign currency transactions</w:t>
            </w:r>
          </w:p>
        </w:tc>
        <w:tc>
          <w:tcPr>
            <w:tcW w:w="934" w:type="pct"/>
            <w:shd w:val="clear" w:color="auto" w:fill="auto"/>
          </w:tcPr>
          <w:p w14:paraId="0F32D79F" w14:textId="77777777" w:rsidR="006739F1" w:rsidRPr="00F24C7B" w:rsidRDefault="006739F1" w:rsidP="00F24C7B">
            <w:pPr>
              <w:bidi w:val="0"/>
              <w:spacing w:before="240" w:after="240"/>
              <w:jc w:val="center"/>
              <w:rPr>
                <w:rFonts w:asciiTheme="majorBidi" w:hAnsiTheme="majorBidi" w:cstheme="majorBidi"/>
                <w:rtl/>
              </w:rPr>
            </w:pPr>
            <w:r w:rsidRPr="00F24C7B">
              <w:rPr>
                <w:rFonts w:asciiTheme="majorBidi" w:hAnsiTheme="majorBidi" w:cstheme="majorBidi"/>
                <w:lang w:val="en"/>
              </w:rPr>
              <w:t>2.8%</w:t>
            </w:r>
          </w:p>
        </w:tc>
        <w:tc>
          <w:tcPr>
            <w:tcW w:w="1121" w:type="pct"/>
            <w:shd w:val="clear" w:color="auto" w:fill="auto"/>
          </w:tcPr>
          <w:p w14:paraId="2C869F9B" w14:textId="77777777" w:rsidR="006739F1" w:rsidRPr="00F24C7B" w:rsidRDefault="006739F1" w:rsidP="00F24C7B">
            <w:pPr>
              <w:bidi w:val="0"/>
              <w:spacing w:before="240" w:after="240"/>
              <w:jc w:val="center"/>
              <w:rPr>
                <w:rFonts w:asciiTheme="majorBidi" w:hAnsiTheme="majorBidi" w:cstheme="majorBidi"/>
                <w:rtl/>
              </w:rPr>
            </w:pPr>
            <w:r w:rsidRPr="00F24C7B">
              <w:rPr>
                <w:rFonts w:asciiTheme="majorBidi" w:hAnsiTheme="majorBidi" w:cstheme="majorBidi"/>
                <w:lang w:val="en"/>
              </w:rPr>
              <w:t>3.0%</w:t>
            </w:r>
          </w:p>
        </w:tc>
        <w:tc>
          <w:tcPr>
            <w:tcW w:w="1075" w:type="pct"/>
            <w:shd w:val="clear" w:color="auto" w:fill="auto"/>
          </w:tcPr>
          <w:p w14:paraId="43A5D862" w14:textId="77777777" w:rsidR="006739F1" w:rsidRPr="00F24C7B" w:rsidRDefault="006739F1" w:rsidP="00F24C7B">
            <w:pPr>
              <w:bidi w:val="0"/>
              <w:spacing w:before="240" w:after="240"/>
              <w:jc w:val="center"/>
              <w:rPr>
                <w:rFonts w:asciiTheme="majorBidi" w:hAnsiTheme="majorBidi" w:cstheme="majorBidi"/>
                <w:b/>
                <w:bCs/>
                <w:color w:val="00B050"/>
                <w:rtl/>
              </w:rPr>
            </w:pPr>
            <w:r w:rsidRPr="00F24C7B">
              <w:rPr>
                <w:rFonts w:asciiTheme="majorBidi" w:hAnsiTheme="majorBidi" w:cstheme="majorBidi"/>
                <w:b/>
                <w:bCs/>
                <w:color w:val="00B050"/>
                <w:lang w:val="en"/>
              </w:rPr>
              <w:t>2.7%</w:t>
            </w:r>
          </w:p>
        </w:tc>
      </w:tr>
      <w:tr w:rsidR="006739F1" w:rsidRPr="00F24C7B" w14:paraId="06B8B932" w14:textId="77777777" w:rsidTr="00BB557A">
        <w:trPr>
          <w:trHeight w:val="270"/>
        </w:trPr>
        <w:tc>
          <w:tcPr>
            <w:tcW w:w="1869" w:type="pct"/>
            <w:tcBorders>
              <w:right w:val="single" w:sz="12" w:space="0" w:color="000000"/>
            </w:tcBorders>
            <w:shd w:val="clear" w:color="auto" w:fill="auto"/>
          </w:tcPr>
          <w:p w14:paraId="41C55AF2" w14:textId="77777777" w:rsidR="006739F1" w:rsidRPr="00F24C7B" w:rsidRDefault="006739F1" w:rsidP="00F24C7B">
            <w:pPr>
              <w:bidi w:val="0"/>
              <w:spacing w:before="240" w:after="240"/>
              <w:jc w:val="left"/>
              <w:rPr>
                <w:rFonts w:asciiTheme="majorBidi" w:hAnsiTheme="majorBidi" w:cstheme="majorBidi"/>
                <w:b/>
                <w:bCs/>
                <w:sz w:val="22"/>
                <w:szCs w:val="22"/>
                <w:rtl/>
              </w:rPr>
            </w:pPr>
            <w:r w:rsidRPr="00F24C7B">
              <w:rPr>
                <w:rFonts w:asciiTheme="majorBidi" w:hAnsiTheme="majorBidi" w:cstheme="majorBidi"/>
                <w:b/>
                <w:bCs/>
                <w:sz w:val="22"/>
                <w:szCs w:val="22"/>
                <w:lang w:val="en"/>
              </w:rPr>
              <w:t>Fee for foreign currency withdrawals</w:t>
            </w:r>
          </w:p>
        </w:tc>
        <w:tc>
          <w:tcPr>
            <w:tcW w:w="934" w:type="pct"/>
            <w:shd w:val="clear" w:color="auto" w:fill="auto"/>
          </w:tcPr>
          <w:p w14:paraId="4B3EBA9F" w14:textId="77777777" w:rsidR="006739F1" w:rsidRPr="00F24C7B" w:rsidRDefault="006739F1" w:rsidP="00F24C7B">
            <w:pPr>
              <w:bidi w:val="0"/>
              <w:spacing w:before="240" w:after="240"/>
              <w:jc w:val="center"/>
              <w:rPr>
                <w:rFonts w:asciiTheme="majorBidi" w:hAnsiTheme="majorBidi" w:cstheme="majorBidi"/>
                <w:color w:val="00B050"/>
                <w:rtl/>
              </w:rPr>
            </w:pPr>
            <w:r w:rsidRPr="00F24C7B">
              <w:rPr>
                <w:rFonts w:asciiTheme="majorBidi" w:hAnsiTheme="majorBidi" w:cstheme="majorBidi"/>
                <w:lang w:val="en"/>
              </w:rPr>
              <w:t>3.5%</w:t>
            </w:r>
          </w:p>
        </w:tc>
        <w:tc>
          <w:tcPr>
            <w:tcW w:w="1121" w:type="pct"/>
            <w:shd w:val="clear" w:color="auto" w:fill="auto"/>
          </w:tcPr>
          <w:p w14:paraId="408A5541" w14:textId="77777777" w:rsidR="006739F1" w:rsidRPr="00F24C7B" w:rsidRDefault="006739F1" w:rsidP="00F24C7B">
            <w:pPr>
              <w:bidi w:val="0"/>
              <w:spacing w:before="240" w:after="240"/>
              <w:jc w:val="center"/>
              <w:rPr>
                <w:rFonts w:asciiTheme="majorBidi" w:hAnsiTheme="majorBidi" w:cstheme="majorBidi"/>
                <w:b/>
                <w:bCs/>
                <w:rtl/>
              </w:rPr>
            </w:pPr>
            <w:r w:rsidRPr="00F24C7B">
              <w:rPr>
                <w:rFonts w:asciiTheme="majorBidi" w:hAnsiTheme="majorBidi" w:cstheme="majorBidi"/>
                <w:b/>
                <w:bCs/>
                <w:color w:val="00B050"/>
                <w:lang w:val="en"/>
              </w:rPr>
              <w:t>3.0%</w:t>
            </w:r>
          </w:p>
        </w:tc>
        <w:tc>
          <w:tcPr>
            <w:tcW w:w="1075" w:type="pct"/>
            <w:shd w:val="clear" w:color="auto" w:fill="auto"/>
          </w:tcPr>
          <w:p w14:paraId="15F5833F" w14:textId="77777777" w:rsidR="006739F1" w:rsidRPr="00F24C7B" w:rsidRDefault="006739F1" w:rsidP="00F24C7B">
            <w:pPr>
              <w:bidi w:val="0"/>
              <w:spacing w:before="240" w:after="240"/>
              <w:jc w:val="center"/>
              <w:rPr>
                <w:rFonts w:asciiTheme="majorBidi" w:hAnsiTheme="majorBidi" w:cstheme="majorBidi"/>
                <w:rtl/>
              </w:rPr>
            </w:pPr>
            <w:r w:rsidRPr="00F24C7B">
              <w:rPr>
                <w:rFonts w:asciiTheme="majorBidi" w:hAnsiTheme="majorBidi" w:cstheme="majorBidi"/>
                <w:lang w:val="en"/>
              </w:rPr>
              <w:t>3.5%</w:t>
            </w:r>
          </w:p>
        </w:tc>
      </w:tr>
    </w:tbl>
    <w:p w14:paraId="77A55434" w14:textId="77777777" w:rsidR="006739F1" w:rsidRPr="00F24C7B" w:rsidRDefault="006739F1" w:rsidP="00F24C7B">
      <w:pPr>
        <w:bidi w:val="0"/>
        <w:jc w:val="left"/>
        <w:rPr>
          <w:rFonts w:asciiTheme="majorBidi" w:hAnsiTheme="majorBidi" w:cstheme="majorBidi"/>
          <w:b/>
          <w:bCs/>
          <w:rtl/>
        </w:rPr>
      </w:pPr>
    </w:p>
    <w:p w14:paraId="1C9C5311" w14:textId="153A69FD" w:rsidR="006739F1" w:rsidRPr="00F24C7B" w:rsidRDefault="006739F1" w:rsidP="00A14A48">
      <w:pPr>
        <w:bidi w:val="0"/>
        <w:rPr>
          <w:rFonts w:asciiTheme="majorBidi" w:hAnsiTheme="majorBidi" w:cstheme="majorBidi"/>
          <w:rtl/>
        </w:rPr>
      </w:pPr>
      <w:r w:rsidRPr="00F24C7B">
        <w:rPr>
          <w:rFonts w:asciiTheme="majorBidi" w:hAnsiTheme="majorBidi" w:cstheme="majorBidi"/>
          <w:b/>
          <w:bCs/>
          <w:lang w:val="en"/>
        </w:rPr>
        <w:t xml:space="preserve">Fee </w:t>
      </w:r>
      <w:r w:rsidR="00A14A48">
        <w:rPr>
          <w:b/>
          <w:bCs/>
        </w:rPr>
        <w:t xml:space="preserve">in respect of </w:t>
      </w:r>
      <w:r w:rsidRPr="00F24C7B">
        <w:rPr>
          <w:rFonts w:asciiTheme="majorBidi" w:hAnsiTheme="majorBidi" w:cstheme="majorBidi"/>
          <w:b/>
          <w:bCs/>
          <w:lang w:val="en"/>
        </w:rPr>
        <w:t xml:space="preserve">foreign currency transactions and withdrawals - </w:t>
      </w:r>
      <w:r w:rsidRPr="00F24C7B">
        <w:rPr>
          <w:rFonts w:asciiTheme="majorBidi" w:hAnsiTheme="majorBidi" w:cstheme="majorBidi"/>
          <w:lang w:val="en"/>
        </w:rPr>
        <w:t xml:space="preserve">the fee is calculated as a percentage of the total foreign currency transaction amount or as a percentage of the amount withdrawn in foreign currency abroad, according to the representative rate of the converted amount in the original currency in which the transaction was executed. In the absence of a representative exchange rate, the fee will be calculated as the amount of the charge in the conversion currency of the international acquirer.  </w:t>
      </w:r>
    </w:p>
    <w:p w14:paraId="342B768A" w14:textId="77777777" w:rsidR="006739F1" w:rsidRPr="00F24C7B" w:rsidRDefault="006739F1" w:rsidP="00F24C7B">
      <w:pPr>
        <w:tabs>
          <w:tab w:val="clear" w:pos="567"/>
          <w:tab w:val="clear" w:pos="1134"/>
          <w:tab w:val="clear" w:pos="1814"/>
          <w:tab w:val="clear" w:pos="2665"/>
        </w:tabs>
        <w:bidi w:val="0"/>
        <w:spacing w:line="240" w:lineRule="auto"/>
        <w:jc w:val="left"/>
        <w:rPr>
          <w:rFonts w:asciiTheme="majorBidi" w:hAnsiTheme="majorBidi" w:cstheme="majorBidi"/>
          <w:rtl/>
        </w:rPr>
      </w:pPr>
      <w:r w:rsidRPr="00F24C7B">
        <w:rPr>
          <w:rFonts w:asciiTheme="majorBidi" w:hAnsiTheme="majorBidi" w:cstheme="majorBidi"/>
          <w:rtl/>
        </w:rPr>
        <w:br w:type="page"/>
      </w:r>
    </w:p>
    <w:p w14:paraId="026F4AED" w14:textId="141CF640" w:rsidR="006739F1" w:rsidRPr="00F24C7B" w:rsidRDefault="006739F1" w:rsidP="00F24C7B">
      <w:pPr>
        <w:pStyle w:val="Heading2"/>
        <w:bidi w:val="0"/>
        <w:rPr>
          <w:rFonts w:asciiTheme="majorBidi" w:hAnsiTheme="majorBidi" w:cstheme="majorBidi"/>
        </w:rPr>
      </w:pPr>
      <w:r w:rsidRPr="00F24C7B">
        <w:rPr>
          <w:rFonts w:asciiTheme="majorBidi" w:hAnsiTheme="majorBidi" w:cstheme="majorBidi"/>
          <w:lang w:val="en"/>
        </w:rPr>
        <w:lastRenderedPageBreak/>
        <w:t xml:space="preserve">Comparison of fee schedules for current account fees - customer-executed vs. teller-executed transaction fees, comparison of costs of the basic track and extended track at </w:t>
      </w:r>
      <w:r w:rsidR="00A14A48">
        <w:rPr>
          <w:rFonts w:asciiTheme="majorBidi" w:hAnsiTheme="majorBidi" w:cstheme="majorBidi"/>
          <w:lang w:val="en"/>
        </w:rPr>
        <w:t xml:space="preserve">the </w:t>
      </w:r>
      <w:r w:rsidRPr="00F24C7B">
        <w:rPr>
          <w:rFonts w:asciiTheme="majorBidi" w:hAnsiTheme="majorBidi" w:cstheme="majorBidi"/>
          <w:lang w:val="en"/>
        </w:rPr>
        <w:t>various banks</w:t>
      </w:r>
    </w:p>
    <w:p w14:paraId="029A21D2" w14:textId="77777777" w:rsidR="006739F1" w:rsidRPr="00F24C7B" w:rsidRDefault="006739F1" w:rsidP="00F24C7B">
      <w:pPr>
        <w:pStyle w:val="Heading2"/>
        <w:numPr>
          <w:ilvl w:val="0"/>
          <w:numId w:val="0"/>
        </w:numPr>
        <w:shd w:val="clear" w:color="auto" w:fill="D9D9D9" w:themeFill="background1" w:themeFillShade="D9"/>
        <w:bidi w:val="0"/>
        <w:ind w:left="409"/>
        <w:rPr>
          <w:rFonts w:asciiTheme="majorBidi" w:hAnsiTheme="majorBidi" w:cstheme="majorBidi"/>
          <w:color w:val="auto"/>
          <w:rtl/>
        </w:rPr>
      </w:pPr>
      <w:r w:rsidRPr="00F24C7B">
        <w:rPr>
          <w:rFonts w:asciiTheme="majorBidi" w:hAnsiTheme="majorBidi" w:cstheme="majorBidi"/>
          <w:color w:val="auto"/>
          <w:lang w:val="en"/>
        </w:rPr>
        <w:t>A customer may choose to pay for current account transactions in two ways - “pay as you go” or a fixed monthly fee (the “tracks service”)</w:t>
      </w:r>
    </w:p>
    <w:p w14:paraId="6E101FD9" w14:textId="77777777" w:rsidR="006739F1" w:rsidRPr="00F24C7B" w:rsidRDefault="006739F1" w:rsidP="00F24C7B">
      <w:pPr>
        <w:pStyle w:val="Heading3"/>
        <w:numPr>
          <w:ilvl w:val="0"/>
          <w:numId w:val="0"/>
        </w:numPr>
        <w:bidi w:val="0"/>
        <w:ind w:left="674"/>
        <w:rPr>
          <w:rFonts w:asciiTheme="majorBidi" w:hAnsiTheme="majorBidi" w:cstheme="majorBidi"/>
        </w:rPr>
      </w:pPr>
    </w:p>
    <w:p w14:paraId="7BA2BF42" w14:textId="77777777" w:rsidR="006739F1" w:rsidRPr="00F24C7B" w:rsidRDefault="006739F1" w:rsidP="00F24C7B">
      <w:pPr>
        <w:pStyle w:val="Heading3"/>
        <w:bidi w:val="0"/>
        <w:ind w:left="674"/>
        <w:rPr>
          <w:rFonts w:asciiTheme="majorBidi" w:hAnsiTheme="majorBidi" w:cstheme="majorBidi"/>
        </w:rPr>
      </w:pPr>
      <w:r w:rsidRPr="00F24C7B">
        <w:rPr>
          <w:rFonts w:asciiTheme="majorBidi" w:hAnsiTheme="majorBidi" w:cstheme="majorBidi"/>
          <w:lang w:val="en"/>
        </w:rPr>
        <w:t>Paying separately for each teller-executed transaction and customer-executed transaction</w:t>
      </w:r>
    </w:p>
    <w:p w14:paraId="2D905438" w14:textId="77777777" w:rsidR="006739F1" w:rsidRPr="00F24C7B" w:rsidRDefault="006739F1" w:rsidP="00F24C7B">
      <w:pPr>
        <w:shd w:val="clear" w:color="auto" w:fill="D9D9D9"/>
        <w:bidi w:val="0"/>
        <w:ind w:left="390"/>
        <w:jc w:val="center"/>
        <w:rPr>
          <w:rFonts w:asciiTheme="majorBidi" w:hAnsiTheme="majorBidi" w:cstheme="majorBidi"/>
          <w:b/>
          <w:bCs/>
          <w:sz w:val="28"/>
          <w:szCs w:val="28"/>
          <w:shd w:val="clear" w:color="auto" w:fill="8DB3E2"/>
          <w:rtl/>
        </w:rPr>
      </w:pPr>
      <w:r w:rsidRPr="00F24C7B">
        <w:rPr>
          <w:rFonts w:asciiTheme="majorBidi" w:hAnsiTheme="majorBidi" w:cstheme="majorBidi"/>
          <w:b/>
          <w:bCs/>
          <w:sz w:val="28"/>
          <w:szCs w:val="28"/>
          <w:lang w:val="en"/>
        </w:rPr>
        <w:t>Direct banking saves money</w:t>
      </w:r>
    </w:p>
    <w:p w14:paraId="14FBAAF5" w14:textId="77777777" w:rsidR="006739F1" w:rsidRPr="00F24C7B" w:rsidRDefault="006739F1" w:rsidP="00F24C7B">
      <w:pPr>
        <w:bidi w:val="0"/>
        <w:ind w:left="-55"/>
        <w:jc w:val="center"/>
        <w:rPr>
          <w:rFonts w:asciiTheme="majorBidi" w:hAnsiTheme="majorBidi" w:cstheme="majorBidi"/>
          <w:b/>
          <w:bCs/>
          <w:sz w:val="14"/>
          <w:szCs w:val="14"/>
          <w:u w:val="single"/>
          <w:rtl/>
        </w:rPr>
      </w:pPr>
    </w:p>
    <w:p w14:paraId="15DA3ED7" w14:textId="77777777" w:rsidR="006739F1" w:rsidRPr="00F24C7B" w:rsidRDefault="006739F1" w:rsidP="00F24C7B">
      <w:pPr>
        <w:bidi w:val="0"/>
        <w:ind w:left="390"/>
        <w:rPr>
          <w:rFonts w:asciiTheme="majorBidi" w:hAnsiTheme="majorBidi" w:cstheme="majorBidi"/>
          <w:rtl/>
        </w:rPr>
      </w:pPr>
      <w:r w:rsidRPr="00F24C7B">
        <w:rPr>
          <w:rFonts w:asciiTheme="majorBidi" w:hAnsiTheme="majorBidi" w:cstheme="majorBidi"/>
          <w:lang w:val="en"/>
        </w:rPr>
        <w:t>The cost of a customer-executed transaction is about 75 percent less, on average, than the cost of a teller-executed transaction. Customers interested in reducing the fees they pay can switch to advanced technological means offered by direct banking. Use of direct channels provides greater availability (24/7), and maximum convenience in obtaining banking services.</w:t>
      </w:r>
    </w:p>
    <w:p w14:paraId="70A97CAB" w14:textId="230D2841" w:rsidR="006739F1" w:rsidRPr="00F24C7B" w:rsidRDefault="006739F1" w:rsidP="00F24C7B">
      <w:pPr>
        <w:bidi w:val="0"/>
        <w:ind w:left="390"/>
        <w:rPr>
          <w:rFonts w:asciiTheme="majorBidi" w:hAnsiTheme="majorBidi" w:cstheme="majorBidi"/>
          <w:rtl/>
        </w:rPr>
      </w:pPr>
    </w:p>
    <w:p w14:paraId="31209FA9" w14:textId="3731B81E" w:rsidR="006739F1" w:rsidRPr="00F24C7B" w:rsidRDefault="006739F1" w:rsidP="00F24C7B">
      <w:pPr>
        <w:bidi w:val="0"/>
        <w:ind w:left="-55"/>
        <w:jc w:val="center"/>
        <w:rPr>
          <w:rFonts w:asciiTheme="majorBidi" w:hAnsiTheme="majorBidi" w:cstheme="majorBidi"/>
          <w:u w:val="single"/>
          <w:rtl/>
        </w:rPr>
        <w:sectPr w:rsidR="006739F1" w:rsidRPr="00F24C7B" w:rsidSect="009D6B79">
          <w:headerReference w:type="even" r:id="rId13"/>
          <w:footerReference w:type="even" r:id="rId14"/>
          <w:footerReference w:type="default" r:id="rId15"/>
          <w:footerReference w:type="first" r:id="rId16"/>
          <w:endnotePr>
            <w:numFmt w:val="lowerLetter"/>
          </w:endnotePr>
          <w:type w:val="continuous"/>
          <w:pgSz w:w="11906" w:h="16838" w:code="9"/>
          <w:pgMar w:top="1276" w:right="1080" w:bottom="709" w:left="1080" w:header="1077" w:footer="561" w:gutter="0"/>
          <w:cols w:space="720"/>
          <w:bidi/>
          <w:docGrid w:linePitch="326"/>
        </w:sectPr>
      </w:pPr>
      <w:r w:rsidRPr="00F24C7B">
        <w:rPr>
          <w:rFonts w:asciiTheme="majorBidi" w:hAnsiTheme="majorBidi" w:cstheme="majorBidi"/>
          <w:u w:val="single"/>
          <w:lang w:val="en"/>
        </w:rPr>
        <w:t>Figure 4 - The cost of a teller-executed transaction and the cost of a customer-executed transaction in the banking system, as of June 22</w:t>
      </w:r>
      <w:r w:rsidR="009A76BB">
        <w:rPr>
          <w:rFonts w:asciiTheme="majorBidi" w:hAnsiTheme="majorBidi" w:cstheme="majorBidi"/>
          <w:u w:val="single"/>
          <w:lang w:val="en"/>
        </w:rPr>
        <w:t>,</w:t>
      </w:r>
      <w:r w:rsidRPr="00F24C7B">
        <w:rPr>
          <w:rFonts w:asciiTheme="majorBidi" w:hAnsiTheme="majorBidi" w:cstheme="majorBidi"/>
          <w:u w:val="single"/>
          <w:lang w:val="en"/>
        </w:rPr>
        <w:t xml:space="preserve"> 2020 </w:t>
      </w:r>
    </w:p>
    <w:p w14:paraId="4B99F3D4" w14:textId="5633E12D" w:rsidR="006739F1" w:rsidRPr="00F24C7B" w:rsidRDefault="0079429A" w:rsidP="0079429A">
      <w:pPr>
        <w:bidi w:val="0"/>
        <w:rPr>
          <w:rFonts w:asciiTheme="majorBidi" w:hAnsiTheme="majorBidi" w:cstheme="majorBidi"/>
          <w:b/>
          <w:bCs/>
          <w:rtl/>
        </w:rPr>
      </w:pPr>
      <w:r w:rsidRPr="0079429A">
        <w:rPr>
          <w:noProof/>
        </w:rPr>
        <w:drawing>
          <wp:inline distT="0" distB="0" distL="0" distR="0" wp14:anchorId="7A1C43BE" wp14:editId="5C414FA8">
            <wp:extent cx="6188710" cy="263158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88710" cy="2631583"/>
                    </a:xfrm>
                    <a:prstGeom prst="rect">
                      <a:avLst/>
                    </a:prstGeom>
                    <a:noFill/>
                    <a:ln>
                      <a:noFill/>
                    </a:ln>
                  </pic:spPr>
                </pic:pic>
              </a:graphicData>
            </a:graphic>
          </wp:inline>
        </w:drawing>
      </w:r>
    </w:p>
    <w:p w14:paraId="6C2BF942" w14:textId="1FDAC119" w:rsidR="006739F1" w:rsidRPr="00F24C7B" w:rsidRDefault="006739F1" w:rsidP="00F24C7B">
      <w:pPr>
        <w:bidi w:val="0"/>
        <w:ind w:left="-55"/>
        <w:rPr>
          <w:rFonts w:asciiTheme="majorBidi" w:hAnsiTheme="majorBidi" w:cstheme="majorBidi"/>
          <w:rtl/>
        </w:rPr>
      </w:pPr>
      <w:r w:rsidRPr="00F24C7B">
        <w:rPr>
          <w:rFonts w:asciiTheme="majorBidi" w:hAnsiTheme="majorBidi" w:cstheme="majorBidi"/>
          <w:lang w:val="en"/>
        </w:rPr>
        <w:t xml:space="preserve">A </w:t>
      </w:r>
      <w:r w:rsidRPr="00F24C7B">
        <w:rPr>
          <w:rFonts w:asciiTheme="majorBidi" w:hAnsiTheme="majorBidi" w:cstheme="majorBidi"/>
          <w:b/>
          <w:bCs/>
          <w:lang w:val="en"/>
        </w:rPr>
        <w:t>“teller-executed transaction”</w:t>
      </w:r>
      <w:r w:rsidRPr="00F24C7B">
        <w:rPr>
          <w:rFonts w:asciiTheme="majorBidi" w:hAnsiTheme="majorBidi" w:cstheme="majorBidi"/>
          <w:lang w:val="en"/>
        </w:rPr>
        <w:t xml:space="preserve"> includes </w:t>
      </w:r>
      <w:r w:rsidRPr="00F24C7B">
        <w:rPr>
          <w:rFonts w:asciiTheme="majorBidi" w:hAnsiTheme="majorBidi" w:cstheme="majorBidi"/>
          <w:u w:val="single"/>
          <w:lang w:val="en"/>
        </w:rPr>
        <w:t>any</w:t>
      </w:r>
      <w:r w:rsidRPr="00F24C7B">
        <w:rPr>
          <w:rFonts w:asciiTheme="majorBidi" w:hAnsiTheme="majorBidi" w:cstheme="majorBidi"/>
          <w:lang w:val="en"/>
        </w:rPr>
        <w:t xml:space="preserve"> of the following: depositing cash, withdrawing cash, generating and providing printouts at the customer’s request, transferring or depositing to another account, cashing a check, depositing a check (for every batch of up to 20 checks), paying a voucher, obtaining change. </w:t>
      </w:r>
    </w:p>
    <w:p w14:paraId="6E0652BC" w14:textId="5B3700AE" w:rsidR="006739F1" w:rsidRPr="00F24C7B" w:rsidRDefault="006739F1" w:rsidP="00F24C7B">
      <w:pPr>
        <w:bidi w:val="0"/>
        <w:ind w:left="-55"/>
        <w:rPr>
          <w:rFonts w:asciiTheme="majorBidi" w:hAnsiTheme="majorBidi" w:cstheme="majorBidi"/>
          <w:rtl/>
        </w:rPr>
      </w:pPr>
      <w:r w:rsidRPr="00F24C7B">
        <w:rPr>
          <w:rFonts w:asciiTheme="majorBidi" w:hAnsiTheme="majorBidi" w:cstheme="majorBidi"/>
          <w:lang w:val="en"/>
        </w:rPr>
        <w:t>This fee is collected when these transactions are made via a bank teller, including through a manned call center.</w:t>
      </w:r>
    </w:p>
    <w:p w14:paraId="03A0D695" w14:textId="6939DDFF" w:rsidR="006739F1" w:rsidRPr="00F24C7B" w:rsidRDefault="006739F1" w:rsidP="00F24C7B">
      <w:pPr>
        <w:bidi w:val="0"/>
        <w:ind w:left="-55"/>
        <w:rPr>
          <w:rFonts w:asciiTheme="majorBidi" w:hAnsiTheme="majorBidi" w:cstheme="majorBidi"/>
        </w:rPr>
      </w:pPr>
    </w:p>
    <w:p w14:paraId="4C54D557" w14:textId="77777777" w:rsidR="006739F1" w:rsidRPr="00F24C7B" w:rsidRDefault="006739F1" w:rsidP="00F24C7B">
      <w:pPr>
        <w:bidi w:val="0"/>
        <w:ind w:left="-55"/>
        <w:rPr>
          <w:rFonts w:asciiTheme="majorBidi" w:hAnsiTheme="majorBidi" w:cstheme="majorBidi"/>
          <w:rtl/>
        </w:rPr>
      </w:pPr>
      <w:r w:rsidRPr="00F24C7B">
        <w:rPr>
          <w:rFonts w:asciiTheme="majorBidi" w:hAnsiTheme="majorBidi" w:cstheme="majorBidi"/>
          <w:lang w:val="en"/>
        </w:rPr>
        <w:lastRenderedPageBreak/>
        <w:t xml:space="preserve">A </w:t>
      </w:r>
      <w:r w:rsidRPr="00F24C7B">
        <w:rPr>
          <w:rFonts w:asciiTheme="majorBidi" w:hAnsiTheme="majorBidi" w:cstheme="majorBidi"/>
          <w:b/>
          <w:bCs/>
          <w:lang w:val="en"/>
        </w:rPr>
        <w:t>“customer-executed transaction”</w:t>
      </w:r>
      <w:r w:rsidRPr="00F24C7B">
        <w:rPr>
          <w:rFonts w:asciiTheme="majorBidi" w:hAnsiTheme="majorBidi" w:cstheme="majorBidi"/>
          <w:lang w:val="en"/>
        </w:rPr>
        <w:t xml:space="preserve"> includes </w:t>
      </w:r>
      <w:r w:rsidRPr="00F24C7B">
        <w:rPr>
          <w:rFonts w:asciiTheme="majorBidi" w:hAnsiTheme="majorBidi" w:cstheme="majorBidi"/>
          <w:u w:val="single"/>
          <w:lang w:val="en"/>
        </w:rPr>
        <w:t>any</w:t>
      </w:r>
      <w:r w:rsidRPr="00F24C7B">
        <w:rPr>
          <w:rFonts w:asciiTheme="majorBidi" w:hAnsiTheme="majorBidi" w:cstheme="majorBidi"/>
          <w:lang w:val="en"/>
        </w:rPr>
        <w:t xml:space="preserve"> of the following: crediting an account through a clearing house, charging via a credit card, depositing cash through an ATM, transferring or depositing to another account, paying a voucher, information query on any matter (from the seventh query per month), withdrawing a check, depositing a check (for every batch of up to 20 checks) including through a service box, charging an account through an authorized debit or standing bank order.</w:t>
      </w:r>
      <w:r w:rsidRPr="00F24C7B">
        <w:rPr>
          <w:rFonts w:asciiTheme="majorBidi" w:hAnsiTheme="majorBidi" w:cstheme="majorBidi"/>
          <w:color w:val="000080"/>
          <w:rtl/>
        </w:rPr>
        <w:t xml:space="preserve"> </w:t>
      </w:r>
    </w:p>
    <w:p w14:paraId="6D8941D2" w14:textId="69402732" w:rsidR="006739F1" w:rsidRDefault="006739F1" w:rsidP="00F24C7B">
      <w:pPr>
        <w:bidi w:val="0"/>
        <w:ind w:left="-55"/>
        <w:rPr>
          <w:rFonts w:asciiTheme="majorBidi" w:hAnsiTheme="majorBidi" w:cstheme="majorBidi"/>
          <w:lang w:val="en"/>
        </w:rPr>
      </w:pPr>
      <w:r w:rsidRPr="00F24C7B">
        <w:rPr>
          <w:rFonts w:asciiTheme="majorBidi" w:hAnsiTheme="majorBidi" w:cstheme="majorBidi"/>
          <w:lang w:val="en"/>
        </w:rPr>
        <w:t>This fee is collected when these transactions are made through a clearing house, ATM, the banking corporation’s website, or smartphone application.</w:t>
      </w:r>
    </w:p>
    <w:p w14:paraId="6590FA48" w14:textId="77777777" w:rsidR="006739F1" w:rsidRPr="00F24C7B" w:rsidRDefault="006739F1" w:rsidP="00F24C7B">
      <w:pPr>
        <w:bidi w:val="0"/>
        <w:ind w:left="-55"/>
        <w:rPr>
          <w:rFonts w:asciiTheme="majorBidi" w:hAnsiTheme="majorBidi" w:cstheme="majorBidi"/>
          <w:rtl/>
        </w:rPr>
      </w:pPr>
    </w:p>
    <w:p w14:paraId="05DE8A9B" w14:textId="77777777" w:rsidR="006739F1" w:rsidRPr="00F24C7B" w:rsidRDefault="006739F1" w:rsidP="00F24C7B">
      <w:pPr>
        <w:bidi w:val="0"/>
        <w:ind w:left="-55"/>
        <w:rPr>
          <w:rFonts w:asciiTheme="majorBidi" w:hAnsiTheme="majorBidi" w:cstheme="majorBidi"/>
          <w:vanish/>
          <w:rtl/>
          <w:specVanish/>
        </w:rPr>
      </w:pPr>
    </w:p>
    <w:p w14:paraId="457805BE" w14:textId="77777777" w:rsidR="006739F1" w:rsidRPr="00F24C7B" w:rsidRDefault="006739F1" w:rsidP="00F24C7B">
      <w:pPr>
        <w:bidi w:val="0"/>
        <w:ind w:left="-55"/>
        <w:rPr>
          <w:rFonts w:asciiTheme="majorBidi" w:hAnsiTheme="majorBidi" w:cstheme="majorBidi"/>
          <w:b/>
          <w:bCs/>
          <w:sz w:val="2"/>
          <w:szCs w:val="2"/>
          <w:u w:val="single"/>
          <w:rtl/>
        </w:rPr>
      </w:pPr>
      <w:r w:rsidRPr="00F24C7B">
        <w:rPr>
          <w:rFonts w:asciiTheme="majorBidi" w:hAnsiTheme="majorBidi" w:cstheme="majorBidi"/>
          <w:b/>
          <w:bCs/>
          <w:sz w:val="2"/>
          <w:szCs w:val="2"/>
          <w:u w:val="single"/>
          <w:rtl/>
        </w:rPr>
        <w:t xml:space="preserve"> </w:t>
      </w:r>
    </w:p>
    <w:p w14:paraId="28813506" w14:textId="77777777" w:rsidR="006739F1" w:rsidRPr="00F24C7B" w:rsidRDefault="006739F1" w:rsidP="00F24C7B">
      <w:pPr>
        <w:pStyle w:val="Heading3"/>
        <w:bidi w:val="0"/>
        <w:ind w:left="674"/>
        <w:rPr>
          <w:rFonts w:asciiTheme="majorBidi" w:hAnsiTheme="majorBidi" w:cstheme="majorBidi"/>
        </w:rPr>
      </w:pPr>
      <w:r w:rsidRPr="00F24C7B">
        <w:rPr>
          <w:rFonts w:asciiTheme="majorBidi" w:hAnsiTheme="majorBidi" w:cstheme="majorBidi"/>
          <w:lang w:val="en"/>
        </w:rPr>
        <w:t>Fixed monthly payment - the fee tracks service</w:t>
      </w:r>
    </w:p>
    <w:p w14:paraId="7FDBE956" w14:textId="77777777" w:rsidR="006739F1" w:rsidRPr="00F24C7B" w:rsidRDefault="006739F1" w:rsidP="00F24C7B">
      <w:pPr>
        <w:pStyle w:val="Heading3"/>
        <w:numPr>
          <w:ilvl w:val="0"/>
          <w:numId w:val="0"/>
        </w:numPr>
        <w:bidi w:val="0"/>
        <w:spacing w:line="240" w:lineRule="auto"/>
        <w:ind w:left="674"/>
        <w:rPr>
          <w:rFonts w:asciiTheme="majorBidi" w:hAnsiTheme="majorBidi" w:cstheme="majorBidi"/>
          <w:sz w:val="16"/>
          <w:szCs w:val="16"/>
        </w:rPr>
      </w:pPr>
    </w:p>
    <w:p w14:paraId="3293975B" w14:textId="77777777" w:rsidR="006739F1" w:rsidRPr="00F24C7B" w:rsidRDefault="006739F1" w:rsidP="00F24C7B">
      <w:pPr>
        <w:shd w:val="clear" w:color="auto" w:fill="D9D9D9" w:themeFill="background1" w:themeFillShade="D9"/>
        <w:bidi w:val="0"/>
        <w:spacing w:line="240" w:lineRule="auto"/>
        <w:ind w:left="-55"/>
        <w:jc w:val="center"/>
        <w:rPr>
          <w:rFonts w:asciiTheme="majorBidi" w:hAnsiTheme="majorBidi" w:cstheme="majorBidi"/>
          <w:b/>
          <w:bCs/>
          <w:sz w:val="28"/>
          <w:szCs w:val="28"/>
          <w:rtl/>
        </w:rPr>
      </w:pPr>
      <w:r w:rsidRPr="00F24C7B">
        <w:rPr>
          <w:rFonts w:asciiTheme="majorBidi" w:hAnsiTheme="majorBidi" w:cstheme="majorBidi"/>
          <w:b/>
          <w:bCs/>
          <w:sz w:val="28"/>
          <w:szCs w:val="28"/>
          <w:lang w:val="en"/>
        </w:rPr>
        <w:t xml:space="preserve">The fee tracks service - a uniform and supervised basket of services for managing a current account </w:t>
      </w:r>
    </w:p>
    <w:p w14:paraId="63225580" w14:textId="77777777" w:rsidR="006739F1" w:rsidRPr="00F24C7B" w:rsidRDefault="006739F1" w:rsidP="00F24C7B">
      <w:pPr>
        <w:shd w:val="clear" w:color="auto" w:fill="D9D9D9" w:themeFill="background1" w:themeFillShade="D9"/>
        <w:bidi w:val="0"/>
        <w:ind w:left="-55"/>
        <w:jc w:val="center"/>
        <w:rPr>
          <w:rFonts w:asciiTheme="majorBidi" w:hAnsiTheme="majorBidi" w:cstheme="majorBidi"/>
          <w:rtl/>
        </w:rPr>
      </w:pPr>
      <w:r w:rsidRPr="00F24C7B">
        <w:rPr>
          <w:rFonts w:asciiTheme="majorBidi" w:hAnsiTheme="majorBidi" w:cstheme="majorBidi"/>
          <w:lang w:val="en"/>
        </w:rPr>
        <w:t>Banking Supervision Department data indicate that 61 percent of total accounts pay less than NIS 10 per month on average</w:t>
      </w:r>
    </w:p>
    <w:p w14:paraId="3736E85E" w14:textId="77777777" w:rsidR="006739F1" w:rsidRPr="00F24C7B" w:rsidRDefault="006739F1" w:rsidP="00F24C7B">
      <w:pPr>
        <w:shd w:val="clear" w:color="auto" w:fill="D9D9D9" w:themeFill="background1" w:themeFillShade="D9"/>
        <w:bidi w:val="0"/>
        <w:ind w:left="-55"/>
        <w:jc w:val="center"/>
        <w:rPr>
          <w:rFonts w:asciiTheme="majorBidi" w:hAnsiTheme="majorBidi" w:cstheme="majorBidi"/>
          <w:rtl/>
        </w:rPr>
      </w:pPr>
      <w:r w:rsidRPr="00F24C7B">
        <w:rPr>
          <w:rFonts w:asciiTheme="majorBidi" w:hAnsiTheme="majorBidi" w:cstheme="majorBidi"/>
          <w:lang w:val="en"/>
        </w:rPr>
        <w:t xml:space="preserve"> 12 percent of the accounts are already enrolled in the tracks service. </w:t>
      </w:r>
    </w:p>
    <w:p w14:paraId="507D21F5" w14:textId="77777777" w:rsidR="006739F1" w:rsidRPr="00F24C7B" w:rsidRDefault="006739F1" w:rsidP="00F24C7B">
      <w:pPr>
        <w:shd w:val="clear" w:color="auto" w:fill="D9D9D9" w:themeFill="background1" w:themeFillShade="D9"/>
        <w:bidi w:val="0"/>
        <w:ind w:left="-55"/>
        <w:jc w:val="center"/>
        <w:rPr>
          <w:rFonts w:asciiTheme="majorBidi" w:hAnsiTheme="majorBidi" w:cstheme="majorBidi"/>
          <w:sz w:val="28"/>
          <w:szCs w:val="28"/>
          <w:rtl/>
        </w:rPr>
      </w:pPr>
      <w:r w:rsidRPr="00F24C7B">
        <w:rPr>
          <w:rFonts w:asciiTheme="majorBidi" w:hAnsiTheme="majorBidi" w:cstheme="majorBidi"/>
          <w:lang w:val="en"/>
        </w:rPr>
        <w:t>For 27 percent of the remaining accounts, it is recommended to consider enrolling in the service</w:t>
      </w:r>
    </w:p>
    <w:p w14:paraId="6B8C9C9A" w14:textId="77777777" w:rsidR="006739F1" w:rsidRPr="00F24C7B" w:rsidRDefault="006739F1" w:rsidP="00F24C7B">
      <w:pPr>
        <w:bidi w:val="0"/>
        <w:ind w:left="-55"/>
        <w:rPr>
          <w:rFonts w:asciiTheme="majorBidi" w:hAnsiTheme="majorBidi" w:cstheme="majorBidi"/>
          <w:sz w:val="4"/>
          <w:szCs w:val="4"/>
          <w:rtl/>
        </w:rPr>
      </w:pPr>
    </w:p>
    <w:p w14:paraId="0C60AFAB" w14:textId="1B7D65F9" w:rsidR="006739F1" w:rsidRPr="00F24C7B" w:rsidRDefault="006739F1" w:rsidP="00F24C7B">
      <w:pPr>
        <w:bidi w:val="0"/>
        <w:ind w:left="-55"/>
        <w:jc w:val="center"/>
        <w:rPr>
          <w:rFonts w:asciiTheme="majorBidi" w:hAnsiTheme="majorBidi" w:cstheme="majorBidi"/>
          <w:noProof/>
          <w:rtl/>
        </w:rPr>
      </w:pPr>
      <w:r w:rsidRPr="00F24C7B">
        <w:rPr>
          <w:rFonts w:asciiTheme="majorBidi" w:hAnsiTheme="majorBidi" w:cstheme="majorBidi"/>
          <w:u w:val="single"/>
          <w:lang w:val="en"/>
        </w:rPr>
        <w:t>Figure 5 - Breakdown of accounts (thousands) - enrollment in the fees tracks, December 31</w:t>
      </w:r>
      <w:r w:rsidR="00E64F02">
        <w:rPr>
          <w:rFonts w:asciiTheme="majorBidi" w:hAnsiTheme="majorBidi" w:cstheme="majorBidi"/>
          <w:u w:val="single"/>
          <w:lang w:val="en"/>
        </w:rPr>
        <w:t>,</w:t>
      </w:r>
      <w:r w:rsidRPr="00F24C7B">
        <w:rPr>
          <w:rFonts w:asciiTheme="majorBidi" w:hAnsiTheme="majorBidi" w:cstheme="majorBidi"/>
          <w:u w:val="single"/>
          <w:lang w:val="en"/>
        </w:rPr>
        <w:t xml:space="preserve"> 2019*</w:t>
      </w:r>
      <w:r w:rsidRPr="00F24C7B">
        <w:rPr>
          <w:rStyle w:val="FootnoteReference"/>
          <w:rFonts w:asciiTheme="majorBidi" w:hAnsiTheme="majorBidi" w:cstheme="majorBidi"/>
          <w:b/>
          <w:bCs/>
          <w:sz w:val="20"/>
          <w:szCs w:val="20"/>
          <w:u w:val="single"/>
          <w:lang w:val="en"/>
        </w:rPr>
        <w:footnoteReference w:id="3"/>
      </w:r>
    </w:p>
    <w:p w14:paraId="743FE000" w14:textId="5A1CA0A7" w:rsidR="006739F1" w:rsidRPr="00F24C7B" w:rsidRDefault="006739F1" w:rsidP="00F24C7B">
      <w:pPr>
        <w:bidi w:val="0"/>
        <w:ind w:left="-55"/>
        <w:jc w:val="center"/>
        <w:rPr>
          <w:rFonts w:asciiTheme="majorBidi" w:hAnsiTheme="majorBidi" w:cstheme="majorBidi"/>
          <w:noProof/>
          <w:rtl/>
        </w:rPr>
      </w:pPr>
      <w:r w:rsidRPr="00F24C7B">
        <w:rPr>
          <w:rFonts w:asciiTheme="majorBidi" w:hAnsiTheme="majorBidi" w:cstheme="majorBidi"/>
          <w:noProof/>
          <w:u w:val="single"/>
          <w:rtl/>
        </w:rPr>
        <mc:AlternateContent>
          <mc:Choice Requires="wps">
            <w:drawing>
              <wp:anchor distT="0" distB="0" distL="114300" distR="114300" simplePos="0" relativeHeight="251677696" behindDoc="0" locked="0" layoutInCell="1" allowOverlap="1" wp14:anchorId="70F14BA7" wp14:editId="06C5F7AA">
                <wp:simplePos x="0" y="0"/>
                <wp:positionH relativeFrom="column">
                  <wp:posOffset>2152183</wp:posOffset>
                </wp:positionH>
                <wp:positionV relativeFrom="paragraph">
                  <wp:posOffset>560070</wp:posOffset>
                </wp:positionV>
                <wp:extent cx="215409" cy="155216"/>
                <wp:effectExtent l="38100" t="38100" r="32385" b="35560"/>
                <wp:wrapNone/>
                <wp:docPr id="9" name="מחבר חץ ישר 9"/>
                <wp:cNvGraphicFramePr/>
                <a:graphic xmlns:a="http://schemas.openxmlformats.org/drawingml/2006/main">
                  <a:graphicData uri="http://schemas.microsoft.com/office/word/2010/wordprocessingShape">
                    <wps:wsp>
                      <wps:cNvCnPr/>
                      <wps:spPr>
                        <a:xfrm flipH="1" flipV="1">
                          <a:off x="0" y="0"/>
                          <a:ext cx="215409" cy="15521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A5A4355" id="_x0000_t32" coordsize="21600,21600" o:spt="32" o:oned="t" path="m,l21600,21600e" filled="f">
                <v:path arrowok="t" fillok="f" o:connecttype="none"/>
                <o:lock v:ext="edit" shapetype="t"/>
              </v:shapetype>
              <v:shape id="מחבר חץ ישר 9" o:spid="_x0000_s1026" type="#_x0000_t32" style="position:absolute;margin-left:169.45pt;margin-top:44.1pt;width:16.95pt;height:12.2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" strokecolor="black [3040]">
                <v:stroke endarrow="block"/>
              </v:shape>
            </w:pict>
          </mc:Fallback>
        </mc:AlternateContent>
      </w:r>
      <w:r w:rsidR="00530D2E" w:rsidRPr="00530D2E">
        <w:rPr>
          <w:noProof/>
        </w:rPr>
        <w:t xml:space="preserve"> </w:t>
      </w:r>
      <w:r w:rsidR="00530D2E">
        <w:rPr>
          <w:noProof/>
        </w:rPr>
        <w:drawing>
          <wp:inline distT="0" distB="0" distL="0" distR="0" wp14:anchorId="6A3B070D" wp14:editId="04BAF773">
            <wp:extent cx="5133975" cy="3714750"/>
            <wp:effectExtent l="0" t="0" r="9525" b="19050"/>
            <wp:docPr id="19" name="תרשים 19">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18158A2" w14:textId="77777777" w:rsidR="006739F1" w:rsidRPr="00F24C7B" w:rsidRDefault="006739F1" w:rsidP="00F24C7B">
      <w:pPr>
        <w:bidi w:val="0"/>
        <w:rPr>
          <w:rFonts w:asciiTheme="majorBidi" w:hAnsiTheme="majorBidi" w:cstheme="majorBidi"/>
          <w:b/>
          <w:bCs/>
          <w:sz w:val="20"/>
          <w:szCs w:val="20"/>
          <w:rtl/>
        </w:rPr>
      </w:pPr>
      <w:r w:rsidRPr="00F24C7B">
        <w:rPr>
          <w:rFonts w:asciiTheme="majorBidi" w:hAnsiTheme="majorBidi" w:cstheme="majorBidi"/>
          <w:sz w:val="20"/>
          <w:szCs w:val="20"/>
          <w:lang w:val="en"/>
        </w:rPr>
        <w:tab/>
      </w:r>
      <w:r w:rsidRPr="00F24C7B">
        <w:rPr>
          <w:rFonts w:asciiTheme="majorBidi" w:hAnsiTheme="majorBidi" w:cstheme="majorBidi"/>
          <w:sz w:val="20"/>
          <w:szCs w:val="20"/>
          <w:lang w:val="en"/>
        </w:rPr>
        <w:tab/>
      </w:r>
      <w:r w:rsidRPr="00F24C7B">
        <w:rPr>
          <w:rFonts w:asciiTheme="majorBidi" w:hAnsiTheme="majorBidi" w:cstheme="majorBidi"/>
          <w:sz w:val="20"/>
          <w:szCs w:val="20"/>
          <w:lang w:val="en"/>
        </w:rPr>
        <w:tab/>
        <w:t>* Source: Reports by the banks and calculations by the Banking Supervision Department</w:t>
      </w:r>
    </w:p>
    <w:p w14:paraId="6A3229C6" w14:textId="77777777" w:rsidR="006739F1" w:rsidRPr="00F24C7B" w:rsidRDefault="006739F1" w:rsidP="00F24C7B">
      <w:pPr>
        <w:bidi w:val="0"/>
        <w:spacing w:line="240" w:lineRule="auto"/>
        <w:ind w:left="-55"/>
        <w:rPr>
          <w:rFonts w:asciiTheme="majorBidi" w:hAnsiTheme="majorBidi" w:cstheme="majorBidi"/>
          <w:rtl/>
        </w:rPr>
      </w:pPr>
    </w:p>
    <w:p w14:paraId="2179727D" w14:textId="74CB22A3" w:rsidR="006739F1" w:rsidRPr="00F24C7B" w:rsidRDefault="006739F1" w:rsidP="00F24C7B">
      <w:pPr>
        <w:bidi w:val="0"/>
        <w:ind w:left="-55"/>
        <w:rPr>
          <w:rFonts w:asciiTheme="majorBidi" w:hAnsiTheme="majorBidi" w:cstheme="majorBidi"/>
          <w:rtl/>
        </w:rPr>
      </w:pPr>
      <w:r w:rsidRPr="00F24C7B">
        <w:rPr>
          <w:rFonts w:asciiTheme="majorBidi" w:hAnsiTheme="majorBidi" w:cstheme="majorBidi"/>
          <w:lang w:val="en"/>
        </w:rPr>
        <w:lastRenderedPageBreak/>
        <w:t>Beginning on April 1</w:t>
      </w:r>
      <w:r w:rsidR="00E64F02">
        <w:rPr>
          <w:rFonts w:asciiTheme="majorBidi" w:hAnsiTheme="majorBidi" w:cstheme="majorBidi"/>
          <w:lang w:val="en"/>
        </w:rPr>
        <w:t>,</w:t>
      </w:r>
      <w:r w:rsidRPr="00F24C7B">
        <w:rPr>
          <w:rFonts w:asciiTheme="majorBidi" w:hAnsiTheme="majorBidi" w:cstheme="majorBidi"/>
          <w:lang w:val="en"/>
        </w:rPr>
        <w:t xml:space="preserve"> 2014, banks are required to offer their customers the fee tracks service (basic and extended) in a current account, i.e., a </w:t>
      </w:r>
      <w:r w:rsidRPr="00F24C7B">
        <w:rPr>
          <w:rFonts w:asciiTheme="majorBidi" w:hAnsiTheme="majorBidi" w:cstheme="majorBidi"/>
          <w:b/>
          <w:bCs/>
          <w:lang w:val="en"/>
        </w:rPr>
        <w:t>fixed monthly payment</w:t>
      </w:r>
      <w:r w:rsidRPr="00F24C7B">
        <w:rPr>
          <w:rFonts w:asciiTheme="majorBidi" w:hAnsiTheme="majorBidi" w:cstheme="majorBidi"/>
          <w:lang w:val="en"/>
        </w:rPr>
        <w:t xml:space="preserve"> for carrying out several predefined transactions (teller-executed and customer executed). A bank that so chooses, may also offer an extended-plus track. </w:t>
      </w:r>
    </w:p>
    <w:p w14:paraId="4B29EBEB" w14:textId="77777777" w:rsidR="006739F1" w:rsidRPr="00F24C7B" w:rsidRDefault="006739F1" w:rsidP="00F24C7B">
      <w:pPr>
        <w:bidi w:val="0"/>
        <w:ind w:left="-55"/>
        <w:rPr>
          <w:rFonts w:asciiTheme="majorBidi" w:hAnsiTheme="majorBidi" w:cstheme="majorBidi"/>
          <w:rtl/>
        </w:rPr>
      </w:pPr>
      <w:r w:rsidRPr="00F24C7B">
        <w:rPr>
          <w:rFonts w:asciiTheme="majorBidi" w:hAnsiTheme="majorBidi" w:cstheme="majorBidi"/>
          <w:lang w:val="en"/>
        </w:rPr>
        <w:t xml:space="preserve">Over the years, and as a direct result of measures taken by the banking system and Banking Supervision Department, the number of accounts being enrolled in the fee tracks service has increased consistently. </w:t>
      </w:r>
    </w:p>
    <w:p w14:paraId="224C6D4A" w14:textId="77777777" w:rsidR="006739F1" w:rsidRPr="00F24C7B" w:rsidRDefault="006739F1" w:rsidP="00F24C7B">
      <w:pPr>
        <w:bidi w:val="0"/>
        <w:ind w:left="-55"/>
        <w:rPr>
          <w:rFonts w:asciiTheme="majorBidi" w:hAnsiTheme="majorBidi" w:cstheme="majorBidi"/>
          <w:b/>
          <w:bCs/>
          <w:u w:val="single"/>
          <w:rtl/>
        </w:rPr>
      </w:pPr>
      <w:r w:rsidRPr="00F24C7B">
        <w:rPr>
          <w:rFonts w:asciiTheme="majorBidi" w:hAnsiTheme="majorBidi" w:cstheme="majorBidi"/>
          <w:b/>
          <w:bCs/>
          <w:u w:val="single"/>
          <w:lang w:val="en"/>
        </w:rPr>
        <w:t>Proactive enrollment in the service</w:t>
      </w:r>
    </w:p>
    <w:p w14:paraId="69097E55" w14:textId="277A8B8F" w:rsidR="006739F1" w:rsidRPr="00F24C7B" w:rsidRDefault="006739F1" w:rsidP="00E64F02">
      <w:pPr>
        <w:bidi w:val="0"/>
        <w:ind w:left="-55"/>
        <w:rPr>
          <w:rFonts w:asciiTheme="majorBidi" w:hAnsiTheme="majorBidi" w:cstheme="majorBidi"/>
          <w:b/>
          <w:bCs/>
          <w:rtl/>
        </w:rPr>
      </w:pPr>
      <w:r w:rsidRPr="00F24C7B">
        <w:rPr>
          <w:rFonts w:asciiTheme="majorBidi" w:hAnsiTheme="majorBidi" w:cstheme="majorBidi"/>
          <w:b/>
          <w:bCs/>
          <w:lang w:val="en"/>
        </w:rPr>
        <w:t>In the second half of 2019, approx</w:t>
      </w:r>
      <w:r w:rsidR="00E64F02">
        <w:rPr>
          <w:rFonts w:asciiTheme="majorBidi" w:hAnsiTheme="majorBidi" w:cstheme="majorBidi"/>
          <w:b/>
          <w:bCs/>
          <w:lang w:val="en"/>
        </w:rPr>
        <w:t xml:space="preserve">imately </w:t>
      </w:r>
      <w:r w:rsidRPr="00F24C7B">
        <w:rPr>
          <w:rFonts w:asciiTheme="majorBidi" w:hAnsiTheme="majorBidi" w:cstheme="majorBidi"/>
          <w:b/>
          <w:bCs/>
          <w:lang w:val="en"/>
        </w:rPr>
        <w:t>190,000 accounts enrolled in the tracks service. Most of the accounts are of small businesses (of self-employed individuals or small businesses), which were enrolled in the tracks service following instructions by the Banking Supervision Department.</w:t>
      </w:r>
      <w:r w:rsidRPr="00F24C7B">
        <w:rPr>
          <w:rFonts w:asciiTheme="majorBidi" w:hAnsiTheme="majorBidi" w:cstheme="majorBidi"/>
          <w:b/>
          <w:bCs/>
          <w:vertAlign w:val="superscript"/>
          <w:lang w:val="en"/>
        </w:rPr>
        <w:footnoteReference w:id="4"/>
      </w:r>
    </w:p>
    <w:p w14:paraId="2C40638A" w14:textId="77777777" w:rsidR="006739F1" w:rsidRPr="00F24C7B" w:rsidRDefault="006739F1" w:rsidP="00F24C7B">
      <w:pPr>
        <w:bidi w:val="0"/>
        <w:ind w:left="-55"/>
        <w:rPr>
          <w:rFonts w:asciiTheme="majorBidi" w:hAnsiTheme="majorBidi" w:cstheme="majorBidi"/>
          <w:rtl/>
        </w:rPr>
      </w:pPr>
    </w:p>
    <w:p w14:paraId="3D3764BF" w14:textId="77777777" w:rsidR="006739F1" w:rsidRPr="00F24C7B" w:rsidRDefault="006739F1" w:rsidP="00F24C7B">
      <w:pPr>
        <w:shd w:val="clear" w:color="auto" w:fill="D9D9D9" w:themeFill="background1" w:themeFillShade="D9"/>
        <w:bidi w:val="0"/>
        <w:ind w:left="-55"/>
        <w:jc w:val="center"/>
        <w:rPr>
          <w:rFonts w:asciiTheme="majorBidi" w:hAnsiTheme="majorBidi" w:cstheme="majorBidi"/>
          <w:b/>
          <w:bCs/>
          <w:rtl/>
        </w:rPr>
      </w:pPr>
      <w:r w:rsidRPr="00F24C7B">
        <w:rPr>
          <w:rFonts w:asciiTheme="majorBidi" w:hAnsiTheme="majorBidi" w:cstheme="majorBidi"/>
          <w:b/>
          <w:bCs/>
          <w:lang w:val="en"/>
        </w:rPr>
        <w:t>The Banking Supervision Department calls on the public to examine the worthwhileness of the service for them!</w:t>
      </w:r>
    </w:p>
    <w:p w14:paraId="1120D565" w14:textId="6AEEF5E9" w:rsidR="006739F1" w:rsidRPr="00F24C7B" w:rsidRDefault="006739F1" w:rsidP="005E4DF7">
      <w:pPr>
        <w:shd w:val="clear" w:color="auto" w:fill="D9D9D9" w:themeFill="background1" w:themeFillShade="D9"/>
        <w:bidi w:val="0"/>
        <w:ind w:left="-55"/>
        <w:jc w:val="center"/>
        <w:rPr>
          <w:rFonts w:asciiTheme="majorBidi" w:hAnsiTheme="majorBidi" w:cstheme="majorBidi"/>
          <w:b/>
          <w:bCs/>
        </w:rPr>
      </w:pPr>
      <w:r w:rsidRPr="00F24C7B">
        <w:rPr>
          <w:rFonts w:asciiTheme="majorBidi" w:hAnsiTheme="majorBidi" w:cstheme="majorBidi"/>
          <w:b/>
          <w:bCs/>
          <w:lang w:val="en"/>
        </w:rPr>
        <w:t>Enrolling in the fee tracks service is simple and can be done through direct channels as well as by a teller.</w:t>
      </w:r>
    </w:p>
    <w:p w14:paraId="33A74DA6" w14:textId="77777777" w:rsidR="006739F1" w:rsidRPr="00F24C7B" w:rsidRDefault="006739F1" w:rsidP="00F24C7B">
      <w:pPr>
        <w:tabs>
          <w:tab w:val="clear" w:pos="567"/>
          <w:tab w:val="clear" w:pos="1134"/>
          <w:tab w:val="clear" w:pos="1814"/>
          <w:tab w:val="clear" w:pos="2665"/>
        </w:tabs>
        <w:bidi w:val="0"/>
        <w:spacing w:line="240" w:lineRule="auto"/>
        <w:jc w:val="left"/>
        <w:rPr>
          <w:rFonts w:asciiTheme="majorBidi" w:hAnsiTheme="majorBidi" w:cstheme="majorBidi"/>
        </w:rPr>
      </w:pPr>
    </w:p>
    <w:p w14:paraId="727578D0" w14:textId="77777777" w:rsidR="00F24C7B" w:rsidRDefault="00F24C7B" w:rsidP="00F24C7B">
      <w:pPr>
        <w:tabs>
          <w:tab w:val="clear" w:pos="567"/>
          <w:tab w:val="clear" w:pos="1134"/>
          <w:tab w:val="clear" w:pos="1814"/>
          <w:tab w:val="clear" w:pos="2665"/>
        </w:tabs>
        <w:bidi w:val="0"/>
        <w:spacing w:line="240" w:lineRule="auto"/>
        <w:jc w:val="left"/>
        <w:rPr>
          <w:rFonts w:asciiTheme="majorBidi" w:hAnsiTheme="majorBidi" w:cstheme="majorBidi"/>
          <w:u w:val="single"/>
          <w:lang w:val="en"/>
        </w:rPr>
      </w:pPr>
    </w:p>
    <w:p w14:paraId="1272B3D6" w14:textId="3617937A" w:rsidR="006739F1" w:rsidRPr="00F24C7B" w:rsidRDefault="006739F1" w:rsidP="00F24C7B">
      <w:pPr>
        <w:shd w:val="clear" w:color="auto" w:fill="D9D9D9"/>
        <w:tabs>
          <w:tab w:val="center" w:pos="4845"/>
          <w:tab w:val="right" w:pos="9746"/>
        </w:tabs>
        <w:bidi w:val="0"/>
        <w:ind w:left="-55"/>
        <w:jc w:val="center"/>
        <w:rPr>
          <w:rFonts w:asciiTheme="majorBidi" w:hAnsiTheme="majorBidi" w:cstheme="majorBidi"/>
          <w:b/>
          <w:bCs/>
          <w:sz w:val="32"/>
          <w:szCs w:val="32"/>
          <w:rtl/>
        </w:rPr>
      </w:pPr>
      <w:r w:rsidRPr="00F24C7B">
        <w:rPr>
          <w:rFonts w:asciiTheme="majorBidi" w:hAnsiTheme="majorBidi" w:cstheme="majorBidi"/>
          <w:b/>
          <w:bCs/>
          <w:sz w:val="28"/>
          <w:szCs w:val="28"/>
          <w:lang w:val="en"/>
        </w:rPr>
        <w:t>The basic service track is worthwhile for households</w:t>
      </w:r>
    </w:p>
    <w:p w14:paraId="5569E445" w14:textId="1AC79C9A" w:rsidR="006739F1" w:rsidRPr="00F24C7B" w:rsidRDefault="006739F1" w:rsidP="00F24C7B">
      <w:pPr>
        <w:bidi w:val="0"/>
        <w:ind w:left="-55"/>
        <w:jc w:val="center"/>
        <w:rPr>
          <w:rFonts w:asciiTheme="majorBidi" w:hAnsiTheme="majorBidi" w:cstheme="majorBidi"/>
          <w:u w:val="single"/>
        </w:rPr>
      </w:pPr>
    </w:p>
    <w:p w14:paraId="72B17112" w14:textId="77777777" w:rsidR="00696C79" w:rsidRDefault="00696C79">
      <w:pPr>
        <w:tabs>
          <w:tab w:val="clear" w:pos="567"/>
          <w:tab w:val="clear" w:pos="1134"/>
          <w:tab w:val="clear" w:pos="1814"/>
          <w:tab w:val="clear" w:pos="2665"/>
        </w:tabs>
        <w:bidi w:val="0"/>
        <w:spacing w:line="240" w:lineRule="auto"/>
        <w:jc w:val="left"/>
        <w:rPr>
          <w:rFonts w:asciiTheme="majorBidi" w:hAnsiTheme="majorBidi" w:cstheme="majorBidi"/>
          <w:u w:val="single"/>
          <w:lang w:val="en"/>
        </w:rPr>
      </w:pPr>
      <w:r>
        <w:rPr>
          <w:rFonts w:asciiTheme="majorBidi" w:hAnsiTheme="majorBidi" w:cstheme="majorBidi"/>
          <w:u w:val="single"/>
          <w:lang w:val="en"/>
        </w:rPr>
        <w:br w:type="page"/>
      </w:r>
    </w:p>
    <w:p w14:paraId="0ED5A238" w14:textId="34344410" w:rsidR="00696C79" w:rsidRDefault="006739F1" w:rsidP="00F24C7B">
      <w:pPr>
        <w:bidi w:val="0"/>
        <w:ind w:left="-55"/>
        <w:jc w:val="center"/>
        <w:rPr>
          <w:rFonts w:asciiTheme="majorBidi" w:hAnsiTheme="majorBidi" w:cstheme="majorBidi"/>
          <w:u w:val="single"/>
          <w:lang w:val="en"/>
        </w:rPr>
      </w:pPr>
      <w:r w:rsidRPr="00F24C7B">
        <w:rPr>
          <w:rFonts w:asciiTheme="majorBidi" w:hAnsiTheme="majorBidi" w:cstheme="majorBidi"/>
          <w:u w:val="single"/>
          <w:lang w:val="en"/>
        </w:rPr>
        <w:lastRenderedPageBreak/>
        <w:t>Figure 6 - Cost comparison between: Teller-executed and customer-executed fee schedules, actual cost without a fee track, and basic service track cost</w:t>
      </w:r>
    </w:p>
    <w:p w14:paraId="5C8342B0" w14:textId="46A433F7" w:rsidR="005D754C" w:rsidRDefault="005D754C" w:rsidP="005D754C">
      <w:pPr>
        <w:bidi w:val="0"/>
        <w:ind w:left="-55"/>
        <w:jc w:val="center"/>
        <w:rPr>
          <w:rFonts w:asciiTheme="majorBidi" w:hAnsiTheme="majorBidi" w:cstheme="majorBidi"/>
          <w:u w:val="single"/>
          <w:lang w:val="en"/>
        </w:rPr>
      </w:pPr>
    </w:p>
    <w:p w14:paraId="0773A6A6" w14:textId="246A6D1D" w:rsidR="005D754C" w:rsidRDefault="00B96EA9" w:rsidP="005D754C">
      <w:pPr>
        <w:bidi w:val="0"/>
        <w:ind w:left="-55"/>
        <w:jc w:val="center"/>
        <w:rPr>
          <w:rFonts w:asciiTheme="majorBidi" w:hAnsiTheme="majorBidi" w:cstheme="majorBidi"/>
          <w:u w:val="single"/>
          <w:lang w:val="en"/>
        </w:rPr>
      </w:pPr>
      <w:r>
        <w:rPr>
          <w:rFonts w:asciiTheme="majorBidi" w:hAnsiTheme="majorBidi" w:cstheme="majorBidi"/>
          <w:noProof/>
          <w:u w:val="single"/>
        </w:rPr>
        <w:drawing>
          <wp:anchor distT="0" distB="0" distL="114300" distR="114300" simplePos="0" relativeHeight="251676671" behindDoc="0" locked="0" layoutInCell="1" allowOverlap="1" wp14:anchorId="41B01BB0" wp14:editId="4BF46587">
            <wp:simplePos x="0" y="0"/>
            <wp:positionH relativeFrom="column">
              <wp:posOffset>0</wp:posOffset>
            </wp:positionH>
            <wp:positionV relativeFrom="paragraph">
              <wp:posOffset>-635</wp:posOffset>
            </wp:positionV>
            <wp:extent cx="6905625" cy="3581400"/>
            <wp:effectExtent l="0" t="0" r="0" b="0"/>
            <wp:wrapNone/>
            <wp:docPr id="30" name="תרשים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anchor>
        </w:drawing>
      </w:r>
    </w:p>
    <w:p w14:paraId="1EC560F0" w14:textId="6110D176" w:rsidR="005D754C" w:rsidRDefault="000328FC" w:rsidP="005D754C">
      <w:pPr>
        <w:bidi w:val="0"/>
        <w:ind w:left="-55"/>
        <w:jc w:val="center"/>
        <w:rPr>
          <w:rFonts w:asciiTheme="majorBidi" w:hAnsiTheme="majorBidi" w:cstheme="majorBidi"/>
          <w:u w:val="single"/>
          <w:lang w:val="en"/>
        </w:rPr>
      </w:pPr>
      <w:r w:rsidRPr="00F24C7B">
        <w:rPr>
          <w:rFonts w:asciiTheme="majorBidi" w:hAnsiTheme="majorBidi" w:cstheme="majorBidi"/>
          <w:noProof/>
        </w:rPr>
        <mc:AlternateContent>
          <mc:Choice Requires="wps">
            <w:drawing>
              <wp:anchor distT="0" distB="0" distL="114300" distR="114300" simplePos="0" relativeHeight="251681792" behindDoc="0" locked="0" layoutInCell="1" allowOverlap="1" wp14:anchorId="023CA613" wp14:editId="130E017C">
                <wp:simplePos x="0" y="0"/>
                <wp:positionH relativeFrom="column">
                  <wp:posOffset>5873750</wp:posOffset>
                </wp:positionH>
                <wp:positionV relativeFrom="paragraph">
                  <wp:posOffset>186690</wp:posOffset>
                </wp:positionV>
                <wp:extent cx="881380" cy="987425"/>
                <wp:effectExtent l="0" t="0" r="13970" b="22225"/>
                <wp:wrapNone/>
                <wp:docPr id="11" name="TextBox 5"/>
                <wp:cNvGraphicFramePr/>
                <a:graphic xmlns:a="http://schemas.openxmlformats.org/drawingml/2006/main">
                  <a:graphicData uri="http://schemas.microsoft.com/office/word/2010/wordprocessingShape">
                    <wps:wsp>
                      <wps:cNvSpPr txBox="1"/>
                      <wps:spPr>
                        <a:xfrm>
                          <a:off x="0" y="0"/>
                          <a:ext cx="881380" cy="987425"/>
                        </a:xfrm>
                        <a:prstGeom prst="rect">
                          <a:avLst/>
                        </a:prstGeom>
                      </wps:spPr>
                      <wps:style>
                        <a:lnRef idx="2">
                          <a:schemeClr val="accent4"/>
                        </a:lnRef>
                        <a:fillRef idx="1">
                          <a:schemeClr val="lt1"/>
                        </a:fillRef>
                        <a:effectRef idx="0">
                          <a:schemeClr val="accent4"/>
                        </a:effectRef>
                        <a:fontRef idx="minor">
                          <a:schemeClr val="dk1"/>
                        </a:fontRef>
                      </wps:style>
                      <wps:txbx>
                        <w:txbxContent>
                          <w:p w14:paraId="67EE20AC" w14:textId="77777777" w:rsidR="006739F1" w:rsidRPr="00092000" w:rsidRDefault="006739F1" w:rsidP="006739F1">
                            <w:pPr>
                              <w:pStyle w:val="NormalWeb"/>
                              <w:spacing w:before="0" w:beforeAutospacing="0" w:after="0" w:afterAutospacing="0"/>
                              <w:rPr>
                                <w:sz w:val="22"/>
                                <w:szCs w:val="22"/>
                              </w:rPr>
                            </w:pPr>
                            <w:r>
                              <w:rPr>
                                <w:rFonts w:ascii="David" w:hAnsi="David" w:cs="David"/>
                                <w:color w:val="000000" w:themeColor="dark1"/>
                                <w:sz w:val="20"/>
                                <w:szCs w:val="20"/>
                                <w:lang w:val="en"/>
                              </w:rPr>
                              <w:t xml:space="preserve">The Bank of Jerusalem charges a total of NIS </w:t>
                            </w:r>
                            <w:r>
                              <w:rPr>
                                <w:rFonts w:ascii="David" w:hAnsi="David" w:cs="David"/>
                                <w:b/>
                                <w:bCs/>
                                <w:color w:val="000000" w:themeColor="dark1"/>
                                <w:sz w:val="20"/>
                                <w:szCs w:val="20"/>
                                <w:lang w:val="en"/>
                              </w:rPr>
                              <w:t>6.5</w:t>
                            </w:r>
                            <w:r>
                              <w:rPr>
                                <w:rFonts w:ascii="David" w:hAnsi="David" w:cs="David"/>
                                <w:color w:val="000000" w:themeColor="dark1"/>
                                <w:sz w:val="20"/>
                                <w:szCs w:val="20"/>
                                <w:lang w:val="en"/>
                              </w:rPr>
                              <w:t xml:space="preserve"> per month for all transactions. </w:t>
                            </w:r>
                          </w:p>
                        </w:txbxContent>
                      </wps:txbx>
                      <wps:bodyPr vertOverflow="clip" horzOverflow="clip" wrap="square" rtlCol="1" anchor="t">
                        <a:noAutofit/>
                      </wps:bodyPr>
                    </wps:wsp>
                  </a:graphicData>
                </a:graphic>
                <wp14:sizeRelH relativeFrom="margin">
                  <wp14:pctWidth>0</wp14:pctWidth>
                </wp14:sizeRelH>
                <wp14:sizeRelV relativeFrom="margin">
                  <wp14:pctHeight>0</wp14:pctHeight>
                </wp14:sizeRelV>
              </wp:anchor>
            </w:drawing>
          </mc:Choice>
          <mc:Fallback>
            <w:pict>
              <v:shapetype w14:anchorId="023CA613" id="_x0000_t202" coordsize="21600,21600" o:spt="202" path="m,l,21600r21600,l21600,xe">
                <v:stroke joinstyle="miter"/>
                <v:path gradientshapeok="t" o:connecttype="rect"/>
              </v:shapetype>
              <v:shape id="TextBox 5" o:spid="_x0000_s1026" type="#_x0000_t202" style="position:absolute;left:0;text-align:left;margin-left:462.5pt;margin-top:14.7pt;width:69.4pt;height:7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" fillcolor="white [3201]" strokecolor="#8064a2 [3207]" strokeweight="2pt">
                <v:textbox>
                  <w:txbxContent>
                    <w:p w14:paraId="67EE20AC" w14:textId="77777777" w:rsidR="006739F1" w:rsidRPr="00092000" w:rsidRDefault="006739F1" w:rsidP="006739F1">
                      <w:pPr>
                        <w:pStyle w:val="NormalWeb"/>
                        <w:spacing w:before="0" w:beforeAutospacing="0" w:after="0" w:afterAutospacing="0"/>
                        <w:rPr>
                          <w:sz w:val="22"/>
                          <w:szCs w:val="22"/>
                        </w:rPr>
                      </w:pPr>
                      <w:r>
                        <w:rPr>
                          <w:rFonts w:ascii="David" w:hAnsi="David" w:cs="David"/>
                          <w:color w:val="000000" w:themeColor="dark1"/>
                          <w:sz w:val="20"/>
                          <w:szCs w:val="20"/>
                          <w:lang w:val="en"/>
                        </w:rPr>
                        <w:t xml:space="preserve">The Bank of Jerusalem charges a total of NIS </w:t>
                      </w:r>
                      <w:r>
                        <w:rPr>
                          <w:rFonts w:ascii="David" w:hAnsi="David" w:cs="David"/>
                          <w:b/>
                          <w:bCs/>
                          <w:color w:val="000000" w:themeColor="dark1"/>
                          <w:sz w:val="20"/>
                          <w:szCs w:val="20"/>
                          <w:lang w:val="en"/>
                        </w:rPr>
                        <w:t>6.5</w:t>
                      </w:r>
                      <w:r>
                        <w:rPr>
                          <w:rFonts w:ascii="David" w:hAnsi="David" w:cs="David"/>
                          <w:color w:val="000000" w:themeColor="dark1"/>
                          <w:sz w:val="20"/>
                          <w:szCs w:val="20"/>
                          <w:lang w:val="en"/>
                        </w:rPr>
                        <w:t xml:space="preserve"> per month for all transactions. </w:t>
                      </w:r>
                    </w:p>
                  </w:txbxContent>
                </v:textbox>
              </v:shape>
            </w:pict>
          </mc:Fallback>
        </mc:AlternateContent>
      </w:r>
    </w:p>
    <w:p w14:paraId="3763DC5C" w14:textId="1AF5C199" w:rsidR="005D754C" w:rsidRDefault="005D754C" w:rsidP="005D754C">
      <w:pPr>
        <w:bidi w:val="0"/>
        <w:ind w:left="-55"/>
        <w:jc w:val="center"/>
        <w:rPr>
          <w:rFonts w:asciiTheme="majorBidi" w:hAnsiTheme="majorBidi" w:cstheme="majorBidi"/>
          <w:u w:val="single"/>
          <w:lang w:val="en"/>
        </w:rPr>
      </w:pPr>
    </w:p>
    <w:p w14:paraId="4FDDB3BA" w14:textId="622C5FC4" w:rsidR="005D754C" w:rsidRDefault="005D754C" w:rsidP="005D754C">
      <w:pPr>
        <w:bidi w:val="0"/>
        <w:ind w:left="-55"/>
        <w:jc w:val="center"/>
        <w:rPr>
          <w:rFonts w:asciiTheme="majorBidi" w:hAnsiTheme="majorBidi" w:cstheme="majorBidi"/>
          <w:u w:val="single"/>
          <w:lang w:val="en"/>
        </w:rPr>
      </w:pPr>
    </w:p>
    <w:p w14:paraId="2346ACA6" w14:textId="0DA7296E" w:rsidR="005D754C" w:rsidRDefault="005D754C">
      <w:pPr>
        <w:tabs>
          <w:tab w:val="clear" w:pos="567"/>
          <w:tab w:val="clear" w:pos="1134"/>
          <w:tab w:val="clear" w:pos="1814"/>
          <w:tab w:val="clear" w:pos="2665"/>
        </w:tabs>
        <w:bidi w:val="0"/>
        <w:spacing w:line="240" w:lineRule="auto"/>
        <w:jc w:val="left"/>
        <w:rPr>
          <w:rFonts w:asciiTheme="majorBidi" w:hAnsiTheme="majorBidi" w:cstheme="majorBidi"/>
          <w:u w:val="single"/>
          <w:lang w:val="en"/>
        </w:rPr>
      </w:pPr>
      <w:r>
        <w:rPr>
          <w:rFonts w:asciiTheme="majorBidi" w:hAnsiTheme="majorBidi" w:cstheme="majorBidi"/>
          <w:u w:val="single"/>
          <w:lang w:val="en"/>
        </w:rPr>
        <w:br w:type="page"/>
      </w:r>
    </w:p>
    <w:p w14:paraId="5A670880" w14:textId="36D1C323" w:rsidR="006739F1" w:rsidRPr="00F24C7B" w:rsidRDefault="006739F1" w:rsidP="00F24C7B">
      <w:pPr>
        <w:bidi w:val="0"/>
        <w:ind w:left="-55"/>
        <w:jc w:val="center"/>
        <w:rPr>
          <w:rFonts w:asciiTheme="majorBidi" w:hAnsiTheme="majorBidi" w:cstheme="majorBidi"/>
          <w:u w:val="single"/>
          <w:rtl/>
        </w:rPr>
      </w:pPr>
    </w:p>
    <w:p w14:paraId="3DBE03BF" w14:textId="2D79E8EA" w:rsidR="006739F1" w:rsidRPr="00F24C7B" w:rsidRDefault="006739F1" w:rsidP="00F24C7B">
      <w:pPr>
        <w:bidi w:val="0"/>
        <w:rPr>
          <w:rFonts w:asciiTheme="majorBidi" w:hAnsiTheme="majorBidi" w:cstheme="majorBidi"/>
          <w:sz w:val="18"/>
          <w:szCs w:val="18"/>
          <w:rtl/>
        </w:rPr>
      </w:pPr>
      <w:r w:rsidRPr="00F24C7B">
        <w:rPr>
          <w:rFonts w:asciiTheme="majorBidi" w:hAnsiTheme="majorBidi" w:cstheme="majorBidi"/>
          <w:b/>
          <w:bCs/>
          <w:sz w:val="18"/>
          <w:szCs w:val="18"/>
          <w:lang w:val="en"/>
        </w:rPr>
        <w:t xml:space="preserve"> *</w:t>
      </w:r>
      <w:r w:rsidRPr="00F24C7B">
        <w:rPr>
          <w:rFonts w:asciiTheme="majorBidi" w:hAnsiTheme="majorBidi" w:cstheme="majorBidi"/>
          <w:sz w:val="18"/>
          <w:szCs w:val="18"/>
          <w:lang w:val="en"/>
        </w:rPr>
        <w:t xml:space="preserve"> </w:t>
      </w:r>
      <w:r w:rsidRPr="00F24C7B">
        <w:rPr>
          <w:rFonts w:asciiTheme="majorBidi" w:hAnsiTheme="majorBidi" w:cstheme="majorBidi"/>
          <w:b/>
          <w:bCs/>
          <w:sz w:val="18"/>
          <w:szCs w:val="18"/>
          <w:lang w:val="en"/>
        </w:rPr>
        <w:t xml:space="preserve">Teller-executed and customer-executed fees: </w:t>
      </w:r>
      <w:r w:rsidRPr="00F24C7B">
        <w:rPr>
          <w:rFonts w:asciiTheme="majorBidi" w:hAnsiTheme="majorBidi" w:cstheme="majorBidi"/>
          <w:sz w:val="18"/>
          <w:szCs w:val="18"/>
          <w:lang w:val="en"/>
        </w:rPr>
        <w:t>Cost of 1 teller-executed &amp; 10 customer-executed transactions, per the price in the bank's fee schedule for such transactions;</w:t>
      </w:r>
      <w:r w:rsidRPr="00F24C7B">
        <w:rPr>
          <w:rFonts w:asciiTheme="majorBidi" w:hAnsiTheme="majorBidi" w:cstheme="majorBidi"/>
          <w:sz w:val="18"/>
          <w:szCs w:val="18"/>
          <w:rtl/>
        </w:rPr>
        <w:t xml:space="preserve">  </w:t>
      </w:r>
    </w:p>
    <w:p w14:paraId="3DA289C8" w14:textId="77777777" w:rsidR="006739F1" w:rsidRPr="00F24C7B" w:rsidRDefault="006739F1" w:rsidP="00F24C7B">
      <w:pPr>
        <w:bidi w:val="0"/>
        <w:rPr>
          <w:rFonts w:asciiTheme="majorBidi" w:hAnsiTheme="majorBidi" w:cstheme="majorBidi"/>
          <w:sz w:val="18"/>
          <w:szCs w:val="18"/>
          <w:rtl/>
        </w:rPr>
      </w:pPr>
      <w:r w:rsidRPr="00F24C7B">
        <w:rPr>
          <w:rFonts w:asciiTheme="majorBidi" w:hAnsiTheme="majorBidi" w:cstheme="majorBidi"/>
          <w:sz w:val="18"/>
          <w:szCs w:val="18"/>
          <w:lang w:val="en"/>
        </w:rPr>
        <w:t xml:space="preserve">** </w:t>
      </w:r>
      <w:r w:rsidRPr="00F24C7B">
        <w:rPr>
          <w:rFonts w:asciiTheme="majorBidi" w:hAnsiTheme="majorBidi" w:cstheme="majorBidi"/>
          <w:b/>
          <w:bCs/>
          <w:sz w:val="18"/>
          <w:szCs w:val="18"/>
          <w:lang w:val="en"/>
        </w:rPr>
        <w:t>Actual cost without a fee track</w:t>
      </w:r>
      <w:r w:rsidRPr="00F24C7B">
        <w:rPr>
          <w:rFonts w:asciiTheme="majorBidi" w:hAnsiTheme="majorBidi" w:cstheme="majorBidi"/>
          <w:sz w:val="18"/>
          <w:szCs w:val="18"/>
          <w:lang w:val="en"/>
        </w:rPr>
        <w:t xml:space="preserve"> - Cost of 1 teller-executed &amp; 10 customer-executed transactions, per the price charged in effect for such transactions in accounts that have not enrolled in the fee tracks service (calculated based on revenue data reported by the banks to the Banking Supervision Department for 2019); </w:t>
      </w:r>
    </w:p>
    <w:p w14:paraId="1F8C9DDE" w14:textId="77777777" w:rsidR="006739F1" w:rsidRPr="00F24C7B" w:rsidRDefault="006739F1" w:rsidP="00F24C7B">
      <w:pPr>
        <w:bidi w:val="0"/>
        <w:rPr>
          <w:rFonts w:asciiTheme="majorBidi" w:hAnsiTheme="majorBidi" w:cstheme="majorBidi"/>
          <w:b/>
          <w:bCs/>
          <w:sz w:val="18"/>
          <w:szCs w:val="18"/>
          <w:rtl/>
        </w:rPr>
      </w:pPr>
      <w:r w:rsidRPr="00F24C7B">
        <w:rPr>
          <w:rFonts w:asciiTheme="majorBidi" w:hAnsiTheme="majorBidi" w:cstheme="majorBidi"/>
          <w:b/>
          <w:bCs/>
          <w:sz w:val="18"/>
          <w:szCs w:val="18"/>
          <w:lang w:val="en"/>
        </w:rPr>
        <w:t xml:space="preserve">*** Cost of basic track. </w:t>
      </w:r>
    </w:p>
    <w:p w14:paraId="709109D0" w14:textId="77777777" w:rsidR="006739F1" w:rsidRPr="00F24C7B" w:rsidRDefault="006739F1" w:rsidP="00F24C7B">
      <w:pPr>
        <w:bidi w:val="0"/>
        <w:ind w:left="-55"/>
        <w:rPr>
          <w:rFonts w:asciiTheme="majorBidi" w:hAnsiTheme="majorBidi" w:cstheme="majorBidi"/>
          <w:b/>
          <w:bCs/>
          <w:rtl/>
        </w:rPr>
      </w:pPr>
    </w:p>
    <w:p w14:paraId="07326B4D" w14:textId="39F20685" w:rsidR="006739F1" w:rsidRPr="00F24C7B" w:rsidRDefault="006739F1" w:rsidP="00F24C7B">
      <w:pPr>
        <w:bidi w:val="0"/>
        <w:ind w:left="-55"/>
        <w:rPr>
          <w:rFonts w:asciiTheme="majorBidi" w:hAnsiTheme="majorBidi" w:cstheme="majorBidi"/>
        </w:rPr>
      </w:pPr>
      <w:r w:rsidRPr="00F24C7B">
        <w:rPr>
          <w:rFonts w:asciiTheme="majorBidi" w:hAnsiTheme="majorBidi" w:cstheme="majorBidi"/>
          <w:lang w:val="en"/>
        </w:rPr>
        <w:t xml:space="preserve">The </w:t>
      </w:r>
      <w:r w:rsidRPr="00F24C7B">
        <w:rPr>
          <w:rFonts w:asciiTheme="majorBidi" w:hAnsiTheme="majorBidi" w:cstheme="majorBidi"/>
          <w:b/>
          <w:bCs/>
          <w:lang w:val="en"/>
        </w:rPr>
        <w:t>basic service track</w:t>
      </w:r>
      <w:r w:rsidRPr="00F24C7B">
        <w:rPr>
          <w:rFonts w:asciiTheme="majorBidi" w:hAnsiTheme="majorBidi" w:cstheme="majorBidi"/>
          <w:lang w:val="en"/>
        </w:rPr>
        <w:t xml:space="preserve"> includes up to 10 customer-executed transactions and up to one teller-executed transaction per month. Its price is supervised and may</w:t>
      </w:r>
      <w:r w:rsidR="00DF4EBF">
        <w:rPr>
          <w:rFonts w:asciiTheme="majorBidi" w:hAnsiTheme="majorBidi" w:cstheme="majorBidi"/>
          <w:lang w:val="en"/>
        </w:rPr>
        <w:t xml:space="preserve"> not</w:t>
      </w:r>
      <w:r w:rsidRPr="00F24C7B">
        <w:rPr>
          <w:rFonts w:asciiTheme="majorBidi" w:hAnsiTheme="majorBidi" w:cstheme="majorBidi"/>
          <w:lang w:val="en"/>
        </w:rPr>
        <w:t xml:space="preserve"> exceed NIS 10.</w:t>
      </w:r>
    </w:p>
    <w:p w14:paraId="344B0A77" w14:textId="77777777" w:rsidR="006739F1" w:rsidRPr="00F24C7B" w:rsidRDefault="006739F1" w:rsidP="00F24C7B">
      <w:pPr>
        <w:numPr>
          <w:ilvl w:val="0"/>
          <w:numId w:val="1"/>
        </w:numPr>
        <w:tabs>
          <w:tab w:val="clear" w:pos="567"/>
          <w:tab w:val="clear" w:pos="720"/>
          <w:tab w:val="clear" w:pos="1134"/>
          <w:tab w:val="clear" w:pos="1814"/>
          <w:tab w:val="clear" w:pos="2665"/>
          <w:tab w:val="num" w:pos="643"/>
          <w:tab w:val="num" w:pos="976"/>
        </w:tabs>
        <w:bidi w:val="0"/>
        <w:ind w:left="643"/>
        <w:rPr>
          <w:rFonts w:asciiTheme="majorBidi" w:hAnsiTheme="majorBidi" w:cstheme="majorBidi"/>
        </w:rPr>
      </w:pPr>
      <w:r w:rsidRPr="00F24C7B">
        <w:rPr>
          <w:rFonts w:asciiTheme="majorBidi" w:hAnsiTheme="majorBidi" w:cstheme="majorBidi"/>
          <w:lang w:val="en"/>
        </w:rPr>
        <w:t xml:space="preserve">The cost of the basic track reflects a discount compared with the fee schedule rates for teller-executed transactions and customer-executed transactions. </w:t>
      </w:r>
    </w:p>
    <w:p w14:paraId="3DDD587D" w14:textId="77777777" w:rsidR="006739F1" w:rsidRPr="00F24C7B" w:rsidRDefault="006739F1" w:rsidP="00F24C7B">
      <w:pPr>
        <w:numPr>
          <w:ilvl w:val="0"/>
          <w:numId w:val="1"/>
        </w:numPr>
        <w:tabs>
          <w:tab w:val="clear" w:pos="567"/>
          <w:tab w:val="clear" w:pos="720"/>
          <w:tab w:val="clear" w:pos="1134"/>
          <w:tab w:val="clear" w:pos="1814"/>
          <w:tab w:val="clear" w:pos="2665"/>
          <w:tab w:val="num" w:pos="643"/>
          <w:tab w:val="num" w:pos="976"/>
        </w:tabs>
        <w:bidi w:val="0"/>
        <w:ind w:left="643"/>
        <w:rPr>
          <w:rFonts w:asciiTheme="majorBidi" w:hAnsiTheme="majorBidi" w:cstheme="majorBidi"/>
        </w:rPr>
      </w:pPr>
      <w:r w:rsidRPr="00F24C7B">
        <w:rPr>
          <w:rFonts w:asciiTheme="majorBidi" w:hAnsiTheme="majorBidi" w:cstheme="majorBidi"/>
          <w:lang w:val="en"/>
        </w:rPr>
        <w:t xml:space="preserve">For households, it is worth joining the </w:t>
      </w:r>
      <w:r w:rsidRPr="00F24C7B">
        <w:rPr>
          <w:rFonts w:asciiTheme="majorBidi" w:hAnsiTheme="majorBidi" w:cstheme="majorBidi"/>
          <w:b/>
          <w:bCs/>
          <w:lang w:val="en"/>
        </w:rPr>
        <w:t>basic</w:t>
      </w:r>
      <w:r w:rsidRPr="00F24C7B">
        <w:rPr>
          <w:rFonts w:asciiTheme="majorBidi" w:hAnsiTheme="majorBidi" w:cstheme="majorBidi"/>
          <w:lang w:val="en"/>
        </w:rPr>
        <w:t xml:space="preserve"> fee track rather than paying for each transaction separately at most banks, except at Bank </w:t>
      </w:r>
      <w:proofErr w:type="spellStart"/>
      <w:r w:rsidRPr="00F24C7B">
        <w:rPr>
          <w:rFonts w:asciiTheme="majorBidi" w:hAnsiTheme="majorBidi" w:cstheme="majorBidi"/>
          <w:lang w:val="en"/>
        </w:rPr>
        <w:t>Yahav</w:t>
      </w:r>
      <w:proofErr w:type="spellEnd"/>
      <w:r w:rsidRPr="00F24C7B">
        <w:rPr>
          <w:rFonts w:asciiTheme="majorBidi" w:hAnsiTheme="majorBidi" w:cstheme="majorBidi"/>
          <w:lang w:val="en"/>
        </w:rPr>
        <w:t xml:space="preserve"> and Bank </w:t>
      </w:r>
      <w:proofErr w:type="spellStart"/>
      <w:r w:rsidRPr="00F24C7B">
        <w:rPr>
          <w:rFonts w:asciiTheme="majorBidi" w:hAnsiTheme="majorBidi" w:cstheme="majorBidi"/>
          <w:lang w:val="en"/>
        </w:rPr>
        <w:t>Massad</w:t>
      </w:r>
      <w:proofErr w:type="spellEnd"/>
      <w:r w:rsidRPr="00F24C7B">
        <w:rPr>
          <w:rFonts w:asciiTheme="majorBidi" w:hAnsiTheme="majorBidi" w:cstheme="majorBidi"/>
          <w:lang w:val="en"/>
        </w:rPr>
        <w:t xml:space="preserve">. At the Bank of Jerusalem, a monthly fee of NIS 6.5 was charged with no limit on the number of transactions in the current account. </w:t>
      </w:r>
    </w:p>
    <w:p w14:paraId="6F988468" w14:textId="29C521A9" w:rsidR="006739F1" w:rsidRPr="00F24C7B" w:rsidRDefault="006739F1" w:rsidP="00343910">
      <w:pPr>
        <w:numPr>
          <w:ilvl w:val="0"/>
          <w:numId w:val="1"/>
        </w:numPr>
        <w:tabs>
          <w:tab w:val="clear" w:pos="567"/>
          <w:tab w:val="clear" w:pos="720"/>
          <w:tab w:val="clear" w:pos="1134"/>
          <w:tab w:val="clear" w:pos="1814"/>
          <w:tab w:val="clear" w:pos="2665"/>
          <w:tab w:val="num" w:pos="643"/>
          <w:tab w:val="num" w:pos="976"/>
        </w:tabs>
        <w:bidi w:val="0"/>
        <w:ind w:left="643"/>
        <w:rPr>
          <w:rFonts w:asciiTheme="majorBidi" w:hAnsiTheme="majorBidi" w:cstheme="majorBidi"/>
          <w:b/>
          <w:bCs/>
          <w:color w:val="0070C0"/>
          <w:sz w:val="28"/>
          <w:szCs w:val="28"/>
          <w:u w:val="single"/>
        </w:rPr>
      </w:pPr>
      <w:r w:rsidRPr="00F24C7B">
        <w:rPr>
          <w:rFonts w:asciiTheme="majorBidi" w:hAnsiTheme="majorBidi" w:cstheme="majorBidi"/>
          <w:lang w:val="en"/>
        </w:rPr>
        <w:t xml:space="preserve">When examining the banking system as a whole, the cost of fees for all transactions included in the </w:t>
      </w:r>
      <w:r w:rsidRPr="00F24C7B">
        <w:rPr>
          <w:rFonts w:asciiTheme="majorBidi" w:hAnsiTheme="majorBidi" w:cstheme="majorBidi"/>
          <w:b/>
          <w:bCs/>
          <w:lang w:val="en"/>
        </w:rPr>
        <w:t xml:space="preserve">basic </w:t>
      </w:r>
      <w:r w:rsidRPr="00F24C7B">
        <w:rPr>
          <w:rFonts w:asciiTheme="majorBidi" w:hAnsiTheme="majorBidi" w:cstheme="majorBidi"/>
          <w:lang w:val="en"/>
        </w:rPr>
        <w:t xml:space="preserve">track is the lowest at Bank </w:t>
      </w:r>
      <w:proofErr w:type="spellStart"/>
      <w:r w:rsidRPr="00F24C7B">
        <w:rPr>
          <w:rFonts w:asciiTheme="majorBidi" w:hAnsiTheme="majorBidi" w:cstheme="majorBidi"/>
          <w:lang w:val="en"/>
        </w:rPr>
        <w:t>Yahav</w:t>
      </w:r>
      <w:proofErr w:type="spellEnd"/>
      <w:r w:rsidRPr="00F24C7B">
        <w:rPr>
          <w:rFonts w:asciiTheme="majorBidi" w:hAnsiTheme="majorBidi" w:cstheme="majorBidi"/>
          <w:lang w:val="en"/>
        </w:rPr>
        <w:t>,</w:t>
      </w:r>
      <w:r w:rsidRPr="00F24C7B">
        <w:rPr>
          <w:rStyle w:val="FootnoteReference"/>
          <w:rFonts w:asciiTheme="majorBidi" w:hAnsiTheme="majorBidi" w:cstheme="majorBidi"/>
          <w:lang w:val="en"/>
        </w:rPr>
        <w:footnoteReference w:id="5"/>
      </w:r>
      <w:r w:rsidRPr="00F24C7B">
        <w:rPr>
          <w:rFonts w:asciiTheme="majorBidi" w:hAnsiTheme="majorBidi" w:cstheme="majorBidi"/>
          <w:lang w:val="en"/>
        </w:rPr>
        <w:t xml:space="preserve"> the highest at Mercantile Bank (out of the five largest banks: the </w:t>
      </w:r>
      <w:r w:rsidR="00343910">
        <w:rPr>
          <w:rFonts w:asciiTheme="majorBidi" w:hAnsiTheme="majorBidi" w:cstheme="majorBidi"/>
          <w:lang w:val="en"/>
        </w:rPr>
        <w:t xml:space="preserve">lowest cost is at Discount Bank, </w:t>
      </w:r>
      <w:bookmarkStart w:id="0" w:name="_GoBack"/>
      <w:bookmarkEnd w:id="0"/>
      <w:r w:rsidRPr="00F24C7B">
        <w:rPr>
          <w:rFonts w:asciiTheme="majorBidi" w:hAnsiTheme="majorBidi" w:cstheme="majorBidi"/>
          <w:lang w:val="en"/>
        </w:rPr>
        <w:t xml:space="preserve">and highest at Bank </w:t>
      </w:r>
      <w:proofErr w:type="spellStart"/>
      <w:r w:rsidRPr="00F24C7B">
        <w:rPr>
          <w:rFonts w:asciiTheme="majorBidi" w:hAnsiTheme="majorBidi" w:cstheme="majorBidi"/>
          <w:lang w:val="en"/>
        </w:rPr>
        <w:t>Hapoalim</w:t>
      </w:r>
      <w:proofErr w:type="spellEnd"/>
      <w:r w:rsidRPr="00F24C7B">
        <w:rPr>
          <w:rFonts w:asciiTheme="majorBidi" w:hAnsiTheme="majorBidi" w:cstheme="majorBidi"/>
          <w:lang w:val="en"/>
        </w:rPr>
        <w:t xml:space="preserve"> and Mizrahi Bank.)</w:t>
      </w:r>
    </w:p>
    <w:p w14:paraId="491C712F" w14:textId="77777777" w:rsidR="006739F1" w:rsidRPr="00F24C7B" w:rsidRDefault="006739F1" w:rsidP="00F24C7B">
      <w:pPr>
        <w:numPr>
          <w:ilvl w:val="0"/>
          <w:numId w:val="1"/>
        </w:numPr>
        <w:tabs>
          <w:tab w:val="clear" w:pos="567"/>
          <w:tab w:val="clear" w:pos="720"/>
          <w:tab w:val="clear" w:pos="1134"/>
          <w:tab w:val="clear" w:pos="1814"/>
          <w:tab w:val="clear" w:pos="2665"/>
          <w:tab w:val="num" w:pos="643"/>
          <w:tab w:val="num" w:pos="976"/>
        </w:tabs>
        <w:bidi w:val="0"/>
        <w:ind w:left="643"/>
        <w:rPr>
          <w:rFonts w:asciiTheme="majorBidi" w:hAnsiTheme="majorBidi" w:cstheme="majorBidi"/>
        </w:rPr>
      </w:pPr>
      <w:r w:rsidRPr="00F24C7B">
        <w:rPr>
          <w:rFonts w:asciiTheme="majorBidi" w:hAnsiTheme="majorBidi" w:cstheme="majorBidi"/>
          <w:lang w:val="en"/>
        </w:rPr>
        <w:t>In March 2019, Mizrahi Bank increased the basic track fee from NIS 9 per month to NIS 10 per month.</w:t>
      </w:r>
    </w:p>
    <w:p w14:paraId="632EE506" w14:textId="77777777" w:rsidR="006739F1" w:rsidRPr="00F24C7B" w:rsidRDefault="006739F1" w:rsidP="00F24C7B">
      <w:pPr>
        <w:tabs>
          <w:tab w:val="clear" w:pos="567"/>
          <w:tab w:val="clear" w:pos="1134"/>
          <w:tab w:val="clear" w:pos="1814"/>
          <w:tab w:val="clear" w:pos="2665"/>
        </w:tabs>
        <w:bidi w:val="0"/>
        <w:spacing w:line="240" w:lineRule="auto"/>
        <w:jc w:val="left"/>
        <w:rPr>
          <w:rFonts w:asciiTheme="majorBidi" w:hAnsiTheme="majorBidi" w:cstheme="majorBidi"/>
        </w:rPr>
      </w:pPr>
      <w:r w:rsidRPr="00F24C7B">
        <w:rPr>
          <w:rFonts w:asciiTheme="majorBidi" w:hAnsiTheme="majorBidi" w:cstheme="majorBidi"/>
          <w:lang w:val="en"/>
        </w:rPr>
        <w:br w:type="page"/>
      </w:r>
    </w:p>
    <w:p w14:paraId="191505ED" w14:textId="77777777" w:rsidR="006739F1" w:rsidRPr="00F24C7B" w:rsidRDefault="006739F1" w:rsidP="00F24C7B">
      <w:pPr>
        <w:shd w:val="clear" w:color="auto" w:fill="D9D9D9"/>
        <w:tabs>
          <w:tab w:val="center" w:pos="4845"/>
          <w:tab w:val="right" w:pos="9746"/>
        </w:tabs>
        <w:bidi w:val="0"/>
        <w:ind w:left="-55"/>
        <w:jc w:val="center"/>
        <w:rPr>
          <w:rFonts w:asciiTheme="majorBidi" w:hAnsiTheme="majorBidi" w:cstheme="majorBidi"/>
          <w:b/>
          <w:bCs/>
          <w:sz w:val="28"/>
          <w:szCs w:val="28"/>
          <w:rtl/>
        </w:rPr>
      </w:pPr>
      <w:r w:rsidRPr="00F24C7B">
        <w:rPr>
          <w:rFonts w:asciiTheme="majorBidi" w:hAnsiTheme="majorBidi" w:cstheme="majorBidi"/>
          <w:b/>
          <w:bCs/>
          <w:sz w:val="28"/>
          <w:szCs w:val="28"/>
          <w:lang w:val="en"/>
        </w:rPr>
        <w:lastRenderedPageBreak/>
        <w:t>The extended service track provides savings for households and small businesses that carry out a relatively large number of transactions</w:t>
      </w:r>
    </w:p>
    <w:p w14:paraId="56911A68" w14:textId="77777777" w:rsidR="006739F1" w:rsidRPr="00F24C7B" w:rsidRDefault="006739F1" w:rsidP="00F24C7B">
      <w:pPr>
        <w:shd w:val="clear" w:color="auto" w:fill="D9D9D9"/>
        <w:bidi w:val="0"/>
        <w:ind w:left="-55"/>
        <w:jc w:val="center"/>
        <w:rPr>
          <w:rFonts w:asciiTheme="majorBidi" w:hAnsiTheme="majorBidi" w:cstheme="majorBidi"/>
          <w:b/>
          <w:bCs/>
          <w:sz w:val="28"/>
          <w:szCs w:val="28"/>
          <w:rtl/>
        </w:rPr>
      </w:pPr>
    </w:p>
    <w:p w14:paraId="17AEE24C" w14:textId="77777777" w:rsidR="006739F1" w:rsidRPr="00F24C7B" w:rsidRDefault="006739F1" w:rsidP="00F24C7B">
      <w:pPr>
        <w:bidi w:val="0"/>
        <w:ind w:left="-55"/>
        <w:jc w:val="center"/>
        <w:rPr>
          <w:rFonts w:asciiTheme="majorBidi" w:hAnsiTheme="majorBidi" w:cstheme="majorBidi"/>
          <w:sz w:val="12"/>
          <w:szCs w:val="12"/>
          <w:u w:val="single"/>
          <w:rtl/>
        </w:rPr>
      </w:pPr>
    </w:p>
    <w:p w14:paraId="2B2C4145" w14:textId="49F1DAFF" w:rsidR="006739F1" w:rsidRPr="00F24C7B" w:rsidRDefault="006739F1" w:rsidP="00F24C7B">
      <w:pPr>
        <w:bidi w:val="0"/>
        <w:ind w:left="-55"/>
        <w:jc w:val="center"/>
        <w:rPr>
          <w:rFonts w:asciiTheme="majorBidi" w:hAnsiTheme="majorBidi" w:cstheme="majorBidi"/>
          <w:noProof/>
          <w:rtl/>
        </w:rPr>
      </w:pPr>
      <w:r w:rsidRPr="00F24C7B">
        <w:rPr>
          <w:rFonts w:asciiTheme="majorBidi" w:hAnsiTheme="majorBidi" w:cstheme="majorBidi"/>
          <w:u w:val="single"/>
          <w:lang w:val="en"/>
        </w:rPr>
        <w:t>Figure 7 - Cost comparison between: Teller-executed and customer-executed fee schedules,* actual cost without a fee track</w:t>
      </w:r>
      <w:proofErr w:type="gramStart"/>
      <w:r w:rsidRPr="00F24C7B">
        <w:rPr>
          <w:rFonts w:asciiTheme="majorBidi" w:hAnsiTheme="majorBidi" w:cstheme="majorBidi"/>
          <w:u w:val="single"/>
          <w:lang w:val="en"/>
        </w:rPr>
        <w:t>,*</w:t>
      </w:r>
      <w:proofErr w:type="gramEnd"/>
      <w:r w:rsidRPr="00F24C7B">
        <w:rPr>
          <w:rFonts w:asciiTheme="majorBidi" w:hAnsiTheme="majorBidi" w:cstheme="majorBidi"/>
          <w:u w:val="single"/>
          <w:lang w:val="en"/>
        </w:rPr>
        <w:t>* and extended service track cost***</w:t>
      </w:r>
    </w:p>
    <w:p w14:paraId="5BD0CEBA" w14:textId="5E6B525C" w:rsidR="006739F1" w:rsidRPr="00F24C7B" w:rsidRDefault="00862DF3" w:rsidP="00F24C7B">
      <w:pPr>
        <w:bidi w:val="0"/>
        <w:ind w:left="-55"/>
        <w:jc w:val="center"/>
        <w:rPr>
          <w:rFonts w:asciiTheme="majorBidi" w:hAnsiTheme="majorBidi" w:cstheme="majorBidi"/>
          <w:rtl/>
        </w:rPr>
      </w:pPr>
      <w:r w:rsidRPr="00F24C7B">
        <w:rPr>
          <w:rFonts w:asciiTheme="majorBidi" w:hAnsiTheme="majorBidi" w:cstheme="majorBidi"/>
          <w:noProof/>
        </w:rPr>
        <mc:AlternateContent>
          <mc:Choice Requires="wps">
            <w:drawing>
              <wp:anchor distT="0" distB="0" distL="114300" distR="114300" simplePos="0" relativeHeight="251683840" behindDoc="0" locked="0" layoutInCell="1" allowOverlap="1" wp14:anchorId="60ACB082" wp14:editId="040DC421">
                <wp:simplePos x="0" y="0"/>
                <wp:positionH relativeFrom="column">
                  <wp:posOffset>5328285</wp:posOffset>
                </wp:positionH>
                <wp:positionV relativeFrom="paragraph">
                  <wp:posOffset>631190</wp:posOffset>
                </wp:positionV>
                <wp:extent cx="1041400" cy="987425"/>
                <wp:effectExtent l="0" t="0" r="25400" b="22225"/>
                <wp:wrapNone/>
                <wp:docPr id="34" name="TextBox 5"/>
                <wp:cNvGraphicFramePr/>
                <a:graphic xmlns:a="http://schemas.openxmlformats.org/drawingml/2006/main">
                  <a:graphicData uri="http://schemas.microsoft.com/office/word/2010/wordprocessingShape">
                    <wps:wsp>
                      <wps:cNvSpPr txBox="1"/>
                      <wps:spPr>
                        <a:xfrm>
                          <a:off x="0" y="0"/>
                          <a:ext cx="1041400" cy="987425"/>
                        </a:xfrm>
                        <a:prstGeom prst="rect">
                          <a:avLst/>
                        </a:prstGeom>
                      </wps:spPr>
                      <wps:style>
                        <a:lnRef idx="2">
                          <a:schemeClr val="accent4"/>
                        </a:lnRef>
                        <a:fillRef idx="1">
                          <a:schemeClr val="lt1"/>
                        </a:fillRef>
                        <a:effectRef idx="0">
                          <a:schemeClr val="accent4"/>
                        </a:effectRef>
                        <a:fontRef idx="minor">
                          <a:schemeClr val="dk1"/>
                        </a:fontRef>
                      </wps:style>
                      <wps:txbx>
                        <w:txbxContent>
                          <w:p w14:paraId="7FBC4521" w14:textId="77777777" w:rsidR="00862DF3" w:rsidRPr="00092000" w:rsidRDefault="00862DF3" w:rsidP="00862DF3">
                            <w:pPr>
                              <w:pStyle w:val="NormalWeb"/>
                              <w:spacing w:before="0" w:beforeAutospacing="0" w:after="0" w:afterAutospacing="0"/>
                              <w:rPr>
                                <w:sz w:val="22"/>
                                <w:szCs w:val="22"/>
                              </w:rPr>
                            </w:pPr>
                            <w:r>
                              <w:rPr>
                                <w:rFonts w:ascii="David" w:hAnsi="David" w:cs="David"/>
                                <w:color w:val="000000" w:themeColor="dark1"/>
                                <w:sz w:val="20"/>
                                <w:szCs w:val="20"/>
                                <w:lang w:val="en"/>
                              </w:rPr>
                              <w:t xml:space="preserve">The Bank of Jerusalem charges a total of NIS </w:t>
                            </w:r>
                            <w:r>
                              <w:rPr>
                                <w:rFonts w:ascii="David" w:hAnsi="David" w:cs="David"/>
                                <w:b/>
                                <w:bCs/>
                                <w:color w:val="000000" w:themeColor="dark1"/>
                                <w:sz w:val="20"/>
                                <w:szCs w:val="20"/>
                                <w:lang w:val="en"/>
                              </w:rPr>
                              <w:t>6.5</w:t>
                            </w:r>
                            <w:r>
                              <w:rPr>
                                <w:rFonts w:ascii="David" w:hAnsi="David" w:cs="David"/>
                                <w:color w:val="000000" w:themeColor="dark1"/>
                                <w:sz w:val="20"/>
                                <w:szCs w:val="20"/>
                                <w:lang w:val="en"/>
                              </w:rPr>
                              <w:t xml:space="preserve"> per month for all transactions. </w:t>
                            </w:r>
                          </w:p>
                        </w:txbxContent>
                      </wps:txbx>
                      <wps:bodyPr vertOverflow="clip" horzOverflow="clip" wrap="square" rtlCol="1" anchor="t">
                        <a:noAutofit/>
                      </wps:bodyPr>
                    </wps:wsp>
                  </a:graphicData>
                </a:graphic>
                <wp14:sizeRelH relativeFrom="margin">
                  <wp14:pctWidth>0</wp14:pctWidth>
                </wp14:sizeRelH>
                <wp14:sizeRelV relativeFrom="margin">
                  <wp14:pctHeight>0</wp14:pctHeight>
                </wp14:sizeRelV>
              </wp:anchor>
            </w:drawing>
          </mc:Choice>
          <mc:Fallback>
            <w:pict>
              <v:shape w14:anchorId="60ACB082" id="_x0000_s1027" type="#_x0000_t202" style="position:absolute;left:0;text-align:left;margin-left:419.55pt;margin-top:49.7pt;width:82pt;height:7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" fillcolor="white [3201]" strokecolor="#8064a2 [3207]" strokeweight="2pt">
                <v:textbox>
                  <w:txbxContent>
                    <w:p w14:paraId="7FBC4521" w14:textId="77777777" w:rsidR="00862DF3" w:rsidRPr="00092000" w:rsidRDefault="00862DF3" w:rsidP="00862DF3">
                      <w:pPr>
                        <w:pStyle w:val="NormalWeb"/>
                        <w:spacing w:before="0" w:beforeAutospacing="0" w:after="0" w:afterAutospacing="0"/>
                        <w:rPr>
                          <w:sz w:val="22"/>
                          <w:szCs w:val="22"/>
                        </w:rPr>
                      </w:pPr>
                      <w:r>
                        <w:rPr>
                          <w:rFonts w:ascii="David" w:hAnsi="David" w:cs="David"/>
                          <w:color w:val="000000" w:themeColor="dark1"/>
                          <w:sz w:val="20"/>
                          <w:szCs w:val="20"/>
                          <w:lang w:val="en"/>
                        </w:rPr>
                        <w:t xml:space="preserve">The Bank of Jerusalem charges a total of NIS </w:t>
                      </w:r>
                      <w:r>
                        <w:rPr>
                          <w:rFonts w:ascii="David" w:hAnsi="David" w:cs="David"/>
                          <w:b/>
                          <w:bCs/>
                          <w:color w:val="000000" w:themeColor="dark1"/>
                          <w:sz w:val="20"/>
                          <w:szCs w:val="20"/>
                          <w:lang w:val="en"/>
                        </w:rPr>
                        <w:t>6.5</w:t>
                      </w:r>
                      <w:r>
                        <w:rPr>
                          <w:rFonts w:ascii="David" w:hAnsi="David" w:cs="David"/>
                          <w:color w:val="000000" w:themeColor="dark1"/>
                          <w:sz w:val="20"/>
                          <w:szCs w:val="20"/>
                          <w:lang w:val="en"/>
                        </w:rPr>
                        <w:t xml:space="preserve"> per month for all transactions. </w:t>
                      </w:r>
                    </w:p>
                  </w:txbxContent>
                </v:textbox>
              </v:shape>
            </w:pict>
          </mc:Fallback>
        </mc:AlternateContent>
      </w:r>
      <w:r w:rsidR="00E0185A">
        <w:rPr>
          <w:noProof/>
        </w:rPr>
        <w:drawing>
          <wp:inline distT="0" distB="0" distL="0" distR="0" wp14:anchorId="5A0621D4" wp14:editId="72676259">
            <wp:extent cx="6407785" cy="3248025"/>
            <wp:effectExtent l="0" t="0" r="0" b="0"/>
            <wp:docPr id="33" name="תרשים 33">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497AD87" w14:textId="77777777" w:rsidR="006739F1" w:rsidRPr="00F24C7B" w:rsidRDefault="006739F1" w:rsidP="00F24C7B">
      <w:pPr>
        <w:bidi w:val="0"/>
        <w:rPr>
          <w:rFonts w:asciiTheme="majorBidi" w:hAnsiTheme="majorBidi" w:cstheme="majorBidi"/>
          <w:b/>
          <w:bCs/>
          <w:sz w:val="18"/>
          <w:szCs w:val="18"/>
          <w:rtl/>
        </w:rPr>
      </w:pPr>
      <w:r w:rsidRPr="00F24C7B">
        <w:rPr>
          <w:rFonts w:asciiTheme="majorBidi" w:hAnsiTheme="majorBidi" w:cstheme="majorBidi"/>
          <w:sz w:val="18"/>
          <w:szCs w:val="18"/>
          <w:lang w:val="en"/>
        </w:rPr>
        <w:t xml:space="preserve">* </w:t>
      </w:r>
      <w:r w:rsidRPr="00F24C7B">
        <w:rPr>
          <w:rFonts w:asciiTheme="majorBidi" w:hAnsiTheme="majorBidi" w:cstheme="majorBidi"/>
          <w:b/>
          <w:bCs/>
          <w:sz w:val="18"/>
          <w:szCs w:val="18"/>
          <w:lang w:val="en"/>
        </w:rPr>
        <w:t xml:space="preserve">Teller-executed and customer-executed fees: </w:t>
      </w:r>
      <w:r w:rsidRPr="00F24C7B">
        <w:rPr>
          <w:rFonts w:asciiTheme="majorBidi" w:hAnsiTheme="majorBidi" w:cstheme="majorBidi"/>
          <w:sz w:val="18"/>
          <w:szCs w:val="18"/>
          <w:lang w:val="en"/>
        </w:rPr>
        <w:t>Cost of 10 teller-executed &amp; 50 customer-executed transactions, per the price in the bank's fee schedule for such transactions;</w:t>
      </w:r>
      <w:r w:rsidRPr="00F24C7B">
        <w:rPr>
          <w:rFonts w:asciiTheme="majorBidi" w:hAnsiTheme="majorBidi" w:cstheme="majorBidi"/>
          <w:b/>
          <w:bCs/>
          <w:sz w:val="18"/>
          <w:szCs w:val="18"/>
          <w:lang w:val="en"/>
        </w:rPr>
        <w:t xml:space="preserve"> </w:t>
      </w:r>
    </w:p>
    <w:p w14:paraId="79E90CD3" w14:textId="77777777" w:rsidR="006739F1" w:rsidRPr="009A76BB" w:rsidRDefault="006739F1" w:rsidP="00F24C7B">
      <w:pPr>
        <w:bidi w:val="0"/>
        <w:rPr>
          <w:rFonts w:asciiTheme="majorBidi" w:hAnsiTheme="majorBidi" w:cstheme="majorBidi"/>
          <w:b/>
          <w:bCs/>
          <w:sz w:val="18"/>
          <w:szCs w:val="18"/>
          <w:rtl/>
        </w:rPr>
      </w:pPr>
      <w:r w:rsidRPr="00F24C7B">
        <w:rPr>
          <w:rFonts w:asciiTheme="majorBidi" w:hAnsiTheme="majorBidi" w:cstheme="majorBidi"/>
          <w:sz w:val="18"/>
          <w:szCs w:val="18"/>
          <w:lang w:val="en"/>
        </w:rPr>
        <w:t xml:space="preserve">** </w:t>
      </w:r>
      <w:r w:rsidRPr="00F24C7B">
        <w:rPr>
          <w:rFonts w:asciiTheme="majorBidi" w:hAnsiTheme="majorBidi" w:cstheme="majorBidi"/>
          <w:b/>
          <w:bCs/>
          <w:sz w:val="18"/>
          <w:szCs w:val="18"/>
          <w:lang w:val="en"/>
        </w:rPr>
        <w:t>Actual cost without a fee track</w:t>
      </w:r>
      <w:r w:rsidRPr="00F24C7B">
        <w:rPr>
          <w:rFonts w:asciiTheme="majorBidi" w:hAnsiTheme="majorBidi" w:cstheme="majorBidi"/>
          <w:sz w:val="18"/>
          <w:szCs w:val="18"/>
          <w:lang w:val="en"/>
        </w:rPr>
        <w:t xml:space="preserve"> - Cost of 10 teller-executed &amp; 50 customer-executed transactions, per the price charged in effect for such transactions in accounts that have not enrolled in the fee tracks service (calculated based on revenue data reported by the banks to </w:t>
      </w:r>
      <w:r w:rsidRPr="009A76BB">
        <w:rPr>
          <w:rFonts w:asciiTheme="majorBidi" w:hAnsiTheme="majorBidi" w:cstheme="majorBidi"/>
          <w:sz w:val="18"/>
          <w:szCs w:val="18"/>
          <w:lang w:val="en"/>
        </w:rPr>
        <w:t>the Banking Supervision Department for 2019);</w:t>
      </w:r>
      <w:r w:rsidRPr="009A76BB">
        <w:rPr>
          <w:rFonts w:asciiTheme="majorBidi" w:hAnsiTheme="majorBidi" w:cstheme="majorBidi"/>
          <w:b/>
          <w:bCs/>
          <w:sz w:val="18"/>
          <w:szCs w:val="18"/>
          <w:lang w:val="en"/>
        </w:rPr>
        <w:t xml:space="preserve"> </w:t>
      </w:r>
    </w:p>
    <w:p w14:paraId="7C9DF35C" w14:textId="184CB761" w:rsidR="006739F1" w:rsidRPr="009A76BB" w:rsidRDefault="006739F1" w:rsidP="009A76BB">
      <w:pPr>
        <w:bidi w:val="0"/>
        <w:rPr>
          <w:rFonts w:asciiTheme="majorBidi" w:hAnsiTheme="majorBidi" w:cstheme="majorBidi"/>
          <w:b/>
          <w:bCs/>
          <w:sz w:val="18"/>
          <w:szCs w:val="18"/>
          <w:rtl/>
        </w:rPr>
      </w:pPr>
      <w:r w:rsidRPr="009A76BB">
        <w:rPr>
          <w:rFonts w:asciiTheme="majorBidi" w:hAnsiTheme="majorBidi" w:cstheme="majorBidi"/>
          <w:b/>
          <w:bCs/>
          <w:sz w:val="18"/>
          <w:szCs w:val="18"/>
          <w:lang w:val="en"/>
        </w:rPr>
        <w:t>*** Ex</w:t>
      </w:r>
      <w:r w:rsidR="009A76BB" w:rsidRPr="009A76BB">
        <w:rPr>
          <w:rFonts w:asciiTheme="majorBidi" w:hAnsiTheme="majorBidi" w:cstheme="majorBidi"/>
          <w:b/>
          <w:bCs/>
          <w:sz w:val="18"/>
          <w:szCs w:val="18"/>
          <w:lang w:val="en"/>
        </w:rPr>
        <w:t xml:space="preserve">panded </w:t>
      </w:r>
      <w:r w:rsidR="0000050C" w:rsidRPr="009A76BB">
        <w:rPr>
          <w:rFonts w:asciiTheme="majorBidi" w:hAnsiTheme="majorBidi" w:cstheme="majorBidi"/>
          <w:b/>
          <w:bCs/>
          <w:sz w:val="18"/>
          <w:szCs w:val="18"/>
          <w:lang w:val="en"/>
        </w:rPr>
        <w:t xml:space="preserve">fee </w:t>
      </w:r>
      <w:r w:rsidRPr="009A76BB">
        <w:rPr>
          <w:rFonts w:asciiTheme="majorBidi" w:hAnsiTheme="majorBidi" w:cstheme="majorBidi"/>
          <w:b/>
          <w:bCs/>
          <w:sz w:val="18"/>
          <w:szCs w:val="18"/>
          <w:lang w:val="en"/>
        </w:rPr>
        <w:t xml:space="preserve">track.  </w:t>
      </w:r>
    </w:p>
    <w:p w14:paraId="528E023D" w14:textId="77777777" w:rsidR="006739F1" w:rsidRPr="00F24C7B" w:rsidRDefault="006739F1" w:rsidP="00F24C7B">
      <w:pPr>
        <w:bidi w:val="0"/>
        <w:rPr>
          <w:rFonts w:asciiTheme="majorBidi" w:hAnsiTheme="majorBidi" w:cstheme="majorBidi"/>
          <w:b/>
          <w:bCs/>
          <w:sz w:val="18"/>
          <w:szCs w:val="18"/>
          <w:rtl/>
        </w:rPr>
      </w:pPr>
    </w:p>
    <w:p w14:paraId="2CF8B4B4" w14:textId="77777777" w:rsidR="006739F1" w:rsidRPr="00F24C7B" w:rsidRDefault="006739F1" w:rsidP="00F24C7B">
      <w:pPr>
        <w:bidi w:val="0"/>
        <w:ind w:left="-55"/>
        <w:rPr>
          <w:rFonts w:asciiTheme="majorBidi" w:hAnsiTheme="majorBidi" w:cstheme="majorBidi"/>
          <w:b/>
          <w:bCs/>
          <w:u w:val="single"/>
          <w:rtl/>
        </w:rPr>
      </w:pPr>
      <w:r w:rsidRPr="00F24C7B">
        <w:rPr>
          <w:rFonts w:asciiTheme="majorBidi" w:hAnsiTheme="majorBidi" w:cstheme="majorBidi"/>
          <w:b/>
          <w:bCs/>
          <w:lang w:val="en"/>
        </w:rPr>
        <w:t>The extended fee track</w:t>
      </w:r>
      <w:r w:rsidRPr="00F24C7B">
        <w:rPr>
          <w:rFonts w:asciiTheme="majorBidi" w:hAnsiTheme="majorBidi" w:cstheme="majorBidi"/>
          <w:lang w:val="en"/>
        </w:rPr>
        <w:t xml:space="preserve"> includes up to 50 customer-executed transactions and up to 10 teller-executed transactions and ranges from NIS 20 to NIS 30 at the various banks. This track may be appropriate for small businesses and for households that execute a relatively large number of transactions.</w:t>
      </w:r>
    </w:p>
    <w:p w14:paraId="5C392F5C" w14:textId="77777777" w:rsidR="006739F1" w:rsidRPr="00F24C7B" w:rsidRDefault="006739F1" w:rsidP="00F24C7B">
      <w:pPr>
        <w:numPr>
          <w:ilvl w:val="0"/>
          <w:numId w:val="1"/>
        </w:numPr>
        <w:tabs>
          <w:tab w:val="clear" w:pos="567"/>
          <w:tab w:val="clear" w:pos="720"/>
          <w:tab w:val="clear" w:pos="1134"/>
          <w:tab w:val="clear" w:pos="1814"/>
          <w:tab w:val="clear" w:pos="2665"/>
          <w:tab w:val="num" w:pos="643"/>
          <w:tab w:val="num" w:pos="976"/>
        </w:tabs>
        <w:bidi w:val="0"/>
        <w:ind w:left="643"/>
        <w:rPr>
          <w:rFonts w:asciiTheme="majorBidi" w:hAnsiTheme="majorBidi" w:cstheme="majorBidi"/>
        </w:rPr>
      </w:pPr>
      <w:r w:rsidRPr="00F24C7B">
        <w:rPr>
          <w:rFonts w:asciiTheme="majorBidi" w:hAnsiTheme="majorBidi" w:cstheme="majorBidi"/>
          <w:lang w:val="en"/>
        </w:rPr>
        <w:t xml:space="preserve">On the extended track, the savings to the customer can reach tens of shekels per month and up to hundreds of shekels per year. </w:t>
      </w:r>
    </w:p>
    <w:p w14:paraId="18DAD1B0" w14:textId="77777777" w:rsidR="006739F1" w:rsidRPr="00F24C7B" w:rsidRDefault="006739F1" w:rsidP="00F24C7B">
      <w:pPr>
        <w:numPr>
          <w:ilvl w:val="0"/>
          <w:numId w:val="1"/>
        </w:numPr>
        <w:tabs>
          <w:tab w:val="clear" w:pos="567"/>
          <w:tab w:val="clear" w:pos="720"/>
          <w:tab w:val="clear" w:pos="1134"/>
          <w:tab w:val="clear" w:pos="1814"/>
          <w:tab w:val="clear" w:pos="2665"/>
          <w:tab w:val="num" w:pos="643"/>
          <w:tab w:val="num" w:pos="976"/>
        </w:tabs>
        <w:bidi w:val="0"/>
        <w:ind w:left="643"/>
        <w:rPr>
          <w:rFonts w:asciiTheme="majorBidi" w:hAnsiTheme="majorBidi" w:cstheme="majorBidi"/>
        </w:rPr>
      </w:pPr>
      <w:r w:rsidRPr="00F24C7B">
        <w:rPr>
          <w:rFonts w:asciiTheme="majorBidi" w:hAnsiTheme="majorBidi" w:cstheme="majorBidi"/>
          <w:lang w:val="en"/>
        </w:rPr>
        <w:t xml:space="preserve">It is more worthwhile to enroll in the </w:t>
      </w:r>
      <w:r w:rsidRPr="00F24C7B">
        <w:rPr>
          <w:rFonts w:asciiTheme="majorBidi" w:hAnsiTheme="majorBidi" w:cstheme="majorBidi"/>
          <w:b/>
          <w:bCs/>
          <w:lang w:val="en"/>
        </w:rPr>
        <w:t>extended</w:t>
      </w:r>
      <w:r w:rsidRPr="00F24C7B">
        <w:rPr>
          <w:rFonts w:asciiTheme="majorBidi" w:hAnsiTheme="majorBidi" w:cstheme="majorBidi"/>
          <w:lang w:val="en"/>
        </w:rPr>
        <w:t xml:space="preserve"> service track than to pay for each transaction separately, except at Bank </w:t>
      </w:r>
      <w:proofErr w:type="spellStart"/>
      <w:r w:rsidRPr="00F24C7B">
        <w:rPr>
          <w:rFonts w:asciiTheme="majorBidi" w:hAnsiTheme="majorBidi" w:cstheme="majorBidi"/>
          <w:lang w:val="en"/>
        </w:rPr>
        <w:t>Yahav</w:t>
      </w:r>
      <w:proofErr w:type="spellEnd"/>
      <w:r w:rsidRPr="00F24C7B">
        <w:rPr>
          <w:rFonts w:asciiTheme="majorBidi" w:hAnsiTheme="majorBidi" w:cstheme="majorBidi"/>
          <w:lang w:val="en"/>
        </w:rPr>
        <w:t xml:space="preserve"> and Bank </w:t>
      </w:r>
      <w:proofErr w:type="spellStart"/>
      <w:r w:rsidRPr="00F24C7B">
        <w:rPr>
          <w:rFonts w:asciiTheme="majorBidi" w:hAnsiTheme="majorBidi" w:cstheme="majorBidi"/>
          <w:lang w:val="en"/>
        </w:rPr>
        <w:t>Massad</w:t>
      </w:r>
      <w:proofErr w:type="spellEnd"/>
      <w:r w:rsidRPr="00F24C7B">
        <w:rPr>
          <w:rFonts w:asciiTheme="majorBidi" w:hAnsiTheme="majorBidi" w:cstheme="majorBidi"/>
          <w:lang w:val="en"/>
        </w:rPr>
        <w:t xml:space="preserve">. </w:t>
      </w:r>
    </w:p>
    <w:p w14:paraId="1DAB0AAE" w14:textId="77777777" w:rsidR="006739F1" w:rsidRPr="00F24C7B" w:rsidRDefault="006739F1" w:rsidP="00F24C7B">
      <w:pPr>
        <w:numPr>
          <w:ilvl w:val="0"/>
          <w:numId w:val="1"/>
        </w:numPr>
        <w:tabs>
          <w:tab w:val="clear" w:pos="567"/>
          <w:tab w:val="clear" w:pos="720"/>
          <w:tab w:val="clear" w:pos="1134"/>
          <w:tab w:val="clear" w:pos="1814"/>
          <w:tab w:val="clear" w:pos="2665"/>
          <w:tab w:val="num" w:pos="643"/>
          <w:tab w:val="num" w:pos="976"/>
        </w:tabs>
        <w:bidi w:val="0"/>
        <w:ind w:left="643"/>
        <w:rPr>
          <w:rFonts w:asciiTheme="majorBidi" w:hAnsiTheme="majorBidi" w:cstheme="majorBidi"/>
        </w:rPr>
      </w:pPr>
      <w:r w:rsidRPr="00F24C7B">
        <w:rPr>
          <w:rFonts w:asciiTheme="majorBidi" w:hAnsiTheme="majorBidi" w:cstheme="majorBidi"/>
          <w:lang w:val="en"/>
        </w:rPr>
        <w:t>Beginning in 2019, once a year, banking corporations are required to proactively enroll accounts of small businesses and authorized businesses in the extended fee track, subject to ensuring that the enrollment is worthwhile for these accounts.</w:t>
      </w:r>
    </w:p>
    <w:p w14:paraId="45C58276" w14:textId="77777777" w:rsidR="006739F1" w:rsidRPr="00F24C7B" w:rsidRDefault="006739F1" w:rsidP="00F24C7B">
      <w:pPr>
        <w:numPr>
          <w:ilvl w:val="0"/>
          <w:numId w:val="1"/>
        </w:numPr>
        <w:tabs>
          <w:tab w:val="clear" w:pos="567"/>
          <w:tab w:val="clear" w:pos="720"/>
          <w:tab w:val="clear" w:pos="1134"/>
          <w:tab w:val="clear" w:pos="1814"/>
          <w:tab w:val="clear" w:pos="2665"/>
          <w:tab w:val="num" w:pos="643"/>
          <w:tab w:val="num" w:pos="976"/>
        </w:tabs>
        <w:bidi w:val="0"/>
        <w:ind w:left="643"/>
        <w:rPr>
          <w:rFonts w:asciiTheme="majorBidi" w:hAnsiTheme="majorBidi" w:cstheme="majorBidi"/>
        </w:rPr>
      </w:pPr>
      <w:r w:rsidRPr="00F24C7B">
        <w:rPr>
          <w:rFonts w:asciiTheme="majorBidi" w:hAnsiTheme="majorBidi" w:cstheme="majorBidi"/>
          <w:lang w:val="en"/>
        </w:rPr>
        <w:lastRenderedPageBreak/>
        <w:t>A small business is a corporation with annual revenue of up to NIS 5 million.</w:t>
      </w:r>
      <w:r w:rsidRPr="00F24C7B">
        <w:rPr>
          <w:rStyle w:val="FootnoteReference"/>
          <w:rFonts w:asciiTheme="majorBidi" w:hAnsiTheme="majorBidi" w:cstheme="majorBidi"/>
          <w:lang w:val="en"/>
        </w:rPr>
        <w:footnoteReference w:id="6"/>
      </w:r>
      <w:r w:rsidRPr="00F24C7B">
        <w:rPr>
          <w:rFonts w:asciiTheme="majorBidi" w:hAnsiTheme="majorBidi" w:cstheme="majorBidi"/>
          <w:lang w:val="en"/>
        </w:rPr>
        <w:t xml:space="preserve"> </w:t>
      </w:r>
    </w:p>
    <w:p w14:paraId="452ACD1F" w14:textId="77777777" w:rsidR="006739F1" w:rsidRPr="00F24C7B" w:rsidRDefault="006739F1" w:rsidP="00F24C7B">
      <w:pPr>
        <w:numPr>
          <w:ilvl w:val="0"/>
          <w:numId w:val="1"/>
        </w:numPr>
        <w:tabs>
          <w:tab w:val="clear" w:pos="567"/>
          <w:tab w:val="clear" w:pos="720"/>
          <w:tab w:val="clear" w:pos="1134"/>
          <w:tab w:val="clear" w:pos="1814"/>
          <w:tab w:val="clear" w:pos="2665"/>
          <w:tab w:val="num" w:pos="643"/>
          <w:tab w:val="num" w:pos="976"/>
        </w:tabs>
        <w:bidi w:val="0"/>
        <w:ind w:left="643"/>
        <w:rPr>
          <w:rFonts w:asciiTheme="majorBidi" w:hAnsiTheme="majorBidi" w:cstheme="majorBidi"/>
          <w:b/>
          <w:bCs/>
          <w:color w:val="0070C0"/>
          <w:sz w:val="28"/>
          <w:szCs w:val="28"/>
          <w:u w:val="single"/>
        </w:rPr>
      </w:pPr>
      <w:r w:rsidRPr="00F24C7B">
        <w:rPr>
          <w:rFonts w:asciiTheme="majorBidi" w:hAnsiTheme="majorBidi" w:cstheme="majorBidi"/>
          <w:lang w:val="en"/>
        </w:rPr>
        <w:t xml:space="preserve">In the overall banking system, the expenditure in respect of fees for the total transactions included in the </w:t>
      </w:r>
      <w:r w:rsidRPr="00F24C7B">
        <w:rPr>
          <w:rFonts w:asciiTheme="majorBidi" w:hAnsiTheme="majorBidi" w:cstheme="majorBidi"/>
          <w:b/>
          <w:bCs/>
          <w:lang w:val="en"/>
        </w:rPr>
        <w:t>extended</w:t>
      </w:r>
      <w:r w:rsidRPr="00F24C7B">
        <w:rPr>
          <w:rFonts w:asciiTheme="majorBidi" w:hAnsiTheme="majorBidi" w:cstheme="majorBidi"/>
          <w:lang w:val="en"/>
        </w:rPr>
        <w:t xml:space="preserve"> service track is lowest at Bank Yahav.</w:t>
      </w:r>
      <w:r w:rsidRPr="00F24C7B">
        <w:rPr>
          <w:rFonts w:asciiTheme="majorBidi" w:hAnsiTheme="majorBidi" w:cstheme="majorBidi"/>
          <w:vertAlign w:val="superscript"/>
          <w:lang w:val="en"/>
        </w:rPr>
        <w:t>5</w:t>
      </w:r>
      <w:r w:rsidRPr="00F24C7B">
        <w:rPr>
          <w:rFonts w:asciiTheme="majorBidi" w:hAnsiTheme="majorBidi" w:cstheme="majorBidi"/>
          <w:lang w:val="en"/>
        </w:rPr>
        <w:t xml:space="preserve"> Mercantile Bank charges the highest total fee (among the five large banks: the expenditure is lowest at Discount Bank and First International Bank, while it is highest at Mizrahi Bank).</w:t>
      </w:r>
    </w:p>
    <w:p w14:paraId="160BF974" w14:textId="77777777" w:rsidR="006739F1" w:rsidRPr="00F24C7B" w:rsidRDefault="006739F1" w:rsidP="00F24C7B">
      <w:pPr>
        <w:tabs>
          <w:tab w:val="clear" w:pos="567"/>
          <w:tab w:val="clear" w:pos="1134"/>
          <w:tab w:val="clear" w:pos="1814"/>
          <w:tab w:val="clear" w:pos="2665"/>
          <w:tab w:val="num" w:pos="976"/>
        </w:tabs>
        <w:bidi w:val="0"/>
        <w:ind w:left="643"/>
        <w:rPr>
          <w:rFonts w:asciiTheme="majorBidi" w:hAnsiTheme="majorBidi" w:cstheme="majorBidi"/>
          <w:b/>
          <w:bCs/>
          <w:color w:val="0070C0"/>
          <w:sz w:val="28"/>
          <w:szCs w:val="28"/>
          <w:u w:val="single"/>
        </w:rPr>
      </w:pPr>
    </w:p>
    <w:p w14:paraId="646D8CCA" w14:textId="71F385DB" w:rsidR="006739F1" w:rsidRPr="00F24C7B" w:rsidRDefault="006739F1" w:rsidP="00F24C7B">
      <w:pPr>
        <w:pStyle w:val="Heading2"/>
        <w:numPr>
          <w:ilvl w:val="0"/>
          <w:numId w:val="0"/>
        </w:numPr>
        <w:bidi w:val="0"/>
        <w:ind w:left="-35"/>
        <w:jc w:val="center"/>
        <w:rPr>
          <w:rFonts w:asciiTheme="majorBidi" w:hAnsiTheme="majorBidi" w:cstheme="majorBidi"/>
          <w:color w:val="1F497D" w:themeColor="text2"/>
          <w:rtl/>
        </w:rPr>
      </w:pPr>
      <w:r w:rsidRPr="00F24C7B">
        <w:rPr>
          <w:rFonts w:asciiTheme="majorBidi" w:hAnsiTheme="majorBidi" w:cstheme="majorBidi"/>
          <w:color w:val="1F497D" w:themeColor="text2"/>
          <w:lang w:val="en"/>
        </w:rPr>
        <w:t>For a guide on the Bank of Israel website on the issue of reducing bank account management costs, please visit</w:t>
      </w:r>
      <w:r w:rsidR="00195CDC">
        <w:rPr>
          <w:rFonts w:asciiTheme="majorBidi" w:hAnsiTheme="majorBidi" w:cstheme="majorBidi"/>
          <w:color w:val="1F497D" w:themeColor="text2"/>
          <w:lang w:val="en"/>
        </w:rPr>
        <w:t xml:space="preserve"> (in Hebrew)</w:t>
      </w:r>
    </w:p>
    <w:p w14:paraId="59BEFD52" w14:textId="22EAC612" w:rsidR="006739F1" w:rsidRPr="00F24C7B" w:rsidRDefault="00343910" w:rsidP="00F24C7B">
      <w:pPr>
        <w:pStyle w:val="Heading2"/>
        <w:numPr>
          <w:ilvl w:val="0"/>
          <w:numId w:val="0"/>
        </w:numPr>
        <w:bidi w:val="0"/>
        <w:ind w:left="-35"/>
        <w:jc w:val="center"/>
        <w:rPr>
          <w:rFonts w:asciiTheme="majorBidi" w:hAnsiTheme="majorBidi" w:cstheme="majorBidi"/>
          <w:rtl/>
        </w:rPr>
      </w:pPr>
      <w:hyperlink r:id="rId21" w:history="1">
        <w:r w:rsidR="0041717C" w:rsidRPr="0000050C">
          <w:rPr>
            <w:rStyle w:val="Hyperlink"/>
            <w:rFonts w:asciiTheme="majorBidi" w:hAnsiTheme="majorBidi" w:cstheme="majorBidi"/>
            <w:lang w:val="en"/>
          </w:rPr>
          <w:t>https://www.boi.org.il/he/NewsAndPublications/Pages/09-07-2019.aspx</w:t>
        </w:r>
      </w:hyperlink>
    </w:p>
    <w:p w14:paraId="0F0907C3" w14:textId="77777777" w:rsidR="006739F1" w:rsidRPr="00F24C7B" w:rsidRDefault="006739F1" w:rsidP="00F24C7B">
      <w:pPr>
        <w:pStyle w:val="Heading2"/>
        <w:numPr>
          <w:ilvl w:val="0"/>
          <w:numId w:val="0"/>
        </w:numPr>
        <w:bidi w:val="0"/>
        <w:ind w:left="-35"/>
        <w:rPr>
          <w:rFonts w:asciiTheme="majorBidi" w:hAnsiTheme="majorBidi" w:cstheme="majorBidi"/>
          <w:rtl/>
        </w:rPr>
      </w:pPr>
    </w:p>
    <w:p w14:paraId="5895B627" w14:textId="7099BFDA" w:rsidR="006739F1" w:rsidRPr="00F24C7B" w:rsidRDefault="00076B44" w:rsidP="00F24C7B">
      <w:pPr>
        <w:pStyle w:val="Heading2"/>
        <w:bidi w:val="0"/>
        <w:rPr>
          <w:rFonts w:asciiTheme="majorBidi" w:hAnsiTheme="majorBidi" w:cstheme="majorBidi"/>
        </w:rPr>
      </w:pPr>
      <w:r>
        <w:rPr>
          <w:rFonts w:asciiTheme="majorBidi" w:hAnsiTheme="majorBidi" w:cstheme="majorBidi"/>
          <w:lang w:val="en"/>
        </w:rPr>
        <w:t>F</w:t>
      </w:r>
      <w:r w:rsidR="006739F1" w:rsidRPr="00F24C7B">
        <w:rPr>
          <w:rFonts w:asciiTheme="majorBidi" w:hAnsiTheme="majorBidi" w:cstheme="majorBidi"/>
          <w:lang w:val="en"/>
        </w:rPr>
        <w:t xml:space="preserve">ees for securities transactions </w:t>
      </w:r>
    </w:p>
    <w:p w14:paraId="0279E524" w14:textId="77777777" w:rsidR="006739F1" w:rsidRPr="00F24C7B" w:rsidRDefault="006739F1" w:rsidP="00F24C7B">
      <w:pPr>
        <w:pStyle w:val="Heading2"/>
        <w:numPr>
          <w:ilvl w:val="0"/>
          <w:numId w:val="0"/>
        </w:numPr>
        <w:bidi w:val="0"/>
        <w:ind w:left="360"/>
        <w:rPr>
          <w:rFonts w:asciiTheme="majorBidi" w:hAnsiTheme="majorBidi" w:cstheme="majorBidi"/>
          <w:b w:val="0"/>
          <w:bCs w:val="0"/>
          <w:color w:val="auto"/>
          <w:rtl/>
        </w:rPr>
      </w:pPr>
      <w:r w:rsidRPr="00F24C7B">
        <w:rPr>
          <w:rFonts w:asciiTheme="majorBidi" w:hAnsiTheme="majorBidi" w:cstheme="majorBidi"/>
          <w:b w:val="0"/>
          <w:bCs w:val="0"/>
          <w:color w:val="auto"/>
          <w:lang w:val="en"/>
        </w:rPr>
        <w:t>There are two types of services for which fees are charged for securities transactions - a fee for buying, selling, and redeeming securities, and a management fee:</w:t>
      </w:r>
    </w:p>
    <w:p w14:paraId="195849EE" w14:textId="77777777" w:rsidR="006739F1" w:rsidRPr="00F24C7B" w:rsidRDefault="006739F1" w:rsidP="00F24C7B">
      <w:pPr>
        <w:pStyle w:val="Heading2"/>
        <w:numPr>
          <w:ilvl w:val="0"/>
          <w:numId w:val="0"/>
        </w:numPr>
        <w:bidi w:val="0"/>
        <w:ind w:left="360"/>
        <w:rPr>
          <w:rFonts w:asciiTheme="majorBidi" w:hAnsiTheme="majorBidi" w:cstheme="majorBidi"/>
          <w:b w:val="0"/>
          <w:bCs w:val="0"/>
        </w:rPr>
      </w:pPr>
    </w:p>
    <w:p w14:paraId="6B18FD9C" w14:textId="77777777" w:rsidR="006739F1" w:rsidRPr="00F24C7B" w:rsidRDefault="006739F1" w:rsidP="00F24C7B">
      <w:pPr>
        <w:pStyle w:val="Heading3"/>
        <w:bidi w:val="0"/>
        <w:ind w:left="674"/>
        <w:rPr>
          <w:rFonts w:asciiTheme="majorBidi" w:hAnsiTheme="majorBidi" w:cstheme="majorBidi"/>
          <w:rtl/>
        </w:rPr>
      </w:pPr>
      <w:r w:rsidRPr="00F24C7B">
        <w:rPr>
          <w:rFonts w:asciiTheme="majorBidi" w:hAnsiTheme="majorBidi" w:cstheme="majorBidi"/>
          <w:lang w:val="en"/>
        </w:rPr>
        <w:t xml:space="preserve">Fee for buying, selling, and redeeming securities </w:t>
      </w:r>
    </w:p>
    <w:p w14:paraId="38C64BD3" w14:textId="77777777" w:rsidR="006739F1" w:rsidRPr="00F24C7B" w:rsidRDefault="006739F1" w:rsidP="00F24C7B">
      <w:pPr>
        <w:tabs>
          <w:tab w:val="clear" w:pos="567"/>
          <w:tab w:val="left" w:pos="452"/>
        </w:tabs>
        <w:bidi w:val="0"/>
        <w:ind w:left="469"/>
        <w:rPr>
          <w:rFonts w:asciiTheme="majorBidi" w:hAnsiTheme="majorBidi" w:cstheme="majorBidi"/>
          <w:b/>
          <w:bCs/>
          <w:rtl/>
        </w:rPr>
      </w:pPr>
      <w:r w:rsidRPr="00F24C7B">
        <w:rPr>
          <w:rFonts w:asciiTheme="majorBidi" w:hAnsiTheme="majorBidi" w:cstheme="majorBidi"/>
          <w:b/>
          <w:bCs/>
          <w:lang w:val="en"/>
        </w:rPr>
        <w:t>The “fee for buying, selling, and redeeming securities”</w:t>
      </w:r>
      <w:r w:rsidRPr="00F24C7B">
        <w:rPr>
          <w:rFonts w:asciiTheme="majorBidi" w:hAnsiTheme="majorBidi" w:cstheme="majorBidi"/>
          <w:lang w:val="en"/>
        </w:rPr>
        <w:t xml:space="preserve"> is a fee charged in respect of securities purchase, sale, and redemption transactions. The fee is charged as a percentage of the transaction amount.</w:t>
      </w:r>
    </w:p>
    <w:p w14:paraId="2A57A4C3" w14:textId="77777777" w:rsidR="006739F1" w:rsidRPr="00F24C7B" w:rsidRDefault="006739F1" w:rsidP="00F24C7B">
      <w:pPr>
        <w:tabs>
          <w:tab w:val="clear" w:pos="567"/>
          <w:tab w:val="left" w:pos="452"/>
        </w:tabs>
        <w:bidi w:val="0"/>
        <w:ind w:left="469"/>
        <w:rPr>
          <w:rFonts w:asciiTheme="majorBidi" w:hAnsiTheme="majorBidi" w:cstheme="majorBidi"/>
          <w:b/>
          <w:bCs/>
          <w:rtl/>
        </w:rPr>
      </w:pPr>
    </w:p>
    <w:p w14:paraId="7F588EC6" w14:textId="77777777" w:rsidR="006739F1" w:rsidRPr="00F24C7B" w:rsidRDefault="006739F1" w:rsidP="00F24C7B">
      <w:pPr>
        <w:shd w:val="clear" w:color="auto" w:fill="D9D9D9"/>
        <w:bidi w:val="0"/>
        <w:ind w:left="-55"/>
        <w:jc w:val="center"/>
        <w:rPr>
          <w:rFonts w:asciiTheme="majorBidi" w:hAnsiTheme="majorBidi" w:cstheme="majorBidi"/>
          <w:b/>
          <w:bCs/>
          <w:sz w:val="28"/>
          <w:szCs w:val="28"/>
          <w:rtl/>
        </w:rPr>
      </w:pPr>
      <w:r w:rsidRPr="00F24C7B">
        <w:rPr>
          <w:rFonts w:asciiTheme="majorBidi" w:hAnsiTheme="majorBidi" w:cstheme="majorBidi"/>
          <w:b/>
          <w:bCs/>
          <w:sz w:val="28"/>
          <w:szCs w:val="28"/>
          <w:lang w:val="en"/>
        </w:rPr>
        <w:t xml:space="preserve">Direct banking makes it possible to save on securities fees as well </w:t>
      </w:r>
    </w:p>
    <w:p w14:paraId="036A3C24" w14:textId="77777777" w:rsidR="006739F1" w:rsidRPr="00F24C7B" w:rsidRDefault="006739F1" w:rsidP="00F24C7B">
      <w:pPr>
        <w:bidi w:val="0"/>
        <w:spacing w:line="240" w:lineRule="auto"/>
        <w:ind w:left="-55"/>
        <w:jc w:val="center"/>
        <w:rPr>
          <w:rFonts w:asciiTheme="majorBidi" w:hAnsiTheme="majorBidi" w:cstheme="majorBidi"/>
          <w:b/>
          <w:bCs/>
          <w:u w:val="single"/>
          <w:rtl/>
        </w:rPr>
      </w:pPr>
    </w:p>
    <w:p w14:paraId="1D91EE72" w14:textId="77777777" w:rsidR="006739F1" w:rsidRPr="00F24C7B" w:rsidRDefault="006739F1" w:rsidP="00F24C7B">
      <w:pPr>
        <w:bidi w:val="0"/>
        <w:ind w:left="-55"/>
        <w:jc w:val="center"/>
        <w:rPr>
          <w:rFonts w:asciiTheme="majorBidi" w:hAnsiTheme="majorBidi" w:cstheme="majorBidi"/>
          <w:u w:val="single"/>
          <w:rtl/>
        </w:rPr>
      </w:pPr>
    </w:p>
    <w:p w14:paraId="52649F3E" w14:textId="77777777" w:rsidR="00862DF3" w:rsidRDefault="00862DF3">
      <w:pPr>
        <w:tabs>
          <w:tab w:val="clear" w:pos="567"/>
          <w:tab w:val="clear" w:pos="1134"/>
          <w:tab w:val="clear" w:pos="1814"/>
          <w:tab w:val="clear" w:pos="2665"/>
        </w:tabs>
        <w:bidi w:val="0"/>
        <w:spacing w:line="240" w:lineRule="auto"/>
        <w:jc w:val="left"/>
        <w:rPr>
          <w:rFonts w:asciiTheme="majorBidi" w:hAnsiTheme="majorBidi" w:cstheme="majorBidi"/>
          <w:u w:val="single"/>
          <w:lang w:val="en"/>
        </w:rPr>
      </w:pPr>
      <w:r>
        <w:rPr>
          <w:rFonts w:asciiTheme="majorBidi" w:hAnsiTheme="majorBidi" w:cstheme="majorBidi"/>
          <w:u w:val="single"/>
          <w:lang w:val="en"/>
        </w:rPr>
        <w:br w:type="page"/>
      </w:r>
    </w:p>
    <w:p w14:paraId="02755C31" w14:textId="035AF296" w:rsidR="006739F1" w:rsidRPr="00F24C7B" w:rsidRDefault="006739F1" w:rsidP="00F24C7B">
      <w:pPr>
        <w:bidi w:val="0"/>
        <w:ind w:left="-55"/>
        <w:jc w:val="center"/>
        <w:rPr>
          <w:rFonts w:asciiTheme="majorBidi" w:hAnsiTheme="majorBidi" w:cstheme="majorBidi"/>
          <w:u w:val="single"/>
          <w:rtl/>
        </w:rPr>
      </w:pPr>
      <w:r w:rsidRPr="00F24C7B">
        <w:rPr>
          <w:rFonts w:asciiTheme="majorBidi" w:hAnsiTheme="majorBidi" w:cstheme="majorBidi"/>
          <w:u w:val="single"/>
          <w:lang w:val="en"/>
        </w:rPr>
        <w:lastRenderedPageBreak/>
        <w:t>Figure 8 - Comparison of fee schedules for buying, selling, and redeeming securities traded in Israel - stocks and bonds - through the banking system: fee schedule for a teller-executed transaction vs. an online transaction, in percent</w:t>
      </w:r>
      <w:r w:rsidR="00373469">
        <w:rPr>
          <w:rFonts w:asciiTheme="majorBidi" w:hAnsiTheme="majorBidi" w:cstheme="majorBidi"/>
          <w:u w:val="single"/>
          <w:lang w:val="en"/>
        </w:rPr>
        <w:t>, as of June 22, 2020</w:t>
      </w:r>
    </w:p>
    <w:p w14:paraId="0B142C6B" w14:textId="6AC161D7" w:rsidR="006739F1" w:rsidRPr="00057630" w:rsidRDefault="000F0272" w:rsidP="00057630">
      <w:pPr>
        <w:bidi w:val="0"/>
        <w:ind w:left="-55"/>
        <w:jc w:val="center"/>
        <w:rPr>
          <w:rFonts w:asciiTheme="majorBidi" w:hAnsiTheme="majorBidi" w:cstheme="majorBidi"/>
          <w:u w:val="single"/>
          <w:rtl/>
          <w:lang w:val="en"/>
        </w:rPr>
      </w:pPr>
      <w:r w:rsidRPr="000F0272">
        <w:rPr>
          <w:noProof/>
        </w:rPr>
        <w:drawing>
          <wp:inline distT="0" distB="0" distL="0" distR="0" wp14:anchorId="15EE44A2" wp14:editId="37F43CF4">
            <wp:extent cx="6086475" cy="25337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87741" cy="2534264"/>
                    </a:xfrm>
                    <a:prstGeom prst="rect">
                      <a:avLst/>
                    </a:prstGeom>
                    <a:noFill/>
                    <a:ln>
                      <a:noFill/>
                    </a:ln>
                  </pic:spPr>
                </pic:pic>
              </a:graphicData>
            </a:graphic>
          </wp:inline>
        </w:drawing>
      </w:r>
    </w:p>
    <w:p w14:paraId="1FF8AC49" w14:textId="77777777" w:rsidR="006739F1" w:rsidRPr="00F24C7B" w:rsidRDefault="006739F1" w:rsidP="00F24C7B">
      <w:pPr>
        <w:tabs>
          <w:tab w:val="clear" w:pos="567"/>
          <w:tab w:val="clear" w:pos="1134"/>
          <w:tab w:val="clear" w:pos="1814"/>
          <w:tab w:val="clear" w:pos="2665"/>
        </w:tabs>
        <w:bidi w:val="0"/>
        <w:spacing w:line="240" w:lineRule="auto"/>
        <w:jc w:val="left"/>
        <w:rPr>
          <w:rFonts w:asciiTheme="majorBidi" w:hAnsiTheme="majorBidi" w:cstheme="majorBidi"/>
          <w:rtl/>
        </w:rPr>
      </w:pPr>
      <w:r w:rsidRPr="00F24C7B">
        <w:rPr>
          <w:rFonts w:asciiTheme="majorBidi" w:hAnsiTheme="majorBidi" w:cstheme="majorBidi"/>
          <w:lang w:val="en"/>
        </w:rPr>
        <w:t xml:space="preserve">During 2019, there were no increases in the buying or selling fees of securities. Bank </w:t>
      </w:r>
      <w:proofErr w:type="spellStart"/>
      <w:r w:rsidRPr="00F24C7B">
        <w:rPr>
          <w:rFonts w:asciiTheme="majorBidi" w:hAnsiTheme="majorBidi" w:cstheme="majorBidi"/>
          <w:lang w:val="en"/>
        </w:rPr>
        <w:t>Massad</w:t>
      </w:r>
      <w:proofErr w:type="spellEnd"/>
      <w:r w:rsidRPr="00F24C7B">
        <w:rPr>
          <w:rFonts w:asciiTheme="majorBidi" w:hAnsiTheme="majorBidi" w:cstheme="majorBidi"/>
          <w:lang w:val="en"/>
        </w:rPr>
        <w:t xml:space="preserve"> reduced its fee from 0.78 percent to 0.68 percent.</w:t>
      </w:r>
    </w:p>
    <w:p w14:paraId="7D55675A" w14:textId="7E0E4CAC" w:rsidR="006739F1" w:rsidRPr="00F24C7B" w:rsidRDefault="006739F1" w:rsidP="00AD1C25">
      <w:pPr>
        <w:tabs>
          <w:tab w:val="clear" w:pos="567"/>
          <w:tab w:val="clear" w:pos="1134"/>
          <w:tab w:val="clear" w:pos="1814"/>
          <w:tab w:val="clear" w:pos="2665"/>
        </w:tabs>
        <w:bidi w:val="0"/>
        <w:spacing w:line="240" w:lineRule="auto"/>
        <w:jc w:val="left"/>
        <w:rPr>
          <w:rFonts w:asciiTheme="majorBidi" w:hAnsiTheme="majorBidi" w:cstheme="majorBidi"/>
          <w:b/>
          <w:bCs/>
          <w:rtl/>
        </w:rPr>
      </w:pPr>
      <w:r w:rsidRPr="00F24C7B">
        <w:rPr>
          <w:rFonts w:asciiTheme="majorBidi" w:hAnsiTheme="majorBidi" w:cstheme="majorBidi"/>
          <w:b/>
          <w:bCs/>
          <w:rtl/>
        </w:rPr>
        <w:br/>
      </w:r>
    </w:p>
    <w:p w14:paraId="506AECB1" w14:textId="77777777" w:rsidR="006739F1" w:rsidRPr="00F24C7B" w:rsidRDefault="006739F1" w:rsidP="00F24C7B">
      <w:pPr>
        <w:pStyle w:val="Heading3"/>
        <w:bidi w:val="0"/>
        <w:ind w:left="674"/>
        <w:rPr>
          <w:rFonts w:asciiTheme="majorBidi" w:hAnsiTheme="majorBidi" w:cstheme="majorBidi"/>
        </w:rPr>
      </w:pPr>
      <w:r w:rsidRPr="00F24C7B">
        <w:rPr>
          <w:rFonts w:asciiTheme="majorBidi" w:hAnsiTheme="majorBidi" w:cstheme="majorBidi"/>
          <w:lang w:val="en"/>
        </w:rPr>
        <w:t>Securities deposit management fee for Israeli securities</w:t>
      </w:r>
    </w:p>
    <w:p w14:paraId="31072C07" w14:textId="77777777" w:rsidR="006739F1" w:rsidRPr="00F24C7B" w:rsidRDefault="006739F1" w:rsidP="00F24C7B">
      <w:pPr>
        <w:tabs>
          <w:tab w:val="clear" w:pos="567"/>
          <w:tab w:val="left" w:pos="452"/>
        </w:tabs>
        <w:bidi w:val="0"/>
        <w:ind w:left="452"/>
        <w:rPr>
          <w:rFonts w:asciiTheme="majorBidi" w:hAnsiTheme="majorBidi" w:cstheme="majorBidi"/>
          <w:rtl/>
        </w:rPr>
      </w:pPr>
      <w:r w:rsidRPr="00F24C7B">
        <w:rPr>
          <w:rFonts w:asciiTheme="majorBidi" w:hAnsiTheme="majorBidi" w:cstheme="majorBidi"/>
          <w:lang w:val="en"/>
        </w:rPr>
        <w:t xml:space="preserve">The “securities deposit management fee” is charged as a percentage of the portfolio value for holding a securities account. </w:t>
      </w:r>
    </w:p>
    <w:p w14:paraId="7B30C754" w14:textId="77777777" w:rsidR="006739F1" w:rsidRPr="00F24C7B" w:rsidRDefault="006739F1" w:rsidP="00F24C7B">
      <w:pPr>
        <w:shd w:val="clear" w:color="auto" w:fill="D9D9D9"/>
        <w:bidi w:val="0"/>
        <w:ind w:left="-55"/>
        <w:jc w:val="center"/>
        <w:rPr>
          <w:rFonts w:asciiTheme="majorBidi" w:hAnsiTheme="majorBidi" w:cstheme="majorBidi"/>
          <w:b/>
          <w:bCs/>
          <w:sz w:val="28"/>
          <w:szCs w:val="28"/>
          <w:rtl/>
        </w:rPr>
      </w:pPr>
      <w:r w:rsidRPr="00F24C7B">
        <w:rPr>
          <w:rFonts w:asciiTheme="majorBidi" w:hAnsiTheme="majorBidi" w:cstheme="majorBidi"/>
          <w:b/>
          <w:bCs/>
          <w:sz w:val="28"/>
          <w:szCs w:val="28"/>
          <w:lang w:val="en"/>
        </w:rPr>
        <w:t>There is variance in the amount of the “securities deposit management fee” in the banking system among the banks, by securities portfolio value</w:t>
      </w:r>
    </w:p>
    <w:p w14:paraId="195BE9F6" w14:textId="77777777" w:rsidR="006739F1" w:rsidRPr="00F24C7B" w:rsidRDefault="006739F1" w:rsidP="00F24C7B">
      <w:pPr>
        <w:shd w:val="clear" w:color="auto" w:fill="D9D9D9"/>
        <w:bidi w:val="0"/>
        <w:ind w:left="-55"/>
        <w:jc w:val="center"/>
        <w:rPr>
          <w:rFonts w:asciiTheme="majorBidi" w:hAnsiTheme="majorBidi" w:cstheme="majorBidi"/>
          <w:b/>
          <w:bCs/>
          <w:sz w:val="28"/>
          <w:szCs w:val="28"/>
          <w:rtl/>
        </w:rPr>
      </w:pPr>
    </w:p>
    <w:p w14:paraId="762B535D" w14:textId="77777777" w:rsidR="006739F1" w:rsidRPr="00F24C7B" w:rsidRDefault="006739F1" w:rsidP="00F24C7B">
      <w:pPr>
        <w:bidi w:val="0"/>
        <w:jc w:val="center"/>
        <w:rPr>
          <w:rFonts w:asciiTheme="majorBidi" w:hAnsiTheme="majorBidi" w:cstheme="majorBidi"/>
          <w:u w:val="single"/>
          <w:rtl/>
        </w:rPr>
      </w:pPr>
    </w:p>
    <w:p w14:paraId="67D98AB5" w14:textId="77777777" w:rsidR="00174142" w:rsidRDefault="00174142">
      <w:pPr>
        <w:tabs>
          <w:tab w:val="clear" w:pos="567"/>
          <w:tab w:val="clear" w:pos="1134"/>
          <w:tab w:val="clear" w:pos="1814"/>
          <w:tab w:val="clear" w:pos="2665"/>
        </w:tabs>
        <w:bidi w:val="0"/>
        <w:spacing w:line="240" w:lineRule="auto"/>
        <w:jc w:val="left"/>
        <w:rPr>
          <w:rFonts w:asciiTheme="majorBidi" w:hAnsiTheme="majorBidi" w:cstheme="majorBidi"/>
          <w:u w:val="single"/>
          <w:lang w:val="en"/>
        </w:rPr>
      </w:pPr>
      <w:r>
        <w:rPr>
          <w:rFonts w:asciiTheme="majorBidi" w:hAnsiTheme="majorBidi" w:cstheme="majorBidi"/>
          <w:u w:val="single"/>
          <w:lang w:val="en"/>
        </w:rPr>
        <w:br w:type="page"/>
      </w:r>
    </w:p>
    <w:p w14:paraId="7729FE2F" w14:textId="5520D6B4" w:rsidR="006739F1" w:rsidRPr="00F24C7B" w:rsidRDefault="006739F1" w:rsidP="00F24C7B">
      <w:pPr>
        <w:bidi w:val="0"/>
        <w:jc w:val="center"/>
        <w:rPr>
          <w:rFonts w:asciiTheme="majorBidi" w:hAnsiTheme="majorBidi" w:cstheme="majorBidi"/>
          <w:u w:val="single"/>
          <w:rtl/>
        </w:rPr>
      </w:pPr>
      <w:r w:rsidRPr="00F24C7B">
        <w:rPr>
          <w:rFonts w:asciiTheme="majorBidi" w:hAnsiTheme="majorBidi" w:cstheme="majorBidi"/>
          <w:u w:val="single"/>
          <w:lang w:val="en"/>
        </w:rPr>
        <w:lastRenderedPageBreak/>
        <w:t xml:space="preserve">Figure 9 - Comparison of the “securities deposit management fee” for Israeli securities charged in effect, by portfolio value, per year, in percent </w:t>
      </w:r>
    </w:p>
    <w:p w14:paraId="21094464" w14:textId="77777777" w:rsidR="006739F1" w:rsidRPr="007066C1" w:rsidRDefault="006739F1" w:rsidP="007066C1">
      <w:pPr>
        <w:tabs>
          <w:tab w:val="clear" w:pos="567"/>
          <w:tab w:val="left" w:pos="452"/>
        </w:tabs>
        <w:bidi w:val="0"/>
        <w:jc w:val="center"/>
        <w:rPr>
          <w:rFonts w:asciiTheme="majorBidi" w:hAnsiTheme="majorBidi" w:cstheme="majorBidi"/>
          <w:u w:val="single"/>
          <w:rtl/>
        </w:rPr>
      </w:pPr>
      <w:r w:rsidRPr="007066C1">
        <w:rPr>
          <w:rFonts w:asciiTheme="majorBidi" w:hAnsiTheme="majorBidi" w:cstheme="majorBidi"/>
          <w:u w:val="single"/>
          <w:lang w:val="en"/>
        </w:rPr>
        <w:t>Second half of 2019:</w:t>
      </w:r>
    </w:p>
    <w:p w14:paraId="7B9178C8" w14:textId="58CA6CEE" w:rsidR="006739F1" w:rsidRPr="00F24C7B" w:rsidRDefault="006545BA" w:rsidP="007066C1">
      <w:pPr>
        <w:tabs>
          <w:tab w:val="clear" w:pos="567"/>
          <w:tab w:val="left" w:pos="390"/>
        </w:tabs>
        <w:bidi w:val="0"/>
        <w:ind w:left="469"/>
        <w:jc w:val="center"/>
        <w:rPr>
          <w:rFonts w:asciiTheme="majorBidi" w:hAnsiTheme="majorBidi" w:cstheme="majorBidi"/>
          <w:rtl/>
        </w:rPr>
      </w:pPr>
      <w:r w:rsidRPr="006545BA">
        <w:rPr>
          <w:noProof/>
        </w:rPr>
        <w:drawing>
          <wp:inline distT="0" distB="0" distL="0" distR="0" wp14:anchorId="6AE595D3" wp14:editId="2684F1A4">
            <wp:extent cx="5353050" cy="28681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60065" cy="2871953"/>
                    </a:xfrm>
                    <a:prstGeom prst="rect">
                      <a:avLst/>
                    </a:prstGeom>
                    <a:noFill/>
                    <a:ln>
                      <a:noFill/>
                    </a:ln>
                  </pic:spPr>
                </pic:pic>
              </a:graphicData>
            </a:graphic>
          </wp:inline>
        </w:drawing>
      </w:r>
    </w:p>
    <w:p w14:paraId="74F6CBAE" w14:textId="30C25A54" w:rsidR="00AD1C25" w:rsidRDefault="006739F1" w:rsidP="007066C1">
      <w:pPr>
        <w:tabs>
          <w:tab w:val="clear" w:pos="567"/>
          <w:tab w:val="left" w:pos="452"/>
        </w:tabs>
        <w:bidi w:val="0"/>
        <w:ind w:left="469"/>
        <w:rPr>
          <w:rFonts w:asciiTheme="majorBidi" w:hAnsiTheme="majorBidi" w:cstheme="majorBidi"/>
          <w:u w:val="single"/>
          <w:lang w:val="en"/>
        </w:rPr>
      </w:pPr>
      <w:r w:rsidRPr="00F24C7B">
        <w:rPr>
          <w:rFonts w:asciiTheme="majorBidi" w:hAnsiTheme="majorBidi" w:cstheme="majorBidi"/>
          <w:sz w:val="22"/>
          <w:szCs w:val="22"/>
          <w:lang w:val="en"/>
        </w:rPr>
        <w:t xml:space="preserve">* A fee increase </w:t>
      </w:r>
      <w:r w:rsidR="0000050C" w:rsidRPr="00F24C7B">
        <w:rPr>
          <w:rFonts w:asciiTheme="majorBidi" w:hAnsiTheme="majorBidi" w:cstheme="majorBidi"/>
          <w:sz w:val="22"/>
          <w:szCs w:val="22"/>
          <w:lang w:val="en"/>
        </w:rPr>
        <w:t>i</w:t>
      </w:r>
      <w:r w:rsidR="0000050C">
        <w:rPr>
          <w:rFonts w:asciiTheme="majorBidi" w:hAnsiTheme="majorBidi" w:cstheme="majorBidi"/>
          <w:sz w:val="22"/>
          <w:szCs w:val="22"/>
          <w:lang w:val="en"/>
        </w:rPr>
        <w:t>s</w:t>
      </w:r>
      <w:r w:rsidR="0000050C" w:rsidRPr="00F24C7B">
        <w:rPr>
          <w:rFonts w:asciiTheme="majorBidi" w:hAnsiTheme="majorBidi" w:cstheme="majorBidi"/>
          <w:sz w:val="22"/>
          <w:szCs w:val="22"/>
          <w:lang w:val="en"/>
        </w:rPr>
        <w:t xml:space="preserve"> </w:t>
      </w:r>
      <w:r w:rsidRPr="00F24C7B">
        <w:rPr>
          <w:rFonts w:asciiTheme="majorBidi" w:hAnsiTheme="majorBidi" w:cstheme="majorBidi"/>
          <w:sz w:val="22"/>
          <w:szCs w:val="22"/>
          <w:lang w:val="en"/>
        </w:rPr>
        <w:t xml:space="preserve">marked </w:t>
      </w:r>
      <w:r w:rsidRPr="00F24C7B">
        <w:rPr>
          <w:rFonts w:asciiTheme="majorBidi" w:hAnsiTheme="majorBidi" w:cstheme="majorBidi"/>
          <w:color w:val="FF0000"/>
          <w:sz w:val="22"/>
          <w:szCs w:val="22"/>
          <w:lang w:val="en"/>
        </w:rPr>
        <w:t>'red'</w:t>
      </w:r>
      <w:r w:rsidRPr="00F24C7B">
        <w:rPr>
          <w:rFonts w:asciiTheme="majorBidi" w:hAnsiTheme="majorBidi" w:cstheme="majorBidi"/>
          <w:sz w:val="22"/>
          <w:szCs w:val="22"/>
          <w:lang w:val="en"/>
        </w:rPr>
        <w:t xml:space="preserve">, a decrease is marked </w:t>
      </w:r>
      <w:r w:rsidRPr="00F24C7B">
        <w:rPr>
          <w:rFonts w:asciiTheme="majorBidi" w:hAnsiTheme="majorBidi" w:cstheme="majorBidi"/>
          <w:color w:val="00B050"/>
          <w:sz w:val="22"/>
          <w:szCs w:val="22"/>
          <w:lang w:val="en"/>
        </w:rPr>
        <w:t>'green'</w:t>
      </w:r>
      <w:r w:rsidRPr="00F24C7B">
        <w:rPr>
          <w:rFonts w:asciiTheme="majorBidi" w:hAnsiTheme="majorBidi" w:cstheme="majorBidi"/>
          <w:sz w:val="22"/>
          <w:szCs w:val="22"/>
          <w:lang w:val="en"/>
        </w:rPr>
        <w:t>, and if no change has occurred - it is marked 'black'.</w:t>
      </w:r>
    </w:p>
    <w:p w14:paraId="5C449723" w14:textId="5E0DED57" w:rsidR="006739F1" w:rsidRPr="00F24C7B" w:rsidRDefault="006739F1" w:rsidP="007066C1">
      <w:pPr>
        <w:tabs>
          <w:tab w:val="clear" w:pos="567"/>
          <w:tab w:val="left" w:pos="452"/>
        </w:tabs>
        <w:bidi w:val="0"/>
        <w:jc w:val="center"/>
        <w:rPr>
          <w:rFonts w:asciiTheme="majorBidi" w:hAnsiTheme="majorBidi" w:cstheme="majorBidi"/>
          <w:u w:val="single"/>
          <w:rtl/>
        </w:rPr>
      </w:pPr>
      <w:r w:rsidRPr="007066C1">
        <w:rPr>
          <w:rFonts w:asciiTheme="majorBidi" w:hAnsiTheme="majorBidi" w:cstheme="majorBidi"/>
          <w:u w:val="single"/>
          <w:lang w:val="en"/>
        </w:rPr>
        <w:t>Second half of 2018:</w:t>
      </w:r>
      <w:r w:rsidRPr="007066C1">
        <w:rPr>
          <w:rStyle w:val="FootnoteReference"/>
          <w:rFonts w:asciiTheme="majorBidi" w:hAnsiTheme="majorBidi" w:cstheme="majorBidi"/>
          <w:u w:val="single"/>
          <w:lang w:val="en"/>
        </w:rPr>
        <w:footnoteReference w:id="7"/>
      </w:r>
      <w:r w:rsidR="00FA2497" w:rsidRPr="00FA2497">
        <w:t xml:space="preserve"> </w:t>
      </w:r>
      <w:r w:rsidR="00FA2497" w:rsidRPr="00FA2497">
        <w:rPr>
          <w:noProof/>
        </w:rPr>
        <w:drawing>
          <wp:inline distT="0" distB="0" distL="0" distR="0" wp14:anchorId="5BD4C310" wp14:editId="1E545041">
            <wp:extent cx="4905375" cy="2634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908098" cy="2636062"/>
                    </a:xfrm>
                    <a:prstGeom prst="rect">
                      <a:avLst/>
                    </a:prstGeom>
                    <a:noFill/>
                    <a:ln>
                      <a:noFill/>
                    </a:ln>
                  </pic:spPr>
                </pic:pic>
              </a:graphicData>
            </a:graphic>
          </wp:inline>
        </w:drawing>
      </w:r>
    </w:p>
    <w:p w14:paraId="62B670EC" w14:textId="77777777" w:rsidR="006739F1" w:rsidRPr="00F24C7B" w:rsidRDefault="006739F1" w:rsidP="00F24C7B">
      <w:pPr>
        <w:pStyle w:val="NormalWeb"/>
        <w:spacing w:line="360" w:lineRule="auto"/>
        <w:ind w:left="391"/>
        <w:jc w:val="both"/>
        <w:rPr>
          <w:rFonts w:asciiTheme="majorBidi" w:hAnsiTheme="majorBidi" w:cstheme="majorBidi"/>
          <w:rtl/>
        </w:rPr>
      </w:pPr>
      <w:r w:rsidRPr="00F24C7B">
        <w:rPr>
          <w:rFonts w:asciiTheme="majorBidi" w:hAnsiTheme="majorBidi" w:cstheme="majorBidi"/>
          <w:lang w:val="en"/>
        </w:rPr>
        <w:t xml:space="preserve">In 2019, the trend of actual increase in management fees continued. The lowest management fees are at Bank </w:t>
      </w:r>
      <w:proofErr w:type="spellStart"/>
      <w:r w:rsidRPr="00F24C7B">
        <w:rPr>
          <w:rFonts w:asciiTheme="majorBidi" w:hAnsiTheme="majorBidi" w:cstheme="majorBidi"/>
          <w:lang w:val="en"/>
        </w:rPr>
        <w:t>Yahav</w:t>
      </w:r>
      <w:proofErr w:type="spellEnd"/>
      <w:r w:rsidRPr="00F24C7B">
        <w:rPr>
          <w:rFonts w:asciiTheme="majorBidi" w:hAnsiTheme="majorBidi" w:cstheme="majorBidi"/>
          <w:lang w:val="en"/>
        </w:rPr>
        <w:t xml:space="preserve">. The highest management fees are at Bank </w:t>
      </w:r>
      <w:proofErr w:type="spellStart"/>
      <w:r w:rsidRPr="00F24C7B">
        <w:rPr>
          <w:rFonts w:asciiTheme="majorBidi" w:hAnsiTheme="majorBidi" w:cstheme="majorBidi"/>
          <w:lang w:val="en"/>
        </w:rPr>
        <w:t>Massad</w:t>
      </w:r>
      <w:proofErr w:type="spellEnd"/>
      <w:r w:rsidRPr="00F24C7B">
        <w:rPr>
          <w:rFonts w:asciiTheme="majorBidi" w:hAnsiTheme="majorBidi" w:cstheme="majorBidi"/>
          <w:lang w:val="en"/>
        </w:rPr>
        <w:t xml:space="preserve"> and First International Bank. </w:t>
      </w:r>
    </w:p>
    <w:p w14:paraId="0C17015A" w14:textId="3D0BE64F" w:rsidR="006739F1" w:rsidRPr="00F24C7B" w:rsidRDefault="006739F1" w:rsidP="007066C1">
      <w:pPr>
        <w:tabs>
          <w:tab w:val="clear" w:pos="567"/>
          <w:tab w:val="clear" w:pos="1134"/>
          <w:tab w:val="clear" w:pos="1814"/>
          <w:tab w:val="clear" w:pos="2665"/>
        </w:tabs>
        <w:bidi w:val="0"/>
        <w:spacing w:line="240" w:lineRule="auto"/>
        <w:ind w:left="360"/>
        <w:rPr>
          <w:rFonts w:asciiTheme="majorBidi" w:hAnsiTheme="majorBidi" w:cstheme="majorBidi"/>
          <w:b/>
          <w:bCs/>
          <w:color w:val="1F497D" w:themeColor="text2"/>
          <w:sz w:val="22"/>
          <w:szCs w:val="22"/>
          <w:highlight w:val="yellow"/>
          <w:rtl/>
        </w:rPr>
      </w:pPr>
      <w:r w:rsidRPr="00F24C7B">
        <w:rPr>
          <w:rFonts w:asciiTheme="majorBidi" w:hAnsiTheme="majorBidi" w:cstheme="majorBidi"/>
          <w:b/>
          <w:bCs/>
          <w:lang w:val="en"/>
        </w:rPr>
        <w:t xml:space="preserve">The Bank of Israel urges the public to consume products and services in a smart and informed manner, and invites the public to use the “trading fees calculator” available on the Tel Aviv </w:t>
      </w:r>
      <w:r w:rsidR="00C57FB4">
        <w:rPr>
          <w:rFonts w:asciiTheme="majorBidi" w:hAnsiTheme="majorBidi" w:cstheme="majorBidi"/>
          <w:b/>
          <w:bCs/>
          <w:lang w:val="en"/>
        </w:rPr>
        <w:t xml:space="preserve">Stock </w:t>
      </w:r>
      <w:r w:rsidRPr="00F24C7B">
        <w:rPr>
          <w:rFonts w:asciiTheme="majorBidi" w:hAnsiTheme="majorBidi" w:cstheme="majorBidi"/>
          <w:b/>
          <w:bCs/>
          <w:lang w:val="en"/>
        </w:rPr>
        <w:t xml:space="preserve">Exchange’s website. </w:t>
      </w:r>
      <w:r w:rsidRPr="00F24C7B">
        <w:rPr>
          <w:rFonts w:asciiTheme="majorBidi" w:hAnsiTheme="majorBidi" w:cstheme="majorBidi"/>
          <w:color w:val="1F497D" w:themeColor="text2"/>
          <w:sz w:val="22"/>
          <w:szCs w:val="22"/>
          <w:highlight w:val="yellow"/>
          <w:lang w:val="en"/>
        </w:rPr>
        <w:br w:type="page"/>
      </w:r>
    </w:p>
    <w:p w14:paraId="699B9795" w14:textId="77777777" w:rsidR="006739F1" w:rsidRPr="00F24C7B" w:rsidRDefault="006739F1" w:rsidP="00F24C7B">
      <w:pPr>
        <w:pStyle w:val="Heading1"/>
        <w:bidi w:val="0"/>
        <w:rPr>
          <w:rFonts w:asciiTheme="majorBidi" w:hAnsiTheme="majorBidi" w:cstheme="majorBidi"/>
          <w:highlight w:val="yellow"/>
          <w:rtl/>
        </w:rPr>
      </w:pPr>
      <w:r w:rsidRPr="00F24C7B">
        <w:rPr>
          <w:rFonts w:asciiTheme="majorBidi" w:hAnsiTheme="majorBidi" w:cstheme="majorBidi"/>
          <w:lang w:val="en"/>
        </w:rPr>
        <w:lastRenderedPageBreak/>
        <w:t>APPENDIX - Summary of measures taken regarding fees in 2013-2019</w:t>
      </w:r>
    </w:p>
    <w:tbl>
      <w:tblPr>
        <w:tblStyle w:val="TableProfessional"/>
        <w:tblW w:w="9966" w:type="dxa"/>
        <w:tblLook w:val="04A0" w:firstRow="1" w:lastRow="0" w:firstColumn="1" w:lastColumn="0" w:noHBand="0" w:noVBand="1"/>
      </w:tblPr>
      <w:tblGrid>
        <w:gridCol w:w="733"/>
        <w:gridCol w:w="7656"/>
        <w:gridCol w:w="1577"/>
      </w:tblGrid>
      <w:tr w:rsidR="006739F1" w:rsidRPr="00F24C7B" w14:paraId="62F433E9" w14:textId="77777777" w:rsidTr="00E64F02">
        <w:trPr>
          <w:cnfStyle w:val="100000000000" w:firstRow="1" w:lastRow="0" w:firstColumn="0" w:lastColumn="0" w:oddVBand="0" w:evenVBand="0" w:oddHBand="0" w:evenHBand="0" w:firstRowFirstColumn="0" w:firstRowLastColumn="0" w:lastRowFirstColumn="0" w:lastRowLastColumn="0"/>
          <w:trHeight w:val="346"/>
        </w:trPr>
        <w:tc>
          <w:tcPr>
            <w:tcW w:w="733" w:type="dxa"/>
            <w:shd w:val="clear" w:color="auto" w:fill="4F81BD" w:themeFill="accent1"/>
          </w:tcPr>
          <w:p w14:paraId="111330AF" w14:textId="77777777" w:rsidR="006739F1" w:rsidRPr="00F24C7B" w:rsidRDefault="006739F1" w:rsidP="00F24C7B">
            <w:pPr>
              <w:tabs>
                <w:tab w:val="clear" w:pos="567"/>
                <w:tab w:val="clear" w:pos="1134"/>
                <w:tab w:val="clear" w:pos="1814"/>
                <w:tab w:val="clear" w:pos="2665"/>
              </w:tabs>
              <w:overflowPunct w:val="0"/>
              <w:autoSpaceDE w:val="0"/>
              <w:autoSpaceDN w:val="0"/>
              <w:bidi w:val="0"/>
              <w:adjustRightInd w:val="0"/>
              <w:textAlignment w:val="baseline"/>
              <w:rPr>
                <w:rFonts w:asciiTheme="majorBidi" w:hAnsiTheme="majorBidi" w:cstheme="majorBidi"/>
                <w:color w:val="FFFFFF" w:themeColor="background1"/>
                <w:rtl/>
              </w:rPr>
            </w:pPr>
            <w:r w:rsidRPr="00F24C7B">
              <w:rPr>
                <w:rFonts w:asciiTheme="majorBidi" w:hAnsiTheme="majorBidi" w:cstheme="majorBidi"/>
                <w:color w:val="FFFFFF" w:themeColor="background1"/>
                <w:lang w:val="en"/>
              </w:rPr>
              <w:t>No.</w:t>
            </w:r>
          </w:p>
        </w:tc>
        <w:tc>
          <w:tcPr>
            <w:tcW w:w="7656" w:type="dxa"/>
            <w:shd w:val="clear" w:color="auto" w:fill="4F81BD" w:themeFill="accent1"/>
          </w:tcPr>
          <w:p w14:paraId="283F5F3A" w14:textId="77777777" w:rsidR="006739F1" w:rsidRPr="00F24C7B" w:rsidRDefault="006739F1" w:rsidP="00F24C7B">
            <w:pPr>
              <w:tabs>
                <w:tab w:val="clear" w:pos="567"/>
                <w:tab w:val="clear" w:pos="1134"/>
                <w:tab w:val="clear" w:pos="1814"/>
                <w:tab w:val="clear" w:pos="2665"/>
              </w:tabs>
              <w:overflowPunct w:val="0"/>
              <w:autoSpaceDE w:val="0"/>
              <w:autoSpaceDN w:val="0"/>
              <w:bidi w:val="0"/>
              <w:adjustRightInd w:val="0"/>
              <w:textAlignment w:val="baseline"/>
              <w:rPr>
                <w:rFonts w:asciiTheme="majorBidi" w:hAnsiTheme="majorBidi" w:cstheme="majorBidi"/>
                <w:b w:val="0"/>
                <w:bCs w:val="0"/>
                <w:color w:val="FFFFFF" w:themeColor="background1"/>
                <w:rtl/>
              </w:rPr>
            </w:pPr>
            <w:r w:rsidRPr="00F24C7B">
              <w:rPr>
                <w:rFonts w:asciiTheme="majorBidi" w:hAnsiTheme="majorBidi" w:cstheme="majorBidi"/>
                <w:color w:val="FFFFFF" w:themeColor="background1"/>
                <w:lang w:val="en"/>
              </w:rPr>
              <w:t>Changes or measures regarding fees</w:t>
            </w:r>
          </w:p>
        </w:tc>
        <w:tc>
          <w:tcPr>
            <w:tcW w:w="1577" w:type="dxa"/>
            <w:shd w:val="clear" w:color="auto" w:fill="4F81BD" w:themeFill="accent1"/>
          </w:tcPr>
          <w:p w14:paraId="2234E9A5" w14:textId="74EDC347" w:rsidR="006739F1" w:rsidRPr="00F24C7B" w:rsidRDefault="006739F1" w:rsidP="00F24C7B">
            <w:pPr>
              <w:tabs>
                <w:tab w:val="clear" w:pos="567"/>
                <w:tab w:val="clear" w:pos="1134"/>
                <w:tab w:val="clear" w:pos="1814"/>
                <w:tab w:val="clear" w:pos="2665"/>
              </w:tabs>
              <w:overflowPunct w:val="0"/>
              <w:autoSpaceDE w:val="0"/>
              <w:autoSpaceDN w:val="0"/>
              <w:bidi w:val="0"/>
              <w:adjustRightInd w:val="0"/>
              <w:textAlignment w:val="baseline"/>
              <w:rPr>
                <w:rFonts w:asciiTheme="majorBidi" w:hAnsiTheme="majorBidi" w:cstheme="majorBidi"/>
                <w:b w:val="0"/>
                <w:bCs w:val="0"/>
                <w:color w:val="FFFFFF" w:themeColor="background1"/>
                <w:rtl/>
              </w:rPr>
            </w:pPr>
            <w:r w:rsidRPr="00F24C7B">
              <w:rPr>
                <w:rFonts w:asciiTheme="majorBidi" w:hAnsiTheme="majorBidi" w:cstheme="majorBidi"/>
                <w:color w:val="FFFFFF" w:themeColor="background1"/>
                <w:lang w:val="en"/>
              </w:rPr>
              <w:t>I</w:t>
            </w:r>
            <w:r w:rsidR="00076B44">
              <w:rPr>
                <w:rFonts w:asciiTheme="majorBidi" w:hAnsiTheme="majorBidi" w:cstheme="majorBidi"/>
                <w:color w:val="FFFFFF" w:themeColor="background1"/>
                <w:lang w:val="en"/>
              </w:rPr>
              <w:t>n</w:t>
            </w:r>
            <w:r w:rsidRPr="00F24C7B">
              <w:rPr>
                <w:rFonts w:asciiTheme="majorBidi" w:hAnsiTheme="majorBidi" w:cstheme="majorBidi"/>
                <w:color w:val="FFFFFF" w:themeColor="background1"/>
                <w:lang w:val="en"/>
              </w:rPr>
              <w:t xml:space="preserve"> effect as of</w:t>
            </w:r>
          </w:p>
        </w:tc>
      </w:tr>
      <w:tr w:rsidR="006739F1" w:rsidRPr="00F24C7B" w14:paraId="3AB872FF" w14:textId="77777777" w:rsidTr="00E64F02">
        <w:trPr>
          <w:trHeight w:val="431"/>
        </w:trPr>
        <w:tc>
          <w:tcPr>
            <w:tcW w:w="733" w:type="dxa"/>
          </w:tcPr>
          <w:p w14:paraId="4D784ABC" w14:textId="77777777" w:rsidR="006739F1" w:rsidRPr="00F24C7B" w:rsidRDefault="006739F1" w:rsidP="00F24C7B">
            <w:pPr>
              <w:numPr>
                <w:ilvl w:val="0"/>
                <w:numId w:val="3"/>
              </w:numPr>
              <w:tabs>
                <w:tab w:val="clear" w:pos="567"/>
                <w:tab w:val="clear" w:pos="1134"/>
                <w:tab w:val="clear" w:pos="1814"/>
                <w:tab w:val="clear" w:pos="2665"/>
              </w:tabs>
              <w:overflowPunct w:val="0"/>
              <w:autoSpaceDE w:val="0"/>
              <w:autoSpaceDN w:val="0"/>
              <w:bidi w:val="0"/>
              <w:adjustRightInd w:val="0"/>
              <w:spacing w:line="240" w:lineRule="auto"/>
              <w:jc w:val="left"/>
              <w:textAlignment w:val="baseline"/>
              <w:rPr>
                <w:rFonts w:asciiTheme="majorBidi" w:hAnsiTheme="majorBidi" w:cstheme="majorBidi"/>
                <w:rtl/>
              </w:rPr>
            </w:pPr>
          </w:p>
        </w:tc>
        <w:tc>
          <w:tcPr>
            <w:tcW w:w="7656" w:type="dxa"/>
          </w:tcPr>
          <w:p w14:paraId="1AD7E704" w14:textId="77777777" w:rsidR="006739F1" w:rsidRPr="00F24C7B" w:rsidRDefault="006739F1" w:rsidP="00F24C7B">
            <w:pPr>
              <w:tabs>
                <w:tab w:val="clear" w:pos="567"/>
                <w:tab w:val="clear" w:pos="1134"/>
                <w:tab w:val="clear" w:pos="1814"/>
                <w:tab w:val="clear" w:pos="2665"/>
              </w:tabs>
              <w:overflowPunct w:val="0"/>
              <w:autoSpaceDE w:val="0"/>
              <w:autoSpaceDN w:val="0"/>
              <w:bidi w:val="0"/>
              <w:adjustRightInd w:val="0"/>
              <w:textAlignment w:val="baseline"/>
              <w:rPr>
                <w:rFonts w:asciiTheme="majorBidi" w:hAnsiTheme="majorBidi" w:cstheme="majorBidi"/>
                <w:rtl/>
              </w:rPr>
            </w:pPr>
            <w:r w:rsidRPr="00F24C7B">
              <w:rPr>
                <w:rFonts w:asciiTheme="majorBidi" w:hAnsiTheme="majorBidi" w:cstheme="majorBidi"/>
                <w:lang w:val="en"/>
              </w:rPr>
              <w:t xml:space="preserve">The “bank guarantee secured by a specific financial deposit” service was defined as a service distinct from the “bank guarantee” service, and the fee schedule in respect of it must be lower than the fee for the “bank guarantee” service. </w:t>
            </w:r>
          </w:p>
        </w:tc>
        <w:tc>
          <w:tcPr>
            <w:tcW w:w="1577" w:type="dxa"/>
          </w:tcPr>
          <w:p w14:paraId="67C63A53" w14:textId="454DF62D" w:rsidR="006739F1" w:rsidRPr="00F24C7B" w:rsidRDefault="006739F1" w:rsidP="00F24C7B">
            <w:pPr>
              <w:tabs>
                <w:tab w:val="clear" w:pos="567"/>
                <w:tab w:val="clear" w:pos="1134"/>
                <w:tab w:val="clear" w:pos="1814"/>
                <w:tab w:val="clear" w:pos="2665"/>
              </w:tabs>
              <w:overflowPunct w:val="0"/>
              <w:autoSpaceDE w:val="0"/>
              <w:autoSpaceDN w:val="0"/>
              <w:bidi w:val="0"/>
              <w:adjustRightInd w:val="0"/>
              <w:textAlignment w:val="baseline"/>
              <w:rPr>
                <w:rFonts w:asciiTheme="majorBidi" w:hAnsiTheme="majorBidi" w:cstheme="majorBidi"/>
                <w:rtl/>
              </w:rPr>
            </w:pPr>
            <w:r w:rsidRPr="00F24C7B">
              <w:rPr>
                <w:rFonts w:asciiTheme="majorBidi" w:hAnsiTheme="majorBidi" w:cstheme="majorBidi"/>
                <w:lang w:val="en"/>
              </w:rPr>
              <w:t>July 1</w:t>
            </w:r>
            <w:r w:rsidR="00E64F02">
              <w:rPr>
                <w:rFonts w:asciiTheme="majorBidi" w:hAnsiTheme="majorBidi" w:cstheme="majorBidi"/>
                <w:lang w:val="en"/>
              </w:rPr>
              <w:t>,</w:t>
            </w:r>
            <w:r w:rsidRPr="00F24C7B">
              <w:rPr>
                <w:rFonts w:asciiTheme="majorBidi" w:hAnsiTheme="majorBidi" w:cstheme="majorBidi"/>
                <w:lang w:val="en"/>
              </w:rPr>
              <w:t xml:space="preserve"> 2019</w:t>
            </w:r>
          </w:p>
        </w:tc>
      </w:tr>
      <w:tr w:rsidR="006739F1" w:rsidRPr="00F24C7B" w14:paraId="7F7CE158" w14:textId="77777777" w:rsidTr="00E64F02">
        <w:trPr>
          <w:trHeight w:val="431"/>
        </w:trPr>
        <w:tc>
          <w:tcPr>
            <w:tcW w:w="733" w:type="dxa"/>
          </w:tcPr>
          <w:p w14:paraId="5120693E" w14:textId="77777777" w:rsidR="006739F1" w:rsidRPr="00F24C7B" w:rsidRDefault="006739F1" w:rsidP="00F24C7B">
            <w:pPr>
              <w:numPr>
                <w:ilvl w:val="0"/>
                <w:numId w:val="3"/>
              </w:numPr>
              <w:tabs>
                <w:tab w:val="clear" w:pos="567"/>
                <w:tab w:val="clear" w:pos="1134"/>
                <w:tab w:val="clear" w:pos="1814"/>
                <w:tab w:val="clear" w:pos="2665"/>
              </w:tabs>
              <w:overflowPunct w:val="0"/>
              <w:autoSpaceDE w:val="0"/>
              <w:autoSpaceDN w:val="0"/>
              <w:bidi w:val="0"/>
              <w:adjustRightInd w:val="0"/>
              <w:spacing w:line="240" w:lineRule="auto"/>
              <w:jc w:val="left"/>
              <w:textAlignment w:val="baseline"/>
              <w:rPr>
                <w:rFonts w:asciiTheme="majorBidi" w:hAnsiTheme="majorBidi" w:cstheme="majorBidi"/>
                <w:rtl/>
              </w:rPr>
            </w:pPr>
          </w:p>
        </w:tc>
        <w:tc>
          <w:tcPr>
            <w:tcW w:w="7656" w:type="dxa"/>
          </w:tcPr>
          <w:p w14:paraId="637249BC" w14:textId="77777777" w:rsidR="006739F1" w:rsidRPr="00F24C7B" w:rsidRDefault="006739F1" w:rsidP="00F24C7B">
            <w:pPr>
              <w:tabs>
                <w:tab w:val="clear" w:pos="567"/>
                <w:tab w:val="clear" w:pos="1134"/>
                <w:tab w:val="clear" w:pos="1814"/>
                <w:tab w:val="clear" w:pos="2665"/>
              </w:tabs>
              <w:overflowPunct w:val="0"/>
              <w:autoSpaceDE w:val="0"/>
              <w:autoSpaceDN w:val="0"/>
              <w:bidi w:val="0"/>
              <w:adjustRightInd w:val="0"/>
              <w:textAlignment w:val="baseline"/>
              <w:rPr>
                <w:rFonts w:asciiTheme="majorBidi" w:hAnsiTheme="majorBidi" w:cstheme="majorBidi"/>
                <w:rtl/>
              </w:rPr>
            </w:pPr>
            <w:r w:rsidRPr="00F24C7B">
              <w:rPr>
                <w:rFonts w:asciiTheme="majorBidi" w:hAnsiTheme="majorBidi" w:cstheme="majorBidi"/>
                <w:lang w:val="en"/>
              </w:rPr>
              <w:t>Receipt of fee schedules via recorded phone message and in the customer’s personal area as well</w:t>
            </w:r>
          </w:p>
        </w:tc>
        <w:tc>
          <w:tcPr>
            <w:tcW w:w="1577" w:type="dxa"/>
          </w:tcPr>
          <w:p w14:paraId="3283A5D0" w14:textId="63EDEB0E" w:rsidR="006739F1" w:rsidRPr="00F24C7B" w:rsidRDefault="006739F1" w:rsidP="00076B44">
            <w:pPr>
              <w:tabs>
                <w:tab w:val="clear" w:pos="567"/>
                <w:tab w:val="clear" w:pos="1134"/>
                <w:tab w:val="clear" w:pos="1814"/>
                <w:tab w:val="clear" w:pos="2665"/>
              </w:tabs>
              <w:overflowPunct w:val="0"/>
              <w:autoSpaceDE w:val="0"/>
              <w:autoSpaceDN w:val="0"/>
              <w:bidi w:val="0"/>
              <w:adjustRightInd w:val="0"/>
              <w:jc w:val="left"/>
              <w:textAlignment w:val="baseline"/>
              <w:rPr>
                <w:rFonts w:asciiTheme="majorBidi" w:hAnsiTheme="majorBidi" w:cstheme="majorBidi"/>
                <w:rtl/>
              </w:rPr>
            </w:pPr>
            <w:r w:rsidRPr="00F24C7B">
              <w:rPr>
                <w:rFonts w:asciiTheme="majorBidi" w:hAnsiTheme="majorBidi" w:cstheme="majorBidi"/>
                <w:lang w:val="en"/>
              </w:rPr>
              <w:t>July 1</w:t>
            </w:r>
            <w:r w:rsidR="00E64F02">
              <w:rPr>
                <w:rFonts w:asciiTheme="majorBidi" w:hAnsiTheme="majorBidi" w:cstheme="majorBidi"/>
                <w:lang w:val="en"/>
              </w:rPr>
              <w:t>,</w:t>
            </w:r>
            <w:r w:rsidRPr="00F24C7B">
              <w:rPr>
                <w:rFonts w:asciiTheme="majorBidi" w:hAnsiTheme="majorBidi" w:cstheme="majorBidi"/>
                <w:lang w:val="en"/>
              </w:rPr>
              <w:t xml:space="preserve"> 2019</w:t>
            </w:r>
          </w:p>
        </w:tc>
      </w:tr>
      <w:tr w:rsidR="006739F1" w:rsidRPr="00F24C7B" w14:paraId="4C99CCF0" w14:textId="77777777" w:rsidTr="00E64F02">
        <w:trPr>
          <w:trHeight w:val="431"/>
        </w:trPr>
        <w:tc>
          <w:tcPr>
            <w:tcW w:w="733" w:type="dxa"/>
          </w:tcPr>
          <w:p w14:paraId="74DDE36D" w14:textId="77777777" w:rsidR="006739F1" w:rsidRPr="00F24C7B" w:rsidRDefault="006739F1" w:rsidP="00F24C7B">
            <w:pPr>
              <w:numPr>
                <w:ilvl w:val="0"/>
                <w:numId w:val="3"/>
              </w:numPr>
              <w:tabs>
                <w:tab w:val="clear" w:pos="567"/>
                <w:tab w:val="clear" w:pos="1134"/>
                <w:tab w:val="clear" w:pos="1814"/>
                <w:tab w:val="clear" w:pos="2665"/>
              </w:tabs>
              <w:overflowPunct w:val="0"/>
              <w:autoSpaceDE w:val="0"/>
              <w:autoSpaceDN w:val="0"/>
              <w:bidi w:val="0"/>
              <w:adjustRightInd w:val="0"/>
              <w:spacing w:line="240" w:lineRule="auto"/>
              <w:jc w:val="left"/>
              <w:textAlignment w:val="baseline"/>
              <w:rPr>
                <w:rFonts w:asciiTheme="majorBidi" w:hAnsiTheme="majorBidi" w:cstheme="majorBidi"/>
                <w:rtl/>
              </w:rPr>
            </w:pPr>
          </w:p>
        </w:tc>
        <w:tc>
          <w:tcPr>
            <w:tcW w:w="7656" w:type="dxa"/>
          </w:tcPr>
          <w:p w14:paraId="7F6AD38A" w14:textId="77777777" w:rsidR="006739F1" w:rsidRPr="00F24C7B" w:rsidRDefault="006739F1" w:rsidP="00F24C7B">
            <w:pPr>
              <w:tabs>
                <w:tab w:val="clear" w:pos="567"/>
                <w:tab w:val="clear" w:pos="1134"/>
                <w:tab w:val="clear" w:pos="1814"/>
                <w:tab w:val="clear" w:pos="2665"/>
              </w:tabs>
              <w:overflowPunct w:val="0"/>
              <w:autoSpaceDE w:val="0"/>
              <w:autoSpaceDN w:val="0"/>
              <w:bidi w:val="0"/>
              <w:adjustRightInd w:val="0"/>
              <w:textAlignment w:val="baseline"/>
              <w:rPr>
                <w:rFonts w:asciiTheme="majorBidi" w:hAnsiTheme="majorBidi" w:cstheme="majorBidi"/>
                <w:rtl/>
              </w:rPr>
            </w:pPr>
            <w:r w:rsidRPr="00F24C7B">
              <w:rPr>
                <w:rFonts w:asciiTheme="majorBidi" w:hAnsiTheme="majorBidi" w:cstheme="majorBidi"/>
                <w:lang w:val="en"/>
              </w:rPr>
              <w:t>Presentation of information on withdrawal fees on the opening screen of ATMs</w:t>
            </w:r>
          </w:p>
        </w:tc>
        <w:tc>
          <w:tcPr>
            <w:tcW w:w="1577" w:type="dxa"/>
          </w:tcPr>
          <w:p w14:paraId="40425A95" w14:textId="503FE62B" w:rsidR="006739F1" w:rsidRPr="00F24C7B" w:rsidRDefault="006739F1" w:rsidP="00076B44">
            <w:pPr>
              <w:tabs>
                <w:tab w:val="clear" w:pos="567"/>
                <w:tab w:val="clear" w:pos="1134"/>
                <w:tab w:val="clear" w:pos="1814"/>
                <w:tab w:val="clear" w:pos="2665"/>
              </w:tabs>
              <w:overflowPunct w:val="0"/>
              <w:autoSpaceDE w:val="0"/>
              <w:autoSpaceDN w:val="0"/>
              <w:bidi w:val="0"/>
              <w:adjustRightInd w:val="0"/>
              <w:jc w:val="left"/>
              <w:textAlignment w:val="baseline"/>
              <w:rPr>
                <w:rFonts w:asciiTheme="majorBidi" w:hAnsiTheme="majorBidi" w:cstheme="majorBidi"/>
                <w:rtl/>
              </w:rPr>
            </w:pPr>
            <w:r w:rsidRPr="00F24C7B">
              <w:rPr>
                <w:rFonts w:asciiTheme="majorBidi" w:hAnsiTheme="majorBidi" w:cstheme="majorBidi"/>
                <w:lang w:val="en"/>
              </w:rPr>
              <w:t>May 15</w:t>
            </w:r>
            <w:r w:rsidR="00E64F02">
              <w:rPr>
                <w:rFonts w:asciiTheme="majorBidi" w:hAnsiTheme="majorBidi" w:cstheme="majorBidi"/>
                <w:lang w:val="en"/>
              </w:rPr>
              <w:t>,</w:t>
            </w:r>
            <w:r w:rsidRPr="00F24C7B">
              <w:rPr>
                <w:rFonts w:asciiTheme="majorBidi" w:hAnsiTheme="majorBidi" w:cstheme="majorBidi"/>
                <w:lang w:val="en"/>
              </w:rPr>
              <w:t xml:space="preserve"> 2019</w:t>
            </w:r>
          </w:p>
        </w:tc>
      </w:tr>
      <w:tr w:rsidR="006739F1" w:rsidRPr="00F24C7B" w14:paraId="3A7B4071" w14:textId="77777777" w:rsidTr="00E64F02">
        <w:trPr>
          <w:trHeight w:val="431"/>
        </w:trPr>
        <w:tc>
          <w:tcPr>
            <w:tcW w:w="733" w:type="dxa"/>
          </w:tcPr>
          <w:p w14:paraId="4357DF9D" w14:textId="77777777" w:rsidR="006739F1" w:rsidRPr="00F24C7B" w:rsidRDefault="006739F1" w:rsidP="00F24C7B">
            <w:pPr>
              <w:numPr>
                <w:ilvl w:val="0"/>
                <w:numId w:val="3"/>
              </w:numPr>
              <w:tabs>
                <w:tab w:val="clear" w:pos="567"/>
                <w:tab w:val="clear" w:pos="1134"/>
                <w:tab w:val="clear" w:pos="1814"/>
                <w:tab w:val="clear" w:pos="2665"/>
              </w:tabs>
              <w:overflowPunct w:val="0"/>
              <w:autoSpaceDE w:val="0"/>
              <w:autoSpaceDN w:val="0"/>
              <w:bidi w:val="0"/>
              <w:adjustRightInd w:val="0"/>
              <w:spacing w:line="240" w:lineRule="auto"/>
              <w:jc w:val="left"/>
              <w:textAlignment w:val="baseline"/>
              <w:rPr>
                <w:rFonts w:asciiTheme="majorBidi" w:hAnsiTheme="majorBidi" w:cstheme="majorBidi"/>
                <w:rtl/>
              </w:rPr>
            </w:pPr>
          </w:p>
        </w:tc>
        <w:tc>
          <w:tcPr>
            <w:tcW w:w="7656" w:type="dxa"/>
          </w:tcPr>
          <w:p w14:paraId="1D2A6E5E" w14:textId="77777777" w:rsidR="006739F1" w:rsidRPr="00F24C7B" w:rsidRDefault="006739F1" w:rsidP="00F24C7B">
            <w:pPr>
              <w:tabs>
                <w:tab w:val="clear" w:pos="567"/>
                <w:tab w:val="clear" w:pos="1134"/>
                <w:tab w:val="clear" w:pos="1814"/>
                <w:tab w:val="clear" w:pos="2665"/>
              </w:tabs>
              <w:overflowPunct w:val="0"/>
              <w:autoSpaceDE w:val="0"/>
              <w:autoSpaceDN w:val="0"/>
              <w:bidi w:val="0"/>
              <w:adjustRightInd w:val="0"/>
              <w:textAlignment w:val="baseline"/>
              <w:rPr>
                <w:rFonts w:asciiTheme="majorBidi" w:hAnsiTheme="majorBidi" w:cstheme="majorBidi"/>
                <w:rtl/>
              </w:rPr>
            </w:pPr>
            <w:r w:rsidRPr="00F24C7B">
              <w:rPr>
                <w:rFonts w:asciiTheme="majorBidi" w:hAnsiTheme="majorBidi" w:cstheme="majorBidi"/>
                <w:lang w:val="en"/>
              </w:rPr>
              <w:t>A customer’s notification of a request to join the fee tracks service shall be given via the communication channels offered by the banking corporation, according to the customer’s preference.</w:t>
            </w:r>
          </w:p>
        </w:tc>
        <w:tc>
          <w:tcPr>
            <w:tcW w:w="1577" w:type="dxa"/>
          </w:tcPr>
          <w:p w14:paraId="7FD8C7F0" w14:textId="5C67E5AB" w:rsidR="006739F1" w:rsidRPr="00F24C7B" w:rsidRDefault="006739F1" w:rsidP="00076B44">
            <w:pPr>
              <w:tabs>
                <w:tab w:val="clear" w:pos="567"/>
                <w:tab w:val="clear" w:pos="1134"/>
                <w:tab w:val="clear" w:pos="1814"/>
                <w:tab w:val="clear" w:pos="2665"/>
              </w:tabs>
              <w:overflowPunct w:val="0"/>
              <w:autoSpaceDE w:val="0"/>
              <w:autoSpaceDN w:val="0"/>
              <w:bidi w:val="0"/>
              <w:adjustRightInd w:val="0"/>
              <w:jc w:val="left"/>
              <w:textAlignment w:val="baseline"/>
              <w:rPr>
                <w:rFonts w:asciiTheme="majorBidi" w:hAnsiTheme="majorBidi" w:cstheme="majorBidi"/>
                <w:rtl/>
              </w:rPr>
            </w:pPr>
            <w:r w:rsidRPr="00F24C7B">
              <w:rPr>
                <w:rFonts w:asciiTheme="majorBidi" w:hAnsiTheme="majorBidi" w:cstheme="majorBidi"/>
                <w:lang w:val="en"/>
              </w:rPr>
              <w:t>July 1</w:t>
            </w:r>
            <w:r w:rsidR="00E64F02">
              <w:rPr>
                <w:rFonts w:asciiTheme="majorBidi" w:hAnsiTheme="majorBidi" w:cstheme="majorBidi"/>
                <w:lang w:val="en"/>
              </w:rPr>
              <w:t>,</w:t>
            </w:r>
            <w:r w:rsidRPr="00F24C7B">
              <w:rPr>
                <w:rFonts w:asciiTheme="majorBidi" w:hAnsiTheme="majorBidi" w:cstheme="majorBidi"/>
                <w:lang w:val="en"/>
              </w:rPr>
              <w:t xml:space="preserve"> 2019</w:t>
            </w:r>
          </w:p>
        </w:tc>
      </w:tr>
      <w:tr w:rsidR="006739F1" w:rsidRPr="00F24C7B" w14:paraId="2C222EF3" w14:textId="77777777" w:rsidTr="00E64F02">
        <w:trPr>
          <w:trHeight w:val="431"/>
        </w:trPr>
        <w:tc>
          <w:tcPr>
            <w:tcW w:w="733" w:type="dxa"/>
          </w:tcPr>
          <w:p w14:paraId="25640B70" w14:textId="77777777" w:rsidR="006739F1" w:rsidRPr="00F24C7B" w:rsidRDefault="006739F1" w:rsidP="00F24C7B">
            <w:pPr>
              <w:numPr>
                <w:ilvl w:val="0"/>
                <w:numId w:val="3"/>
              </w:numPr>
              <w:tabs>
                <w:tab w:val="clear" w:pos="567"/>
                <w:tab w:val="clear" w:pos="1134"/>
                <w:tab w:val="clear" w:pos="1814"/>
                <w:tab w:val="clear" w:pos="2665"/>
              </w:tabs>
              <w:overflowPunct w:val="0"/>
              <w:autoSpaceDE w:val="0"/>
              <w:autoSpaceDN w:val="0"/>
              <w:bidi w:val="0"/>
              <w:adjustRightInd w:val="0"/>
              <w:spacing w:line="240" w:lineRule="auto"/>
              <w:jc w:val="left"/>
              <w:textAlignment w:val="baseline"/>
              <w:rPr>
                <w:rFonts w:asciiTheme="majorBidi" w:hAnsiTheme="majorBidi" w:cstheme="majorBidi"/>
                <w:rtl/>
              </w:rPr>
            </w:pPr>
          </w:p>
        </w:tc>
        <w:tc>
          <w:tcPr>
            <w:tcW w:w="7656" w:type="dxa"/>
          </w:tcPr>
          <w:p w14:paraId="0A17A01B" w14:textId="77777777" w:rsidR="006739F1" w:rsidRPr="00F24C7B" w:rsidRDefault="006739F1" w:rsidP="00F24C7B">
            <w:pPr>
              <w:tabs>
                <w:tab w:val="clear" w:pos="567"/>
                <w:tab w:val="clear" w:pos="1134"/>
                <w:tab w:val="clear" w:pos="1814"/>
                <w:tab w:val="clear" w:pos="2665"/>
              </w:tabs>
              <w:overflowPunct w:val="0"/>
              <w:autoSpaceDE w:val="0"/>
              <w:autoSpaceDN w:val="0"/>
              <w:bidi w:val="0"/>
              <w:adjustRightInd w:val="0"/>
              <w:textAlignment w:val="baseline"/>
              <w:rPr>
                <w:rFonts w:asciiTheme="majorBidi" w:hAnsiTheme="majorBidi" w:cstheme="majorBidi"/>
                <w:rtl/>
              </w:rPr>
            </w:pPr>
            <w:r w:rsidRPr="00F24C7B">
              <w:rPr>
                <w:rFonts w:asciiTheme="majorBidi" w:hAnsiTheme="majorBidi" w:cstheme="majorBidi"/>
                <w:lang w:val="en"/>
              </w:rPr>
              <w:t>Improving the overall decision to enroll senior citizens and people with disabilities in the basic fee track.</w:t>
            </w:r>
          </w:p>
        </w:tc>
        <w:tc>
          <w:tcPr>
            <w:tcW w:w="1577" w:type="dxa"/>
          </w:tcPr>
          <w:p w14:paraId="4765EC2C" w14:textId="0A35F507" w:rsidR="006739F1" w:rsidRPr="00F24C7B" w:rsidRDefault="006739F1" w:rsidP="00076B44">
            <w:pPr>
              <w:tabs>
                <w:tab w:val="clear" w:pos="567"/>
                <w:tab w:val="clear" w:pos="1134"/>
                <w:tab w:val="clear" w:pos="1814"/>
                <w:tab w:val="clear" w:pos="2665"/>
              </w:tabs>
              <w:overflowPunct w:val="0"/>
              <w:autoSpaceDE w:val="0"/>
              <w:autoSpaceDN w:val="0"/>
              <w:bidi w:val="0"/>
              <w:adjustRightInd w:val="0"/>
              <w:jc w:val="left"/>
              <w:textAlignment w:val="baseline"/>
              <w:rPr>
                <w:rFonts w:asciiTheme="majorBidi" w:hAnsiTheme="majorBidi" w:cstheme="majorBidi"/>
                <w:rtl/>
              </w:rPr>
            </w:pPr>
            <w:r w:rsidRPr="00F24C7B">
              <w:rPr>
                <w:rFonts w:asciiTheme="majorBidi" w:hAnsiTheme="majorBidi" w:cstheme="majorBidi"/>
                <w:lang w:val="en"/>
              </w:rPr>
              <w:t>August 1</w:t>
            </w:r>
            <w:r w:rsidR="00E64F02">
              <w:rPr>
                <w:rFonts w:asciiTheme="majorBidi" w:hAnsiTheme="majorBidi" w:cstheme="majorBidi"/>
                <w:lang w:val="en"/>
              </w:rPr>
              <w:t>,</w:t>
            </w:r>
            <w:r w:rsidRPr="00F24C7B">
              <w:rPr>
                <w:rFonts w:asciiTheme="majorBidi" w:hAnsiTheme="majorBidi" w:cstheme="majorBidi"/>
                <w:lang w:val="en"/>
              </w:rPr>
              <w:t xml:space="preserve"> 2019</w:t>
            </w:r>
          </w:p>
        </w:tc>
      </w:tr>
      <w:tr w:rsidR="006739F1" w:rsidRPr="00F24C7B" w14:paraId="37F83B92" w14:textId="77777777" w:rsidTr="00E64F02">
        <w:trPr>
          <w:trHeight w:val="431"/>
        </w:trPr>
        <w:tc>
          <w:tcPr>
            <w:tcW w:w="733" w:type="dxa"/>
          </w:tcPr>
          <w:p w14:paraId="366FE763" w14:textId="77777777" w:rsidR="006739F1" w:rsidRPr="00F24C7B" w:rsidRDefault="006739F1" w:rsidP="00F24C7B">
            <w:pPr>
              <w:numPr>
                <w:ilvl w:val="0"/>
                <w:numId w:val="3"/>
              </w:numPr>
              <w:tabs>
                <w:tab w:val="clear" w:pos="567"/>
                <w:tab w:val="clear" w:pos="1134"/>
                <w:tab w:val="clear" w:pos="1814"/>
                <w:tab w:val="clear" w:pos="2665"/>
              </w:tabs>
              <w:overflowPunct w:val="0"/>
              <w:autoSpaceDE w:val="0"/>
              <w:autoSpaceDN w:val="0"/>
              <w:bidi w:val="0"/>
              <w:adjustRightInd w:val="0"/>
              <w:spacing w:line="240" w:lineRule="auto"/>
              <w:jc w:val="left"/>
              <w:textAlignment w:val="baseline"/>
              <w:rPr>
                <w:rFonts w:asciiTheme="majorBidi" w:hAnsiTheme="majorBidi" w:cstheme="majorBidi"/>
                <w:rtl/>
              </w:rPr>
            </w:pPr>
          </w:p>
        </w:tc>
        <w:tc>
          <w:tcPr>
            <w:tcW w:w="7656" w:type="dxa"/>
          </w:tcPr>
          <w:p w14:paraId="7E0C82E6" w14:textId="77777777" w:rsidR="006739F1" w:rsidRPr="00F24C7B" w:rsidRDefault="006739F1" w:rsidP="00F24C7B">
            <w:pPr>
              <w:tabs>
                <w:tab w:val="clear" w:pos="567"/>
                <w:tab w:val="clear" w:pos="1134"/>
                <w:tab w:val="clear" w:pos="1814"/>
                <w:tab w:val="clear" w:pos="2665"/>
              </w:tabs>
              <w:overflowPunct w:val="0"/>
              <w:autoSpaceDE w:val="0"/>
              <w:autoSpaceDN w:val="0"/>
              <w:bidi w:val="0"/>
              <w:adjustRightInd w:val="0"/>
              <w:textAlignment w:val="baseline"/>
              <w:rPr>
                <w:rFonts w:asciiTheme="majorBidi" w:hAnsiTheme="majorBidi" w:cstheme="majorBidi"/>
                <w:b/>
                <w:bCs/>
                <w:rtl/>
              </w:rPr>
            </w:pPr>
            <w:r w:rsidRPr="00F24C7B">
              <w:rPr>
                <w:rFonts w:asciiTheme="majorBidi" w:hAnsiTheme="majorBidi" w:cstheme="majorBidi"/>
                <w:b/>
                <w:bCs/>
                <w:lang w:val="en"/>
              </w:rPr>
              <w:t xml:space="preserve">Proactive enrollment of small companies and authorized businesses in the basic or expanded fee track, whichever is more beneficial to the customer. </w:t>
            </w:r>
          </w:p>
        </w:tc>
        <w:tc>
          <w:tcPr>
            <w:tcW w:w="1577" w:type="dxa"/>
          </w:tcPr>
          <w:p w14:paraId="4106ABC3" w14:textId="5DE1AF1E" w:rsidR="006739F1" w:rsidRPr="00F24C7B" w:rsidRDefault="006739F1" w:rsidP="00076B44">
            <w:pPr>
              <w:tabs>
                <w:tab w:val="clear" w:pos="567"/>
                <w:tab w:val="clear" w:pos="1134"/>
                <w:tab w:val="clear" w:pos="1814"/>
                <w:tab w:val="clear" w:pos="2665"/>
              </w:tabs>
              <w:overflowPunct w:val="0"/>
              <w:autoSpaceDE w:val="0"/>
              <w:autoSpaceDN w:val="0"/>
              <w:bidi w:val="0"/>
              <w:adjustRightInd w:val="0"/>
              <w:jc w:val="left"/>
              <w:textAlignment w:val="baseline"/>
              <w:rPr>
                <w:rFonts w:asciiTheme="majorBidi" w:hAnsiTheme="majorBidi" w:cstheme="majorBidi"/>
                <w:b/>
                <w:bCs/>
                <w:rtl/>
              </w:rPr>
            </w:pPr>
            <w:r w:rsidRPr="00F24C7B">
              <w:rPr>
                <w:rFonts w:asciiTheme="majorBidi" w:hAnsiTheme="majorBidi" w:cstheme="majorBidi"/>
                <w:b/>
                <w:bCs/>
                <w:lang w:val="en"/>
              </w:rPr>
              <w:t>August 1</w:t>
            </w:r>
            <w:r w:rsidR="00E64F02">
              <w:rPr>
                <w:rFonts w:asciiTheme="majorBidi" w:hAnsiTheme="majorBidi" w:cstheme="majorBidi"/>
                <w:b/>
                <w:bCs/>
                <w:lang w:val="en"/>
              </w:rPr>
              <w:t>,</w:t>
            </w:r>
            <w:r w:rsidRPr="00F24C7B">
              <w:rPr>
                <w:rFonts w:asciiTheme="majorBidi" w:hAnsiTheme="majorBidi" w:cstheme="majorBidi"/>
                <w:b/>
                <w:bCs/>
                <w:lang w:val="en"/>
              </w:rPr>
              <w:t xml:space="preserve"> 2019</w:t>
            </w:r>
          </w:p>
        </w:tc>
      </w:tr>
      <w:tr w:rsidR="006739F1" w:rsidRPr="00F24C7B" w14:paraId="75A0EC75" w14:textId="77777777" w:rsidTr="00E64F02">
        <w:trPr>
          <w:trHeight w:val="431"/>
        </w:trPr>
        <w:tc>
          <w:tcPr>
            <w:tcW w:w="733" w:type="dxa"/>
          </w:tcPr>
          <w:p w14:paraId="491220D0" w14:textId="77777777" w:rsidR="006739F1" w:rsidRPr="00F24C7B" w:rsidRDefault="006739F1" w:rsidP="00F24C7B">
            <w:pPr>
              <w:numPr>
                <w:ilvl w:val="0"/>
                <w:numId w:val="3"/>
              </w:numPr>
              <w:tabs>
                <w:tab w:val="clear" w:pos="567"/>
                <w:tab w:val="clear" w:pos="1134"/>
                <w:tab w:val="clear" w:pos="1814"/>
                <w:tab w:val="clear" w:pos="2665"/>
              </w:tabs>
              <w:overflowPunct w:val="0"/>
              <w:autoSpaceDE w:val="0"/>
              <w:autoSpaceDN w:val="0"/>
              <w:bidi w:val="0"/>
              <w:adjustRightInd w:val="0"/>
              <w:spacing w:line="240" w:lineRule="auto"/>
              <w:jc w:val="left"/>
              <w:textAlignment w:val="baseline"/>
              <w:rPr>
                <w:rFonts w:asciiTheme="majorBidi" w:hAnsiTheme="majorBidi" w:cstheme="majorBidi"/>
                <w:rtl/>
              </w:rPr>
            </w:pPr>
          </w:p>
        </w:tc>
        <w:tc>
          <w:tcPr>
            <w:tcW w:w="7656" w:type="dxa"/>
          </w:tcPr>
          <w:p w14:paraId="57819E0F" w14:textId="77777777" w:rsidR="006739F1" w:rsidRPr="00F24C7B" w:rsidRDefault="006739F1" w:rsidP="00F24C7B">
            <w:pPr>
              <w:tabs>
                <w:tab w:val="clear" w:pos="567"/>
                <w:tab w:val="clear" w:pos="1134"/>
                <w:tab w:val="clear" w:pos="1814"/>
                <w:tab w:val="clear" w:pos="2665"/>
              </w:tabs>
              <w:overflowPunct w:val="0"/>
              <w:autoSpaceDE w:val="0"/>
              <w:autoSpaceDN w:val="0"/>
              <w:bidi w:val="0"/>
              <w:adjustRightInd w:val="0"/>
              <w:textAlignment w:val="baseline"/>
              <w:rPr>
                <w:rFonts w:asciiTheme="majorBidi" w:hAnsiTheme="majorBidi" w:cstheme="majorBidi"/>
                <w:rtl/>
              </w:rPr>
            </w:pPr>
            <w:r w:rsidRPr="00F24C7B">
              <w:rPr>
                <w:rFonts w:asciiTheme="majorBidi" w:hAnsiTheme="majorBidi" w:cstheme="majorBidi"/>
                <w:lang w:val="en"/>
              </w:rPr>
              <w:t xml:space="preserve">Reduction of capital allocation against </w:t>
            </w:r>
            <w:r w:rsidRPr="00F24C7B">
              <w:rPr>
                <w:rFonts w:asciiTheme="majorBidi" w:hAnsiTheme="majorBidi" w:cstheme="majorBidi"/>
                <w:b/>
                <w:bCs/>
                <w:lang w:val="en"/>
              </w:rPr>
              <w:t>bank collateral secured by a monetary deposit</w:t>
            </w:r>
          </w:p>
        </w:tc>
        <w:tc>
          <w:tcPr>
            <w:tcW w:w="1577" w:type="dxa"/>
          </w:tcPr>
          <w:p w14:paraId="22997EC4" w14:textId="552E6486" w:rsidR="006739F1" w:rsidRPr="00F24C7B" w:rsidRDefault="006739F1" w:rsidP="00076B44">
            <w:pPr>
              <w:tabs>
                <w:tab w:val="clear" w:pos="567"/>
                <w:tab w:val="clear" w:pos="1134"/>
                <w:tab w:val="clear" w:pos="1814"/>
                <w:tab w:val="clear" w:pos="2665"/>
              </w:tabs>
              <w:overflowPunct w:val="0"/>
              <w:autoSpaceDE w:val="0"/>
              <w:autoSpaceDN w:val="0"/>
              <w:bidi w:val="0"/>
              <w:adjustRightInd w:val="0"/>
              <w:jc w:val="left"/>
              <w:textAlignment w:val="baseline"/>
              <w:rPr>
                <w:rFonts w:asciiTheme="majorBidi" w:hAnsiTheme="majorBidi" w:cstheme="majorBidi"/>
                <w:rtl/>
              </w:rPr>
            </w:pPr>
            <w:r w:rsidRPr="00F24C7B">
              <w:rPr>
                <w:rFonts w:asciiTheme="majorBidi" w:hAnsiTheme="majorBidi" w:cstheme="majorBidi"/>
                <w:lang w:val="en"/>
              </w:rPr>
              <w:t>Dec. 18</w:t>
            </w:r>
            <w:r w:rsidR="00E64F02">
              <w:rPr>
                <w:rFonts w:asciiTheme="majorBidi" w:hAnsiTheme="majorBidi" w:cstheme="majorBidi"/>
                <w:lang w:val="en"/>
              </w:rPr>
              <w:t>,</w:t>
            </w:r>
            <w:r w:rsidRPr="00F24C7B">
              <w:rPr>
                <w:rFonts w:asciiTheme="majorBidi" w:hAnsiTheme="majorBidi" w:cstheme="majorBidi"/>
                <w:lang w:val="en"/>
              </w:rPr>
              <w:t xml:space="preserve"> 2017</w:t>
            </w:r>
          </w:p>
        </w:tc>
      </w:tr>
      <w:tr w:rsidR="006739F1" w:rsidRPr="00F24C7B" w14:paraId="4EFE23F3" w14:textId="77777777" w:rsidTr="00E64F02">
        <w:trPr>
          <w:trHeight w:val="431"/>
        </w:trPr>
        <w:tc>
          <w:tcPr>
            <w:tcW w:w="733" w:type="dxa"/>
          </w:tcPr>
          <w:p w14:paraId="399C3ABE" w14:textId="77777777" w:rsidR="006739F1" w:rsidRPr="00F24C7B" w:rsidRDefault="006739F1" w:rsidP="00F24C7B">
            <w:pPr>
              <w:numPr>
                <w:ilvl w:val="0"/>
                <w:numId w:val="3"/>
              </w:numPr>
              <w:tabs>
                <w:tab w:val="clear" w:pos="567"/>
                <w:tab w:val="clear" w:pos="1134"/>
                <w:tab w:val="clear" w:pos="1814"/>
                <w:tab w:val="clear" w:pos="2665"/>
              </w:tabs>
              <w:overflowPunct w:val="0"/>
              <w:autoSpaceDE w:val="0"/>
              <w:autoSpaceDN w:val="0"/>
              <w:bidi w:val="0"/>
              <w:adjustRightInd w:val="0"/>
              <w:spacing w:line="240" w:lineRule="auto"/>
              <w:jc w:val="left"/>
              <w:textAlignment w:val="baseline"/>
              <w:rPr>
                <w:rFonts w:asciiTheme="majorBidi" w:hAnsiTheme="majorBidi" w:cstheme="majorBidi"/>
                <w:rtl/>
              </w:rPr>
            </w:pPr>
          </w:p>
        </w:tc>
        <w:tc>
          <w:tcPr>
            <w:tcW w:w="7656" w:type="dxa"/>
          </w:tcPr>
          <w:p w14:paraId="398656C7" w14:textId="77777777" w:rsidR="006739F1" w:rsidRPr="00F24C7B" w:rsidRDefault="006739F1" w:rsidP="00F24C7B">
            <w:pPr>
              <w:tabs>
                <w:tab w:val="clear" w:pos="567"/>
                <w:tab w:val="clear" w:pos="1134"/>
                <w:tab w:val="clear" w:pos="1814"/>
                <w:tab w:val="clear" w:pos="2665"/>
              </w:tabs>
              <w:overflowPunct w:val="0"/>
              <w:autoSpaceDE w:val="0"/>
              <w:autoSpaceDN w:val="0"/>
              <w:bidi w:val="0"/>
              <w:adjustRightInd w:val="0"/>
              <w:textAlignment w:val="baseline"/>
              <w:rPr>
                <w:rFonts w:asciiTheme="majorBidi" w:hAnsiTheme="majorBidi" w:cstheme="majorBidi"/>
                <w:rtl/>
              </w:rPr>
            </w:pPr>
            <w:r w:rsidRPr="00F24C7B">
              <w:rPr>
                <w:rFonts w:asciiTheme="majorBidi" w:hAnsiTheme="majorBidi" w:cstheme="majorBidi"/>
                <w:lang w:val="en"/>
              </w:rPr>
              <w:t xml:space="preserve">Obligation to set reduced fee schedules for all </w:t>
            </w:r>
            <w:r w:rsidRPr="00F24C7B">
              <w:rPr>
                <w:rFonts w:asciiTheme="majorBidi" w:hAnsiTheme="majorBidi" w:cstheme="majorBidi"/>
                <w:b/>
                <w:bCs/>
                <w:lang w:val="en"/>
              </w:rPr>
              <w:t>customer-executed transactions</w:t>
            </w:r>
            <w:r w:rsidRPr="00F24C7B">
              <w:rPr>
                <w:rFonts w:asciiTheme="majorBidi" w:hAnsiTheme="majorBidi" w:cstheme="majorBidi"/>
                <w:lang w:val="en"/>
              </w:rPr>
              <w:t>, publication of comparison between fees on teller-executed transactions and reduced fees on customer-executed transactions</w:t>
            </w:r>
          </w:p>
        </w:tc>
        <w:tc>
          <w:tcPr>
            <w:tcW w:w="1577" w:type="dxa"/>
          </w:tcPr>
          <w:p w14:paraId="71BBDC44" w14:textId="11CF05C8" w:rsidR="006739F1" w:rsidRPr="00F24C7B" w:rsidRDefault="006739F1" w:rsidP="00076B44">
            <w:pPr>
              <w:tabs>
                <w:tab w:val="clear" w:pos="567"/>
                <w:tab w:val="clear" w:pos="1134"/>
                <w:tab w:val="clear" w:pos="1814"/>
                <w:tab w:val="clear" w:pos="2665"/>
              </w:tabs>
              <w:overflowPunct w:val="0"/>
              <w:autoSpaceDE w:val="0"/>
              <w:autoSpaceDN w:val="0"/>
              <w:bidi w:val="0"/>
              <w:adjustRightInd w:val="0"/>
              <w:jc w:val="left"/>
              <w:textAlignment w:val="baseline"/>
              <w:rPr>
                <w:rFonts w:asciiTheme="majorBidi" w:hAnsiTheme="majorBidi" w:cstheme="majorBidi"/>
                <w:rtl/>
              </w:rPr>
            </w:pPr>
            <w:r w:rsidRPr="00F24C7B">
              <w:rPr>
                <w:rFonts w:asciiTheme="majorBidi" w:hAnsiTheme="majorBidi" w:cstheme="majorBidi"/>
                <w:lang w:val="en"/>
              </w:rPr>
              <w:t>Nov. 1</w:t>
            </w:r>
            <w:r w:rsidR="00E64F02">
              <w:rPr>
                <w:rFonts w:asciiTheme="majorBidi" w:hAnsiTheme="majorBidi" w:cstheme="majorBidi"/>
                <w:lang w:val="en"/>
              </w:rPr>
              <w:t>,</w:t>
            </w:r>
            <w:r w:rsidRPr="00F24C7B">
              <w:rPr>
                <w:rFonts w:asciiTheme="majorBidi" w:hAnsiTheme="majorBidi" w:cstheme="majorBidi"/>
                <w:lang w:val="en"/>
              </w:rPr>
              <w:t xml:space="preserve"> 2017</w:t>
            </w:r>
          </w:p>
        </w:tc>
      </w:tr>
      <w:tr w:rsidR="006739F1" w:rsidRPr="00F24C7B" w14:paraId="1EC6A4FF" w14:textId="77777777" w:rsidTr="00E64F02">
        <w:trPr>
          <w:trHeight w:val="431"/>
        </w:trPr>
        <w:tc>
          <w:tcPr>
            <w:tcW w:w="733" w:type="dxa"/>
          </w:tcPr>
          <w:p w14:paraId="06B5F5E0" w14:textId="77777777" w:rsidR="006739F1" w:rsidRPr="00F24C7B" w:rsidRDefault="006739F1" w:rsidP="00F24C7B">
            <w:pPr>
              <w:numPr>
                <w:ilvl w:val="0"/>
                <w:numId w:val="3"/>
              </w:numPr>
              <w:tabs>
                <w:tab w:val="clear" w:pos="567"/>
                <w:tab w:val="clear" w:pos="1134"/>
                <w:tab w:val="clear" w:pos="1814"/>
                <w:tab w:val="clear" w:pos="2665"/>
              </w:tabs>
              <w:overflowPunct w:val="0"/>
              <w:autoSpaceDE w:val="0"/>
              <w:autoSpaceDN w:val="0"/>
              <w:bidi w:val="0"/>
              <w:adjustRightInd w:val="0"/>
              <w:spacing w:line="240" w:lineRule="auto"/>
              <w:jc w:val="left"/>
              <w:textAlignment w:val="baseline"/>
              <w:rPr>
                <w:rFonts w:asciiTheme="majorBidi" w:hAnsiTheme="majorBidi" w:cstheme="majorBidi"/>
                <w:rtl/>
              </w:rPr>
            </w:pPr>
          </w:p>
        </w:tc>
        <w:tc>
          <w:tcPr>
            <w:tcW w:w="7656" w:type="dxa"/>
          </w:tcPr>
          <w:p w14:paraId="0DA648A0" w14:textId="77777777" w:rsidR="006739F1" w:rsidRPr="00F24C7B" w:rsidRDefault="006739F1" w:rsidP="00F24C7B">
            <w:pPr>
              <w:tabs>
                <w:tab w:val="clear" w:pos="567"/>
                <w:tab w:val="clear" w:pos="1134"/>
                <w:tab w:val="clear" w:pos="1814"/>
                <w:tab w:val="clear" w:pos="2665"/>
              </w:tabs>
              <w:overflowPunct w:val="0"/>
              <w:autoSpaceDE w:val="0"/>
              <w:autoSpaceDN w:val="0"/>
              <w:bidi w:val="0"/>
              <w:adjustRightInd w:val="0"/>
              <w:textAlignment w:val="baseline"/>
              <w:rPr>
                <w:rFonts w:asciiTheme="majorBidi" w:hAnsiTheme="majorBidi" w:cstheme="majorBidi"/>
                <w:rtl/>
              </w:rPr>
            </w:pPr>
            <w:r w:rsidRPr="00F24C7B">
              <w:rPr>
                <w:rFonts w:asciiTheme="majorBidi" w:hAnsiTheme="majorBidi" w:cstheme="majorBidi"/>
                <w:lang w:val="en"/>
              </w:rPr>
              <w:t xml:space="preserve">Setting a different fee for a </w:t>
            </w:r>
            <w:r w:rsidRPr="00F24C7B">
              <w:rPr>
                <w:rFonts w:asciiTheme="majorBidi" w:hAnsiTheme="majorBidi" w:cstheme="majorBidi"/>
                <w:b/>
                <w:bCs/>
                <w:lang w:val="en"/>
              </w:rPr>
              <w:t>walk-in customer</w:t>
            </w:r>
          </w:p>
        </w:tc>
        <w:tc>
          <w:tcPr>
            <w:tcW w:w="1577" w:type="dxa"/>
          </w:tcPr>
          <w:p w14:paraId="3F3CE915" w14:textId="67DCA3B8" w:rsidR="006739F1" w:rsidRPr="00F24C7B" w:rsidRDefault="006739F1" w:rsidP="00076B44">
            <w:pPr>
              <w:tabs>
                <w:tab w:val="clear" w:pos="567"/>
                <w:tab w:val="clear" w:pos="1134"/>
                <w:tab w:val="clear" w:pos="1814"/>
                <w:tab w:val="clear" w:pos="2665"/>
              </w:tabs>
              <w:overflowPunct w:val="0"/>
              <w:autoSpaceDE w:val="0"/>
              <w:autoSpaceDN w:val="0"/>
              <w:bidi w:val="0"/>
              <w:adjustRightInd w:val="0"/>
              <w:jc w:val="left"/>
              <w:textAlignment w:val="baseline"/>
              <w:rPr>
                <w:rFonts w:asciiTheme="majorBidi" w:hAnsiTheme="majorBidi" w:cstheme="majorBidi"/>
                <w:rtl/>
              </w:rPr>
            </w:pPr>
            <w:r w:rsidRPr="00F24C7B">
              <w:rPr>
                <w:rFonts w:asciiTheme="majorBidi" w:hAnsiTheme="majorBidi" w:cstheme="majorBidi"/>
                <w:lang w:val="en"/>
              </w:rPr>
              <w:t>Nov. 1</w:t>
            </w:r>
            <w:r w:rsidR="00E64F02">
              <w:rPr>
                <w:rFonts w:asciiTheme="majorBidi" w:hAnsiTheme="majorBidi" w:cstheme="majorBidi"/>
                <w:lang w:val="en"/>
              </w:rPr>
              <w:t>,</w:t>
            </w:r>
            <w:r w:rsidRPr="00F24C7B">
              <w:rPr>
                <w:rFonts w:asciiTheme="majorBidi" w:hAnsiTheme="majorBidi" w:cstheme="majorBidi"/>
                <w:lang w:val="en"/>
              </w:rPr>
              <w:t xml:space="preserve"> 2017</w:t>
            </w:r>
          </w:p>
        </w:tc>
      </w:tr>
      <w:tr w:rsidR="006739F1" w:rsidRPr="00F24C7B" w14:paraId="6612C03F" w14:textId="77777777" w:rsidTr="00E64F02">
        <w:trPr>
          <w:trHeight w:val="394"/>
        </w:trPr>
        <w:tc>
          <w:tcPr>
            <w:tcW w:w="733" w:type="dxa"/>
          </w:tcPr>
          <w:p w14:paraId="45B4805C" w14:textId="77777777" w:rsidR="006739F1" w:rsidRPr="00F24C7B" w:rsidRDefault="006739F1" w:rsidP="00F24C7B">
            <w:pPr>
              <w:numPr>
                <w:ilvl w:val="0"/>
                <w:numId w:val="3"/>
              </w:numPr>
              <w:tabs>
                <w:tab w:val="clear" w:pos="567"/>
                <w:tab w:val="clear" w:pos="1134"/>
                <w:tab w:val="clear" w:pos="1814"/>
                <w:tab w:val="clear" w:pos="2665"/>
              </w:tabs>
              <w:overflowPunct w:val="0"/>
              <w:autoSpaceDE w:val="0"/>
              <w:autoSpaceDN w:val="0"/>
              <w:bidi w:val="0"/>
              <w:adjustRightInd w:val="0"/>
              <w:spacing w:line="240" w:lineRule="auto"/>
              <w:jc w:val="left"/>
              <w:textAlignment w:val="baseline"/>
              <w:rPr>
                <w:rFonts w:asciiTheme="majorBidi" w:hAnsiTheme="majorBidi" w:cstheme="majorBidi"/>
                <w:rtl/>
              </w:rPr>
            </w:pPr>
          </w:p>
        </w:tc>
        <w:tc>
          <w:tcPr>
            <w:tcW w:w="7656" w:type="dxa"/>
          </w:tcPr>
          <w:p w14:paraId="38AD2C54" w14:textId="77777777" w:rsidR="006739F1" w:rsidRPr="00F24C7B" w:rsidRDefault="006739F1" w:rsidP="00F24C7B">
            <w:pPr>
              <w:tabs>
                <w:tab w:val="clear" w:pos="567"/>
                <w:tab w:val="clear" w:pos="1134"/>
                <w:tab w:val="clear" w:pos="1814"/>
                <w:tab w:val="clear" w:pos="2665"/>
              </w:tabs>
              <w:overflowPunct w:val="0"/>
              <w:autoSpaceDE w:val="0"/>
              <w:autoSpaceDN w:val="0"/>
              <w:bidi w:val="0"/>
              <w:adjustRightInd w:val="0"/>
              <w:textAlignment w:val="baseline"/>
              <w:rPr>
                <w:rFonts w:asciiTheme="majorBidi" w:hAnsiTheme="majorBidi" w:cstheme="majorBidi"/>
                <w:highlight w:val="yellow"/>
                <w:rtl/>
              </w:rPr>
            </w:pPr>
            <w:r w:rsidRPr="00F24C7B">
              <w:rPr>
                <w:rFonts w:asciiTheme="majorBidi" w:hAnsiTheme="majorBidi" w:cstheme="majorBidi"/>
                <w:lang w:val="en"/>
              </w:rPr>
              <w:t xml:space="preserve">Setting an </w:t>
            </w:r>
            <w:r w:rsidRPr="00F24C7B">
              <w:rPr>
                <w:rFonts w:asciiTheme="majorBidi" w:hAnsiTheme="majorBidi" w:cstheme="majorBidi"/>
                <w:b/>
                <w:bCs/>
                <w:lang w:val="en"/>
              </w:rPr>
              <w:t>ATM withdrawal fee for a distant machine</w:t>
            </w:r>
          </w:p>
        </w:tc>
        <w:tc>
          <w:tcPr>
            <w:tcW w:w="1577" w:type="dxa"/>
          </w:tcPr>
          <w:p w14:paraId="668A635C" w14:textId="21566214" w:rsidR="006739F1" w:rsidRPr="00F24C7B" w:rsidRDefault="006739F1" w:rsidP="00E64F02">
            <w:pPr>
              <w:tabs>
                <w:tab w:val="clear" w:pos="567"/>
                <w:tab w:val="clear" w:pos="1134"/>
                <w:tab w:val="clear" w:pos="1814"/>
                <w:tab w:val="clear" w:pos="2665"/>
              </w:tabs>
              <w:overflowPunct w:val="0"/>
              <w:autoSpaceDE w:val="0"/>
              <w:autoSpaceDN w:val="0"/>
              <w:bidi w:val="0"/>
              <w:adjustRightInd w:val="0"/>
              <w:jc w:val="left"/>
              <w:textAlignment w:val="baseline"/>
              <w:rPr>
                <w:rFonts w:asciiTheme="majorBidi" w:hAnsiTheme="majorBidi" w:cstheme="majorBidi"/>
                <w:rtl/>
              </w:rPr>
            </w:pPr>
            <w:r w:rsidRPr="00F24C7B">
              <w:rPr>
                <w:rFonts w:asciiTheme="majorBidi" w:hAnsiTheme="majorBidi" w:cstheme="majorBidi"/>
                <w:lang w:val="en"/>
              </w:rPr>
              <w:t>Sept. 24</w:t>
            </w:r>
            <w:r w:rsidR="00E64F02">
              <w:rPr>
                <w:rFonts w:asciiTheme="majorBidi" w:hAnsiTheme="majorBidi" w:cstheme="majorBidi"/>
                <w:lang w:val="en"/>
              </w:rPr>
              <w:t xml:space="preserve">, </w:t>
            </w:r>
            <w:r w:rsidRPr="00F24C7B">
              <w:rPr>
                <w:rFonts w:asciiTheme="majorBidi" w:hAnsiTheme="majorBidi" w:cstheme="majorBidi"/>
                <w:lang w:val="en"/>
              </w:rPr>
              <w:t>2017</w:t>
            </w:r>
            <w:r w:rsidR="00E64F02">
              <w:rPr>
                <w:rFonts w:asciiTheme="majorBidi" w:hAnsiTheme="majorBidi" w:cstheme="majorBidi"/>
                <w:lang w:val="en"/>
              </w:rPr>
              <w:t>,</w:t>
            </w:r>
          </w:p>
        </w:tc>
      </w:tr>
      <w:tr w:rsidR="006739F1" w:rsidRPr="00F24C7B" w14:paraId="43FFBC7B" w14:textId="77777777" w:rsidTr="00E64F02">
        <w:trPr>
          <w:trHeight w:val="359"/>
        </w:trPr>
        <w:tc>
          <w:tcPr>
            <w:tcW w:w="733" w:type="dxa"/>
          </w:tcPr>
          <w:p w14:paraId="78662C71" w14:textId="77777777" w:rsidR="006739F1" w:rsidRPr="00F24C7B" w:rsidRDefault="006739F1" w:rsidP="00F24C7B">
            <w:pPr>
              <w:numPr>
                <w:ilvl w:val="0"/>
                <w:numId w:val="3"/>
              </w:numPr>
              <w:tabs>
                <w:tab w:val="clear" w:pos="567"/>
                <w:tab w:val="clear" w:pos="1134"/>
                <w:tab w:val="clear" w:pos="1814"/>
                <w:tab w:val="clear" w:pos="2665"/>
              </w:tabs>
              <w:overflowPunct w:val="0"/>
              <w:autoSpaceDE w:val="0"/>
              <w:autoSpaceDN w:val="0"/>
              <w:bidi w:val="0"/>
              <w:adjustRightInd w:val="0"/>
              <w:spacing w:line="240" w:lineRule="auto"/>
              <w:jc w:val="left"/>
              <w:textAlignment w:val="baseline"/>
              <w:rPr>
                <w:rFonts w:asciiTheme="majorBidi" w:hAnsiTheme="majorBidi" w:cstheme="majorBidi"/>
                <w:rtl/>
              </w:rPr>
            </w:pPr>
          </w:p>
        </w:tc>
        <w:tc>
          <w:tcPr>
            <w:tcW w:w="7656" w:type="dxa"/>
          </w:tcPr>
          <w:p w14:paraId="02C3D90D" w14:textId="77777777" w:rsidR="006739F1" w:rsidRPr="00F24C7B" w:rsidRDefault="006739F1" w:rsidP="00F24C7B">
            <w:pPr>
              <w:tabs>
                <w:tab w:val="clear" w:pos="567"/>
                <w:tab w:val="clear" w:pos="1134"/>
                <w:tab w:val="clear" w:pos="1814"/>
                <w:tab w:val="clear" w:pos="2665"/>
                <w:tab w:val="left" w:pos="437"/>
              </w:tabs>
              <w:overflowPunct w:val="0"/>
              <w:autoSpaceDE w:val="0"/>
              <w:autoSpaceDN w:val="0"/>
              <w:bidi w:val="0"/>
              <w:adjustRightInd w:val="0"/>
              <w:textAlignment w:val="baseline"/>
              <w:rPr>
                <w:rFonts w:asciiTheme="majorBidi" w:hAnsiTheme="majorBidi" w:cstheme="majorBidi"/>
                <w:rtl/>
              </w:rPr>
            </w:pPr>
            <w:r w:rsidRPr="00F24C7B">
              <w:rPr>
                <w:rFonts w:asciiTheme="majorBidi" w:hAnsiTheme="majorBidi" w:cstheme="majorBidi"/>
                <w:lang w:val="en"/>
              </w:rPr>
              <w:t xml:space="preserve">Adding </w:t>
            </w:r>
            <w:r w:rsidRPr="00F24C7B">
              <w:rPr>
                <w:rFonts w:asciiTheme="majorBidi" w:hAnsiTheme="majorBidi" w:cstheme="majorBidi"/>
                <w:b/>
                <w:bCs/>
                <w:lang w:val="en"/>
              </w:rPr>
              <w:t>pension advisory service</w:t>
            </w:r>
            <w:r w:rsidRPr="00F24C7B">
              <w:rPr>
                <w:rFonts w:asciiTheme="majorBidi" w:hAnsiTheme="majorBidi" w:cstheme="majorBidi"/>
                <w:lang w:val="en"/>
              </w:rPr>
              <w:t xml:space="preserve"> to fees rules</w:t>
            </w:r>
          </w:p>
        </w:tc>
        <w:tc>
          <w:tcPr>
            <w:tcW w:w="1577" w:type="dxa"/>
          </w:tcPr>
          <w:p w14:paraId="2E6A6DB6" w14:textId="428F48D8" w:rsidR="006739F1" w:rsidRPr="00F24C7B" w:rsidRDefault="006739F1" w:rsidP="00076B44">
            <w:pPr>
              <w:tabs>
                <w:tab w:val="clear" w:pos="567"/>
                <w:tab w:val="clear" w:pos="1134"/>
                <w:tab w:val="clear" w:pos="1814"/>
                <w:tab w:val="clear" w:pos="2665"/>
              </w:tabs>
              <w:overflowPunct w:val="0"/>
              <w:autoSpaceDE w:val="0"/>
              <w:autoSpaceDN w:val="0"/>
              <w:bidi w:val="0"/>
              <w:adjustRightInd w:val="0"/>
              <w:jc w:val="left"/>
              <w:textAlignment w:val="baseline"/>
              <w:rPr>
                <w:rFonts w:asciiTheme="majorBidi" w:hAnsiTheme="majorBidi" w:cstheme="majorBidi"/>
                <w:rtl/>
              </w:rPr>
            </w:pPr>
            <w:r w:rsidRPr="00F24C7B">
              <w:rPr>
                <w:rFonts w:asciiTheme="majorBidi" w:eastAsia="Calibri" w:hAnsiTheme="majorBidi" w:cstheme="majorBidi"/>
                <w:lang w:val="en"/>
              </w:rPr>
              <w:t>July 19</w:t>
            </w:r>
            <w:r w:rsidR="00E64F02">
              <w:rPr>
                <w:rFonts w:asciiTheme="majorBidi" w:eastAsia="Calibri" w:hAnsiTheme="majorBidi" w:cstheme="majorBidi"/>
                <w:lang w:val="en"/>
              </w:rPr>
              <w:t>,</w:t>
            </w:r>
            <w:r w:rsidRPr="00F24C7B">
              <w:rPr>
                <w:rFonts w:asciiTheme="majorBidi" w:eastAsia="Calibri" w:hAnsiTheme="majorBidi" w:cstheme="majorBidi"/>
                <w:lang w:val="en"/>
              </w:rPr>
              <w:t xml:space="preserve"> 2016</w:t>
            </w:r>
          </w:p>
        </w:tc>
      </w:tr>
      <w:tr w:rsidR="006739F1" w:rsidRPr="00F24C7B" w14:paraId="44B09A4F" w14:textId="77777777" w:rsidTr="00E64F02">
        <w:trPr>
          <w:trHeight w:val="400"/>
        </w:trPr>
        <w:tc>
          <w:tcPr>
            <w:tcW w:w="733" w:type="dxa"/>
          </w:tcPr>
          <w:p w14:paraId="44EE919A" w14:textId="77777777" w:rsidR="006739F1" w:rsidRPr="00F24C7B" w:rsidRDefault="006739F1" w:rsidP="00F24C7B">
            <w:pPr>
              <w:numPr>
                <w:ilvl w:val="0"/>
                <w:numId w:val="3"/>
              </w:numPr>
              <w:tabs>
                <w:tab w:val="clear" w:pos="567"/>
                <w:tab w:val="clear" w:pos="1134"/>
                <w:tab w:val="clear" w:pos="1814"/>
                <w:tab w:val="clear" w:pos="2665"/>
              </w:tabs>
              <w:overflowPunct w:val="0"/>
              <w:autoSpaceDE w:val="0"/>
              <w:autoSpaceDN w:val="0"/>
              <w:bidi w:val="0"/>
              <w:adjustRightInd w:val="0"/>
              <w:spacing w:line="240" w:lineRule="auto"/>
              <w:jc w:val="left"/>
              <w:textAlignment w:val="baseline"/>
              <w:rPr>
                <w:rFonts w:asciiTheme="majorBidi" w:hAnsiTheme="majorBidi" w:cstheme="majorBidi"/>
                <w:rtl/>
              </w:rPr>
            </w:pPr>
          </w:p>
        </w:tc>
        <w:tc>
          <w:tcPr>
            <w:tcW w:w="7656" w:type="dxa"/>
          </w:tcPr>
          <w:p w14:paraId="0F548F66" w14:textId="77777777" w:rsidR="006739F1" w:rsidRPr="00F24C7B" w:rsidRDefault="006739F1" w:rsidP="00F24C7B">
            <w:pPr>
              <w:tabs>
                <w:tab w:val="clear" w:pos="567"/>
                <w:tab w:val="clear" w:pos="1134"/>
                <w:tab w:val="clear" w:pos="1814"/>
                <w:tab w:val="clear" w:pos="2665"/>
                <w:tab w:val="left" w:pos="437"/>
              </w:tabs>
              <w:overflowPunct w:val="0"/>
              <w:autoSpaceDE w:val="0"/>
              <w:autoSpaceDN w:val="0"/>
              <w:bidi w:val="0"/>
              <w:adjustRightInd w:val="0"/>
              <w:textAlignment w:val="baseline"/>
              <w:rPr>
                <w:rFonts w:asciiTheme="majorBidi" w:hAnsiTheme="majorBidi" w:cstheme="majorBidi"/>
                <w:rtl/>
              </w:rPr>
            </w:pPr>
            <w:r w:rsidRPr="00F24C7B">
              <w:rPr>
                <w:rFonts w:asciiTheme="majorBidi" w:eastAsia="Calibri" w:hAnsiTheme="majorBidi" w:cstheme="majorBidi"/>
                <w:lang w:val="en"/>
              </w:rPr>
              <w:t xml:space="preserve">Issuing a </w:t>
            </w:r>
            <w:r w:rsidRPr="00F24C7B">
              <w:rPr>
                <w:rFonts w:asciiTheme="majorBidi" w:eastAsia="Calibri" w:hAnsiTheme="majorBidi" w:cstheme="majorBidi"/>
                <w:b/>
                <w:bCs/>
                <w:lang w:val="en"/>
              </w:rPr>
              <w:t>notice to customers</w:t>
            </w:r>
            <w:r w:rsidRPr="00F24C7B">
              <w:rPr>
                <w:rFonts w:asciiTheme="majorBidi" w:eastAsia="Calibri" w:hAnsiTheme="majorBidi" w:cstheme="majorBidi"/>
                <w:lang w:val="en"/>
              </w:rPr>
              <w:t xml:space="preserve"> after six months from closure of an account, free of charge</w:t>
            </w:r>
          </w:p>
        </w:tc>
        <w:tc>
          <w:tcPr>
            <w:tcW w:w="1577" w:type="dxa"/>
          </w:tcPr>
          <w:p w14:paraId="3A0DF659" w14:textId="010A850E" w:rsidR="006739F1" w:rsidRPr="00F24C7B" w:rsidRDefault="006739F1" w:rsidP="00076B44">
            <w:pPr>
              <w:tabs>
                <w:tab w:val="clear" w:pos="567"/>
                <w:tab w:val="clear" w:pos="1134"/>
                <w:tab w:val="clear" w:pos="1814"/>
                <w:tab w:val="clear" w:pos="2665"/>
              </w:tabs>
              <w:overflowPunct w:val="0"/>
              <w:autoSpaceDE w:val="0"/>
              <w:autoSpaceDN w:val="0"/>
              <w:bidi w:val="0"/>
              <w:adjustRightInd w:val="0"/>
              <w:jc w:val="left"/>
              <w:textAlignment w:val="baseline"/>
              <w:rPr>
                <w:rFonts w:asciiTheme="majorBidi" w:hAnsiTheme="majorBidi" w:cstheme="majorBidi"/>
                <w:rtl/>
              </w:rPr>
            </w:pPr>
            <w:r w:rsidRPr="00F24C7B">
              <w:rPr>
                <w:rFonts w:asciiTheme="majorBidi" w:eastAsia="Calibri" w:hAnsiTheme="majorBidi" w:cstheme="majorBidi"/>
                <w:lang w:val="en"/>
              </w:rPr>
              <w:t>July 19</w:t>
            </w:r>
            <w:r w:rsidR="00E64F02">
              <w:rPr>
                <w:rFonts w:asciiTheme="majorBidi" w:eastAsia="Calibri" w:hAnsiTheme="majorBidi" w:cstheme="majorBidi"/>
                <w:lang w:val="en"/>
              </w:rPr>
              <w:t>,</w:t>
            </w:r>
            <w:r w:rsidRPr="00F24C7B">
              <w:rPr>
                <w:rFonts w:asciiTheme="majorBidi" w:eastAsia="Calibri" w:hAnsiTheme="majorBidi" w:cstheme="majorBidi"/>
                <w:lang w:val="en"/>
              </w:rPr>
              <w:t xml:space="preserve"> 2016</w:t>
            </w:r>
          </w:p>
        </w:tc>
      </w:tr>
      <w:tr w:rsidR="006739F1" w:rsidRPr="00F24C7B" w14:paraId="6AF45E65" w14:textId="77777777" w:rsidTr="00E64F02">
        <w:trPr>
          <w:trHeight w:val="359"/>
        </w:trPr>
        <w:tc>
          <w:tcPr>
            <w:tcW w:w="733" w:type="dxa"/>
          </w:tcPr>
          <w:p w14:paraId="461CAAB5" w14:textId="77777777" w:rsidR="006739F1" w:rsidRPr="00F24C7B" w:rsidRDefault="006739F1" w:rsidP="00F24C7B">
            <w:pPr>
              <w:numPr>
                <w:ilvl w:val="0"/>
                <w:numId w:val="3"/>
              </w:numPr>
              <w:tabs>
                <w:tab w:val="clear" w:pos="567"/>
                <w:tab w:val="clear" w:pos="1134"/>
                <w:tab w:val="clear" w:pos="1814"/>
                <w:tab w:val="clear" w:pos="2665"/>
              </w:tabs>
              <w:overflowPunct w:val="0"/>
              <w:autoSpaceDE w:val="0"/>
              <w:autoSpaceDN w:val="0"/>
              <w:bidi w:val="0"/>
              <w:adjustRightInd w:val="0"/>
              <w:spacing w:line="240" w:lineRule="auto"/>
              <w:jc w:val="left"/>
              <w:textAlignment w:val="baseline"/>
              <w:rPr>
                <w:rFonts w:asciiTheme="majorBidi" w:hAnsiTheme="majorBidi" w:cstheme="majorBidi"/>
                <w:rtl/>
              </w:rPr>
            </w:pPr>
          </w:p>
        </w:tc>
        <w:tc>
          <w:tcPr>
            <w:tcW w:w="7656" w:type="dxa"/>
          </w:tcPr>
          <w:p w14:paraId="54CDABB5" w14:textId="77777777" w:rsidR="006739F1" w:rsidRPr="00F24C7B" w:rsidRDefault="006739F1" w:rsidP="00F24C7B">
            <w:pPr>
              <w:tabs>
                <w:tab w:val="clear" w:pos="567"/>
                <w:tab w:val="clear" w:pos="1134"/>
                <w:tab w:val="clear" w:pos="1814"/>
                <w:tab w:val="clear" w:pos="2665"/>
                <w:tab w:val="left" w:pos="437"/>
              </w:tabs>
              <w:overflowPunct w:val="0"/>
              <w:autoSpaceDE w:val="0"/>
              <w:autoSpaceDN w:val="0"/>
              <w:bidi w:val="0"/>
              <w:adjustRightInd w:val="0"/>
              <w:textAlignment w:val="baseline"/>
              <w:rPr>
                <w:rFonts w:asciiTheme="majorBidi" w:hAnsiTheme="majorBidi" w:cstheme="majorBidi"/>
                <w:rtl/>
              </w:rPr>
            </w:pPr>
            <w:r w:rsidRPr="00F24C7B">
              <w:rPr>
                <w:rFonts w:asciiTheme="majorBidi" w:hAnsiTheme="majorBidi" w:cstheme="majorBidi"/>
                <w:lang w:val="en"/>
              </w:rPr>
              <w:t xml:space="preserve">Reducing the </w:t>
            </w:r>
            <w:r w:rsidRPr="00F24C7B">
              <w:rPr>
                <w:rFonts w:asciiTheme="majorBidi" w:hAnsiTheme="majorBidi" w:cstheme="majorBidi"/>
                <w:b/>
                <w:bCs/>
                <w:lang w:val="en"/>
              </w:rPr>
              <w:t>fee in respect of changing the repayment date of a housing loan,</w:t>
            </w:r>
            <w:r w:rsidRPr="00F24C7B">
              <w:rPr>
                <w:rFonts w:asciiTheme="majorBidi" w:hAnsiTheme="majorBidi" w:cstheme="majorBidi"/>
                <w:lang w:val="en"/>
              </w:rPr>
              <w:t xml:space="preserve"> from NIS 125 to the cost of a teller-executed transaction</w:t>
            </w:r>
          </w:p>
        </w:tc>
        <w:tc>
          <w:tcPr>
            <w:tcW w:w="1577" w:type="dxa"/>
          </w:tcPr>
          <w:p w14:paraId="7141234E" w14:textId="20249025" w:rsidR="006739F1" w:rsidRPr="00F24C7B" w:rsidRDefault="006739F1" w:rsidP="00076B44">
            <w:pPr>
              <w:tabs>
                <w:tab w:val="clear" w:pos="567"/>
                <w:tab w:val="clear" w:pos="1134"/>
                <w:tab w:val="clear" w:pos="1814"/>
                <w:tab w:val="clear" w:pos="2665"/>
              </w:tabs>
              <w:overflowPunct w:val="0"/>
              <w:autoSpaceDE w:val="0"/>
              <w:autoSpaceDN w:val="0"/>
              <w:bidi w:val="0"/>
              <w:adjustRightInd w:val="0"/>
              <w:jc w:val="left"/>
              <w:textAlignment w:val="baseline"/>
              <w:rPr>
                <w:rFonts w:asciiTheme="majorBidi" w:hAnsiTheme="majorBidi" w:cstheme="majorBidi"/>
                <w:rtl/>
              </w:rPr>
            </w:pPr>
            <w:r w:rsidRPr="00F24C7B">
              <w:rPr>
                <w:rFonts w:asciiTheme="majorBidi" w:eastAsia="Calibri" w:hAnsiTheme="majorBidi" w:cstheme="majorBidi"/>
                <w:lang w:val="en"/>
              </w:rPr>
              <w:t>July 19</w:t>
            </w:r>
            <w:r w:rsidR="00E64F02">
              <w:rPr>
                <w:rFonts w:asciiTheme="majorBidi" w:eastAsia="Calibri" w:hAnsiTheme="majorBidi" w:cstheme="majorBidi"/>
                <w:lang w:val="en"/>
              </w:rPr>
              <w:t>,</w:t>
            </w:r>
            <w:r w:rsidRPr="00F24C7B">
              <w:rPr>
                <w:rFonts w:asciiTheme="majorBidi" w:eastAsia="Calibri" w:hAnsiTheme="majorBidi" w:cstheme="majorBidi"/>
                <w:lang w:val="en"/>
              </w:rPr>
              <w:t xml:space="preserve"> 2016</w:t>
            </w:r>
          </w:p>
        </w:tc>
      </w:tr>
      <w:tr w:rsidR="006739F1" w:rsidRPr="00F24C7B" w14:paraId="36B17370" w14:textId="77777777" w:rsidTr="00E64F02">
        <w:trPr>
          <w:trHeight w:val="359"/>
        </w:trPr>
        <w:tc>
          <w:tcPr>
            <w:tcW w:w="733" w:type="dxa"/>
          </w:tcPr>
          <w:p w14:paraId="3BD63AA8" w14:textId="77777777" w:rsidR="006739F1" w:rsidRPr="00F24C7B" w:rsidRDefault="006739F1" w:rsidP="00F24C7B">
            <w:pPr>
              <w:numPr>
                <w:ilvl w:val="0"/>
                <w:numId w:val="3"/>
              </w:numPr>
              <w:tabs>
                <w:tab w:val="clear" w:pos="567"/>
                <w:tab w:val="clear" w:pos="1134"/>
                <w:tab w:val="clear" w:pos="1814"/>
                <w:tab w:val="clear" w:pos="2665"/>
              </w:tabs>
              <w:overflowPunct w:val="0"/>
              <w:autoSpaceDE w:val="0"/>
              <w:autoSpaceDN w:val="0"/>
              <w:bidi w:val="0"/>
              <w:adjustRightInd w:val="0"/>
              <w:spacing w:line="240" w:lineRule="auto"/>
              <w:jc w:val="left"/>
              <w:textAlignment w:val="baseline"/>
              <w:rPr>
                <w:rFonts w:asciiTheme="majorBidi" w:hAnsiTheme="majorBidi" w:cstheme="majorBidi"/>
                <w:rtl/>
              </w:rPr>
            </w:pPr>
          </w:p>
        </w:tc>
        <w:tc>
          <w:tcPr>
            <w:tcW w:w="7656" w:type="dxa"/>
          </w:tcPr>
          <w:p w14:paraId="24952383" w14:textId="77777777" w:rsidR="006739F1" w:rsidRPr="00F24C7B" w:rsidRDefault="006739F1" w:rsidP="00F24C7B">
            <w:pPr>
              <w:tabs>
                <w:tab w:val="clear" w:pos="567"/>
                <w:tab w:val="clear" w:pos="1134"/>
                <w:tab w:val="clear" w:pos="1814"/>
                <w:tab w:val="clear" w:pos="2665"/>
              </w:tabs>
              <w:bidi w:val="0"/>
              <w:rPr>
                <w:rFonts w:asciiTheme="majorBidi" w:hAnsiTheme="majorBidi" w:cstheme="majorBidi"/>
                <w:b/>
                <w:bCs/>
                <w:rtl/>
              </w:rPr>
            </w:pPr>
            <w:r w:rsidRPr="00F24C7B">
              <w:rPr>
                <w:rFonts w:asciiTheme="majorBidi" w:hAnsiTheme="majorBidi" w:cstheme="majorBidi"/>
                <w:b/>
                <w:bCs/>
                <w:lang w:val="en"/>
              </w:rPr>
              <w:t>Proactive enrollment of senior citizens and disabled customers</w:t>
            </w:r>
            <w:r w:rsidRPr="00F24C7B">
              <w:rPr>
                <w:rFonts w:asciiTheme="majorBidi" w:hAnsiTheme="majorBidi" w:cstheme="majorBidi"/>
                <w:lang w:val="en"/>
              </w:rPr>
              <w:t xml:space="preserve"> in the basic fee track</w:t>
            </w:r>
          </w:p>
        </w:tc>
        <w:tc>
          <w:tcPr>
            <w:tcW w:w="1577" w:type="dxa"/>
          </w:tcPr>
          <w:p w14:paraId="08802253" w14:textId="1778B68D" w:rsidR="006739F1" w:rsidRPr="00F24C7B" w:rsidRDefault="006739F1" w:rsidP="00076B44">
            <w:pPr>
              <w:tabs>
                <w:tab w:val="clear" w:pos="567"/>
                <w:tab w:val="clear" w:pos="1134"/>
                <w:tab w:val="clear" w:pos="1814"/>
                <w:tab w:val="clear" w:pos="2665"/>
              </w:tabs>
              <w:overflowPunct w:val="0"/>
              <w:autoSpaceDE w:val="0"/>
              <w:autoSpaceDN w:val="0"/>
              <w:bidi w:val="0"/>
              <w:adjustRightInd w:val="0"/>
              <w:jc w:val="left"/>
              <w:textAlignment w:val="baseline"/>
              <w:rPr>
                <w:rFonts w:asciiTheme="majorBidi" w:hAnsiTheme="majorBidi" w:cstheme="majorBidi"/>
                <w:rtl/>
              </w:rPr>
            </w:pPr>
            <w:r w:rsidRPr="00F24C7B">
              <w:rPr>
                <w:rFonts w:asciiTheme="majorBidi" w:eastAsia="Calibri" w:hAnsiTheme="majorBidi" w:cstheme="majorBidi"/>
                <w:lang w:val="en"/>
              </w:rPr>
              <w:t>July 19</w:t>
            </w:r>
            <w:r w:rsidR="00E64F02">
              <w:rPr>
                <w:rFonts w:asciiTheme="majorBidi" w:eastAsia="Calibri" w:hAnsiTheme="majorBidi" w:cstheme="majorBidi"/>
                <w:lang w:val="en"/>
              </w:rPr>
              <w:t>,</w:t>
            </w:r>
            <w:r w:rsidRPr="00F24C7B">
              <w:rPr>
                <w:rFonts w:asciiTheme="majorBidi" w:eastAsia="Calibri" w:hAnsiTheme="majorBidi" w:cstheme="majorBidi"/>
                <w:lang w:val="en"/>
              </w:rPr>
              <w:t xml:space="preserve"> 2016</w:t>
            </w:r>
          </w:p>
        </w:tc>
      </w:tr>
      <w:tr w:rsidR="006739F1" w:rsidRPr="00F24C7B" w14:paraId="47F53BF5" w14:textId="77777777" w:rsidTr="00E64F02">
        <w:trPr>
          <w:trHeight w:val="359"/>
        </w:trPr>
        <w:tc>
          <w:tcPr>
            <w:tcW w:w="733" w:type="dxa"/>
          </w:tcPr>
          <w:p w14:paraId="50A66CBF" w14:textId="77777777" w:rsidR="006739F1" w:rsidRPr="00F24C7B" w:rsidRDefault="006739F1" w:rsidP="00F24C7B">
            <w:pPr>
              <w:numPr>
                <w:ilvl w:val="0"/>
                <w:numId w:val="3"/>
              </w:numPr>
              <w:tabs>
                <w:tab w:val="clear" w:pos="567"/>
                <w:tab w:val="clear" w:pos="1134"/>
                <w:tab w:val="clear" w:pos="1814"/>
                <w:tab w:val="clear" w:pos="2665"/>
              </w:tabs>
              <w:overflowPunct w:val="0"/>
              <w:autoSpaceDE w:val="0"/>
              <w:autoSpaceDN w:val="0"/>
              <w:bidi w:val="0"/>
              <w:adjustRightInd w:val="0"/>
              <w:spacing w:line="240" w:lineRule="auto"/>
              <w:jc w:val="left"/>
              <w:textAlignment w:val="baseline"/>
              <w:rPr>
                <w:rFonts w:asciiTheme="majorBidi" w:hAnsiTheme="majorBidi" w:cstheme="majorBidi"/>
                <w:rtl/>
              </w:rPr>
            </w:pPr>
          </w:p>
        </w:tc>
        <w:tc>
          <w:tcPr>
            <w:tcW w:w="7656" w:type="dxa"/>
          </w:tcPr>
          <w:p w14:paraId="1BA6CC28" w14:textId="77777777" w:rsidR="006739F1" w:rsidRPr="00F24C7B" w:rsidRDefault="006739F1" w:rsidP="00F24C7B">
            <w:pPr>
              <w:tabs>
                <w:tab w:val="clear" w:pos="567"/>
                <w:tab w:val="clear" w:pos="1134"/>
                <w:tab w:val="clear" w:pos="1814"/>
                <w:tab w:val="clear" w:pos="2665"/>
              </w:tabs>
              <w:bidi w:val="0"/>
              <w:rPr>
                <w:rFonts w:asciiTheme="majorBidi" w:hAnsiTheme="majorBidi" w:cstheme="majorBidi"/>
                <w:rtl/>
              </w:rPr>
            </w:pPr>
            <w:r w:rsidRPr="00F24C7B">
              <w:rPr>
                <w:rFonts w:asciiTheme="majorBidi" w:hAnsiTheme="majorBidi" w:cstheme="majorBidi"/>
                <w:lang w:val="en"/>
              </w:rPr>
              <w:t xml:space="preserve">Regulating fees for </w:t>
            </w:r>
            <w:r w:rsidRPr="00F24C7B">
              <w:rPr>
                <w:rFonts w:asciiTheme="majorBidi" w:hAnsiTheme="majorBidi" w:cstheme="majorBidi"/>
                <w:b/>
                <w:bCs/>
                <w:lang w:val="en"/>
              </w:rPr>
              <w:t>operational services for a small business in respect to acquiring services</w:t>
            </w:r>
          </w:p>
        </w:tc>
        <w:tc>
          <w:tcPr>
            <w:tcW w:w="1577" w:type="dxa"/>
          </w:tcPr>
          <w:p w14:paraId="68F2DC2B" w14:textId="74832AE9" w:rsidR="006739F1" w:rsidRPr="00F24C7B" w:rsidRDefault="006739F1" w:rsidP="00076B44">
            <w:pPr>
              <w:tabs>
                <w:tab w:val="clear" w:pos="567"/>
                <w:tab w:val="clear" w:pos="1134"/>
                <w:tab w:val="clear" w:pos="1814"/>
                <w:tab w:val="clear" w:pos="2665"/>
              </w:tabs>
              <w:overflowPunct w:val="0"/>
              <w:autoSpaceDE w:val="0"/>
              <w:autoSpaceDN w:val="0"/>
              <w:bidi w:val="0"/>
              <w:adjustRightInd w:val="0"/>
              <w:jc w:val="left"/>
              <w:textAlignment w:val="baseline"/>
              <w:rPr>
                <w:rFonts w:asciiTheme="majorBidi" w:eastAsia="Calibri" w:hAnsiTheme="majorBidi" w:cstheme="majorBidi"/>
                <w:rtl/>
              </w:rPr>
            </w:pPr>
            <w:r w:rsidRPr="00F24C7B">
              <w:rPr>
                <w:rFonts w:asciiTheme="majorBidi" w:eastAsia="Calibri" w:hAnsiTheme="majorBidi" w:cstheme="majorBidi"/>
                <w:lang w:val="en"/>
              </w:rPr>
              <w:t>July 1</w:t>
            </w:r>
            <w:r w:rsidR="00E64F02">
              <w:rPr>
                <w:rFonts w:asciiTheme="majorBidi" w:eastAsia="Calibri" w:hAnsiTheme="majorBidi" w:cstheme="majorBidi"/>
                <w:lang w:val="en"/>
              </w:rPr>
              <w:t>,</w:t>
            </w:r>
            <w:r w:rsidRPr="00F24C7B">
              <w:rPr>
                <w:rFonts w:asciiTheme="majorBidi" w:eastAsia="Calibri" w:hAnsiTheme="majorBidi" w:cstheme="majorBidi"/>
                <w:lang w:val="en"/>
              </w:rPr>
              <w:t xml:space="preserve"> 2015</w:t>
            </w:r>
          </w:p>
        </w:tc>
      </w:tr>
      <w:tr w:rsidR="006739F1" w:rsidRPr="00F24C7B" w14:paraId="50498A2C" w14:textId="77777777" w:rsidTr="00E64F02">
        <w:trPr>
          <w:trHeight w:val="359"/>
        </w:trPr>
        <w:tc>
          <w:tcPr>
            <w:tcW w:w="733" w:type="dxa"/>
          </w:tcPr>
          <w:p w14:paraId="2609F3C8" w14:textId="77777777" w:rsidR="006739F1" w:rsidRPr="00F24C7B" w:rsidRDefault="006739F1" w:rsidP="00F24C7B">
            <w:pPr>
              <w:numPr>
                <w:ilvl w:val="0"/>
                <w:numId w:val="3"/>
              </w:numPr>
              <w:tabs>
                <w:tab w:val="clear" w:pos="567"/>
                <w:tab w:val="clear" w:pos="1134"/>
                <w:tab w:val="clear" w:pos="1814"/>
                <w:tab w:val="clear" w:pos="2665"/>
              </w:tabs>
              <w:overflowPunct w:val="0"/>
              <w:autoSpaceDE w:val="0"/>
              <w:autoSpaceDN w:val="0"/>
              <w:bidi w:val="0"/>
              <w:adjustRightInd w:val="0"/>
              <w:spacing w:line="240" w:lineRule="auto"/>
              <w:jc w:val="left"/>
              <w:textAlignment w:val="baseline"/>
              <w:rPr>
                <w:rFonts w:asciiTheme="majorBidi" w:hAnsiTheme="majorBidi" w:cstheme="majorBidi"/>
                <w:rtl/>
              </w:rPr>
            </w:pPr>
          </w:p>
        </w:tc>
        <w:tc>
          <w:tcPr>
            <w:tcW w:w="7656" w:type="dxa"/>
          </w:tcPr>
          <w:p w14:paraId="66DA07F6" w14:textId="77777777" w:rsidR="006739F1" w:rsidRPr="00F24C7B" w:rsidRDefault="006739F1" w:rsidP="00F24C7B">
            <w:pPr>
              <w:tabs>
                <w:tab w:val="clear" w:pos="567"/>
                <w:tab w:val="clear" w:pos="1134"/>
                <w:tab w:val="clear" w:pos="1814"/>
                <w:tab w:val="clear" w:pos="2665"/>
              </w:tabs>
              <w:bidi w:val="0"/>
              <w:rPr>
                <w:rFonts w:asciiTheme="majorBidi" w:hAnsiTheme="majorBidi" w:cstheme="majorBidi"/>
                <w:rtl/>
              </w:rPr>
            </w:pPr>
            <w:r w:rsidRPr="00F24C7B">
              <w:rPr>
                <w:rFonts w:asciiTheme="majorBidi" w:hAnsiTheme="majorBidi" w:cstheme="majorBidi"/>
                <w:b/>
                <w:bCs/>
                <w:lang w:val="en"/>
              </w:rPr>
              <w:t>Simplification of rules for charging a conversion fee</w:t>
            </w:r>
            <w:r w:rsidRPr="00F24C7B">
              <w:rPr>
                <w:rFonts w:asciiTheme="majorBidi" w:hAnsiTheme="majorBidi" w:cstheme="majorBidi"/>
                <w:lang w:val="en"/>
              </w:rPr>
              <w:t xml:space="preserve"> in respect of a foreign currency transaction or foreign currency withdrawal, so that only one fee will be charged, at the representative rate</w:t>
            </w:r>
          </w:p>
        </w:tc>
        <w:tc>
          <w:tcPr>
            <w:tcW w:w="1577" w:type="dxa"/>
          </w:tcPr>
          <w:p w14:paraId="55704D12" w14:textId="16BC07C6" w:rsidR="006739F1" w:rsidRPr="00F24C7B" w:rsidRDefault="006739F1" w:rsidP="00076B44">
            <w:pPr>
              <w:tabs>
                <w:tab w:val="clear" w:pos="567"/>
                <w:tab w:val="clear" w:pos="1134"/>
                <w:tab w:val="clear" w:pos="1814"/>
                <w:tab w:val="clear" w:pos="2665"/>
              </w:tabs>
              <w:overflowPunct w:val="0"/>
              <w:autoSpaceDE w:val="0"/>
              <w:autoSpaceDN w:val="0"/>
              <w:bidi w:val="0"/>
              <w:adjustRightInd w:val="0"/>
              <w:jc w:val="left"/>
              <w:textAlignment w:val="baseline"/>
              <w:rPr>
                <w:rFonts w:asciiTheme="majorBidi" w:hAnsiTheme="majorBidi" w:cstheme="majorBidi"/>
                <w:rtl/>
              </w:rPr>
            </w:pPr>
            <w:r w:rsidRPr="00F24C7B">
              <w:rPr>
                <w:rFonts w:asciiTheme="majorBidi" w:hAnsiTheme="majorBidi" w:cstheme="majorBidi"/>
                <w:lang w:val="en"/>
              </w:rPr>
              <w:t>July 1</w:t>
            </w:r>
            <w:r w:rsidR="00E64F02">
              <w:rPr>
                <w:rFonts w:asciiTheme="majorBidi" w:hAnsiTheme="majorBidi" w:cstheme="majorBidi"/>
                <w:lang w:val="en"/>
              </w:rPr>
              <w:t>,</w:t>
            </w:r>
            <w:r w:rsidRPr="00F24C7B">
              <w:rPr>
                <w:rFonts w:asciiTheme="majorBidi" w:hAnsiTheme="majorBidi" w:cstheme="majorBidi"/>
                <w:lang w:val="en"/>
              </w:rPr>
              <w:t xml:space="preserve"> 2015</w:t>
            </w:r>
          </w:p>
        </w:tc>
      </w:tr>
      <w:tr w:rsidR="006739F1" w:rsidRPr="00F24C7B" w14:paraId="5DDA1181" w14:textId="77777777" w:rsidTr="00E64F02">
        <w:trPr>
          <w:trHeight w:val="359"/>
        </w:trPr>
        <w:tc>
          <w:tcPr>
            <w:tcW w:w="733" w:type="dxa"/>
          </w:tcPr>
          <w:p w14:paraId="3046A3A2" w14:textId="77777777" w:rsidR="006739F1" w:rsidRPr="00F24C7B" w:rsidRDefault="006739F1" w:rsidP="00F24C7B">
            <w:pPr>
              <w:numPr>
                <w:ilvl w:val="0"/>
                <w:numId w:val="3"/>
              </w:numPr>
              <w:tabs>
                <w:tab w:val="clear" w:pos="567"/>
                <w:tab w:val="clear" w:pos="1134"/>
                <w:tab w:val="clear" w:pos="1814"/>
                <w:tab w:val="clear" w:pos="2665"/>
              </w:tabs>
              <w:overflowPunct w:val="0"/>
              <w:autoSpaceDE w:val="0"/>
              <w:autoSpaceDN w:val="0"/>
              <w:bidi w:val="0"/>
              <w:adjustRightInd w:val="0"/>
              <w:spacing w:line="240" w:lineRule="auto"/>
              <w:jc w:val="left"/>
              <w:textAlignment w:val="baseline"/>
              <w:rPr>
                <w:rFonts w:asciiTheme="majorBidi" w:hAnsiTheme="majorBidi" w:cstheme="majorBidi"/>
                <w:rtl/>
              </w:rPr>
            </w:pPr>
          </w:p>
        </w:tc>
        <w:tc>
          <w:tcPr>
            <w:tcW w:w="7656" w:type="dxa"/>
          </w:tcPr>
          <w:p w14:paraId="21005C0A" w14:textId="77777777" w:rsidR="006739F1" w:rsidRPr="00F24C7B" w:rsidRDefault="006739F1" w:rsidP="00F24C7B">
            <w:pPr>
              <w:tabs>
                <w:tab w:val="clear" w:pos="567"/>
                <w:tab w:val="clear" w:pos="1134"/>
                <w:tab w:val="clear" w:pos="1814"/>
                <w:tab w:val="clear" w:pos="2665"/>
                <w:tab w:val="left" w:pos="437"/>
              </w:tabs>
              <w:overflowPunct w:val="0"/>
              <w:autoSpaceDE w:val="0"/>
              <w:autoSpaceDN w:val="0"/>
              <w:bidi w:val="0"/>
              <w:adjustRightInd w:val="0"/>
              <w:textAlignment w:val="baseline"/>
              <w:rPr>
                <w:rFonts w:asciiTheme="majorBidi" w:hAnsiTheme="majorBidi" w:cstheme="majorBidi"/>
                <w:b/>
                <w:bCs/>
                <w:color w:val="C00000"/>
                <w:sz w:val="28"/>
                <w:szCs w:val="28"/>
                <w:rtl/>
              </w:rPr>
            </w:pPr>
            <w:r w:rsidRPr="00F24C7B">
              <w:rPr>
                <w:rFonts w:asciiTheme="majorBidi" w:eastAsia="Calibri" w:hAnsiTheme="majorBidi" w:cstheme="majorBidi"/>
                <w:b/>
                <w:bCs/>
                <w:lang w:val="en"/>
              </w:rPr>
              <w:t xml:space="preserve">Definition of small business - </w:t>
            </w:r>
            <w:r w:rsidRPr="00F24C7B">
              <w:rPr>
                <w:rFonts w:asciiTheme="majorBidi" w:eastAsia="Calibri" w:hAnsiTheme="majorBidi" w:cstheme="majorBidi"/>
                <w:lang w:val="en"/>
              </w:rPr>
              <w:t>the definition was changed such that a corporation that submits an annual financial statement showing that its revenue in the year preceding its publication does not exceed NIS 5 million will not be required to submit an additional financial statement (which it would have had to do each year, on a regular basis, to benefit from the reduced fee schedule). The amendment means that the burden of proof shifts to the banking corporation, with the goal of making it easier for small businesses to utilize the fee schedule for individuals and small businesses.</w:t>
            </w:r>
          </w:p>
        </w:tc>
        <w:tc>
          <w:tcPr>
            <w:tcW w:w="1577" w:type="dxa"/>
          </w:tcPr>
          <w:p w14:paraId="25D7AB79" w14:textId="2A676FAE" w:rsidR="006739F1" w:rsidRPr="00F24C7B" w:rsidRDefault="006739F1" w:rsidP="00076B44">
            <w:pPr>
              <w:tabs>
                <w:tab w:val="clear" w:pos="567"/>
                <w:tab w:val="clear" w:pos="1134"/>
                <w:tab w:val="clear" w:pos="1814"/>
                <w:tab w:val="clear" w:pos="2665"/>
              </w:tabs>
              <w:overflowPunct w:val="0"/>
              <w:autoSpaceDE w:val="0"/>
              <w:autoSpaceDN w:val="0"/>
              <w:bidi w:val="0"/>
              <w:adjustRightInd w:val="0"/>
              <w:jc w:val="left"/>
              <w:textAlignment w:val="baseline"/>
              <w:rPr>
                <w:rFonts w:asciiTheme="majorBidi" w:hAnsiTheme="majorBidi" w:cstheme="majorBidi"/>
                <w:rtl/>
              </w:rPr>
            </w:pPr>
            <w:r w:rsidRPr="00F24C7B">
              <w:rPr>
                <w:rFonts w:asciiTheme="majorBidi" w:hAnsiTheme="majorBidi" w:cstheme="majorBidi"/>
                <w:lang w:val="en"/>
              </w:rPr>
              <w:t>Feb. 1</w:t>
            </w:r>
            <w:r w:rsidR="00E64F02">
              <w:rPr>
                <w:rFonts w:asciiTheme="majorBidi" w:hAnsiTheme="majorBidi" w:cstheme="majorBidi"/>
                <w:lang w:val="en"/>
              </w:rPr>
              <w:t>,</w:t>
            </w:r>
            <w:r w:rsidRPr="00F24C7B">
              <w:rPr>
                <w:rFonts w:asciiTheme="majorBidi" w:hAnsiTheme="majorBidi" w:cstheme="majorBidi"/>
                <w:lang w:val="en"/>
              </w:rPr>
              <w:t xml:space="preserve"> 2015</w:t>
            </w:r>
          </w:p>
        </w:tc>
      </w:tr>
      <w:tr w:rsidR="006739F1" w:rsidRPr="00F24C7B" w14:paraId="29C3F17E" w14:textId="77777777" w:rsidTr="00E64F02">
        <w:trPr>
          <w:trHeight w:val="359"/>
        </w:trPr>
        <w:tc>
          <w:tcPr>
            <w:tcW w:w="733" w:type="dxa"/>
          </w:tcPr>
          <w:p w14:paraId="11DE65D2" w14:textId="77777777" w:rsidR="006739F1" w:rsidRPr="00F24C7B" w:rsidRDefault="006739F1" w:rsidP="00F24C7B">
            <w:pPr>
              <w:numPr>
                <w:ilvl w:val="0"/>
                <w:numId w:val="3"/>
              </w:numPr>
              <w:tabs>
                <w:tab w:val="clear" w:pos="567"/>
                <w:tab w:val="clear" w:pos="1134"/>
                <w:tab w:val="clear" w:pos="1814"/>
                <w:tab w:val="clear" w:pos="2665"/>
              </w:tabs>
              <w:overflowPunct w:val="0"/>
              <w:autoSpaceDE w:val="0"/>
              <w:autoSpaceDN w:val="0"/>
              <w:bidi w:val="0"/>
              <w:adjustRightInd w:val="0"/>
              <w:spacing w:line="240" w:lineRule="auto"/>
              <w:jc w:val="left"/>
              <w:textAlignment w:val="baseline"/>
              <w:rPr>
                <w:rFonts w:asciiTheme="majorBidi" w:hAnsiTheme="majorBidi" w:cstheme="majorBidi"/>
                <w:rtl/>
              </w:rPr>
            </w:pPr>
          </w:p>
        </w:tc>
        <w:tc>
          <w:tcPr>
            <w:tcW w:w="7656" w:type="dxa"/>
          </w:tcPr>
          <w:p w14:paraId="1BF4E89B" w14:textId="77777777" w:rsidR="006739F1" w:rsidRPr="00F24C7B" w:rsidRDefault="006739F1" w:rsidP="00F24C7B">
            <w:pPr>
              <w:tabs>
                <w:tab w:val="clear" w:pos="567"/>
                <w:tab w:val="clear" w:pos="1134"/>
                <w:tab w:val="clear" w:pos="1814"/>
                <w:tab w:val="clear" w:pos="2665"/>
              </w:tabs>
              <w:bidi w:val="0"/>
              <w:ind w:left="3"/>
              <w:rPr>
                <w:rFonts w:asciiTheme="majorBidi" w:eastAsia="Calibri" w:hAnsiTheme="majorBidi" w:cstheme="majorBidi"/>
                <w:b/>
                <w:bCs/>
                <w:rtl/>
              </w:rPr>
            </w:pPr>
            <w:r w:rsidRPr="00F24C7B">
              <w:rPr>
                <w:rFonts w:asciiTheme="majorBidi" w:eastAsia="Calibri" w:hAnsiTheme="majorBidi" w:cstheme="majorBidi"/>
                <w:b/>
                <w:bCs/>
                <w:lang w:val="en"/>
              </w:rPr>
              <w:t xml:space="preserve">Housing loan management fee - </w:t>
            </w:r>
            <w:r w:rsidRPr="00F24C7B">
              <w:rPr>
                <w:rFonts w:asciiTheme="majorBidi" w:eastAsia="Calibri" w:hAnsiTheme="majorBidi" w:cstheme="majorBidi"/>
                <w:lang w:val="en"/>
              </w:rPr>
              <w:t xml:space="preserve">cancellation of the housing loan management fee. The fee was regulated to a maximum of NIS 2 per month per loan (NIS 24 per year), which was charged with the monthly payment of the housing loan. </w:t>
            </w:r>
          </w:p>
        </w:tc>
        <w:tc>
          <w:tcPr>
            <w:tcW w:w="1577" w:type="dxa"/>
          </w:tcPr>
          <w:p w14:paraId="1D8C4872" w14:textId="6D58284D" w:rsidR="006739F1" w:rsidRPr="00F24C7B" w:rsidRDefault="006739F1" w:rsidP="00076B44">
            <w:pPr>
              <w:tabs>
                <w:tab w:val="clear" w:pos="567"/>
                <w:tab w:val="clear" w:pos="1134"/>
                <w:tab w:val="clear" w:pos="1814"/>
                <w:tab w:val="clear" w:pos="2665"/>
              </w:tabs>
              <w:overflowPunct w:val="0"/>
              <w:autoSpaceDE w:val="0"/>
              <w:autoSpaceDN w:val="0"/>
              <w:bidi w:val="0"/>
              <w:adjustRightInd w:val="0"/>
              <w:jc w:val="left"/>
              <w:textAlignment w:val="baseline"/>
              <w:rPr>
                <w:rFonts w:asciiTheme="majorBidi" w:hAnsiTheme="majorBidi" w:cstheme="majorBidi"/>
                <w:rtl/>
              </w:rPr>
            </w:pPr>
            <w:r w:rsidRPr="00F24C7B">
              <w:rPr>
                <w:rFonts w:asciiTheme="majorBidi" w:hAnsiTheme="majorBidi" w:cstheme="majorBidi"/>
                <w:lang w:val="en"/>
              </w:rPr>
              <w:t>Feb. 1</w:t>
            </w:r>
            <w:r w:rsidR="00E64F02">
              <w:rPr>
                <w:rFonts w:asciiTheme="majorBidi" w:hAnsiTheme="majorBidi" w:cstheme="majorBidi"/>
                <w:lang w:val="en"/>
              </w:rPr>
              <w:t>,</w:t>
            </w:r>
            <w:r w:rsidRPr="00F24C7B">
              <w:rPr>
                <w:rFonts w:asciiTheme="majorBidi" w:hAnsiTheme="majorBidi" w:cstheme="majorBidi"/>
                <w:lang w:val="en"/>
              </w:rPr>
              <w:t xml:space="preserve"> 2015</w:t>
            </w:r>
          </w:p>
        </w:tc>
      </w:tr>
      <w:tr w:rsidR="006739F1" w:rsidRPr="00F24C7B" w14:paraId="32BE6FCB" w14:textId="77777777" w:rsidTr="00E64F02">
        <w:trPr>
          <w:trHeight w:val="359"/>
        </w:trPr>
        <w:tc>
          <w:tcPr>
            <w:tcW w:w="733" w:type="dxa"/>
          </w:tcPr>
          <w:p w14:paraId="5D142B77" w14:textId="77777777" w:rsidR="006739F1" w:rsidRPr="00F24C7B" w:rsidRDefault="006739F1" w:rsidP="00F24C7B">
            <w:pPr>
              <w:numPr>
                <w:ilvl w:val="0"/>
                <w:numId w:val="3"/>
              </w:numPr>
              <w:tabs>
                <w:tab w:val="clear" w:pos="567"/>
                <w:tab w:val="clear" w:pos="1134"/>
                <w:tab w:val="clear" w:pos="1814"/>
                <w:tab w:val="clear" w:pos="2665"/>
              </w:tabs>
              <w:overflowPunct w:val="0"/>
              <w:autoSpaceDE w:val="0"/>
              <w:autoSpaceDN w:val="0"/>
              <w:bidi w:val="0"/>
              <w:adjustRightInd w:val="0"/>
              <w:spacing w:line="240" w:lineRule="auto"/>
              <w:jc w:val="left"/>
              <w:textAlignment w:val="baseline"/>
              <w:rPr>
                <w:rFonts w:asciiTheme="majorBidi" w:hAnsiTheme="majorBidi" w:cstheme="majorBidi"/>
                <w:rtl/>
              </w:rPr>
            </w:pPr>
          </w:p>
        </w:tc>
        <w:tc>
          <w:tcPr>
            <w:tcW w:w="7656" w:type="dxa"/>
          </w:tcPr>
          <w:p w14:paraId="69D45303" w14:textId="77777777" w:rsidR="006739F1" w:rsidRPr="00F24C7B" w:rsidRDefault="006739F1" w:rsidP="00F24C7B">
            <w:pPr>
              <w:tabs>
                <w:tab w:val="clear" w:pos="567"/>
                <w:tab w:val="clear" w:pos="1134"/>
                <w:tab w:val="clear" w:pos="1814"/>
                <w:tab w:val="clear" w:pos="2665"/>
              </w:tabs>
              <w:bidi w:val="0"/>
              <w:ind w:left="3"/>
              <w:rPr>
                <w:rFonts w:asciiTheme="majorBidi" w:eastAsia="Calibri" w:hAnsiTheme="majorBidi" w:cstheme="majorBidi"/>
                <w:b/>
                <w:bCs/>
                <w:rtl/>
              </w:rPr>
            </w:pPr>
            <w:r w:rsidRPr="00F24C7B">
              <w:rPr>
                <w:rFonts w:asciiTheme="majorBidi" w:eastAsia="Calibri" w:hAnsiTheme="majorBidi" w:cstheme="majorBidi"/>
                <w:b/>
                <w:bCs/>
                <w:lang w:val="en"/>
              </w:rPr>
              <w:t xml:space="preserve">Transfer fee via the </w:t>
            </w:r>
            <w:proofErr w:type="spellStart"/>
            <w:r w:rsidRPr="00F24C7B">
              <w:rPr>
                <w:rFonts w:asciiTheme="majorBidi" w:eastAsia="Calibri" w:hAnsiTheme="majorBidi" w:cstheme="majorBidi"/>
                <w:b/>
                <w:bCs/>
                <w:lang w:val="en"/>
              </w:rPr>
              <w:t>Zahav</w:t>
            </w:r>
            <w:proofErr w:type="spellEnd"/>
            <w:r w:rsidRPr="00F24C7B">
              <w:rPr>
                <w:rFonts w:asciiTheme="majorBidi" w:eastAsia="Calibri" w:hAnsiTheme="majorBidi" w:cstheme="majorBidi"/>
                <w:b/>
                <w:bCs/>
                <w:lang w:val="en"/>
              </w:rPr>
              <w:t xml:space="preserve"> (RTGS) system - </w:t>
            </w:r>
            <w:r w:rsidRPr="00F24C7B">
              <w:rPr>
                <w:rFonts w:asciiTheme="majorBidi" w:eastAsia="Calibri" w:hAnsiTheme="majorBidi" w:cstheme="majorBidi"/>
                <w:lang w:val="en"/>
              </w:rPr>
              <w:t xml:space="preserve">the fee for transferring money - up to the amount of NIS 1 million - in real time via the </w:t>
            </w:r>
            <w:proofErr w:type="spellStart"/>
            <w:r w:rsidRPr="00F24C7B">
              <w:rPr>
                <w:rFonts w:asciiTheme="majorBidi" w:eastAsia="Calibri" w:hAnsiTheme="majorBidi" w:cstheme="majorBidi"/>
                <w:lang w:val="en"/>
              </w:rPr>
              <w:t>Zahav</w:t>
            </w:r>
            <w:proofErr w:type="spellEnd"/>
            <w:r w:rsidRPr="00F24C7B">
              <w:rPr>
                <w:rFonts w:asciiTheme="majorBidi" w:eastAsia="Calibri" w:hAnsiTheme="majorBidi" w:cstheme="majorBidi"/>
                <w:lang w:val="en"/>
              </w:rPr>
              <w:t xml:space="preserve"> (Real Time Gross Settlement) system will be limited to the cost of one teller-executed transaction. </w:t>
            </w:r>
          </w:p>
        </w:tc>
        <w:tc>
          <w:tcPr>
            <w:tcW w:w="1577" w:type="dxa"/>
          </w:tcPr>
          <w:p w14:paraId="118191AE" w14:textId="242F2188" w:rsidR="006739F1" w:rsidRPr="00F24C7B" w:rsidRDefault="006739F1" w:rsidP="00076B44">
            <w:pPr>
              <w:tabs>
                <w:tab w:val="clear" w:pos="567"/>
                <w:tab w:val="clear" w:pos="1134"/>
                <w:tab w:val="clear" w:pos="1814"/>
                <w:tab w:val="clear" w:pos="2665"/>
              </w:tabs>
              <w:overflowPunct w:val="0"/>
              <w:autoSpaceDE w:val="0"/>
              <w:autoSpaceDN w:val="0"/>
              <w:bidi w:val="0"/>
              <w:adjustRightInd w:val="0"/>
              <w:jc w:val="left"/>
              <w:textAlignment w:val="baseline"/>
              <w:rPr>
                <w:rFonts w:asciiTheme="majorBidi" w:hAnsiTheme="majorBidi" w:cstheme="majorBidi"/>
                <w:rtl/>
              </w:rPr>
            </w:pPr>
            <w:r w:rsidRPr="00F24C7B">
              <w:rPr>
                <w:rFonts w:asciiTheme="majorBidi" w:hAnsiTheme="majorBidi" w:cstheme="majorBidi"/>
                <w:lang w:val="en"/>
              </w:rPr>
              <w:t>Feb. 1</w:t>
            </w:r>
            <w:r w:rsidR="00E64F02">
              <w:rPr>
                <w:rFonts w:asciiTheme="majorBidi" w:hAnsiTheme="majorBidi" w:cstheme="majorBidi"/>
                <w:lang w:val="en"/>
              </w:rPr>
              <w:t>,</w:t>
            </w:r>
            <w:r w:rsidRPr="00F24C7B">
              <w:rPr>
                <w:rFonts w:asciiTheme="majorBidi" w:hAnsiTheme="majorBidi" w:cstheme="majorBidi"/>
                <w:lang w:val="en"/>
              </w:rPr>
              <w:t xml:space="preserve"> 2015</w:t>
            </w:r>
          </w:p>
        </w:tc>
      </w:tr>
      <w:tr w:rsidR="006739F1" w:rsidRPr="00F24C7B" w14:paraId="23B0D233" w14:textId="77777777" w:rsidTr="00E64F02">
        <w:trPr>
          <w:trHeight w:val="359"/>
        </w:trPr>
        <w:tc>
          <w:tcPr>
            <w:tcW w:w="733" w:type="dxa"/>
          </w:tcPr>
          <w:p w14:paraId="4ED37F55" w14:textId="77777777" w:rsidR="006739F1" w:rsidRPr="00F24C7B" w:rsidRDefault="006739F1" w:rsidP="00F24C7B">
            <w:pPr>
              <w:numPr>
                <w:ilvl w:val="0"/>
                <w:numId w:val="3"/>
              </w:numPr>
              <w:tabs>
                <w:tab w:val="clear" w:pos="567"/>
                <w:tab w:val="clear" w:pos="1134"/>
                <w:tab w:val="clear" w:pos="1814"/>
                <w:tab w:val="clear" w:pos="2665"/>
              </w:tabs>
              <w:overflowPunct w:val="0"/>
              <w:autoSpaceDE w:val="0"/>
              <w:autoSpaceDN w:val="0"/>
              <w:bidi w:val="0"/>
              <w:adjustRightInd w:val="0"/>
              <w:spacing w:line="240" w:lineRule="auto"/>
              <w:jc w:val="left"/>
              <w:textAlignment w:val="baseline"/>
              <w:rPr>
                <w:rFonts w:asciiTheme="majorBidi" w:hAnsiTheme="majorBidi" w:cstheme="majorBidi"/>
                <w:rtl/>
              </w:rPr>
            </w:pPr>
          </w:p>
        </w:tc>
        <w:tc>
          <w:tcPr>
            <w:tcW w:w="7656" w:type="dxa"/>
          </w:tcPr>
          <w:p w14:paraId="22C8CFC0" w14:textId="77777777" w:rsidR="006739F1" w:rsidRPr="00F24C7B" w:rsidRDefault="006739F1" w:rsidP="00F24C7B">
            <w:pPr>
              <w:tabs>
                <w:tab w:val="clear" w:pos="567"/>
                <w:tab w:val="clear" w:pos="1134"/>
                <w:tab w:val="clear" w:pos="1814"/>
                <w:tab w:val="clear" w:pos="2665"/>
              </w:tabs>
              <w:bidi w:val="0"/>
              <w:rPr>
                <w:rFonts w:asciiTheme="majorBidi" w:eastAsia="Calibri" w:hAnsiTheme="majorBidi" w:cstheme="majorBidi"/>
                <w:b/>
                <w:bCs/>
                <w:rtl/>
              </w:rPr>
            </w:pPr>
            <w:r w:rsidRPr="00F24C7B">
              <w:rPr>
                <w:rFonts w:asciiTheme="majorBidi" w:eastAsia="Calibri" w:hAnsiTheme="majorBidi" w:cstheme="majorBidi"/>
                <w:b/>
                <w:bCs/>
                <w:lang w:val="en"/>
              </w:rPr>
              <w:t xml:space="preserve">Fee in respect of issuing an ownership confirmation - </w:t>
            </w:r>
            <w:r w:rsidRPr="00F24C7B">
              <w:rPr>
                <w:rFonts w:asciiTheme="majorBidi" w:eastAsia="Calibri" w:hAnsiTheme="majorBidi" w:cstheme="majorBidi"/>
                <w:lang w:val="en"/>
              </w:rPr>
              <w:t xml:space="preserve">a banking corporation will not be permitted to charge a fee in respect of issuing confirmation of ownership of a bank account, except beginning from the second confirmation issued in a calendar year. </w:t>
            </w:r>
          </w:p>
        </w:tc>
        <w:tc>
          <w:tcPr>
            <w:tcW w:w="1577" w:type="dxa"/>
          </w:tcPr>
          <w:p w14:paraId="0CD6B37F" w14:textId="5883396C" w:rsidR="006739F1" w:rsidRPr="00F24C7B" w:rsidRDefault="006739F1" w:rsidP="00076B44">
            <w:pPr>
              <w:tabs>
                <w:tab w:val="clear" w:pos="567"/>
                <w:tab w:val="clear" w:pos="1134"/>
                <w:tab w:val="clear" w:pos="1814"/>
                <w:tab w:val="clear" w:pos="2665"/>
              </w:tabs>
              <w:overflowPunct w:val="0"/>
              <w:autoSpaceDE w:val="0"/>
              <w:autoSpaceDN w:val="0"/>
              <w:bidi w:val="0"/>
              <w:adjustRightInd w:val="0"/>
              <w:jc w:val="left"/>
              <w:textAlignment w:val="baseline"/>
              <w:rPr>
                <w:rFonts w:asciiTheme="majorBidi" w:hAnsiTheme="majorBidi" w:cstheme="majorBidi"/>
                <w:rtl/>
              </w:rPr>
            </w:pPr>
            <w:r w:rsidRPr="00F24C7B">
              <w:rPr>
                <w:rFonts w:asciiTheme="majorBidi" w:hAnsiTheme="majorBidi" w:cstheme="majorBidi"/>
                <w:lang w:val="en"/>
              </w:rPr>
              <w:t>Feb. 1</w:t>
            </w:r>
            <w:r w:rsidR="00E64F02">
              <w:rPr>
                <w:rFonts w:asciiTheme="majorBidi" w:hAnsiTheme="majorBidi" w:cstheme="majorBidi"/>
                <w:lang w:val="en"/>
              </w:rPr>
              <w:t>,</w:t>
            </w:r>
            <w:r w:rsidRPr="00F24C7B">
              <w:rPr>
                <w:rFonts w:asciiTheme="majorBidi" w:hAnsiTheme="majorBidi" w:cstheme="majorBidi"/>
                <w:lang w:val="en"/>
              </w:rPr>
              <w:t xml:space="preserve"> 2015</w:t>
            </w:r>
          </w:p>
        </w:tc>
      </w:tr>
      <w:tr w:rsidR="006739F1" w:rsidRPr="00F24C7B" w14:paraId="1EBF58A1" w14:textId="77777777" w:rsidTr="00E64F02">
        <w:trPr>
          <w:trHeight w:val="359"/>
        </w:trPr>
        <w:tc>
          <w:tcPr>
            <w:tcW w:w="733" w:type="dxa"/>
          </w:tcPr>
          <w:p w14:paraId="517CB7CE" w14:textId="77777777" w:rsidR="006739F1" w:rsidRPr="00F24C7B" w:rsidRDefault="006739F1" w:rsidP="00F24C7B">
            <w:pPr>
              <w:numPr>
                <w:ilvl w:val="0"/>
                <w:numId w:val="3"/>
              </w:numPr>
              <w:tabs>
                <w:tab w:val="clear" w:pos="567"/>
                <w:tab w:val="clear" w:pos="1134"/>
                <w:tab w:val="clear" w:pos="1814"/>
                <w:tab w:val="clear" w:pos="2665"/>
              </w:tabs>
              <w:overflowPunct w:val="0"/>
              <w:autoSpaceDE w:val="0"/>
              <w:autoSpaceDN w:val="0"/>
              <w:bidi w:val="0"/>
              <w:adjustRightInd w:val="0"/>
              <w:spacing w:line="240" w:lineRule="auto"/>
              <w:jc w:val="left"/>
              <w:textAlignment w:val="baseline"/>
              <w:rPr>
                <w:rFonts w:asciiTheme="majorBidi" w:hAnsiTheme="majorBidi" w:cstheme="majorBidi"/>
                <w:rtl/>
              </w:rPr>
            </w:pPr>
          </w:p>
        </w:tc>
        <w:tc>
          <w:tcPr>
            <w:tcW w:w="7656" w:type="dxa"/>
          </w:tcPr>
          <w:p w14:paraId="38A44C67" w14:textId="77777777" w:rsidR="006739F1" w:rsidRPr="00F24C7B" w:rsidRDefault="006739F1" w:rsidP="00F24C7B">
            <w:pPr>
              <w:tabs>
                <w:tab w:val="clear" w:pos="567"/>
                <w:tab w:val="clear" w:pos="1134"/>
                <w:tab w:val="clear" w:pos="1814"/>
                <w:tab w:val="clear" w:pos="2665"/>
              </w:tabs>
              <w:bidi w:val="0"/>
              <w:rPr>
                <w:rFonts w:asciiTheme="majorBidi" w:eastAsia="Calibri" w:hAnsiTheme="majorBidi" w:cstheme="majorBidi"/>
                <w:b/>
                <w:bCs/>
                <w:rtl/>
              </w:rPr>
            </w:pPr>
            <w:r w:rsidRPr="00F24C7B">
              <w:rPr>
                <w:rFonts w:asciiTheme="majorBidi" w:eastAsia="Calibri" w:hAnsiTheme="majorBidi" w:cstheme="majorBidi"/>
                <w:b/>
                <w:bCs/>
                <w:lang w:val="en"/>
              </w:rPr>
              <w:t xml:space="preserve">Debit transaction using an immediate debit card - </w:t>
            </w:r>
            <w:r w:rsidRPr="00F24C7B">
              <w:rPr>
                <w:rFonts w:asciiTheme="majorBidi" w:eastAsia="Calibri" w:hAnsiTheme="majorBidi" w:cstheme="majorBidi"/>
                <w:lang w:val="en"/>
              </w:rPr>
              <w:t>cancellation of the possibility of charging a customer-executed transaction fee for the service. The goal of the amendment is, among other things, to increase the use of this means of payment as a substitute for the use of cash.</w:t>
            </w:r>
          </w:p>
        </w:tc>
        <w:tc>
          <w:tcPr>
            <w:tcW w:w="1577" w:type="dxa"/>
          </w:tcPr>
          <w:p w14:paraId="1213DAD8" w14:textId="6A82DB69" w:rsidR="006739F1" w:rsidRPr="00F24C7B" w:rsidRDefault="006739F1" w:rsidP="00076B44">
            <w:pPr>
              <w:tabs>
                <w:tab w:val="clear" w:pos="567"/>
                <w:tab w:val="clear" w:pos="1134"/>
                <w:tab w:val="clear" w:pos="1814"/>
                <w:tab w:val="clear" w:pos="2665"/>
              </w:tabs>
              <w:overflowPunct w:val="0"/>
              <w:autoSpaceDE w:val="0"/>
              <w:autoSpaceDN w:val="0"/>
              <w:bidi w:val="0"/>
              <w:adjustRightInd w:val="0"/>
              <w:jc w:val="left"/>
              <w:textAlignment w:val="baseline"/>
              <w:rPr>
                <w:rFonts w:asciiTheme="majorBidi" w:hAnsiTheme="majorBidi" w:cstheme="majorBidi"/>
                <w:rtl/>
              </w:rPr>
            </w:pPr>
            <w:r w:rsidRPr="00F24C7B">
              <w:rPr>
                <w:rFonts w:asciiTheme="majorBidi" w:hAnsiTheme="majorBidi" w:cstheme="majorBidi"/>
                <w:lang w:val="en"/>
              </w:rPr>
              <w:t>Feb. 1</w:t>
            </w:r>
            <w:r w:rsidR="00E64F02">
              <w:rPr>
                <w:rFonts w:asciiTheme="majorBidi" w:hAnsiTheme="majorBidi" w:cstheme="majorBidi"/>
                <w:lang w:val="en"/>
              </w:rPr>
              <w:t>,</w:t>
            </w:r>
            <w:r w:rsidRPr="00F24C7B">
              <w:rPr>
                <w:rFonts w:asciiTheme="majorBidi" w:hAnsiTheme="majorBidi" w:cstheme="majorBidi"/>
                <w:lang w:val="en"/>
              </w:rPr>
              <w:t xml:space="preserve"> 2015</w:t>
            </w:r>
          </w:p>
        </w:tc>
      </w:tr>
      <w:tr w:rsidR="006739F1" w:rsidRPr="00F24C7B" w14:paraId="7B79571C" w14:textId="77777777" w:rsidTr="00E64F02">
        <w:trPr>
          <w:trHeight w:val="359"/>
        </w:trPr>
        <w:tc>
          <w:tcPr>
            <w:tcW w:w="733" w:type="dxa"/>
          </w:tcPr>
          <w:p w14:paraId="2DB7C8E5" w14:textId="77777777" w:rsidR="006739F1" w:rsidRPr="00F24C7B" w:rsidRDefault="006739F1" w:rsidP="00F24C7B">
            <w:pPr>
              <w:numPr>
                <w:ilvl w:val="0"/>
                <w:numId w:val="3"/>
              </w:numPr>
              <w:tabs>
                <w:tab w:val="clear" w:pos="567"/>
                <w:tab w:val="clear" w:pos="1134"/>
                <w:tab w:val="clear" w:pos="1814"/>
                <w:tab w:val="clear" w:pos="2665"/>
              </w:tabs>
              <w:overflowPunct w:val="0"/>
              <w:autoSpaceDE w:val="0"/>
              <w:autoSpaceDN w:val="0"/>
              <w:bidi w:val="0"/>
              <w:adjustRightInd w:val="0"/>
              <w:spacing w:line="240" w:lineRule="auto"/>
              <w:jc w:val="left"/>
              <w:textAlignment w:val="baseline"/>
              <w:rPr>
                <w:rFonts w:asciiTheme="majorBidi" w:hAnsiTheme="majorBidi" w:cstheme="majorBidi"/>
                <w:rtl/>
              </w:rPr>
            </w:pPr>
          </w:p>
        </w:tc>
        <w:tc>
          <w:tcPr>
            <w:tcW w:w="7656" w:type="dxa"/>
          </w:tcPr>
          <w:p w14:paraId="7EA2B9B3" w14:textId="77777777" w:rsidR="006739F1" w:rsidRPr="00F24C7B" w:rsidRDefault="006739F1" w:rsidP="00F24C7B">
            <w:pPr>
              <w:tabs>
                <w:tab w:val="clear" w:pos="567"/>
                <w:tab w:val="clear" w:pos="1134"/>
                <w:tab w:val="clear" w:pos="1814"/>
                <w:tab w:val="clear" w:pos="2665"/>
              </w:tabs>
              <w:bidi w:val="0"/>
              <w:rPr>
                <w:rFonts w:asciiTheme="majorBidi" w:hAnsiTheme="majorBidi" w:cstheme="majorBidi"/>
                <w:rtl/>
              </w:rPr>
            </w:pPr>
            <w:r w:rsidRPr="00F24C7B">
              <w:rPr>
                <w:rFonts w:asciiTheme="majorBidi" w:hAnsiTheme="majorBidi" w:cstheme="majorBidi"/>
                <w:b/>
                <w:bCs/>
                <w:lang w:val="en"/>
              </w:rPr>
              <w:t xml:space="preserve">Cancelling the fee for deferred debit payments - </w:t>
            </w:r>
            <w:r w:rsidRPr="00F24C7B">
              <w:rPr>
                <w:rFonts w:asciiTheme="majorBidi" w:hAnsiTheme="majorBidi" w:cstheme="majorBidi"/>
                <w:lang w:val="en"/>
              </w:rPr>
              <w:t>in respect of installments on a debit card (which had been charged in respect of each installment of the payment transaction).</w:t>
            </w:r>
          </w:p>
        </w:tc>
        <w:tc>
          <w:tcPr>
            <w:tcW w:w="1577" w:type="dxa"/>
          </w:tcPr>
          <w:p w14:paraId="43BB174A" w14:textId="61EE6E4F" w:rsidR="006739F1" w:rsidRPr="00F24C7B" w:rsidRDefault="006739F1" w:rsidP="00076B44">
            <w:pPr>
              <w:tabs>
                <w:tab w:val="clear" w:pos="567"/>
                <w:tab w:val="clear" w:pos="1134"/>
                <w:tab w:val="clear" w:pos="1814"/>
                <w:tab w:val="clear" w:pos="2665"/>
              </w:tabs>
              <w:overflowPunct w:val="0"/>
              <w:autoSpaceDE w:val="0"/>
              <w:autoSpaceDN w:val="0"/>
              <w:bidi w:val="0"/>
              <w:adjustRightInd w:val="0"/>
              <w:jc w:val="left"/>
              <w:textAlignment w:val="baseline"/>
              <w:rPr>
                <w:rFonts w:asciiTheme="majorBidi" w:hAnsiTheme="majorBidi" w:cstheme="majorBidi"/>
                <w:rtl/>
              </w:rPr>
            </w:pPr>
            <w:r w:rsidRPr="00F24C7B">
              <w:rPr>
                <w:rFonts w:asciiTheme="majorBidi" w:hAnsiTheme="majorBidi" w:cstheme="majorBidi"/>
                <w:lang w:val="en"/>
              </w:rPr>
              <w:t>Feb. 1</w:t>
            </w:r>
            <w:r w:rsidR="00E64F02">
              <w:rPr>
                <w:rFonts w:asciiTheme="majorBidi" w:hAnsiTheme="majorBidi" w:cstheme="majorBidi"/>
                <w:lang w:val="en"/>
              </w:rPr>
              <w:t>,</w:t>
            </w:r>
            <w:r w:rsidRPr="00F24C7B">
              <w:rPr>
                <w:rFonts w:asciiTheme="majorBidi" w:hAnsiTheme="majorBidi" w:cstheme="majorBidi"/>
                <w:lang w:val="en"/>
              </w:rPr>
              <w:t xml:space="preserve"> 2015</w:t>
            </w:r>
          </w:p>
        </w:tc>
      </w:tr>
      <w:tr w:rsidR="006739F1" w:rsidRPr="00F24C7B" w14:paraId="3382238C" w14:textId="77777777" w:rsidTr="00E64F02">
        <w:trPr>
          <w:trHeight w:val="359"/>
        </w:trPr>
        <w:tc>
          <w:tcPr>
            <w:tcW w:w="733" w:type="dxa"/>
          </w:tcPr>
          <w:p w14:paraId="790FB638" w14:textId="77777777" w:rsidR="006739F1" w:rsidRPr="00F24C7B" w:rsidRDefault="006739F1" w:rsidP="00F24C7B">
            <w:pPr>
              <w:numPr>
                <w:ilvl w:val="0"/>
                <w:numId w:val="3"/>
              </w:numPr>
              <w:tabs>
                <w:tab w:val="clear" w:pos="567"/>
                <w:tab w:val="clear" w:pos="1134"/>
                <w:tab w:val="clear" w:pos="1814"/>
                <w:tab w:val="clear" w:pos="2665"/>
              </w:tabs>
              <w:overflowPunct w:val="0"/>
              <w:autoSpaceDE w:val="0"/>
              <w:autoSpaceDN w:val="0"/>
              <w:bidi w:val="0"/>
              <w:adjustRightInd w:val="0"/>
              <w:spacing w:line="240" w:lineRule="auto"/>
              <w:jc w:val="left"/>
              <w:textAlignment w:val="baseline"/>
              <w:rPr>
                <w:rFonts w:asciiTheme="majorBidi" w:hAnsiTheme="majorBidi" w:cstheme="majorBidi"/>
                <w:rtl/>
              </w:rPr>
            </w:pPr>
          </w:p>
        </w:tc>
        <w:tc>
          <w:tcPr>
            <w:tcW w:w="7656" w:type="dxa"/>
          </w:tcPr>
          <w:p w14:paraId="6ACE75A8" w14:textId="77777777" w:rsidR="006739F1" w:rsidRPr="00F24C7B" w:rsidRDefault="006739F1" w:rsidP="00F24C7B">
            <w:pPr>
              <w:tabs>
                <w:tab w:val="clear" w:pos="567"/>
                <w:tab w:val="clear" w:pos="1134"/>
                <w:tab w:val="clear" w:pos="1814"/>
                <w:tab w:val="clear" w:pos="2665"/>
                <w:tab w:val="left" w:pos="437"/>
              </w:tabs>
              <w:overflowPunct w:val="0"/>
              <w:autoSpaceDE w:val="0"/>
              <w:autoSpaceDN w:val="0"/>
              <w:bidi w:val="0"/>
              <w:adjustRightInd w:val="0"/>
              <w:textAlignment w:val="baseline"/>
              <w:rPr>
                <w:rFonts w:asciiTheme="majorBidi" w:hAnsiTheme="majorBidi" w:cstheme="majorBidi"/>
                <w:rtl/>
              </w:rPr>
            </w:pPr>
            <w:r w:rsidRPr="00F24C7B">
              <w:rPr>
                <w:rFonts w:asciiTheme="majorBidi" w:hAnsiTheme="majorBidi" w:cstheme="majorBidi"/>
                <w:b/>
                <w:bCs/>
                <w:lang w:val="en"/>
              </w:rPr>
              <w:t xml:space="preserve">Tracks service - </w:t>
            </w:r>
            <w:r w:rsidRPr="00F24C7B">
              <w:rPr>
                <w:rFonts w:asciiTheme="majorBidi" w:hAnsiTheme="majorBidi" w:cstheme="majorBidi"/>
                <w:lang w:val="en"/>
              </w:rPr>
              <w:t>selecting a payment track for managing a current account via a uniform basket of services for managing a current account, out of two options (a basic track and an expanded track) offered by all banks in Israel.</w:t>
            </w:r>
          </w:p>
        </w:tc>
        <w:tc>
          <w:tcPr>
            <w:tcW w:w="1577" w:type="dxa"/>
          </w:tcPr>
          <w:p w14:paraId="0D849CDB" w14:textId="41223790" w:rsidR="006739F1" w:rsidRPr="00F24C7B" w:rsidRDefault="006739F1" w:rsidP="00076B44">
            <w:pPr>
              <w:tabs>
                <w:tab w:val="clear" w:pos="567"/>
                <w:tab w:val="clear" w:pos="1134"/>
                <w:tab w:val="clear" w:pos="1814"/>
                <w:tab w:val="clear" w:pos="2665"/>
              </w:tabs>
              <w:overflowPunct w:val="0"/>
              <w:autoSpaceDE w:val="0"/>
              <w:autoSpaceDN w:val="0"/>
              <w:bidi w:val="0"/>
              <w:adjustRightInd w:val="0"/>
              <w:jc w:val="left"/>
              <w:textAlignment w:val="baseline"/>
              <w:rPr>
                <w:rFonts w:asciiTheme="majorBidi" w:hAnsiTheme="majorBidi" w:cstheme="majorBidi"/>
                <w:rtl/>
              </w:rPr>
            </w:pPr>
            <w:r w:rsidRPr="00F24C7B">
              <w:rPr>
                <w:rFonts w:asciiTheme="majorBidi" w:hAnsiTheme="majorBidi" w:cstheme="majorBidi"/>
                <w:lang w:val="en"/>
              </w:rPr>
              <w:t>Apr. 1</w:t>
            </w:r>
            <w:r w:rsidR="00E64F02">
              <w:rPr>
                <w:rFonts w:asciiTheme="majorBidi" w:hAnsiTheme="majorBidi" w:cstheme="majorBidi"/>
                <w:lang w:val="en"/>
              </w:rPr>
              <w:t>,</w:t>
            </w:r>
            <w:r w:rsidRPr="00F24C7B">
              <w:rPr>
                <w:rFonts w:asciiTheme="majorBidi" w:hAnsiTheme="majorBidi" w:cstheme="majorBidi"/>
                <w:lang w:val="en"/>
              </w:rPr>
              <w:t xml:space="preserve"> 2014</w:t>
            </w:r>
          </w:p>
        </w:tc>
      </w:tr>
      <w:tr w:rsidR="006739F1" w:rsidRPr="00F24C7B" w14:paraId="63E187A0" w14:textId="77777777" w:rsidTr="00E64F02">
        <w:trPr>
          <w:trHeight w:val="359"/>
        </w:trPr>
        <w:tc>
          <w:tcPr>
            <w:tcW w:w="733" w:type="dxa"/>
          </w:tcPr>
          <w:p w14:paraId="229A8F39" w14:textId="77777777" w:rsidR="006739F1" w:rsidRPr="00F24C7B" w:rsidRDefault="006739F1" w:rsidP="00F24C7B">
            <w:pPr>
              <w:numPr>
                <w:ilvl w:val="0"/>
                <w:numId w:val="3"/>
              </w:numPr>
              <w:tabs>
                <w:tab w:val="clear" w:pos="567"/>
                <w:tab w:val="clear" w:pos="1134"/>
                <w:tab w:val="clear" w:pos="1814"/>
                <w:tab w:val="clear" w:pos="2665"/>
              </w:tabs>
              <w:overflowPunct w:val="0"/>
              <w:autoSpaceDE w:val="0"/>
              <w:autoSpaceDN w:val="0"/>
              <w:bidi w:val="0"/>
              <w:adjustRightInd w:val="0"/>
              <w:spacing w:line="240" w:lineRule="auto"/>
              <w:jc w:val="left"/>
              <w:textAlignment w:val="baseline"/>
              <w:rPr>
                <w:rFonts w:asciiTheme="majorBidi" w:hAnsiTheme="majorBidi" w:cstheme="majorBidi"/>
                <w:rtl/>
              </w:rPr>
            </w:pPr>
          </w:p>
        </w:tc>
        <w:tc>
          <w:tcPr>
            <w:tcW w:w="7656" w:type="dxa"/>
          </w:tcPr>
          <w:p w14:paraId="1E753DA0" w14:textId="77777777" w:rsidR="006739F1" w:rsidRPr="00F24C7B" w:rsidRDefault="006739F1" w:rsidP="00F24C7B">
            <w:pPr>
              <w:tabs>
                <w:tab w:val="clear" w:pos="567"/>
                <w:tab w:val="clear" w:pos="1134"/>
                <w:tab w:val="clear" w:pos="1814"/>
                <w:tab w:val="clear" w:pos="2665"/>
                <w:tab w:val="left" w:pos="437"/>
              </w:tabs>
              <w:overflowPunct w:val="0"/>
              <w:autoSpaceDE w:val="0"/>
              <w:autoSpaceDN w:val="0"/>
              <w:bidi w:val="0"/>
              <w:adjustRightInd w:val="0"/>
              <w:textAlignment w:val="baseline"/>
              <w:rPr>
                <w:rFonts w:asciiTheme="majorBidi" w:hAnsiTheme="majorBidi" w:cstheme="majorBidi"/>
                <w:b/>
                <w:bCs/>
                <w:color w:val="C00000"/>
                <w:sz w:val="28"/>
                <w:szCs w:val="28"/>
                <w:rtl/>
              </w:rPr>
            </w:pPr>
            <w:r w:rsidRPr="00F24C7B">
              <w:rPr>
                <w:rFonts w:asciiTheme="majorBidi" w:hAnsiTheme="majorBidi" w:cstheme="majorBidi"/>
                <w:lang w:val="en"/>
              </w:rPr>
              <w:t xml:space="preserve">Requirement to publish a </w:t>
            </w:r>
            <w:r w:rsidRPr="00F24C7B">
              <w:rPr>
                <w:rFonts w:asciiTheme="majorBidi" w:hAnsiTheme="majorBidi" w:cstheme="majorBidi"/>
                <w:b/>
                <w:bCs/>
                <w:lang w:val="en"/>
              </w:rPr>
              <w:t>direct link to fee schedules</w:t>
            </w:r>
            <w:r w:rsidRPr="00F24C7B">
              <w:rPr>
                <w:rFonts w:asciiTheme="majorBidi" w:hAnsiTheme="majorBidi" w:cstheme="majorBidi"/>
                <w:lang w:val="en"/>
              </w:rPr>
              <w:t xml:space="preserve"> on banking corporations’ websites, such that the information is readily available and accessible to customers </w:t>
            </w:r>
          </w:p>
        </w:tc>
        <w:tc>
          <w:tcPr>
            <w:tcW w:w="1577" w:type="dxa"/>
          </w:tcPr>
          <w:p w14:paraId="12C9D448" w14:textId="2A74A811" w:rsidR="006739F1" w:rsidRPr="00F24C7B" w:rsidRDefault="006739F1" w:rsidP="00076B44">
            <w:pPr>
              <w:tabs>
                <w:tab w:val="clear" w:pos="567"/>
                <w:tab w:val="clear" w:pos="1134"/>
                <w:tab w:val="clear" w:pos="1814"/>
                <w:tab w:val="clear" w:pos="2665"/>
              </w:tabs>
              <w:overflowPunct w:val="0"/>
              <w:autoSpaceDE w:val="0"/>
              <w:autoSpaceDN w:val="0"/>
              <w:bidi w:val="0"/>
              <w:adjustRightInd w:val="0"/>
              <w:jc w:val="left"/>
              <w:textAlignment w:val="baseline"/>
              <w:rPr>
                <w:rFonts w:asciiTheme="majorBidi" w:hAnsiTheme="majorBidi" w:cstheme="majorBidi"/>
                <w:rtl/>
              </w:rPr>
            </w:pPr>
            <w:r w:rsidRPr="00F24C7B">
              <w:rPr>
                <w:rFonts w:asciiTheme="majorBidi" w:hAnsiTheme="majorBidi" w:cstheme="majorBidi"/>
                <w:lang w:val="en"/>
              </w:rPr>
              <w:t>Apr. 1</w:t>
            </w:r>
            <w:r w:rsidR="00E64F02">
              <w:rPr>
                <w:rFonts w:asciiTheme="majorBidi" w:hAnsiTheme="majorBidi" w:cstheme="majorBidi"/>
                <w:lang w:val="en"/>
              </w:rPr>
              <w:t>,</w:t>
            </w:r>
            <w:r w:rsidRPr="00F24C7B">
              <w:rPr>
                <w:rFonts w:asciiTheme="majorBidi" w:hAnsiTheme="majorBidi" w:cstheme="majorBidi"/>
                <w:lang w:val="en"/>
              </w:rPr>
              <w:t xml:space="preserve"> 2014</w:t>
            </w:r>
          </w:p>
        </w:tc>
      </w:tr>
      <w:tr w:rsidR="006739F1" w:rsidRPr="00F24C7B" w14:paraId="2E1A9F7A" w14:textId="77777777" w:rsidTr="00E64F02">
        <w:trPr>
          <w:trHeight w:val="359"/>
        </w:trPr>
        <w:tc>
          <w:tcPr>
            <w:tcW w:w="733" w:type="dxa"/>
          </w:tcPr>
          <w:p w14:paraId="5E1CEB2D" w14:textId="77777777" w:rsidR="006739F1" w:rsidRPr="00F24C7B" w:rsidRDefault="006739F1" w:rsidP="00F24C7B">
            <w:pPr>
              <w:numPr>
                <w:ilvl w:val="0"/>
                <w:numId w:val="3"/>
              </w:numPr>
              <w:tabs>
                <w:tab w:val="clear" w:pos="567"/>
                <w:tab w:val="clear" w:pos="1134"/>
                <w:tab w:val="clear" w:pos="1814"/>
                <w:tab w:val="clear" w:pos="2665"/>
              </w:tabs>
              <w:overflowPunct w:val="0"/>
              <w:autoSpaceDE w:val="0"/>
              <w:autoSpaceDN w:val="0"/>
              <w:bidi w:val="0"/>
              <w:adjustRightInd w:val="0"/>
              <w:spacing w:line="240" w:lineRule="auto"/>
              <w:jc w:val="left"/>
              <w:textAlignment w:val="baseline"/>
              <w:rPr>
                <w:rFonts w:asciiTheme="majorBidi" w:hAnsiTheme="majorBidi" w:cstheme="majorBidi"/>
                <w:rtl/>
              </w:rPr>
            </w:pPr>
          </w:p>
        </w:tc>
        <w:tc>
          <w:tcPr>
            <w:tcW w:w="7656" w:type="dxa"/>
          </w:tcPr>
          <w:p w14:paraId="16770653" w14:textId="77777777" w:rsidR="006739F1" w:rsidRPr="00F24C7B" w:rsidRDefault="006739F1" w:rsidP="00F24C7B">
            <w:pPr>
              <w:tabs>
                <w:tab w:val="clear" w:pos="567"/>
                <w:tab w:val="clear" w:pos="1134"/>
                <w:tab w:val="clear" w:pos="1814"/>
                <w:tab w:val="clear" w:pos="2665"/>
                <w:tab w:val="left" w:pos="437"/>
              </w:tabs>
              <w:overflowPunct w:val="0"/>
              <w:autoSpaceDE w:val="0"/>
              <w:autoSpaceDN w:val="0"/>
              <w:bidi w:val="0"/>
              <w:adjustRightInd w:val="0"/>
              <w:textAlignment w:val="baseline"/>
              <w:rPr>
                <w:rFonts w:asciiTheme="majorBidi" w:hAnsiTheme="majorBidi" w:cstheme="majorBidi"/>
                <w:rtl/>
              </w:rPr>
            </w:pPr>
            <w:r w:rsidRPr="00F24C7B">
              <w:rPr>
                <w:rFonts w:asciiTheme="majorBidi" w:hAnsiTheme="majorBidi" w:cstheme="majorBidi"/>
                <w:lang w:val="en"/>
              </w:rPr>
              <w:t xml:space="preserve">Changing the </w:t>
            </w:r>
            <w:r w:rsidRPr="00F24C7B">
              <w:rPr>
                <w:rFonts w:asciiTheme="majorBidi" w:hAnsiTheme="majorBidi" w:cstheme="majorBidi"/>
                <w:b/>
                <w:bCs/>
                <w:lang w:val="en"/>
              </w:rPr>
              <w:t xml:space="preserve">definition of a “small business” - </w:t>
            </w:r>
            <w:r w:rsidRPr="00F24C7B">
              <w:rPr>
                <w:rFonts w:asciiTheme="majorBidi" w:hAnsiTheme="majorBidi" w:cstheme="majorBidi"/>
                <w:lang w:val="en"/>
              </w:rPr>
              <w:t>the change enables more small businesses to be included in the reduced retail fee schedule.</w:t>
            </w:r>
          </w:p>
        </w:tc>
        <w:tc>
          <w:tcPr>
            <w:tcW w:w="1577" w:type="dxa"/>
          </w:tcPr>
          <w:p w14:paraId="6F3A63FC" w14:textId="41B6AA90" w:rsidR="006739F1" w:rsidRPr="00F24C7B" w:rsidRDefault="00E64F02" w:rsidP="00076B44">
            <w:pPr>
              <w:tabs>
                <w:tab w:val="clear" w:pos="567"/>
                <w:tab w:val="clear" w:pos="1134"/>
                <w:tab w:val="clear" w:pos="1814"/>
                <w:tab w:val="clear" w:pos="2665"/>
              </w:tabs>
              <w:overflowPunct w:val="0"/>
              <w:autoSpaceDE w:val="0"/>
              <w:autoSpaceDN w:val="0"/>
              <w:bidi w:val="0"/>
              <w:adjustRightInd w:val="0"/>
              <w:jc w:val="left"/>
              <w:textAlignment w:val="baseline"/>
              <w:rPr>
                <w:rFonts w:asciiTheme="majorBidi" w:hAnsiTheme="majorBidi" w:cstheme="majorBidi"/>
                <w:rtl/>
              </w:rPr>
            </w:pPr>
            <w:r>
              <w:rPr>
                <w:rFonts w:asciiTheme="majorBidi" w:hAnsiTheme="majorBidi" w:cstheme="majorBidi"/>
                <w:lang w:val="en"/>
              </w:rPr>
              <w:t xml:space="preserve">Aug. 1, </w:t>
            </w:r>
            <w:r w:rsidR="006739F1" w:rsidRPr="00F24C7B">
              <w:rPr>
                <w:rFonts w:asciiTheme="majorBidi" w:hAnsiTheme="majorBidi" w:cstheme="majorBidi"/>
                <w:lang w:val="en"/>
              </w:rPr>
              <w:t>2013</w:t>
            </w:r>
          </w:p>
        </w:tc>
      </w:tr>
      <w:tr w:rsidR="006739F1" w:rsidRPr="00F24C7B" w14:paraId="53E41B56" w14:textId="77777777" w:rsidTr="00E64F02">
        <w:trPr>
          <w:trHeight w:val="359"/>
        </w:trPr>
        <w:tc>
          <w:tcPr>
            <w:tcW w:w="733" w:type="dxa"/>
          </w:tcPr>
          <w:p w14:paraId="4E64D892" w14:textId="77777777" w:rsidR="006739F1" w:rsidRPr="00F24C7B" w:rsidRDefault="006739F1" w:rsidP="00F24C7B">
            <w:pPr>
              <w:numPr>
                <w:ilvl w:val="0"/>
                <w:numId w:val="3"/>
              </w:numPr>
              <w:tabs>
                <w:tab w:val="clear" w:pos="567"/>
                <w:tab w:val="clear" w:pos="1134"/>
                <w:tab w:val="clear" w:pos="1814"/>
                <w:tab w:val="clear" w:pos="2665"/>
              </w:tabs>
              <w:overflowPunct w:val="0"/>
              <w:autoSpaceDE w:val="0"/>
              <w:autoSpaceDN w:val="0"/>
              <w:bidi w:val="0"/>
              <w:adjustRightInd w:val="0"/>
              <w:spacing w:line="240" w:lineRule="auto"/>
              <w:jc w:val="left"/>
              <w:textAlignment w:val="baseline"/>
              <w:rPr>
                <w:rFonts w:asciiTheme="majorBidi" w:hAnsiTheme="majorBidi" w:cstheme="majorBidi"/>
                <w:rtl/>
              </w:rPr>
            </w:pPr>
          </w:p>
        </w:tc>
        <w:tc>
          <w:tcPr>
            <w:tcW w:w="7656" w:type="dxa"/>
          </w:tcPr>
          <w:p w14:paraId="0DD53D4C" w14:textId="77777777" w:rsidR="006739F1" w:rsidRPr="00F24C7B" w:rsidRDefault="006739F1" w:rsidP="00F24C7B">
            <w:pPr>
              <w:tabs>
                <w:tab w:val="clear" w:pos="567"/>
                <w:tab w:val="clear" w:pos="1134"/>
                <w:tab w:val="clear" w:pos="1814"/>
                <w:tab w:val="clear" w:pos="2665"/>
                <w:tab w:val="left" w:pos="437"/>
              </w:tabs>
              <w:overflowPunct w:val="0"/>
              <w:autoSpaceDE w:val="0"/>
              <w:autoSpaceDN w:val="0"/>
              <w:bidi w:val="0"/>
              <w:adjustRightInd w:val="0"/>
              <w:textAlignment w:val="baseline"/>
              <w:rPr>
                <w:rFonts w:asciiTheme="majorBidi" w:hAnsiTheme="majorBidi" w:cstheme="majorBidi"/>
                <w:rtl/>
              </w:rPr>
            </w:pPr>
            <w:r w:rsidRPr="00F24C7B">
              <w:rPr>
                <w:rFonts w:asciiTheme="majorBidi" w:hAnsiTheme="majorBidi" w:cstheme="majorBidi"/>
                <w:lang w:val="en"/>
              </w:rPr>
              <w:t xml:space="preserve">Establishing that the supervised price of transferring a securities deposit from one bank to another applies as well to </w:t>
            </w:r>
            <w:r w:rsidRPr="00F24C7B">
              <w:rPr>
                <w:rFonts w:asciiTheme="majorBidi" w:hAnsiTheme="majorBidi" w:cstheme="majorBidi"/>
                <w:b/>
                <w:bCs/>
                <w:lang w:val="en"/>
              </w:rPr>
              <w:t>transferring a securities deposit outside the banking system.</w:t>
            </w:r>
          </w:p>
        </w:tc>
        <w:tc>
          <w:tcPr>
            <w:tcW w:w="1577" w:type="dxa"/>
          </w:tcPr>
          <w:p w14:paraId="489D416F" w14:textId="3856DA4C" w:rsidR="006739F1" w:rsidRPr="00F24C7B" w:rsidRDefault="006739F1" w:rsidP="00076B44">
            <w:pPr>
              <w:tabs>
                <w:tab w:val="clear" w:pos="567"/>
                <w:tab w:val="clear" w:pos="1134"/>
                <w:tab w:val="clear" w:pos="1814"/>
                <w:tab w:val="clear" w:pos="2665"/>
              </w:tabs>
              <w:overflowPunct w:val="0"/>
              <w:autoSpaceDE w:val="0"/>
              <w:autoSpaceDN w:val="0"/>
              <w:bidi w:val="0"/>
              <w:adjustRightInd w:val="0"/>
              <w:jc w:val="left"/>
              <w:textAlignment w:val="baseline"/>
              <w:rPr>
                <w:rFonts w:asciiTheme="majorBidi" w:hAnsiTheme="majorBidi" w:cstheme="majorBidi"/>
                <w:rtl/>
              </w:rPr>
            </w:pPr>
            <w:r w:rsidRPr="00F24C7B">
              <w:rPr>
                <w:rFonts w:asciiTheme="majorBidi" w:hAnsiTheme="majorBidi" w:cstheme="majorBidi"/>
                <w:lang w:val="en"/>
              </w:rPr>
              <w:t>Jan. 1</w:t>
            </w:r>
            <w:r w:rsidR="00E64F02">
              <w:rPr>
                <w:rFonts w:asciiTheme="majorBidi" w:hAnsiTheme="majorBidi" w:cstheme="majorBidi"/>
                <w:lang w:val="en"/>
              </w:rPr>
              <w:t>,</w:t>
            </w:r>
            <w:r w:rsidRPr="00F24C7B">
              <w:rPr>
                <w:rFonts w:asciiTheme="majorBidi" w:hAnsiTheme="majorBidi" w:cstheme="majorBidi"/>
                <w:lang w:val="en"/>
              </w:rPr>
              <w:t xml:space="preserve"> 2013</w:t>
            </w:r>
          </w:p>
        </w:tc>
      </w:tr>
      <w:tr w:rsidR="006739F1" w:rsidRPr="00F24C7B" w14:paraId="4E2AE56E" w14:textId="77777777" w:rsidTr="00E64F02">
        <w:trPr>
          <w:trHeight w:val="359"/>
        </w:trPr>
        <w:tc>
          <w:tcPr>
            <w:tcW w:w="733" w:type="dxa"/>
          </w:tcPr>
          <w:p w14:paraId="70F98E2D" w14:textId="77777777" w:rsidR="006739F1" w:rsidRPr="00F24C7B" w:rsidRDefault="006739F1" w:rsidP="00F24C7B">
            <w:pPr>
              <w:numPr>
                <w:ilvl w:val="0"/>
                <w:numId w:val="3"/>
              </w:numPr>
              <w:tabs>
                <w:tab w:val="clear" w:pos="567"/>
                <w:tab w:val="clear" w:pos="1134"/>
                <w:tab w:val="clear" w:pos="1814"/>
                <w:tab w:val="clear" w:pos="2665"/>
              </w:tabs>
              <w:overflowPunct w:val="0"/>
              <w:autoSpaceDE w:val="0"/>
              <w:autoSpaceDN w:val="0"/>
              <w:bidi w:val="0"/>
              <w:adjustRightInd w:val="0"/>
              <w:spacing w:line="240" w:lineRule="auto"/>
              <w:jc w:val="left"/>
              <w:textAlignment w:val="baseline"/>
              <w:rPr>
                <w:rFonts w:asciiTheme="majorBidi" w:hAnsiTheme="majorBidi" w:cstheme="majorBidi"/>
                <w:rtl/>
              </w:rPr>
            </w:pPr>
          </w:p>
        </w:tc>
        <w:tc>
          <w:tcPr>
            <w:tcW w:w="7656" w:type="dxa"/>
          </w:tcPr>
          <w:p w14:paraId="30D04FAE" w14:textId="77777777" w:rsidR="006739F1" w:rsidRPr="00F24C7B" w:rsidRDefault="006739F1" w:rsidP="00F24C7B">
            <w:pPr>
              <w:tabs>
                <w:tab w:val="clear" w:pos="567"/>
                <w:tab w:val="clear" w:pos="1134"/>
                <w:tab w:val="clear" w:pos="1814"/>
                <w:tab w:val="clear" w:pos="2665"/>
                <w:tab w:val="left" w:pos="437"/>
              </w:tabs>
              <w:overflowPunct w:val="0"/>
              <w:autoSpaceDE w:val="0"/>
              <w:autoSpaceDN w:val="0"/>
              <w:bidi w:val="0"/>
              <w:adjustRightInd w:val="0"/>
              <w:textAlignment w:val="baseline"/>
              <w:rPr>
                <w:rFonts w:asciiTheme="majorBidi" w:hAnsiTheme="majorBidi" w:cstheme="majorBidi"/>
                <w:rtl/>
              </w:rPr>
            </w:pPr>
            <w:r w:rsidRPr="00F24C7B">
              <w:rPr>
                <w:rFonts w:asciiTheme="majorBidi" w:hAnsiTheme="majorBidi" w:cstheme="majorBidi"/>
                <w:lang w:val="en"/>
              </w:rPr>
              <w:t xml:space="preserve">Signing into law the Banking Supervision Department’s guidance whereby a lower fee is to be charged for </w:t>
            </w:r>
            <w:r w:rsidRPr="00F24C7B">
              <w:rPr>
                <w:rFonts w:asciiTheme="majorBidi" w:hAnsiTheme="majorBidi" w:cstheme="majorBidi"/>
                <w:b/>
                <w:bCs/>
                <w:lang w:val="en"/>
              </w:rPr>
              <w:t>collateral secured by a monetary deposit</w:t>
            </w:r>
          </w:p>
        </w:tc>
        <w:tc>
          <w:tcPr>
            <w:tcW w:w="1577" w:type="dxa"/>
          </w:tcPr>
          <w:p w14:paraId="428D9F73" w14:textId="54142EA5" w:rsidR="006739F1" w:rsidRPr="00F24C7B" w:rsidRDefault="006739F1" w:rsidP="00076B44">
            <w:pPr>
              <w:tabs>
                <w:tab w:val="clear" w:pos="567"/>
                <w:tab w:val="clear" w:pos="1134"/>
                <w:tab w:val="clear" w:pos="1814"/>
                <w:tab w:val="clear" w:pos="2665"/>
              </w:tabs>
              <w:overflowPunct w:val="0"/>
              <w:autoSpaceDE w:val="0"/>
              <w:autoSpaceDN w:val="0"/>
              <w:bidi w:val="0"/>
              <w:adjustRightInd w:val="0"/>
              <w:jc w:val="left"/>
              <w:textAlignment w:val="baseline"/>
              <w:rPr>
                <w:rFonts w:asciiTheme="majorBidi" w:hAnsiTheme="majorBidi" w:cstheme="majorBidi"/>
                <w:rtl/>
              </w:rPr>
            </w:pPr>
            <w:r w:rsidRPr="00F24C7B">
              <w:rPr>
                <w:rFonts w:asciiTheme="majorBidi" w:hAnsiTheme="majorBidi" w:cstheme="majorBidi"/>
                <w:lang w:val="en"/>
              </w:rPr>
              <w:t>Jan. 1</w:t>
            </w:r>
            <w:r w:rsidR="00E64F02">
              <w:rPr>
                <w:rFonts w:asciiTheme="majorBidi" w:hAnsiTheme="majorBidi" w:cstheme="majorBidi"/>
                <w:lang w:val="en"/>
              </w:rPr>
              <w:t>,</w:t>
            </w:r>
            <w:r w:rsidRPr="00F24C7B">
              <w:rPr>
                <w:rFonts w:asciiTheme="majorBidi" w:hAnsiTheme="majorBidi" w:cstheme="majorBidi"/>
                <w:lang w:val="en"/>
              </w:rPr>
              <w:t xml:space="preserve"> 2013</w:t>
            </w:r>
          </w:p>
        </w:tc>
      </w:tr>
      <w:tr w:rsidR="006739F1" w:rsidRPr="00F24C7B" w14:paraId="4EA695CA" w14:textId="77777777" w:rsidTr="00E64F02">
        <w:trPr>
          <w:trHeight w:val="359"/>
        </w:trPr>
        <w:tc>
          <w:tcPr>
            <w:tcW w:w="733" w:type="dxa"/>
          </w:tcPr>
          <w:p w14:paraId="5EB080F4" w14:textId="77777777" w:rsidR="006739F1" w:rsidRPr="00F24C7B" w:rsidRDefault="006739F1" w:rsidP="00F24C7B">
            <w:pPr>
              <w:numPr>
                <w:ilvl w:val="0"/>
                <w:numId w:val="3"/>
              </w:numPr>
              <w:tabs>
                <w:tab w:val="clear" w:pos="567"/>
                <w:tab w:val="clear" w:pos="1134"/>
                <w:tab w:val="clear" w:pos="1814"/>
                <w:tab w:val="clear" w:pos="2665"/>
              </w:tabs>
              <w:overflowPunct w:val="0"/>
              <w:autoSpaceDE w:val="0"/>
              <w:autoSpaceDN w:val="0"/>
              <w:bidi w:val="0"/>
              <w:adjustRightInd w:val="0"/>
              <w:spacing w:line="240" w:lineRule="auto"/>
              <w:jc w:val="left"/>
              <w:textAlignment w:val="baseline"/>
              <w:rPr>
                <w:rFonts w:asciiTheme="majorBidi" w:hAnsiTheme="majorBidi" w:cstheme="majorBidi"/>
                <w:rtl/>
              </w:rPr>
            </w:pPr>
          </w:p>
        </w:tc>
        <w:tc>
          <w:tcPr>
            <w:tcW w:w="7656" w:type="dxa"/>
          </w:tcPr>
          <w:p w14:paraId="3450023C" w14:textId="77777777" w:rsidR="006739F1" w:rsidRPr="00F24C7B" w:rsidRDefault="006739F1" w:rsidP="00F24C7B">
            <w:pPr>
              <w:tabs>
                <w:tab w:val="clear" w:pos="567"/>
                <w:tab w:val="clear" w:pos="1134"/>
                <w:tab w:val="clear" w:pos="1814"/>
                <w:tab w:val="clear" w:pos="2665"/>
                <w:tab w:val="left" w:pos="437"/>
              </w:tabs>
              <w:overflowPunct w:val="0"/>
              <w:autoSpaceDE w:val="0"/>
              <w:autoSpaceDN w:val="0"/>
              <w:bidi w:val="0"/>
              <w:adjustRightInd w:val="0"/>
              <w:textAlignment w:val="baseline"/>
              <w:rPr>
                <w:rFonts w:asciiTheme="majorBidi" w:hAnsiTheme="majorBidi" w:cstheme="majorBidi"/>
                <w:rtl/>
              </w:rPr>
            </w:pPr>
            <w:r w:rsidRPr="00F24C7B">
              <w:rPr>
                <w:rFonts w:asciiTheme="majorBidi" w:hAnsiTheme="majorBidi" w:cstheme="majorBidi"/>
                <w:lang w:val="en"/>
              </w:rPr>
              <w:t xml:space="preserve">Requirement to set a </w:t>
            </w:r>
            <w:r w:rsidRPr="00F24C7B">
              <w:rPr>
                <w:rFonts w:asciiTheme="majorBidi" w:hAnsiTheme="majorBidi" w:cstheme="majorBidi"/>
                <w:b/>
                <w:bCs/>
                <w:lang w:val="en"/>
              </w:rPr>
              <w:t>maximum amount of a fee to buy/sell</w:t>
            </w:r>
            <w:r w:rsidRPr="00F24C7B">
              <w:rPr>
                <w:rFonts w:asciiTheme="majorBidi" w:hAnsiTheme="majorBidi" w:cstheme="majorBidi"/>
                <w:lang w:val="en"/>
              </w:rPr>
              <w:t xml:space="preserve"> Israeli securities</w:t>
            </w:r>
          </w:p>
        </w:tc>
        <w:tc>
          <w:tcPr>
            <w:tcW w:w="1577" w:type="dxa"/>
          </w:tcPr>
          <w:p w14:paraId="7C72795B" w14:textId="6DE9901C" w:rsidR="006739F1" w:rsidRPr="00F24C7B" w:rsidRDefault="006739F1" w:rsidP="00076B44">
            <w:pPr>
              <w:tabs>
                <w:tab w:val="clear" w:pos="567"/>
                <w:tab w:val="clear" w:pos="1134"/>
                <w:tab w:val="clear" w:pos="1814"/>
                <w:tab w:val="clear" w:pos="2665"/>
              </w:tabs>
              <w:overflowPunct w:val="0"/>
              <w:autoSpaceDE w:val="0"/>
              <w:autoSpaceDN w:val="0"/>
              <w:bidi w:val="0"/>
              <w:adjustRightInd w:val="0"/>
              <w:jc w:val="left"/>
              <w:textAlignment w:val="baseline"/>
              <w:rPr>
                <w:rFonts w:asciiTheme="majorBidi" w:hAnsiTheme="majorBidi" w:cstheme="majorBidi"/>
                <w:rtl/>
              </w:rPr>
            </w:pPr>
            <w:r w:rsidRPr="00F24C7B">
              <w:rPr>
                <w:rFonts w:asciiTheme="majorBidi" w:hAnsiTheme="majorBidi" w:cstheme="majorBidi"/>
                <w:lang w:val="en"/>
              </w:rPr>
              <w:t>Jan. 1</w:t>
            </w:r>
            <w:r w:rsidR="00E64F02">
              <w:rPr>
                <w:rFonts w:asciiTheme="majorBidi" w:hAnsiTheme="majorBidi" w:cstheme="majorBidi"/>
                <w:lang w:val="en"/>
              </w:rPr>
              <w:t>,</w:t>
            </w:r>
            <w:r w:rsidRPr="00F24C7B">
              <w:rPr>
                <w:rFonts w:asciiTheme="majorBidi" w:hAnsiTheme="majorBidi" w:cstheme="majorBidi"/>
                <w:lang w:val="en"/>
              </w:rPr>
              <w:t xml:space="preserve"> 2013</w:t>
            </w:r>
          </w:p>
        </w:tc>
      </w:tr>
      <w:tr w:rsidR="006739F1" w:rsidRPr="00F24C7B" w14:paraId="7B566F9F" w14:textId="77777777" w:rsidTr="00E64F02">
        <w:trPr>
          <w:trHeight w:val="359"/>
        </w:trPr>
        <w:tc>
          <w:tcPr>
            <w:tcW w:w="733" w:type="dxa"/>
          </w:tcPr>
          <w:p w14:paraId="67CD386D" w14:textId="77777777" w:rsidR="006739F1" w:rsidRPr="00F24C7B" w:rsidRDefault="006739F1" w:rsidP="00F24C7B">
            <w:pPr>
              <w:numPr>
                <w:ilvl w:val="0"/>
                <w:numId w:val="3"/>
              </w:numPr>
              <w:tabs>
                <w:tab w:val="clear" w:pos="567"/>
                <w:tab w:val="clear" w:pos="1134"/>
                <w:tab w:val="clear" w:pos="1814"/>
                <w:tab w:val="clear" w:pos="2665"/>
              </w:tabs>
              <w:overflowPunct w:val="0"/>
              <w:autoSpaceDE w:val="0"/>
              <w:autoSpaceDN w:val="0"/>
              <w:bidi w:val="0"/>
              <w:adjustRightInd w:val="0"/>
              <w:spacing w:line="240" w:lineRule="auto"/>
              <w:jc w:val="left"/>
              <w:textAlignment w:val="baseline"/>
              <w:rPr>
                <w:rFonts w:asciiTheme="majorBidi" w:hAnsiTheme="majorBidi" w:cstheme="majorBidi"/>
                <w:rtl/>
              </w:rPr>
            </w:pPr>
          </w:p>
        </w:tc>
        <w:tc>
          <w:tcPr>
            <w:tcW w:w="7656" w:type="dxa"/>
          </w:tcPr>
          <w:p w14:paraId="46FAA9D4" w14:textId="77777777" w:rsidR="006739F1" w:rsidRPr="00F24C7B" w:rsidRDefault="006739F1" w:rsidP="00F24C7B">
            <w:pPr>
              <w:tabs>
                <w:tab w:val="clear" w:pos="567"/>
                <w:tab w:val="clear" w:pos="1134"/>
                <w:tab w:val="clear" w:pos="1814"/>
                <w:tab w:val="clear" w:pos="2665"/>
                <w:tab w:val="left" w:pos="437"/>
              </w:tabs>
              <w:overflowPunct w:val="0"/>
              <w:autoSpaceDE w:val="0"/>
              <w:autoSpaceDN w:val="0"/>
              <w:bidi w:val="0"/>
              <w:adjustRightInd w:val="0"/>
              <w:textAlignment w:val="baseline"/>
              <w:rPr>
                <w:rFonts w:asciiTheme="majorBidi" w:hAnsiTheme="majorBidi" w:cstheme="majorBidi"/>
                <w:rtl/>
              </w:rPr>
            </w:pPr>
            <w:r w:rsidRPr="00F24C7B">
              <w:rPr>
                <w:rFonts w:asciiTheme="majorBidi" w:hAnsiTheme="majorBidi" w:cstheme="majorBidi"/>
                <w:lang w:val="en"/>
              </w:rPr>
              <w:t xml:space="preserve">Cancellation of </w:t>
            </w:r>
            <w:r w:rsidRPr="00F24C7B">
              <w:rPr>
                <w:rFonts w:asciiTheme="majorBidi" w:hAnsiTheme="majorBidi" w:cstheme="majorBidi"/>
                <w:b/>
                <w:bCs/>
                <w:lang w:val="en"/>
              </w:rPr>
              <w:t>small business management fee</w:t>
            </w:r>
            <w:r w:rsidRPr="00F24C7B">
              <w:rPr>
                <w:rFonts w:asciiTheme="majorBidi" w:hAnsiTheme="majorBidi" w:cstheme="majorBidi"/>
                <w:lang w:val="en"/>
              </w:rPr>
              <w:t xml:space="preserve">, and making small businesses equivalent in status to households. </w:t>
            </w:r>
          </w:p>
        </w:tc>
        <w:tc>
          <w:tcPr>
            <w:tcW w:w="1577" w:type="dxa"/>
          </w:tcPr>
          <w:p w14:paraId="19520A00" w14:textId="5D4045D6" w:rsidR="006739F1" w:rsidRPr="00F24C7B" w:rsidRDefault="006739F1" w:rsidP="00076B44">
            <w:pPr>
              <w:tabs>
                <w:tab w:val="clear" w:pos="567"/>
                <w:tab w:val="clear" w:pos="1134"/>
                <w:tab w:val="clear" w:pos="1814"/>
                <w:tab w:val="clear" w:pos="2665"/>
              </w:tabs>
              <w:overflowPunct w:val="0"/>
              <w:autoSpaceDE w:val="0"/>
              <w:autoSpaceDN w:val="0"/>
              <w:bidi w:val="0"/>
              <w:adjustRightInd w:val="0"/>
              <w:jc w:val="left"/>
              <w:textAlignment w:val="baseline"/>
              <w:rPr>
                <w:rFonts w:asciiTheme="majorBidi" w:hAnsiTheme="majorBidi" w:cstheme="majorBidi"/>
                <w:rtl/>
              </w:rPr>
            </w:pPr>
            <w:r w:rsidRPr="00F24C7B">
              <w:rPr>
                <w:rFonts w:asciiTheme="majorBidi" w:hAnsiTheme="majorBidi" w:cstheme="majorBidi"/>
                <w:lang w:val="en"/>
              </w:rPr>
              <w:t>Jan. 1</w:t>
            </w:r>
            <w:r w:rsidR="00E64F02">
              <w:rPr>
                <w:rFonts w:asciiTheme="majorBidi" w:hAnsiTheme="majorBidi" w:cstheme="majorBidi"/>
                <w:lang w:val="en"/>
              </w:rPr>
              <w:t>,</w:t>
            </w:r>
            <w:r w:rsidRPr="00F24C7B">
              <w:rPr>
                <w:rFonts w:asciiTheme="majorBidi" w:hAnsiTheme="majorBidi" w:cstheme="majorBidi"/>
                <w:lang w:val="en"/>
              </w:rPr>
              <w:t xml:space="preserve"> 2013</w:t>
            </w:r>
          </w:p>
        </w:tc>
      </w:tr>
      <w:tr w:rsidR="006739F1" w:rsidRPr="00F24C7B" w14:paraId="620032F8" w14:textId="77777777" w:rsidTr="00E64F02">
        <w:trPr>
          <w:trHeight w:val="359"/>
        </w:trPr>
        <w:tc>
          <w:tcPr>
            <w:tcW w:w="733" w:type="dxa"/>
          </w:tcPr>
          <w:p w14:paraId="3E052DDC" w14:textId="77777777" w:rsidR="006739F1" w:rsidRPr="00F24C7B" w:rsidRDefault="006739F1" w:rsidP="00F24C7B">
            <w:pPr>
              <w:numPr>
                <w:ilvl w:val="0"/>
                <w:numId w:val="3"/>
              </w:numPr>
              <w:tabs>
                <w:tab w:val="clear" w:pos="567"/>
                <w:tab w:val="clear" w:pos="1134"/>
                <w:tab w:val="clear" w:pos="1814"/>
                <w:tab w:val="clear" w:pos="2665"/>
              </w:tabs>
              <w:overflowPunct w:val="0"/>
              <w:autoSpaceDE w:val="0"/>
              <w:autoSpaceDN w:val="0"/>
              <w:bidi w:val="0"/>
              <w:adjustRightInd w:val="0"/>
              <w:spacing w:line="240" w:lineRule="auto"/>
              <w:jc w:val="left"/>
              <w:textAlignment w:val="baseline"/>
              <w:rPr>
                <w:rFonts w:asciiTheme="majorBidi" w:hAnsiTheme="majorBidi" w:cstheme="majorBidi"/>
                <w:rtl/>
              </w:rPr>
            </w:pPr>
          </w:p>
        </w:tc>
        <w:tc>
          <w:tcPr>
            <w:tcW w:w="7656" w:type="dxa"/>
          </w:tcPr>
          <w:p w14:paraId="67BD1794" w14:textId="77777777" w:rsidR="006739F1" w:rsidRPr="00F24C7B" w:rsidRDefault="006739F1" w:rsidP="00F24C7B">
            <w:pPr>
              <w:tabs>
                <w:tab w:val="clear" w:pos="567"/>
                <w:tab w:val="clear" w:pos="1134"/>
                <w:tab w:val="clear" w:pos="1814"/>
                <w:tab w:val="clear" w:pos="2665"/>
                <w:tab w:val="left" w:pos="437"/>
              </w:tabs>
              <w:overflowPunct w:val="0"/>
              <w:autoSpaceDE w:val="0"/>
              <w:autoSpaceDN w:val="0"/>
              <w:bidi w:val="0"/>
              <w:adjustRightInd w:val="0"/>
              <w:textAlignment w:val="baseline"/>
              <w:rPr>
                <w:rFonts w:asciiTheme="majorBidi" w:hAnsiTheme="majorBidi" w:cstheme="majorBidi"/>
                <w:rtl/>
              </w:rPr>
            </w:pPr>
            <w:r w:rsidRPr="00F24C7B">
              <w:rPr>
                <w:rFonts w:asciiTheme="majorBidi" w:hAnsiTheme="majorBidi" w:cstheme="majorBidi"/>
                <w:lang w:val="en"/>
              </w:rPr>
              <w:t xml:space="preserve">Cancellation of the fee for </w:t>
            </w:r>
            <w:r w:rsidRPr="00F24C7B">
              <w:rPr>
                <w:rFonts w:asciiTheme="majorBidi" w:hAnsiTheme="majorBidi" w:cstheme="majorBidi"/>
                <w:b/>
                <w:bCs/>
                <w:lang w:val="en"/>
              </w:rPr>
              <w:t>changing a payment date on a credit card</w:t>
            </w:r>
          </w:p>
        </w:tc>
        <w:tc>
          <w:tcPr>
            <w:tcW w:w="1577" w:type="dxa"/>
          </w:tcPr>
          <w:p w14:paraId="5C3E6D9E" w14:textId="12415AE9" w:rsidR="006739F1" w:rsidRPr="00F24C7B" w:rsidRDefault="006739F1" w:rsidP="00076B44">
            <w:pPr>
              <w:tabs>
                <w:tab w:val="clear" w:pos="567"/>
                <w:tab w:val="clear" w:pos="1134"/>
                <w:tab w:val="clear" w:pos="1814"/>
                <w:tab w:val="clear" w:pos="2665"/>
              </w:tabs>
              <w:overflowPunct w:val="0"/>
              <w:autoSpaceDE w:val="0"/>
              <w:autoSpaceDN w:val="0"/>
              <w:bidi w:val="0"/>
              <w:adjustRightInd w:val="0"/>
              <w:jc w:val="left"/>
              <w:textAlignment w:val="baseline"/>
              <w:rPr>
                <w:rFonts w:asciiTheme="majorBidi" w:hAnsiTheme="majorBidi" w:cstheme="majorBidi"/>
                <w:rtl/>
              </w:rPr>
            </w:pPr>
            <w:r w:rsidRPr="00F24C7B">
              <w:rPr>
                <w:rFonts w:asciiTheme="majorBidi" w:hAnsiTheme="majorBidi" w:cstheme="majorBidi"/>
                <w:lang w:val="en"/>
              </w:rPr>
              <w:t>Jan. 1</w:t>
            </w:r>
            <w:r w:rsidR="00E64F02">
              <w:rPr>
                <w:rFonts w:asciiTheme="majorBidi" w:hAnsiTheme="majorBidi" w:cstheme="majorBidi"/>
                <w:lang w:val="en"/>
              </w:rPr>
              <w:t>,</w:t>
            </w:r>
            <w:r w:rsidRPr="00F24C7B">
              <w:rPr>
                <w:rFonts w:asciiTheme="majorBidi" w:hAnsiTheme="majorBidi" w:cstheme="majorBidi"/>
                <w:lang w:val="en"/>
              </w:rPr>
              <w:t xml:space="preserve"> 2013</w:t>
            </w:r>
          </w:p>
        </w:tc>
      </w:tr>
      <w:tr w:rsidR="006739F1" w:rsidRPr="00F24C7B" w14:paraId="06997DC0" w14:textId="77777777" w:rsidTr="00E64F02">
        <w:trPr>
          <w:trHeight w:val="359"/>
        </w:trPr>
        <w:tc>
          <w:tcPr>
            <w:tcW w:w="733" w:type="dxa"/>
          </w:tcPr>
          <w:p w14:paraId="3CB03580" w14:textId="77777777" w:rsidR="006739F1" w:rsidRPr="00F24C7B" w:rsidRDefault="006739F1" w:rsidP="00F24C7B">
            <w:pPr>
              <w:numPr>
                <w:ilvl w:val="0"/>
                <w:numId w:val="3"/>
              </w:numPr>
              <w:tabs>
                <w:tab w:val="clear" w:pos="567"/>
                <w:tab w:val="clear" w:pos="1134"/>
                <w:tab w:val="clear" w:pos="1814"/>
                <w:tab w:val="clear" w:pos="2665"/>
              </w:tabs>
              <w:overflowPunct w:val="0"/>
              <w:autoSpaceDE w:val="0"/>
              <w:autoSpaceDN w:val="0"/>
              <w:bidi w:val="0"/>
              <w:adjustRightInd w:val="0"/>
              <w:spacing w:line="240" w:lineRule="auto"/>
              <w:jc w:val="left"/>
              <w:textAlignment w:val="baseline"/>
              <w:rPr>
                <w:rFonts w:asciiTheme="majorBidi" w:hAnsiTheme="majorBidi" w:cstheme="majorBidi"/>
                <w:rtl/>
              </w:rPr>
            </w:pPr>
          </w:p>
        </w:tc>
        <w:tc>
          <w:tcPr>
            <w:tcW w:w="7656" w:type="dxa"/>
          </w:tcPr>
          <w:p w14:paraId="4F014E6F" w14:textId="77777777" w:rsidR="006739F1" w:rsidRPr="00F24C7B" w:rsidRDefault="006739F1" w:rsidP="00F24C7B">
            <w:pPr>
              <w:tabs>
                <w:tab w:val="clear" w:pos="567"/>
                <w:tab w:val="clear" w:pos="1134"/>
                <w:tab w:val="clear" w:pos="1814"/>
                <w:tab w:val="clear" w:pos="2665"/>
              </w:tabs>
              <w:overflowPunct w:val="0"/>
              <w:autoSpaceDE w:val="0"/>
              <w:autoSpaceDN w:val="0"/>
              <w:bidi w:val="0"/>
              <w:adjustRightInd w:val="0"/>
              <w:textAlignment w:val="baseline"/>
              <w:rPr>
                <w:rFonts w:asciiTheme="majorBidi" w:hAnsiTheme="majorBidi" w:cstheme="majorBidi"/>
                <w:b/>
                <w:bCs/>
                <w:rtl/>
              </w:rPr>
            </w:pPr>
            <w:r w:rsidRPr="00F24C7B">
              <w:rPr>
                <w:rFonts w:asciiTheme="majorBidi" w:hAnsiTheme="majorBidi" w:cstheme="majorBidi"/>
                <w:lang w:val="en"/>
              </w:rPr>
              <w:t xml:space="preserve">Raising the exemption on the </w:t>
            </w:r>
            <w:r w:rsidRPr="00F24C7B">
              <w:rPr>
                <w:rFonts w:asciiTheme="majorBidi" w:hAnsiTheme="majorBidi" w:cstheme="majorBidi"/>
                <w:b/>
                <w:bCs/>
                <w:lang w:val="en"/>
              </w:rPr>
              <w:t>credit and collateral handling fee</w:t>
            </w:r>
            <w:r w:rsidRPr="00F24C7B">
              <w:rPr>
                <w:rFonts w:asciiTheme="majorBidi" w:hAnsiTheme="majorBidi" w:cstheme="majorBidi"/>
                <w:lang w:val="en"/>
              </w:rPr>
              <w:t xml:space="preserve"> for non-housing loans from a ceiling of NIS 50,000 to a ceiling of NIS 100,000</w:t>
            </w:r>
          </w:p>
        </w:tc>
        <w:tc>
          <w:tcPr>
            <w:tcW w:w="1577" w:type="dxa"/>
          </w:tcPr>
          <w:p w14:paraId="002AD77D" w14:textId="30D8604A" w:rsidR="006739F1" w:rsidRPr="00F24C7B" w:rsidRDefault="006739F1" w:rsidP="00076B44">
            <w:pPr>
              <w:tabs>
                <w:tab w:val="clear" w:pos="567"/>
                <w:tab w:val="clear" w:pos="1134"/>
                <w:tab w:val="clear" w:pos="1814"/>
                <w:tab w:val="clear" w:pos="2665"/>
              </w:tabs>
              <w:overflowPunct w:val="0"/>
              <w:autoSpaceDE w:val="0"/>
              <w:autoSpaceDN w:val="0"/>
              <w:bidi w:val="0"/>
              <w:adjustRightInd w:val="0"/>
              <w:jc w:val="left"/>
              <w:textAlignment w:val="baseline"/>
              <w:rPr>
                <w:rFonts w:asciiTheme="majorBidi" w:hAnsiTheme="majorBidi" w:cstheme="majorBidi"/>
                <w:rtl/>
              </w:rPr>
            </w:pPr>
            <w:r w:rsidRPr="00F24C7B">
              <w:rPr>
                <w:rFonts w:asciiTheme="majorBidi" w:hAnsiTheme="majorBidi" w:cstheme="majorBidi"/>
                <w:lang w:val="en"/>
              </w:rPr>
              <w:t>Jan. 1</w:t>
            </w:r>
            <w:r w:rsidR="00E64F02">
              <w:rPr>
                <w:rFonts w:asciiTheme="majorBidi" w:hAnsiTheme="majorBidi" w:cstheme="majorBidi"/>
                <w:lang w:val="en"/>
              </w:rPr>
              <w:t>,</w:t>
            </w:r>
            <w:r w:rsidRPr="00F24C7B">
              <w:rPr>
                <w:rFonts w:asciiTheme="majorBidi" w:hAnsiTheme="majorBidi" w:cstheme="majorBidi"/>
                <w:lang w:val="en"/>
              </w:rPr>
              <w:t xml:space="preserve"> 2013</w:t>
            </w:r>
          </w:p>
        </w:tc>
      </w:tr>
      <w:tr w:rsidR="006739F1" w:rsidRPr="00F24C7B" w14:paraId="2E636558" w14:textId="77777777" w:rsidTr="00E64F02">
        <w:trPr>
          <w:trHeight w:val="359"/>
        </w:trPr>
        <w:tc>
          <w:tcPr>
            <w:tcW w:w="733" w:type="dxa"/>
          </w:tcPr>
          <w:p w14:paraId="4979F017" w14:textId="77777777" w:rsidR="006739F1" w:rsidRPr="00F24C7B" w:rsidRDefault="006739F1" w:rsidP="00F24C7B">
            <w:pPr>
              <w:numPr>
                <w:ilvl w:val="0"/>
                <w:numId w:val="3"/>
              </w:numPr>
              <w:tabs>
                <w:tab w:val="clear" w:pos="567"/>
                <w:tab w:val="clear" w:pos="1134"/>
                <w:tab w:val="clear" w:pos="1814"/>
                <w:tab w:val="clear" w:pos="2665"/>
              </w:tabs>
              <w:overflowPunct w:val="0"/>
              <w:autoSpaceDE w:val="0"/>
              <w:autoSpaceDN w:val="0"/>
              <w:bidi w:val="0"/>
              <w:adjustRightInd w:val="0"/>
              <w:spacing w:line="240" w:lineRule="auto"/>
              <w:jc w:val="left"/>
              <w:textAlignment w:val="baseline"/>
              <w:rPr>
                <w:rFonts w:asciiTheme="majorBidi" w:hAnsiTheme="majorBidi" w:cstheme="majorBidi"/>
                <w:rtl/>
              </w:rPr>
            </w:pPr>
          </w:p>
        </w:tc>
        <w:tc>
          <w:tcPr>
            <w:tcW w:w="7656" w:type="dxa"/>
          </w:tcPr>
          <w:p w14:paraId="65FC7330" w14:textId="77777777" w:rsidR="006739F1" w:rsidRPr="00F24C7B" w:rsidRDefault="006739F1" w:rsidP="00F24C7B">
            <w:pPr>
              <w:tabs>
                <w:tab w:val="clear" w:pos="567"/>
                <w:tab w:val="clear" w:pos="1134"/>
                <w:tab w:val="clear" w:pos="1814"/>
                <w:tab w:val="clear" w:pos="2665"/>
                <w:tab w:val="left" w:pos="437"/>
              </w:tabs>
              <w:overflowPunct w:val="0"/>
              <w:autoSpaceDE w:val="0"/>
              <w:autoSpaceDN w:val="0"/>
              <w:bidi w:val="0"/>
              <w:adjustRightInd w:val="0"/>
              <w:textAlignment w:val="baseline"/>
              <w:rPr>
                <w:rFonts w:asciiTheme="majorBidi" w:hAnsiTheme="majorBidi" w:cstheme="majorBidi"/>
                <w:rtl/>
              </w:rPr>
            </w:pPr>
            <w:r w:rsidRPr="00F24C7B">
              <w:rPr>
                <w:rFonts w:asciiTheme="majorBidi" w:hAnsiTheme="majorBidi" w:cstheme="majorBidi"/>
                <w:lang w:val="en"/>
              </w:rPr>
              <w:t xml:space="preserve">Requirement to set </w:t>
            </w:r>
            <w:r w:rsidRPr="00F24C7B">
              <w:rPr>
                <w:rFonts w:asciiTheme="majorBidi" w:hAnsiTheme="majorBidi" w:cstheme="majorBidi"/>
                <w:b/>
                <w:bCs/>
                <w:lang w:val="en"/>
              </w:rPr>
              <w:t>differential pricing in respect of securities transactions</w:t>
            </w:r>
            <w:r w:rsidRPr="00F24C7B">
              <w:rPr>
                <w:rFonts w:asciiTheme="majorBidi" w:hAnsiTheme="majorBidi" w:cstheme="majorBidi"/>
                <w:lang w:val="en"/>
              </w:rPr>
              <w:t xml:space="preserve"> through different channels.</w:t>
            </w:r>
          </w:p>
        </w:tc>
        <w:tc>
          <w:tcPr>
            <w:tcW w:w="1577" w:type="dxa"/>
          </w:tcPr>
          <w:p w14:paraId="20DBE16A" w14:textId="62D45CAB" w:rsidR="006739F1" w:rsidRPr="00F24C7B" w:rsidRDefault="006739F1" w:rsidP="00076B44">
            <w:pPr>
              <w:tabs>
                <w:tab w:val="clear" w:pos="567"/>
                <w:tab w:val="clear" w:pos="1134"/>
                <w:tab w:val="clear" w:pos="1814"/>
                <w:tab w:val="clear" w:pos="2665"/>
              </w:tabs>
              <w:overflowPunct w:val="0"/>
              <w:autoSpaceDE w:val="0"/>
              <w:autoSpaceDN w:val="0"/>
              <w:bidi w:val="0"/>
              <w:adjustRightInd w:val="0"/>
              <w:jc w:val="left"/>
              <w:textAlignment w:val="baseline"/>
              <w:rPr>
                <w:rFonts w:asciiTheme="majorBidi" w:hAnsiTheme="majorBidi" w:cstheme="majorBidi"/>
              </w:rPr>
            </w:pPr>
            <w:r w:rsidRPr="00F24C7B">
              <w:rPr>
                <w:rFonts w:asciiTheme="majorBidi" w:hAnsiTheme="majorBidi" w:cstheme="majorBidi"/>
                <w:lang w:val="en"/>
              </w:rPr>
              <w:t>Jan. 1</w:t>
            </w:r>
            <w:r w:rsidR="00E64F02">
              <w:rPr>
                <w:rFonts w:asciiTheme="majorBidi" w:hAnsiTheme="majorBidi" w:cstheme="majorBidi"/>
                <w:lang w:val="en"/>
              </w:rPr>
              <w:t>,</w:t>
            </w:r>
            <w:r w:rsidRPr="00F24C7B">
              <w:rPr>
                <w:rFonts w:asciiTheme="majorBidi" w:hAnsiTheme="majorBidi" w:cstheme="majorBidi"/>
                <w:lang w:val="en"/>
              </w:rPr>
              <w:t xml:space="preserve"> 2013</w:t>
            </w:r>
          </w:p>
        </w:tc>
      </w:tr>
      <w:tr w:rsidR="006739F1" w:rsidRPr="00F24C7B" w14:paraId="4B3C8FE9" w14:textId="77777777" w:rsidTr="00E64F02">
        <w:trPr>
          <w:trHeight w:val="416"/>
        </w:trPr>
        <w:tc>
          <w:tcPr>
            <w:tcW w:w="733" w:type="dxa"/>
          </w:tcPr>
          <w:p w14:paraId="36339F89" w14:textId="77777777" w:rsidR="006739F1" w:rsidRPr="00F24C7B" w:rsidRDefault="006739F1" w:rsidP="00F24C7B">
            <w:pPr>
              <w:numPr>
                <w:ilvl w:val="0"/>
                <w:numId w:val="3"/>
              </w:numPr>
              <w:tabs>
                <w:tab w:val="clear" w:pos="567"/>
                <w:tab w:val="clear" w:pos="1134"/>
                <w:tab w:val="clear" w:pos="1814"/>
                <w:tab w:val="clear" w:pos="2665"/>
              </w:tabs>
              <w:overflowPunct w:val="0"/>
              <w:autoSpaceDE w:val="0"/>
              <w:autoSpaceDN w:val="0"/>
              <w:bidi w:val="0"/>
              <w:adjustRightInd w:val="0"/>
              <w:spacing w:line="240" w:lineRule="auto"/>
              <w:jc w:val="left"/>
              <w:textAlignment w:val="baseline"/>
              <w:rPr>
                <w:rFonts w:asciiTheme="majorBidi" w:hAnsiTheme="majorBidi" w:cstheme="majorBidi"/>
                <w:rtl/>
              </w:rPr>
            </w:pPr>
          </w:p>
        </w:tc>
        <w:tc>
          <w:tcPr>
            <w:tcW w:w="7656" w:type="dxa"/>
          </w:tcPr>
          <w:p w14:paraId="757C17F1" w14:textId="77777777" w:rsidR="006739F1" w:rsidRPr="00F24C7B" w:rsidRDefault="006739F1" w:rsidP="00F24C7B">
            <w:pPr>
              <w:tabs>
                <w:tab w:val="clear" w:pos="567"/>
                <w:tab w:val="clear" w:pos="1134"/>
                <w:tab w:val="clear" w:pos="1814"/>
                <w:tab w:val="clear" w:pos="2665"/>
                <w:tab w:val="left" w:pos="437"/>
              </w:tabs>
              <w:overflowPunct w:val="0"/>
              <w:autoSpaceDE w:val="0"/>
              <w:autoSpaceDN w:val="0"/>
              <w:bidi w:val="0"/>
              <w:adjustRightInd w:val="0"/>
              <w:textAlignment w:val="baseline"/>
              <w:rPr>
                <w:rFonts w:asciiTheme="majorBidi" w:hAnsiTheme="majorBidi" w:cstheme="majorBidi"/>
                <w:rtl/>
              </w:rPr>
            </w:pPr>
            <w:r w:rsidRPr="00F24C7B">
              <w:rPr>
                <w:rFonts w:asciiTheme="majorBidi" w:hAnsiTheme="majorBidi" w:cstheme="majorBidi"/>
                <w:lang w:val="en"/>
              </w:rPr>
              <w:t>Cancellation of the</w:t>
            </w:r>
            <w:r w:rsidRPr="00F24C7B">
              <w:rPr>
                <w:rFonts w:asciiTheme="majorBidi" w:hAnsiTheme="majorBidi" w:cstheme="majorBidi"/>
                <w:b/>
                <w:bCs/>
                <w:lang w:val="en"/>
              </w:rPr>
              <w:t xml:space="preserve"> fee for an information card and for a cash withdrawal card</w:t>
            </w:r>
          </w:p>
        </w:tc>
        <w:tc>
          <w:tcPr>
            <w:tcW w:w="1577" w:type="dxa"/>
          </w:tcPr>
          <w:p w14:paraId="34AF7C33" w14:textId="3B433765" w:rsidR="006739F1" w:rsidRPr="00F24C7B" w:rsidRDefault="006739F1" w:rsidP="00076B44">
            <w:pPr>
              <w:tabs>
                <w:tab w:val="clear" w:pos="567"/>
                <w:tab w:val="clear" w:pos="1134"/>
                <w:tab w:val="clear" w:pos="1814"/>
                <w:tab w:val="clear" w:pos="2665"/>
              </w:tabs>
              <w:overflowPunct w:val="0"/>
              <w:autoSpaceDE w:val="0"/>
              <w:autoSpaceDN w:val="0"/>
              <w:bidi w:val="0"/>
              <w:adjustRightInd w:val="0"/>
              <w:jc w:val="left"/>
              <w:textAlignment w:val="baseline"/>
              <w:rPr>
                <w:rFonts w:asciiTheme="majorBidi" w:hAnsiTheme="majorBidi" w:cstheme="majorBidi"/>
                <w:rtl/>
              </w:rPr>
            </w:pPr>
            <w:r w:rsidRPr="00F24C7B">
              <w:rPr>
                <w:rFonts w:asciiTheme="majorBidi" w:hAnsiTheme="majorBidi" w:cstheme="majorBidi"/>
                <w:lang w:val="en"/>
              </w:rPr>
              <w:t>Jan. 1</w:t>
            </w:r>
            <w:r w:rsidR="00E64F02">
              <w:rPr>
                <w:rFonts w:asciiTheme="majorBidi" w:hAnsiTheme="majorBidi" w:cstheme="majorBidi"/>
                <w:lang w:val="en"/>
              </w:rPr>
              <w:t>,</w:t>
            </w:r>
            <w:r w:rsidRPr="00F24C7B">
              <w:rPr>
                <w:rFonts w:asciiTheme="majorBidi" w:hAnsiTheme="majorBidi" w:cstheme="majorBidi"/>
                <w:lang w:val="en"/>
              </w:rPr>
              <w:t xml:space="preserve"> 2013</w:t>
            </w:r>
          </w:p>
        </w:tc>
      </w:tr>
      <w:tr w:rsidR="006739F1" w:rsidRPr="00F24C7B" w14:paraId="1DAE389E" w14:textId="77777777" w:rsidTr="00E64F02">
        <w:trPr>
          <w:trHeight w:val="362"/>
        </w:trPr>
        <w:tc>
          <w:tcPr>
            <w:tcW w:w="733" w:type="dxa"/>
          </w:tcPr>
          <w:p w14:paraId="6D69C03F" w14:textId="77777777" w:rsidR="006739F1" w:rsidRPr="00F24C7B" w:rsidRDefault="006739F1" w:rsidP="00F24C7B">
            <w:pPr>
              <w:numPr>
                <w:ilvl w:val="0"/>
                <w:numId w:val="3"/>
              </w:numPr>
              <w:tabs>
                <w:tab w:val="clear" w:pos="567"/>
                <w:tab w:val="clear" w:pos="1134"/>
                <w:tab w:val="clear" w:pos="1814"/>
                <w:tab w:val="clear" w:pos="2665"/>
              </w:tabs>
              <w:overflowPunct w:val="0"/>
              <w:autoSpaceDE w:val="0"/>
              <w:autoSpaceDN w:val="0"/>
              <w:bidi w:val="0"/>
              <w:adjustRightInd w:val="0"/>
              <w:spacing w:line="240" w:lineRule="auto"/>
              <w:jc w:val="left"/>
              <w:textAlignment w:val="baseline"/>
              <w:rPr>
                <w:rFonts w:asciiTheme="majorBidi" w:hAnsiTheme="majorBidi" w:cstheme="majorBidi"/>
                <w:rtl/>
              </w:rPr>
            </w:pPr>
          </w:p>
        </w:tc>
        <w:tc>
          <w:tcPr>
            <w:tcW w:w="7656" w:type="dxa"/>
          </w:tcPr>
          <w:p w14:paraId="0D013297" w14:textId="77777777" w:rsidR="006739F1" w:rsidRPr="00F24C7B" w:rsidRDefault="006739F1" w:rsidP="00F24C7B">
            <w:pPr>
              <w:tabs>
                <w:tab w:val="clear" w:pos="567"/>
                <w:tab w:val="clear" w:pos="1134"/>
                <w:tab w:val="clear" w:pos="1814"/>
                <w:tab w:val="clear" w:pos="2665"/>
                <w:tab w:val="left" w:pos="437"/>
              </w:tabs>
              <w:overflowPunct w:val="0"/>
              <w:autoSpaceDE w:val="0"/>
              <w:autoSpaceDN w:val="0"/>
              <w:bidi w:val="0"/>
              <w:adjustRightInd w:val="0"/>
              <w:textAlignment w:val="baseline"/>
              <w:rPr>
                <w:rFonts w:asciiTheme="majorBidi" w:hAnsiTheme="majorBidi" w:cstheme="majorBidi"/>
                <w:rtl/>
              </w:rPr>
            </w:pPr>
            <w:r w:rsidRPr="00F24C7B">
              <w:rPr>
                <w:rFonts w:asciiTheme="majorBidi" w:hAnsiTheme="majorBidi" w:cstheme="majorBidi"/>
                <w:lang w:val="en"/>
              </w:rPr>
              <w:t xml:space="preserve">Cancellation of </w:t>
            </w:r>
            <w:r w:rsidRPr="00F24C7B">
              <w:rPr>
                <w:rFonts w:asciiTheme="majorBidi" w:hAnsiTheme="majorBidi" w:cstheme="majorBidi"/>
                <w:b/>
                <w:bCs/>
                <w:lang w:val="en"/>
              </w:rPr>
              <w:t>securities management fee in respect of “</w:t>
            </w:r>
            <w:proofErr w:type="spellStart"/>
            <w:r w:rsidRPr="00F24C7B">
              <w:rPr>
                <w:rFonts w:asciiTheme="majorBidi" w:hAnsiTheme="majorBidi" w:cstheme="majorBidi"/>
                <w:b/>
                <w:bCs/>
                <w:lang w:val="en"/>
              </w:rPr>
              <w:t>makam</w:t>
            </w:r>
            <w:proofErr w:type="spellEnd"/>
            <w:r w:rsidRPr="00F24C7B">
              <w:rPr>
                <w:rFonts w:asciiTheme="majorBidi" w:hAnsiTheme="majorBidi" w:cstheme="majorBidi"/>
                <w:b/>
                <w:bCs/>
                <w:lang w:val="en"/>
              </w:rPr>
              <w:t>” and money market funds</w:t>
            </w:r>
          </w:p>
        </w:tc>
        <w:tc>
          <w:tcPr>
            <w:tcW w:w="1577" w:type="dxa"/>
          </w:tcPr>
          <w:p w14:paraId="01FE8E85" w14:textId="2CC3F951" w:rsidR="006739F1" w:rsidRPr="00F24C7B" w:rsidRDefault="006739F1" w:rsidP="00076B44">
            <w:pPr>
              <w:tabs>
                <w:tab w:val="clear" w:pos="567"/>
                <w:tab w:val="clear" w:pos="1134"/>
                <w:tab w:val="clear" w:pos="1814"/>
                <w:tab w:val="clear" w:pos="2665"/>
              </w:tabs>
              <w:overflowPunct w:val="0"/>
              <w:autoSpaceDE w:val="0"/>
              <w:autoSpaceDN w:val="0"/>
              <w:bidi w:val="0"/>
              <w:adjustRightInd w:val="0"/>
              <w:jc w:val="left"/>
              <w:textAlignment w:val="baseline"/>
              <w:rPr>
                <w:rFonts w:asciiTheme="majorBidi" w:hAnsiTheme="majorBidi" w:cstheme="majorBidi"/>
                <w:rtl/>
              </w:rPr>
            </w:pPr>
            <w:r w:rsidRPr="00F24C7B">
              <w:rPr>
                <w:rFonts w:asciiTheme="majorBidi" w:hAnsiTheme="majorBidi" w:cstheme="majorBidi"/>
                <w:lang w:val="en"/>
              </w:rPr>
              <w:t>Jan. 1</w:t>
            </w:r>
            <w:r w:rsidR="00E64F02">
              <w:rPr>
                <w:rFonts w:asciiTheme="majorBidi" w:hAnsiTheme="majorBidi" w:cstheme="majorBidi"/>
                <w:lang w:val="en"/>
              </w:rPr>
              <w:t>,</w:t>
            </w:r>
            <w:r w:rsidRPr="00F24C7B">
              <w:rPr>
                <w:rFonts w:asciiTheme="majorBidi" w:hAnsiTheme="majorBidi" w:cstheme="majorBidi"/>
                <w:lang w:val="en"/>
              </w:rPr>
              <w:t xml:space="preserve"> 2013</w:t>
            </w:r>
          </w:p>
        </w:tc>
      </w:tr>
      <w:tr w:rsidR="006739F1" w:rsidRPr="00F24C7B" w14:paraId="623CC5EB" w14:textId="77777777" w:rsidTr="00E64F02">
        <w:trPr>
          <w:trHeight w:val="362"/>
        </w:trPr>
        <w:tc>
          <w:tcPr>
            <w:tcW w:w="733" w:type="dxa"/>
          </w:tcPr>
          <w:p w14:paraId="3FBED6FF" w14:textId="77777777" w:rsidR="006739F1" w:rsidRPr="00F24C7B" w:rsidRDefault="006739F1" w:rsidP="00F24C7B">
            <w:pPr>
              <w:numPr>
                <w:ilvl w:val="0"/>
                <w:numId w:val="3"/>
              </w:numPr>
              <w:tabs>
                <w:tab w:val="clear" w:pos="567"/>
                <w:tab w:val="clear" w:pos="1134"/>
                <w:tab w:val="clear" w:pos="1814"/>
                <w:tab w:val="clear" w:pos="2665"/>
              </w:tabs>
              <w:overflowPunct w:val="0"/>
              <w:autoSpaceDE w:val="0"/>
              <w:autoSpaceDN w:val="0"/>
              <w:bidi w:val="0"/>
              <w:adjustRightInd w:val="0"/>
              <w:spacing w:line="240" w:lineRule="auto"/>
              <w:jc w:val="left"/>
              <w:textAlignment w:val="baseline"/>
              <w:rPr>
                <w:rFonts w:asciiTheme="majorBidi" w:hAnsiTheme="majorBidi" w:cstheme="majorBidi"/>
                <w:rtl/>
              </w:rPr>
            </w:pPr>
          </w:p>
        </w:tc>
        <w:tc>
          <w:tcPr>
            <w:tcW w:w="7656" w:type="dxa"/>
          </w:tcPr>
          <w:p w14:paraId="174ADE10" w14:textId="77777777" w:rsidR="006739F1" w:rsidRPr="00F24C7B" w:rsidRDefault="006739F1" w:rsidP="00F24C7B">
            <w:pPr>
              <w:tabs>
                <w:tab w:val="clear" w:pos="567"/>
                <w:tab w:val="clear" w:pos="1134"/>
                <w:tab w:val="clear" w:pos="1814"/>
                <w:tab w:val="clear" w:pos="2665"/>
                <w:tab w:val="left" w:pos="437"/>
              </w:tabs>
              <w:overflowPunct w:val="0"/>
              <w:autoSpaceDE w:val="0"/>
              <w:autoSpaceDN w:val="0"/>
              <w:bidi w:val="0"/>
              <w:adjustRightInd w:val="0"/>
              <w:textAlignment w:val="baseline"/>
              <w:rPr>
                <w:rFonts w:asciiTheme="majorBidi" w:hAnsiTheme="majorBidi" w:cstheme="majorBidi"/>
                <w:rtl/>
              </w:rPr>
            </w:pPr>
            <w:r w:rsidRPr="00F24C7B">
              <w:rPr>
                <w:rFonts w:asciiTheme="majorBidi" w:hAnsiTheme="majorBidi" w:cstheme="majorBidi"/>
                <w:b/>
                <w:bCs/>
                <w:lang w:val="en"/>
              </w:rPr>
              <w:t>Amendment of the definition of “senior citizen”</w:t>
            </w:r>
            <w:r w:rsidRPr="00F24C7B">
              <w:rPr>
                <w:rFonts w:asciiTheme="majorBidi" w:hAnsiTheme="majorBidi" w:cstheme="majorBidi"/>
                <w:lang w:val="en"/>
              </w:rPr>
              <w:t>, with the goal of automatically awarding senior citizens (so that it is not contingent on presenting a certificate) the right to receive 4 teller-executed transactions per month at the price of a customer-executed transaction.</w:t>
            </w:r>
          </w:p>
        </w:tc>
        <w:tc>
          <w:tcPr>
            <w:tcW w:w="1577" w:type="dxa"/>
          </w:tcPr>
          <w:p w14:paraId="2E35D518" w14:textId="0B1ABD73" w:rsidR="006739F1" w:rsidRPr="00F24C7B" w:rsidRDefault="006739F1" w:rsidP="00076B44">
            <w:pPr>
              <w:tabs>
                <w:tab w:val="clear" w:pos="567"/>
                <w:tab w:val="clear" w:pos="1134"/>
                <w:tab w:val="clear" w:pos="1814"/>
                <w:tab w:val="clear" w:pos="2665"/>
              </w:tabs>
              <w:overflowPunct w:val="0"/>
              <w:autoSpaceDE w:val="0"/>
              <w:autoSpaceDN w:val="0"/>
              <w:bidi w:val="0"/>
              <w:adjustRightInd w:val="0"/>
              <w:jc w:val="left"/>
              <w:textAlignment w:val="baseline"/>
              <w:rPr>
                <w:rFonts w:asciiTheme="majorBidi" w:hAnsiTheme="majorBidi" w:cstheme="majorBidi"/>
                <w:rtl/>
              </w:rPr>
            </w:pPr>
            <w:r w:rsidRPr="00F24C7B">
              <w:rPr>
                <w:rFonts w:asciiTheme="majorBidi" w:hAnsiTheme="majorBidi" w:cstheme="majorBidi"/>
                <w:lang w:val="en"/>
              </w:rPr>
              <w:t>Jan. 1</w:t>
            </w:r>
            <w:r w:rsidR="00E64F02">
              <w:rPr>
                <w:rFonts w:asciiTheme="majorBidi" w:hAnsiTheme="majorBidi" w:cstheme="majorBidi"/>
                <w:lang w:val="en"/>
              </w:rPr>
              <w:t>,</w:t>
            </w:r>
            <w:r w:rsidRPr="00F24C7B">
              <w:rPr>
                <w:rFonts w:asciiTheme="majorBidi" w:hAnsiTheme="majorBidi" w:cstheme="majorBidi"/>
                <w:lang w:val="en"/>
              </w:rPr>
              <w:t xml:space="preserve"> 2013</w:t>
            </w:r>
          </w:p>
        </w:tc>
      </w:tr>
      <w:tr w:rsidR="006739F1" w:rsidRPr="00F24C7B" w14:paraId="3822724A" w14:textId="77777777" w:rsidTr="00E64F02">
        <w:trPr>
          <w:trHeight w:val="359"/>
        </w:trPr>
        <w:tc>
          <w:tcPr>
            <w:tcW w:w="733" w:type="dxa"/>
          </w:tcPr>
          <w:p w14:paraId="5081BE28" w14:textId="77777777" w:rsidR="006739F1" w:rsidRPr="00F24C7B" w:rsidRDefault="006739F1" w:rsidP="00F24C7B">
            <w:pPr>
              <w:numPr>
                <w:ilvl w:val="0"/>
                <w:numId w:val="3"/>
              </w:numPr>
              <w:tabs>
                <w:tab w:val="clear" w:pos="567"/>
                <w:tab w:val="clear" w:pos="1134"/>
                <w:tab w:val="clear" w:pos="1814"/>
                <w:tab w:val="clear" w:pos="2665"/>
              </w:tabs>
              <w:overflowPunct w:val="0"/>
              <w:autoSpaceDE w:val="0"/>
              <w:autoSpaceDN w:val="0"/>
              <w:bidi w:val="0"/>
              <w:adjustRightInd w:val="0"/>
              <w:spacing w:line="240" w:lineRule="auto"/>
              <w:jc w:val="left"/>
              <w:textAlignment w:val="baseline"/>
              <w:rPr>
                <w:rFonts w:asciiTheme="majorBidi" w:hAnsiTheme="majorBidi" w:cstheme="majorBidi"/>
                <w:rtl/>
              </w:rPr>
            </w:pPr>
          </w:p>
        </w:tc>
        <w:tc>
          <w:tcPr>
            <w:tcW w:w="7656" w:type="dxa"/>
          </w:tcPr>
          <w:p w14:paraId="1C68F30E" w14:textId="77777777" w:rsidR="006739F1" w:rsidRPr="00F24C7B" w:rsidRDefault="006739F1" w:rsidP="00F24C7B">
            <w:pPr>
              <w:tabs>
                <w:tab w:val="clear" w:pos="567"/>
                <w:tab w:val="clear" w:pos="1134"/>
                <w:tab w:val="clear" w:pos="1814"/>
                <w:tab w:val="clear" w:pos="2665"/>
                <w:tab w:val="left" w:pos="437"/>
              </w:tabs>
              <w:overflowPunct w:val="0"/>
              <w:autoSpaceDE w:val="0"/>
              <w:autoSpaceDN w:val="0"/>
              <w:bidi w:val="0"/>
              <w:adjustRightInd w:val="0"/>
              <w:textAlignment w:val="baseline"/>
              <w:rPr>
                <w:rFonts w:asciiTheme="majorBidi" w:hAnsiTheme="majorBidi" w:cstheme="majorBidi"/>
                <w:rtl/>
              </w:rPr>
            </w:pPr>
            <w:r w:rsidRPr="00F24C7B">
              <w:rPr>
                <w:rFonts w:asciiTheme="majorBidi" w:hAnsiTheme="majorBidi" w:cstheme="majorBidi"/>
                <w:b/>
                <w:bCs/>
                <w:lang w:val="en"/>
              </w:rPr>
              <w:t xml:space="preserve">Repricing fees in respect of securities transaction - </w:t>
            </w:r>
            <w:r w:rsidRPr="00F24C7B">
              <w:rPr>
                <w:rFonts w:asciiTheme="majorBidi" w:hAnsiTheme="majorBidi" w:cstheme="majorBidi"/>
                <w:lang w:val="en"/>
              </w:rPr>
              <w:t>so as to enable comparison between banks.</w:t>
            </w:r>
          </w:p>
        </w:tc>
        <w:tc>
          <w:tcPr>
            <w:tcW w:w="1577" w:type="dxa"/>
          </w:tcPr>
          <w:p w14:paraId="0141107E" w14:textId="59B81635" w:rsidR="006739F1" w:rsidRPr="00F24C7B" w:rsidRDefault="006739F1" w:rsidP="00076B44">
            <w:pPr>
              <w:tabs>
                <w:tab w:val="clear" w:pos="567"/>
                <w:tab w:val="clear" w:pos="1134"/>
                <w:tab w:val="clear" w:pos="1814"/>
                <w:tab w:val="clear" w:pos="2665"/>
              </w:tabs>
              <w:overflowPunct w:val="0"/>
              <w:autoSpaceDE w:val="0"/>
              <w:autoSpaceDN w:val="0"/>
              <w:bidi w:val="0"/>
              <w:adjustRightInd w:val="0"/>
              <w:jc w:val="left"/>
              <w:textAlignment w:val="baseline"/>
              <w:rPr>
                <w:rFonts w:asciiTheme="majorBidi" w:hAnsiTheme="majorBidi" w:cstheme="majorBidi"/>
                <w:rtl/>
              </w:rPr>
            </w:pPr>
            <w:r w:rsidRPr="00F24C7B">
              <w:rPr>
                <w:rFonts w:asciiTheme="majorBidi" w:hAnsiTheme="majorBidi" w:cstheme="majorBidi"/>
                <w:lang w:val="en"/>
              </w:rPr>
              <w:t>Jan. 1</w:t>
            </w:r>
            <w:r w:rsidR="00E64F02">
              <w:rPr>
                <w:rFonts w:asciiTheme="majorBidi" w:hAnsiTheme="majorBidi" w:cstheme="majorBidi"/>
                <w:lang w:val="en"/>
              </w:rPr>
              <w:t>,</w:t>
            </w:r>
            <w:r w:rsidRPr="00F24C7B">
              <w:rPr>
                <w:rFonts w:asciiTheme="majorBidi" w:hAnsiTheme="majorBidi" w:cstheme="majorBidi"/>
                <w:lang w:val="en"/>
              </w:rPr>
              <w:t xml:space="preserve"> 2013</w:t>
            </w:r>
          </w:p>
        </w:tc>
      </w:tr>
    </w:tbl>
    <w:p w14:paraId="1A416DC5" w14:textId="77777777" w:rsidR="00830DB7" w:rsidRDefault="00830DB7">
      <w:pPr>
        <w:bidi w:val="0"/>
      </w:pPr>
      <w:r>
        <w:br w:type="page"/>
      </w:r>
    </w:p>
    <w:tbl>
      <w:tblPr>
        <w:tblStyle w:val="TableProfessional"/>
        <w:tblW w:w="9964" w:type="dxa"/>
        <w:tblLook w:val="04A0" w:firstRow="1" w:lastRow="0" w:firstColumn="1" w:lastColumn="0" w:noHBand="0" w:noVBand="1"/>
      </w:tblPr>
      <w:tblGrid>
        <w:gridCol w:w="727"/>
        <w:gridCol w:w="7611"/>
        <w:gridCol w:w="1626"/>
      </w:tblGrid>
      <w:tr w:rsidR="006739F1" w:rsidRPr="00F24C7B" w14:paraId="7C8D636C" w14:textId="77777777" w:rsidTr="00E64F02">
        <w:trPr>
          <w:cnfStyle w:val="100000000000" w:firstRow="1" w:lastRow="0" w:firstColumn="0" w:lastColumn="0" w:oddVBand="0" w:evenVBand="0" w:oddHBand="0" w:evenHBand="0" w:firstRowFirstColumn="0" w:firstRowLastColumn="0" w:lastRowFirstColumn="0" w:lastRowLastColumn="0"/>
          <w:trHeight w:val="359"/>
        </w:trPr>
        <w:tc>
          <w:tcPr>
            <w:tcW w:w="727" w:type="dxa"/>
          </w:tcPr>
          <w:p w14:paraId="1C87436C" w14:textId="4CDB75C2" w:rsidR="006739F1" w:rsidRPr="00830DB7" w:rsidRDefault="006739F1" w:rsidP="00830DB7">
            <w:pPr>
              <w:tabs>
                <w:tab w:val="clear" w:pos="567"/>
                <w:tab w:val="clear" w:pos="1134"/>
                <w:tab w:val="clear" w:pos="1814"/>
                <w:tab w:val="clear" w:pos="2665"/>
              </w:tabs>
              <w:overflowPunct w:val="0"/>
              <w:autoSpaceDE w:val="0"/>
              <w:autoSpaceDN w:val="0"/>
              <w:bidi w:val="0"/>
              <w:adjustRightInd w:val="0"/>
              <w:textAlignment w:val="baseline"/>
              <w:rPr>
                <w:rFonts w:asciiTheme="majorBidi" w:hAnsiTheme="majorBidi" w:cstheme="majorBidi"/>
                <w:color w:val="FFFFFF" w:themeColor="background1"/>
                <w:rtl/>
                <w:lang w:val="en"/>
              </w:rPr>
            </w:pPr>
          </w:p>
        </w:tc>
        <w:tc>
          <w:tcPr>
            <w:tcW w:w="7611" w:type="dxa"/>
          </w:tcPr>
          <w:p w14:paraId="0C325091" w14:textId="77777777" w:rsidR="006739F1" w:rsidRPr="00830DB7" w:rsidRDefault="006739F1" w:rsidP="00830DB7">
            <w:pPr>
              <w:tabs>
                <w:tab w:val="clear" w:pos="567"/>
                <w:tab w:val="clear" w:pos="1134"/>
                <w:tab w:val="clear" w:pos="1814"/>
                <w:tab w:val="clear" w:pos="2665"/>
              </w:tabs>
              <w:bidi w:val="0"/>
              <w:rPr>
                <w:rFonts w:asciiTheme="majorBidi" w:hAnsiTheme="majorBidi" w:cstheme="majorBidi"/>
                <w:color w:val="FFFFFF" w:themeColor="background1"/>
                <w:rtl/>
                <w:lang w:val="en"/>
              </w:rPr>
            </w:pPr>
            <w:r w:rsidRPr="00830DB7">
              <w:rPr>
                <w:rFonts w:asciiTheme="majorBidi" w:hAnsiTheme="majorBidi" w:cstheme="majorBidi"/>
                <w:color w:val="FFFFFF" w:themeColor="background1"/>
                <w:lang w:val="en"/>
              </w:rPr>
              <w:t>Supervisory Orders</w:t>
            </w:r>
          </w:p>
        </w:tc>
        <w:tc>
          <w:tcPr>
            <w:tcW w:w="1626" w:type="dxa"/>
          </w:tcPr>
          <w:p w14:paraId="01498559" w14:textId="77777777" w:rsidR="006739F1" w:rsidRPr="00830DB7" w:rsidRDefault="006739F1" w:rsidP="00830DB7">
            <w:pPr>
              <w:tabs>
                <w:tab w:val="clear" w:pos="567"/>
                <w:tab w:val="clear" w:pos="1134"/>
                <w:tab w:val="clear" w:pos="1814"/>
                <w:tab w:val="clear" w:pos="2665"/>
              </w:tabs>
              <w:overflowPunct w:val="0"/>
              <w:autoSpaceDE w:val="0"/>
              <w:autoSpaceDN w:val="0"/>
              <w:bidi w:val="0"/>
              <w:adjustRightInd w:val="0"/>
              <w:jc w:val="left"/>
              <w:textAlignment w:val="baseline"/>
              <w:rPr>
                <w:rFonts w:asciiTheme="majorBidi" w:hAnsiTheme="majorBidi" w:cstheme="majorBidi"/>
                <w:color w:val="FFFFFF" w:themeColor="background1"/>
                <w:rtl/>
                <w:lang w:val="en"/>
              </w:rPr>
            </w:pPr>
            <w:r w:rsidRPr="00830DB7">
              <w:rPr>
                <w:rFonts w:asciiTheme="majorBidi" w:hAnsiTheme="majorBidi" w:cstheme="majorBidi"/>
                <w:color w:val="FFFFFF" w:themeColor="background1"/>
                <w:lang w:val="en"/>
              </w:rPr>
              <w:t>Publication date</w:t>
            </w:r>
          </w:p>
        </w:tc>
      </w:tr>
      <w:tr w:rsidR="006739F1" w:rsidRPr="00F24C7B" w14:paraId="1787972F" w14:textId="77777777" w:rsidTr="00E64F02">
        <w:trPr>
          <w:trHeight w:val="359"/>
        </w:trPr>
        <w:tc>
          <w:tcPr>
            <w:tcW w:w="727" w:type="dxa"/>
          </w:tcPr>
          <w:p w14:paraId="572C1A00" w14:textId="77777777" w:rsidR="006739F1" w:rsidRPr="00F24C7B" w:rsidRDefault="006739F1" w:rsidP="00F24C7B">
            <w:pPr>
              <w:numPr>
                <w:ilvl w:val="0"/>
                <w:numId w:val="3"/>
              </w:numPr>
              <w:tabs>
                <w:tab w:val="clear" w:pos="567"/>
                <w:tab w:val="clear" w:pos="1134"/>
                <w:tab w:val="clear" w:pos="1814"/>
                <w:tab w:val="clear" w:pos="2665"/>
              </w:tabs>
              <w:overflowPunct w:val="0"/>
              <w:autoSpaceDE w:val="0"/>
              <w:autoSpaceDN w:val="0"/>
              <w:bidi w:val="0"/>
              <w:adjustRightInd w:val="0"/>
              <w:spacing w:line="240" w:lineRule="auto"/>
              <w:jc w:val="left"/>
              <w:textAlignment w:val="baseline"/>
              <w:rPr>
                <w:rFonts w:asciiTheme="majorBidi" w:hAnsiTheme="majorBidi" w:cstheme="majorBidi"/>
                <w:rtl/>
              </w:rPr>
            </w:pPr>
          </w:p>
        </w:tc>
        <w:tc>
          <w:tcPr>
            <w:tcW w:w="7611" w:type="dxa"/>
          </w:tcPr>
          <w:p w14:paraId="51EE4971" w14:textId="77777777" w:rsidR="006739F1" w:rsidRPr="00F24C7B" w:rsidRDefault="006739F1" w:rsidP="00F24C7B">
            <w:pPr>
              <w:tabs>
                <w:tab w:val="clear" w:pos="567"/>
                <w:tab w:val="clear" w:pos="1134"/>
                <w:tab w:val="clear" w:pos="1814"/>
                <w:tab w:val="clear" w:pos="2665"/>
                <w:tab w:val="left" w:pos="437"/>
              </w:tabs>
              <w:overflowPunct w:val="0"/>
              <w:autoSpaceDE w:val="0"/>
              <w:autoSpaceDN w:val="0"/>
              <w:bidi w:val="0"/>
              <w:adjustRightInd w:val="0"/>
              <w:textAlignment w:val="baseline"/>
              <w:rPr>
                <w:rFonts w:asciiTheme="majorBidi" w:eastAsia="Calibri" w:hAnsiTheme="majorBidi" w:cstheme="majorBidi"/>
                <w:rtl/>
              </w:rPr>
            </w:pPr>
            <w:r w:rsidRPr="00F24C7B">
              <w:rPr>
                <w:rFonts w:asciiTheme="majorBidi" w:eastAsia="Calibri" w:hAnsiTheme="majorBidi" w:cstheme="majorBidi"/>
                <w:b/>
                <w:bCs/>
                <w:lang w:val="en"/>
              </w:rPr>
              <w:t>Supervisory order on depositing a post-dated check</w:t>
            </w:r>
            <w:r w:rsidRPr="00F24C7B">
              <w:rPr>
                <w:rFonts w:asciiTheme="majorBidi" w:eastAsia="Calibri" w:hAnsiTheme="majorBidi" w:cstheme="majorBidi"/>
                <w:lang w:val="en"/>
              </w:rPr>
              <w:t xml:space="preserve"> (in effect until June 30 2019)</w:t>
            </w:r>
          </w:p>
        </w:tc>
        <w:tc>
          <w:tcPr>
            <w:tcW w:w="1626" w:type="dxa"/>
          </w:tcPr>
          <w:p w14:paraId="3D844CEB" w14:textId="618D8848" w:rsidR="006739F1" w:rsidRPr="00F24C7B" w:rsidRDefault="006739F1" w:rsidP="00076B44">
            <w:pPr>
              <w:tabs>
                <w:tab w:val="clear" w:pos="567"/>
                <w:tab w:val="clear" w:pos="1134"/>
                <w:tab w:val="clear" w:pos="1814"/>
                <w:tab w:val="clear" w:pos="2665"/>
              </w:tabs>
              <w:overflowPunct w:val="0"/>
              <w:autoSpaceDE w:val="0"/>
              <w:autoSpaceDN w:val="0"/>
              <w:bidi w:val="0"/>
              <w:adjustRightInd w:val="0"/>
              <w:jc w:val="left"/>
              <w:textAlignment w:val="baseline"/>
              <w:rPr>
                <w:rFonts w:asciiTheme="majorBidi" w:eastAsia="Calibri" w:hAnsiTheme="majorBidi" w:cstheme="majorBidi"/>
                <w:rtl/>
              </w:rPr>
            </w:pPr>
            <w:r w:rsidRPr="00F24C7B">
              <w:rPr>
                <w:rFonts w:asciiTheme="majorBidi" w:eastAsia="Calibri" w:hAnsiTheme="majorBidi" w:cstheme="majorBidi"/>
                <w:lang w:val="en"/>
              </w:rPr>
              <w:t>April 15</w:t>
            </w:r>
            <w:r w:rsidR="00E64F02">
              <w:rPr>
                <w:rFonts w:asciiTheme="majorBidi" w:eastAsia="Calibri" w:hAnsiTheme="majorBidi" w:cstheme="majorBidi"/>
                <w:lang w:val="en"/>
              </w:rPr>
              <w:t>,</w:t>
            </w:r>
            <w:r w:rsidRPr="00F24C7B">
              <w:rPr>
                <w:rFonts w:asciiTheme="majorBidi" w:eastAsia="Calibri" w:hAnsiTheme="majorBidi" w:cstheme="majorBidi"/>
                <w:lang w:val="en"/>
              </w:rPr>
              <w:t xml:space="preserve"> 2019</w:t>
            </w:r>
          </w:p>
        </w:tc>
      </w:tr>
      <w:tr w:rsidR="006739F1" w:rsidRPr="00F24C7B" w14:paraId="21D21B4D" w14:textId="77777777" w:rsidTr="00E64F02">
        <w:trPr>
          <w:trHeight w:val="359"/>
        </w:trPr>
        <w:tc>
          <w:tcPr>
            <w:tcW w:w="727" w:type="dxa"/>
          </w:tcPr>
          <w:p w14:paraId="47BFA850" w14:textId="77777777" w:rsidR="006739F1" w:rsidRPr="00F24C7B" w:rsidRDefault="006739F1" w:rsidP="00F24C7B">
            <w:pPr>
              <w:numPr>
                <w:ilvl w:val="0"/>
                <w:numId w:val="3"/>
              </w:numPr>
              <w:tabs>
                <w:tab w:val="clear" w:pos="567"/>
                <w:tab w:val="clear" w:pos="1134"/>
                <w:tab w:val="clear" w:pos="1814"/>
                <w:tab w:val="clear" w:pos="2665"/>
              </w:tabs>
              <w:overflowPunct w:val="0"/>
              <w:autoSpaceDE w:val="0"/>
              <w:autoSpaceDN w:val="0"/>
              <w:bidi w:val="0"/>
              <w:adjustRightInd w:val="0"/>
              <w:spacing w:line="240" w:lineRule="auto"/>
              <w:jc w:val="left"/>
              <w:textAlignment w:val="baseline"/>
              <w:rPr>
                <w:rFonts w:asciiTheme="majorBidi" w:hAnsiTheme="majorBidi" w:cstheme="majorBidi"/>
                <w:rtl/>
              </w:rPr>
            </w:pPr>
          </w:p>
        </w:tc>
        <w:tc>
          <w:tcPr>
            <w:tcW w:w="7611" w:type="dxa"/>
          </w:tcPr>
          <w:p w14:paraId="1EA8CE6B" w14:textId="77777777" w:rsidR="006739F1" w:rsidRPr="00F24C7B" w:rsidRDefault="006739F1" w:rsidP="00F24C7B">
            <w:pPr>
              <w:tabs>
                <w:tab w:val="clear" w:pos="567"/>
                <w:tab w:val="clear" w:pos="1134"/>
                <w:tab w:val="clear" w:pos="1814"/>
                <w:tab w:val="clear" w:pos="2665"/>
                <w:tab w:val="left" w:pos="437"/>
              </w:tabs>
              <w:overflowPunct w:val="0"/>
              <w:autoSpaceDE w:val="0"/>
              <w:autoSpaceDN w:val="0"/>
              <w:bidi w:val="0"/>
              <w:adjustRightInd w:val="0"/>
              <w:textAlignment w:val="baseline"/>
              <w:rPr>
                <w:rFonts w:asciiTheme="majorBidi" w:hAnsiTheme="majorBidi" w:cstheme="majorBidi"/>
                <w:b/>
                <w:bCs/>
                <w:rtl/>
              </w:rPr>
            </w:pPr>
            <w:r w:rsidRPr="00F24C7B">
              <w:rPr>
                <w:rFonts w:asciiTheme="majorBidi" w:eastAsia="Calibri" w:hAnsiTheme="majorBidi" w:cstheme="majorBidi"/>
                <w:b/>
                <w:bCs/>
                <w:lang w:val="en"/>
              </w:rPr>
              <w:t xml:space="preserve">Supervisory order on standard reports - </w:t>
            </w:r>
            <w:r w:rsidRPr="00F24C7B">
              <w:rPr>
                <w:rFonts w:asciiTheme="majorBidi" w:eastAsia="Calibri" w:hAnsiTheme="majorBidi" w:cstheme="majorBidi"/>
                <w:lang w:val="en"/>
              </w:rPr>
              <w:t>maximum amount of NIS 15</w:t>
            </w:r>
          </w:p>
        </w:tc>
        <w:tc>
          <w:tcPr>
            <w:tcW w:w="1626" w:type="dxa"/>
          </w:tcPr>
          <w:p w14:paraId="4D03B20B" w14:textId="2128FC6B" w:rsidR="006739F1" w:rsidRPr="00F24C7B" w:rsidRDefault="006739F1" w:rsidP="00076B44">
            <w:pPr>
              <w:tabs>
                <w:tab w:val="clear" w:pos="567"/>
                <w:tab w:val="clear" w:pos="1134"/>
                <w:tab w:val="clear" w:pos="1814"/>
                <w:tab w:val="clear" w:pos="2665"/>
              </w:tabs>
              <w:overflowPunct w:val="0"/>
              <w:autoSpaceDE w:val="0"/>
              <w:autoSpaceDN w:val="0"/>
              <w:bidi w:val="0"/>
              <w:adjustRightInd w:val="0"/>
              <w:jc w:val="left"/>
              <w:textAlignment w:val="baseline"/>
              <w:rPr>
                <w:rFonts w:asciiTheme="majorBidi" w:hAnsiTheme="majorBidi" w:cstheme="majorBidi"/>
                <w:rtl/>
              </w:rPr>
            </w:pPr>
            <w:r w:rsidRPr="00F24C7B">
              <w:rPr>
                <w:rFonts w:asciiTheme="majorBidi" w:eastAsia="Calibri" w:hAnsiTheme="majorBidi" w:cstheme="majorBidi"/>
                <w:lang w:val="en"/>
              </w:rPr>
              <w:t>July 19</w:t>
            </w:r>
            <w:r w:rsidR="00E64F02">
              <w:rPr>
                <w:rFonts w:asciiTheme="majorBidi" w:eastAsia="Calibri" w:hAnsiTheme="majorBidi" w:cstheme="majorBidi"/>
                <w:lang w:val="en"/>
              </w:rPr>
              <w:t>,</w:t>
            </w:r>
            <w:r w:rsidRPr="00F24C7B">
              <w:rPr>
                <w:rFonts w:asciiTheme="majorBidi" w:eastAsia="Calibri" w:hAnsiTheme="majorBidi" w:cstheme="majorBidi"/>
                <w:lang w:val="en"/>
              </w:rPr>
              <w:t xml:space="preserve"> 2016</w:t>
            </w:r>
          </w:p>
        </w:tc>
      </w:tr>
      <w:tr w:rsidR="006739F1" w:rsidRPr="00F24C7B" w14:paraId="7B9A5AD2" w14:textId="77777777" w:rsidTr="00E64F02">
        <w:trPr>
          <w:trHeight w:val="359"/>
        </w:trPr>
        <w:tc>
          <w:tcPr>
            <w:tcW w:w="727" w:type="dxa"/>
          </w:tcPr>
          <w:p w14:paraId="146E2182" w14:textId="77777777" w:rsidR="006739F1" w:rsidRPr="00F24C7B" w:rsidRDefault="006739F1" w:rsidP="00F24C7B">
            <w:pPr>
              <w:numPr>
                <w:ilvl w:val="0"/>
                <w:numId w:val="3"/>
              </w:numPr>
              <w:tabs>
                <w:tab w:val="clear" w:pos="567"/>
                <w:tab w:val="clear" w:pos="1134"/>
                <w:tab w:val="clear" w:pos="1814"/>
                <w:tab w:val="clear" w:pos="2665"/>
              </w:tabs>
              <w:overflowPunct w:val="0"/>
              <w:autoSpaceDE w:val="0"/>
              <w:autoSpaceDN w:val="0"/>
              <w:bidi w:val="0"/>
              <w:adjustRightInd w:val="0"/>
              <w:spacing w:line="240" w:lineRule="auto"/>
              <w:jc w:val="left"/>
              <w:textAlignment w:val="baseline"/>
              <w:rPr>
                <w:rFonts w:asciiTheme="majorBidi" w:hAnsiTheme="majorBidi" w:cstheme="majorBidi"/>
                <w:rtl/>
              </w:rPr>
            </w:pPr>
          </w:p>
        </w:tc>
        <w:tc>
          <w:tcPr>
            <w:tcW w:w="7611" w:type="dxa"/>
          </w:tcPr>
          <w:p w14:paraId="6008251B" w14:textId="77777777" w:rsidR="006739F1" w:rsidRPr="00F24C7B" w:rsidRDefault="006739F1" w:rsidP="00F24C7B">
            <w:pPr>
              <w:tabs>
                <w:tab w:val="clear" w:pos="567"/>
                <w:tab w:val="clear" w:pos="1134"/>
                <w:tab w:val="clear" w:pos="1814"/>
                <w:tab w:val="clear" w:pos="2665"/>
              </w:tabs>
              <w:bidi w:val="0"/>
              <w:rPr>
                <w:rFonts w:asciiTheme="majorBidi" w:hAnsiTheme="majorBidi" w:cstheme="majorBidi"/>
                <w:rtl/>
              </w:rPr>
            </w:pPr>
            <w:r w:rsidRPr="00F24C7B">
              <w:rPr>
                <w:rFonts w:asciiTheme="majorBidi" w:hAnsiTheme="majorBidi" w:cstheme="majorBidi"/>
                <w:b/>
                <w:bCs/>
                <w:lang w:val="en"/>
              </w:rPr>
              <w:t xml:space="preserve">Supervisory order on interchange fee - </w:t>
            </w:r>
            <w:r w:rsidRPr="00F24C7B">
              <w:rPr>
                <w:rFonts w:asciiTheme="majorBidi" w:hAnsiTheme="majorBidi" w:cstheme="majorBidi"/>
                <w:lang w:val="en"/>
              </w:rPr>
              <w:t>a supervisory order on service provided by an issuer to a merchant acquirer with regard to acquiring debit transactions in immediate debit transactions. The order sets a maximum fee rate of 0.3 percent.</w:t>
            </w:r>
          </w:p>
        </w:tc>
        <w:tc>
          <w:tcPr>
            <w:tcW w:w="1626" w:type="dxa"/>
          </w:tcPr>
          <w:p w14:paraId="33847572" w14:textId="7F6589F0" w:rsidR="006739F1" w:rsidRPr="00F24C7B" w:rsidRDefault="006739F1" w:rsidP="00076B44">
            <w:pPr>
              <w:tabs>
                <w:tab w:val="clear" w:pos="567"/>
                <w:tab w:val="clear" w:pos="1134"/>
                <w:tab w:val="clear" w:pos="1814"/>
                <w:tab w:val="clear" w:pos="2665"/>
              </w:tabs>
              <w:overflowPunct w:val="0"/>
              <w:autoSpaceDE w:val="0"/>
              <w:autoSpaceDN w:val="0"/>
              <w:bidi w:val="0"/>
              <w:adjustRightInd w:val="0"/>
              <w:jc w:val="left"/>
              <w:textAlignment w:val="baseline"/>
              <w:rPr>
                <w:rFonts w:asciiTheme="majorBidi" w:eastAsia="Calibri" w:hAnsiTheme="majorBidi" w:cstheme="majorBidi"/>
                <w:rtl/>
              </w:rPr>
            </w:pPr>
            <w:r w:rsidRPr="00F24C7B">
              <w:rPr>
                <w:rFonts w:asciiTheme="majorBidi" w:eastAsia="Calibri" w:hAnsiTheme="majorBidi" w:cstheme="majorBidi"/>
                <w:lang w:val="en"/>
              </w:rPr>
              <w:t>Aug. 26</w:t>
            </w:r>
            <w:r w:rsidR="00E64F02">
              <w:rPr>
                <w:rFonts w:asciiTheme="majorBidi" w:eastAsia="Calibri" w:hAnsiTheme="majorBidi" w:cstheme="majorBidi"/>
                <w:lang w:val="en"/>
              </w:rPr>
              <w:t>,</w:t>
            </w:r>
            <w:r w:rsidRPr="00F24C7B">
              <w:rPr>
                <w:rFonts w:asciiTheme="majorBidi" w:eastAsia="Calibri" w:hAnsiTheme="majorBidi" w:cstheme="majorBidi"/>
                <w:lang w:val="en"/>
              </w:rPr>
              <w:t xml:space="preserve"> 2015</w:t>
            </w:r>
          </w:p>
        </w:tc>
      </w:tr>
      <w:tr w:rsidR="006739F1" w:rsidRPr="00F24C7B" w14:paraId="05865F1B" w14:textId="77777777" w:rsidTr="00E64F02">
        <w:trPr>
          <w:trHeight w:val="359"/>
        </w:trPr>
        <w:tc>
          <w:tcPr>
            <w:tcW w:w="727" w:type="dxa"/>
          </w:tcPr>
          <w:p w14:paraId="6B9B2445" w14:textId="77777777" w:rsidR="006739F1" w:rsidRPr="00F24C7B" w:rsidRDefault="006739F1" w:rsidP="00F24C7B">
            <w:pPr>
              <w:numPr>
                <w:ilvl w:val="0"/>
                <w:numId w:val="3"/>
              </w:numPr>
              <w:tabs>
                <w:tab w:val="clear" w:pos="567"/>
                <w:tab w:val="clear" w:pos="1134"/>
                <w:tab w:val="clear" w:pos="1814"/>
                <w:tab w:val="clear" w:pos="2665"/>
              </w:tabs>
              <w:overflowPunct w:val="0"/>
              <w:autoSpaceDE w:val="0"/>
              <w:autoSpaceDN w:val="0"/>
              <w:bidi w:val="0"/>
              <w:adjustRightInd w:val="0"/>
              <w:spacing w:line="240" w:lineRule="auto"/>
              <w:jc w:val="left"/>
              <w:textAlignment w:val="baseline"/>
              <w:rPr>
                <w:rFonts w:asciiTheme="majorBidi" w:hAnsiTheme="majorBidi" w:cstheme="majorBidi"/>
                <w:rtl/>
              </w:rPr>
            </w:pPr>
          </w:p>
        </w:tc>
        <w:tc>
          <w:tcPr>
            <w:tcW w:w="7611" w:type="dxa"/>
          </w:tcPr>
          <w:p w14:paraId="39CB602E" w14:textId="77777777" w:rsidR="006739F1" w:rsidRPr="00F24C7B" w:rsidRDefault="006739F1" w:rsidP="00F24C7B">
            <w:pPr>
              <w:tabs>
                <w:tab w:val="clear" w:pos="567"/>
                <w:tab w:val="clear" w:pos="1134"/>
                <w:tab w:val="clear" w:pos="1814"/>
                <w:tab w:val="clear" w:pos="2665"/>
                <w:tab w:val="left" w:pos="437"/>
              </w:tabs>
              <w:overflowPunct w:val="0"/>
              <w:autoSpaceDE w:val="0"/>
              <w:autoSpaceDN w:val="0"/>
              <w:bidi w:val="0"/>
              <w:adjustRightInd w:val="0"/>
              <w:textAlignment w:val="baseline"/>
              <w:rPr>
                <w:rFonts w:asciiTheme="majorBidi" w:hAnsiTheme="majorBidi" w:cstheme="majorBidi"/>
                <w:b/>
                <w:bCs/>
                <w:rtl/>
              </w:rPr>
            </w:pPr>
            <w:r w:rsidRPr="00F24C7B">
              <w:rPr>
                <w:rFonts w:asciiTheme="majorBidi" w:hAnsiTheme="majorBidi" w:cstheme="majorBidi"/>
                <w:b/>
                <w:bCs/>
                <w:lang w:val="en"/>
              </w:rPr>
              <w:t xml:space="preserve">Supervisory order on service provided by acquirer to a factoring services provider in debit card transactions - </w:t>
            </w:r>
            <w:r w:rsidRPr="00F24C7B">
              <w:rPr>
                <w:rFonts w:asciiTheme="majorBidi" w:hAnsiTheme="majorBidi" w:cstheme="majorBidi"/>
                <w:lang w:val="en"/>
              </w:rPr>
              <w:t>setting a maximum price of NIS 20, or NIS 10 if the merchant is a small business.</w:t>
            </w:r>
          </w:p>
        </w:tc>
        <w:tc>
          <w:tcPr>
            <w:tcW w:w="1626" w:type="dxa"/>
          </w:tcPr>
          <w:p w14:paraId="4A359AF4" w14:textId="37CAE98D" w:rsidR="006739F1" w:rsidRPr="00F24C7B" w:rsidRDefault="006739F1" w:rsidP="00076B44">
            <w:pPr>
              <w:tabs>
                <w:tab w:val="clear" w:pos="567"/>
                <w:tab w:val="clear" w:pos="1134"/>
                <w:tab w:val="clear" w:pos="1814"/>
                <w:tab w:val="clear" w:pos="2665"/>
              </w:tabs>
              <w:overflowPunct w:val="0"/>
              <w:autoSpaceDE w:val="0"/>
              <w:autoSpaceDN w:val="0"/>
              <w:bidi w:val="0"/>
              <w:adjustRightInd w:val="0"/>
              <w:jc w:val="left"/>
              <w:textAlignment w:val="baseline"/>
              <w:rPr>
                <w:rFonts w:asciiTheme="majorBidi" w:hAnsiTheme="majorBidi" w:cstheme="majorBidi"/>
                <w:rtl/>
              </w:rPr>
            </w:pPr>
            <w:r w:rsidRPr="00F24C7B">
              <w:rPr>
                <w:rFonts w:asciiTheme="majorBidi" w:hAnsiTheme="majorBidi" w:cstheme="majorBidi"/>
                <w:lang w:val="en"/>
              </w:rPr>
              <w:t>May 10</w:t>
            </w:r>
            <w:r w:rsidR="00E64F02">
              <w:rPr>
                <w:rFonts w:asciiTheme="majorBidi" w:hAnsiTheme="majorBidi" w:cstheme="majorBidi"/>
                <w:lang w:val="en"/>
              </w:rPr>
              <w:t>,</w:t>
            </w:r>
            <w:r w:rsidRPr="00F24C7B">
              <w:rPr>
                <w:rFonts w:asciiTheme="majorBidi" w:hAnsiTheme="majorBidi" w:cstheme="majorBidi"/>
                <w:lang w:val="en"/>
              </w:rPr>
              <w:t xml:space="preserve"> 2015</w:t>
            </w:r>
          </w:p>
        </w:tc>
      </w:tr>
      <w:tr w:rsidR="006739F1" w:rsidRPr="00F24C7B" w14:paraId="6F18BE07" w14:textId="77777777" w:rsidTr="00E64F02">
        <w:trPr>
          <w:trHeight w:val="359"/>
        </w:trPr>
        <w:tc>
          <w:tcPr>
            <w:tcW w:w="727" w:type="dxa"/>
          </w:tcPr>
          <w:p w14:paraId="0EFB47D5" w14:textId="77777777" w:rsidR="006739F1" w:rsidRPr="00F24C7B" w:rsidRDefault="006739F1" w:rsidP="00F24C7B">
            <w:pPr>
              <w:numPr>
                <w:ilvl w:val="0"/>
                <w:numId w:val="3"/>
              </w:numPr>
              <w:tabs>
                <w:tab w:val="clear" w:pos="567"/>
                <w:tab w:val="clear" w:pos="1134"/>
                <w:tab w:val="clear" w:pos="1814"/>
                <w:tab w:val="clear" w:pos="2665"/>
              </w:tabs>
              <w:overflowPunct w:val="0"/>
              <w:autoSpaceDE w:val="0"/>
              <w:autoSpaceDN w:val="0"/>
              <w:bidi w:val="0"/>
              <w:adjustRightInd w:val="0"/>
              <w:spacing w:line="240" w:lineRule="auto"/>
              <w:jc w:val="left"/>
              <w:textAlignment w:val="baseline"/>
              <w:rPr>
                <w:rFonts w:asciiTheme="majorBidi" w:hAnsiTheme="majorBidi" w:cstheme="majorBidi"/>
                <w:rtl/>
              </w:rPr>
            </w:pPr>
          </w:p>
        </w:tc>
        <w:tc>
          <w:tcPr>
            <w:tcW w:w="7611" w:type="dxa"/>
          </w:tcPr>
          <w:p w14:paraId="58FF729F" w14:textId="77777777" w:rsidR="006739F1" w:rsidRPr="00F24C7B" w:rsidRDefault="006739F1" w:rsidP="00F24C7B">
            <w:pPr>
              <w:tabs>
                <w:tab w:val="clear" w:pos="567"/>
                <w:tab w:val="clear" w:pos="1134"/>
                <w:tab w:val="clear" w:pos="1814"/>
                <w:tab w:val="clear" w:pos="2665"/>
              </w:tabs>
              <w:bidi w:val="0"/>
              <w:rPr>
                <w:rFonts w:asciiTheme="majorBidi" w:hAnsiTheme="majorBidi" w:cstheme="majorBidi"/>
                <w:b/>
                <w:bCs/>
                <w:rtl/>
              </w:rPr>
            </w:pPr>
            <w:r w:rsidRPr="00F24C7B">
              <w:rPr>
                <w:rFonts w:asciiTheme="majorBidi" w:hAnsiTheme="majorBidi" w:cstheme="majorBidi"/>
                <w:b/>
                <w:bCs/>
                <w:lang w:val="en"/>
              </w:rPr>
              <w:t xml:space="preserve">Supervisory order on alerts and notifications service - </w:t>
            </w:r>
            <w:r w:rsidRPr="00F24C7B">
              <w:rPr>
                <w:rFonts w:asciiTheme="majorBidi" w:hAnsiTheme="majorBidi" w:cstheme="majorBidi"/>
                <w:lang w:val="en"/>
              </w:rPr>
              <w:t>a maximum fee amount of NIS 5</w:t>
            </w:r>
          </w:p>
        </w:tc>
        <w:tc>
          <w:tcPr>
            <w:tcW w:w="1626" w:type="dxa"/>
          </w:tcPr>
          <w:p w14:paraId="5ADD1919" w14:textId="3F351C8A" w:rsidR="006739F1" w:rsidRPr="00F24C7B" w:rsidRDefault="006739F1" w:rsidP="00076B44">
            <w:pPr>
              <w:tabs>
                <w:tab w:val="clear" w:pos="567"/>
                <w:tab w:val="clear" w:pos="1134"/>
                <w:tab w:val="clear" w:pos="1814"/>
                <w:tab w:val="clear" w:pos="2665"/>
              </w:tabs>
              <w:overflowPunct w:val="0"/>
              <w:autoSpaceDE w:val="0"/>
              <w:autoSpaceDN w:val="0"/>
              <w:bidi w:val="0"/>
              <w:adjustRightInd w:val="0"/>
              <w:jc w:val="left"/>
              <w:textAlignment w:val="baseline"/>
              <w:rPr>
                <w:rFonts w:asciiTheme="majorBidi" w:hAnsiTheme="majorBidi" w:cstheme="majorBidi"/>
                <w:rtl/>
              </w:rPr>
            </w:pPr>
            <w:r w:rsidRPr="00F24C7B">
              <w:rPr>
                <w:rFonts w:asciiTheme="majorBidi" w:hAnsiTheme="majorBidi" w:cstheme="majorBidi"/>
                <w:lang w:val="en"/>
              </w:rPr>
              <w:t>May 10</w:t>
            </w:r>
            <w:r w:rsidR="00E64F02">
              <w:rPr>
                <w:rFonts w:asciiTheme="majorBidi" w:hAnsiTheme="majorBidi" w:cstheme="majorBidi"/>
                <w:lang w:val="en"/>
              </w:rPr>
              <w:t>,</w:t>
            </w:r>
            <w:r w:rsidRPr="00F24C7B">
              <w:rPr>
                <w:rFonts w:asciiTheme="majorBidi" w:hAnsiTheme="majorBidi" w:cstheme="majorBidi"/>
                <w:lang w:val="en"/>
              </w:rPr>
              <w:t xml:space="preserve"> 2015</w:t>
            </w:r>
          </w:p>
        </w:tc>
      </w:tr>
      <w:tr w:rsidR="006739F1" w:rsidRPr="00F24C7B" w14:paraId="144F8A99" w14:textId="77777777" w:rsidTr="00E64F02">
        <w:trPr>
          <w:trHeight w:val="359"/>
        </w:trPr>
        <w:tc>
          <w:tcPr>
            <w:tcW w:w="727" w:type="dxa"/>
          </w:tcPr>
          <w:p w14:paraId="233F0C9A" w14:textId="77777777" w:rsidR="006739F1" w:rsidRPr="00F24C7B" w:rsidRDefault="006739F1" w:rsidP="00F24C7B">
            <w:pPr>
              <w:numPr>
                <w:ilvl w:val="0"/>
                <w:numId w:val="3"/>
              </w:numPr>
              <w:tabs>
                <w:tab w:val="clear" w:pos="567"/>
                <w:tab w:val="clear" w:pos="1134"/>
                <w:tab w:val="clear" w:pos="1814"/>
                <w:tab w:val="clear" w:pos="2665"/>
              </w:tabs>
              <w:overflowPunct w:val="0"/>
              <w:autoSpaceDE w:val="0"/>
              <w:autoSpaceDN w:val="0"/>
              <w:bidi w:val="0"/>
              <w:adjustRightInd w:val="0"/>
              <w:spacing w:line="240" w:lineRule="auto"/>
              <w:jc w:val="left"/>
              <w:textAlignment w:val="baseline"/>
              <w:rPr>
                <w:rFonts w:asciiTheme="majorBidi" w:hAnsiTheme="majorBidi" w:cstheme="majorBidi"/>
                <w:rtl/>
              </w:rPr>
            </w:pPr>
          </w:p>
        </w:tc>
        <w:tc>
          <w:tcPr>
            <w:tcW w:w="7611" w:type="dxa"/>
          </w:tcPr>
          <w:p w14:paraId="44D345BD" w14:textId="77777777" w:rsidR="006739F1" w:rsidRPr="00F24C7B" w:rsidRDefault="006739F1" w:rsidP="00F24C7B">
            <w:pPr>
              <w:tabs>
                <w:tab w:val="clear" w:pos="567"/>
                <w:tab w:val="clear" w:pos="1134"/>
                <w:tab w:val="clear" w:pos="1814"/>
                <w:tab w:val="clear" w:pos="2665"/>
              </w:tabs>
              <w:bidi w:val="0"/>
              <w:rPr>
                <w:rFonts w:asciiTheme="majorBidi" w:hAnsiTheme="majorBidi" w:cstheme="majorBidi"/>
                <w:b/>
                <w:bCs/>
                <w:rtl/>
              </w:rPr>
            </w:pPr>
            <w:r w:rsidRPr="00F24C7B">
              <w:rPr>
                <w:rFonts w:asciiTheme="majorBidi" w:hAnsiTheme="majorBidi" w:cstheme="majorBidi"/>
                <w:b/>
                <w:bCs/>
                <w:lang w:val="en"/>
              </w:rPr>
              <w:t xml:space="preserve">Supervisory order on basic track service - </w:t>
            </w:r>
            <w:r w:rsidRPr="00F24C7B">
              <w:rPr>
                <w:rFonts w:asciiTheme="majorBidi" w:hAnsiTheme="majorBidi" w:cstheme="majorBidi"/>
                <w:lang w:val="en"/>
              </w:rPr>
              <w:t>a maximum fee amount of NIS 10</w:t>
            </w:r>
          </w:p>
        </w:tc>
        <w:tc>
          <w:tcPr>
            <w:tcW w:w="1626" w:type="dxa"/>
          </w:tcPr>
          <w:p w14:paraId="78273CAC" w14:textId="3DBEC92B" w:rsidR="006739F1" w:rsidRPr="00F24C7B" w:rsidRDefault="006739F1" w:rsidP="00076B44">
            <w:pPr>
              <w:tabs>
                <w:tab w:val="clear" w:pos="567"/>
                <w:tab w:val="clear" w:pos="1134"/>
                <w:tab w:val="clear" w:pos="1814"/>
                <w:tab w:val="clear" w:pos="2665"/>
              </w:tabs>
              <w:overflowPunct w:val="0"/>
              <w:autoSpaceDE w:val="0"/>
              <w:autoSpaceDN w:val="0"/>
              <w:bidi w:val="0"/>
              <w:adjustRightInd w:val="0"/>
              <w:jc w:val="left"/>
              <w:textAlignment w:val="baseline"/>
              <w:rPr>
                <w:rFonts w:asciiTheme="majorBidi" w:hAnsiTheme="majorBidi" w:cstheme="majorBidi"/>
                <w:rtl/>
              </w:rPr>
            </w:pPr>
            <w:r w:rsidRPr="00F24C7B">
              <w:rPr>
                <w:rFonts w:asciiTheme="majorBidi" w:hAnsiTheme="majorBidi" w:cstheme="majorBidi"/>
                <w:lang w:val="en"/>
              </w:rPr>
              <w:t>March 24</w:t>
            </w:r>
            <w:r w:rsidR="00E64F02">
              <w:rPr>
                <w:rFonts w:asciiTheme="majorBidi" w:hAnsiTheme="majorBidi" w:cstheme="majorBidi"/>
                <w:lang w:val="en"/>
              </w:rPr>
              <w:t>,</w:t>
            </w:r>
            <w:r w:rsidRPr="00F24C7B">
              <w:rPr>
                <w:rFonts w:asciiTheme="majorBidi" w:hAnsiTheme="majorBidi" w:cstheme="majorBidi"/>
                <w:lang w:val="en"/>
              </w:rPr>
              <w:t xml:space="preserve"> 2014</w:t>
            </w:r>
          </w:p>
        </w:tc>
      </w:tr>
    </w:tbl>
    <w:p w14:paraId="4A84C9A7" w14:textId="77777777" w:rsidR="004A00BD" w:rsidRPr="00F24C7B" w:rsidRDefault="004A00BD" w:rsidP="00F24C7B">
      <w:pPr>
        <w:pStyle w:val="Heading1"/>
        <w:bidi w:val="0"/>
        <w:ind w:left="0"/>
        <w:rPr>
          <w:rFonts w:asciiTheme="majorBidi" w:hAnsiTheme="majorBidi" w:cstheme="majorBidi"/>
          <w:rtl/>
        </w:rPr>
      </w:pPr>
    </w:p>
    <w:sectPr w:rsidR="004A00BD" w:rsidRPr="00F24C7B" w:rsidSect="00B93BA7">
      <w:headerReference w:type="even" r:id="rId25"/>
      <w:footerReference w:type="even" r:id="rId26"/>
      <w:footerReference w:type="default" r:id="rId27"/>
      <w:headerReference w:type="first" r:id="rId28"/>
      <w:footerReference w:type="first" r:id="rId29"/>
      <w:endnotePr>
        <w:numFmt w:val="lowerLetter"/>
      </w:endnotePr>
      <w:type w:val="continuous"/>
      <w:pgSz w:w="11906" w:h="16838" w:code="9"/>
      <w:pgMar w:top="1440" w:right="1080" w:bottom="426" w:left="1080" w:header="1077" w:footer="340" w:gutter="0"/>
      <w:cols w:space="720"/>
      <w:titlePg/>
      <w:bidi/>
      <w:docGrid w:linePitch="326"/>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4E">
      <wne:acd wne:acdName="acd4"/>
    </wne:keymap>
  </wne:keymaps>
  <wne:toolbars>
    <wne:acdManifest>
      <wne:acdEntry wne:acdName="acd0"/>
      <wne:acdEntry wne:acdName="acd1"/>
      <wne:acdEntry wne:acdName="acd2"/>
      <wne:acdEntry wne:acdName="acd3"/>
      <wne:acdEntry wne:acdName="acd4"/>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A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CFD92" w14:textId="77777777" w:rsidR="00DD1050" w:rsidRDefault="00DD1050">
      <w:pPr>
        <w:bidi w:val="0"/>
      </w:pPr>
      <w:r>
        <w:separator/>
      </w:r>
    </w:p>
  </w:endnote>
  <w:endnote w:type="continuationSeparator" w:id="0">
    <w:p w14:paraId="267A7AD0" w14:textId="77777777" w:rsidR="00DD1050" w:rsidRDefault="00DD1050">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0000000000000000000"/>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C3403" w14:textId="77777777" w:rsidR="006739F1" w:rsidRDefault="006739F1" w:rsidP="0064358E">
    <w:pPr>
      <w:pStyle w:val="Footer"/>
      <w:framePr w:wrap="around" w:vAnchor="text" w:hAnchor="margin" w:xAlign="center" w:y="1"/>
      <w:bidi w:val="0"/>
      <w:rPr>
        <w:rStyle w:val="PageNumber"/>
      </w:rPr>
    </w:pPr>
    <w:r>
      <w:rPr>
        <w:rStyle w:val="PageNumber"/>
        <w:rtl/>
      </w:rPr>
      <w:fldChar w:fldCharType="begin"/>
    </w:r>
    <w:r>
      <w:rPr>
        <w:rStyle w:val="PageNumber"/>
        <w:lang w:val="en"/>
      </w:rPr>
      <w:instrText xml:space="preserve">PAGE  </w:instrText>
    </w:r>
    <w:r>
      <w:rPr>
        <w:rStyle w:val="PageNumber"/>
        <w:rtl/>
      </w:rPr>
      <w:fldChar w:fldCharType="end"/>
    </w:r>
  </w:p>
  <w:p w14:paraId="52040911" w14:textId="77777777" w:rsidR="006739F1" w:rsidRDefault="006739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586319"/>
      <w:docPartObj>
        <w:docPartGallery w:val="Page Numbers (Bottom of Page)"/>
        <w:docPartUnique/>
      </w:docPartObj>
    </w:sdtPr>
    <w:sdtEndPr/>
    <w:sdtContent>
      <w:p w14:paraId="507C9FE8" w14:textId="1365FDA9" w:rsidR="006739F1" w:rsidRDefault="006739F1">
        <w:pPr>
          <w:pStyle w:val="Footer"/>
          <w:bidi w:val="0"/>
          <w:jc w:val="center"/>
          <w:rPr>
            <w:rtl/>
            <w:cs/>
          </w:rPr>
        </w:pPr>
        <w:r>
          <w:rPr>
            <w:lang w:val="en"/>
          </w:rPr>
          <w:fldChar w:fldCharType="begin"/>
        </w:r>
        <w:r>
          <w:rPr>
            <w:rtl/>
            <w:cs/>
            <w:lang w:val="en"/>
          </w:rPr>
          <w:instrText>PAGE   \* MERGEFORMAT</w:instrText>
        </w:r>
        <w:r>
          <w:rPr>
            <w:lang w:val="en"/>
          </w:rPr>
          <w:fldChar w:fldCharType="separate"/>
        </w:r>
        <w:r w:rsidR="00343910">
          <w:rPr>
            <w:noProof/>
            <w:lang w:val="en"/>
          </w:rPr>
          <w:t>7</w:t>
        </w:r>
        <w:r>
          <w:rPr>
            <w:lang w:val="en"/>
          </w:rPr>
          <w:fldChar w:fldCharType="end"/>
        </w:r>
      </w:p>
    </w:sdtContent>
  </w:sdt>
  <w:p w14:paraId="580F7473" w14:textId="77777777" w:rsidR="006739F1" w:rsidRDefault="006739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153950"/>
      <w:docPartObj>
        <w:docPartGallery w:val="Page Numbers (Bottom of Page)"/>
        <w:docPartUnique/>
      </w:docPartObj>
    </w:sdtPr>
    <w:sdtEndPr>
      <w:rPr>
        <w:cs/>
      </w:rPr>
    </w:sdtEndPr>
    <w:sdtContent>
      <w:p w14:paraId="08B36902" w14:textId="77777777" w:rsidR="006739F1" w:rsidRDefault="006739F1">
        <w:pPr>
          <w:pStyle w:val="Footer"/>
          <w:bidi w:val="0"/>
          <w:jc w:val="center"/>
          <w:rPr>
            <w:rtl/>
            <w:cs/>
          </w:rPr>
        </w:pPr>
        <w:r>
          <w:rPr>
            <w:lang w:val="en"/>
          </w:rPr>
          <w:fldChar w:fldCharType="begin"/>
        </w:r>
        <w:r>
          <w:rPr>
            <w:rtl/>
            <w:cs/>
            <w:lang w:val="en"/>
          </w:rPr>
          <w:instrText>PAGE   \* MERGEFORMAT</w:instrText>
        </w:r>
        <w:r>
          <w:rPr>
            <w:lang w:val="en"/>
          </w:rPr>
          <w:fldChar w:fldCharType="separate"/>
        </w:r>
        <w:r>
          <w:rPr>
            <w:noProof/>
            <w:lang w:val="en"/>
          </w:rPr>
          <w:t>1</w:t>
        </w:r>
        <w:r>
          <w:rPr>
            <w:lang w:val="en"/>
          </w:rPr>
          <w:fldChar w:fldCharType="end"/>
        </w:r>
      </w:p>
    </w:sdtContent>
  </w:sdt>
  <w:p w14:paraId="65D02D84" w14:textId="77777777" w:rsidR="006739F1" w:rsidRPr="00D340F3" w:rsidRDefault="006739F1" w:rsidP="00EF237D">
    <w:pPr>
      <w:jc w:val="center"/>
      <w:rPr>
        <w:color w:val="FFFFFF"/>
        <w:sz w:val="2"/>
        <w:szCs w:val="2"/>
        <w:rtl/>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F98E9" w14:textId="77777777" w:rsidR="00C607B2" w:rsidRDefault="00C607B2" w:rsidP="0064358E">
    <w:pPr>
      <w:pStyle w:val="Footer"/>
      <w:framePr w:wrap="around" w:vAnchor="text" w:hAnchor="margin" w:xAlign="center" w:y="1"/>
      <w:bidi w:val="0"/>
      <w:rPr>
        <w:rStyle w:val="PageNumber"/>
      </w:rPr>
    </w:pPr>
    <w:r>
      <w:rPr>
        <w:rStyle w:val="PageNumber"/>
        <w:rtl/>
      </w:rPr>
      <w:fldChar w:fldCharType="begin"/>
    </w:r>
    <w:r>
      <w:rPr>
        <w:rStyle w:val="PageNumber"/>
        <w:lang w:val="en"/>
      </w:rPr>
      <w:instrText xml:space="preserve">PAGE  </w:instrText>
    </w:r>
    <w:r>
      <w:rPr>
        <w:rStyle w:val="PageNumber"/>
        <w:rtl/>
      </w:rPr>
      <w:fldChar w:fldCharType="end"/>
    </w:r>
  </w:p>
  <w:p w14:paraId="5D69FB49" w14:textId="77777777" w:rsidR="00C607B2" w:rsidRDefault="00C607B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0697"/>
      <w:docPartObj>
        <w:docPartGallery w:val="Page Numbers (Bottom of Page)"/>
        <w:docPartUnique/>
      </w:docPartObj>
    </w:sdtPr>
    <w:sdtEndPr/>
    <w:sdtContent>
      <w:p w14:paraId="5590B7FB" w14:textId="77FFE6C8" w:rsidR="00C607B2" w:rsidRDefault="00C607B2">
        <w:pPr>
          <w:pStyle w:val="Footer"/>
          <w:bidi w:val="0"/>
          <w:jc w:val="center"/>
          <w:rPr>
            <w:rtl/>
            <w:cs/>
          </w:rPr>
        </w:pPr>
        <w:r>
          <w:rPr>
            <w:lang w:val="en"/>
          </w:rPr>
          <w:fldChar w:fldCharType="begin"/>
        </w:r>
        <w:r>
          <w:rPr>
            <w:rtl/>
            <w:cs/>
            <w:lang w:val="en"/>
          </w:rPr>
          <w:instrText>PAGE   \* MERGEFORMAT</w:instrText>
        </w:r>
        <w:r>
          <w:rPr>
            <w:lang w:val="en"/>
          </w:rPr>
          <w:fldChar w:fldCharType="separate"/>
        </w:r>
        <w:r w:rsidR="00343910">
          <w:rPr>
            <w:noProof/>
            <w:lang w:val="en"/>
          </w:rPr>
          <w:t>19</w:t>
        </w:r>
        <w:r>
          <w:rPr>
            <w:lang w:val="en"/>
          </w:rPr>
          <w:fldChar w:fldCharType="end"/>
        </w:r>
      </w:p>
    </w:sdtContent>
  </w:sdt>
  <w:p w14:paraId="2BEF06C8" w14:textId="77777777" w:rsidR="00C607B2" w:rsidRDefault="00C607B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940000"/>
      <w:docPartObj>
        <w:docPartGallery w:val="Page Numbers (Bottom of Page)"/>
        <w:docPartUnique/>
      </w:docPartObj>
    </w:sdtPr>
    <w:sdtEndPr>
      <w:rPr>
        <w:cs/>
      </w:rPr>
    </w:sdtEndPr>
    <w:sdtContent>
      <w:p w14:paraId="6620B032" w14:textId="6F84303A" w:rsidR="00C607B2" w:rsidRDefault="00C607B2">
        <w:pPr>
          <w:pStyle w:val="Footer"/>
          <w:bidi w:val="0"/>
          <w:jc w:val="center"/>
          <w:rPr>
            <w:rtl/>
            <w:cs/>
          </w:rPr>
        </w:pPr>
        <w:r>
          <w:rPr>
            <w:lang w:val="en"/>
          </w:rPr>
          <w:fldChar w:fldCharType="begin"/>
        </w:r>
        <w:r>
          <w:rPr>
            <w:rtl/>
            <w:cs/>
            <w:lang w:val="en"/>
          </w:rPr>
          <w:instrText>PAGE   \* MERGEFORMAT</w:instrText>
        </w:r>
        <w:r>
          <w:rPr>
            <w:lang w:val="en"/>
          </w:rPr>
          <w:fldChar w:fldCharType="separate"/>
        </w:r>
        <w:r w:rsidR="00DB503C">
          <w:rPr>
            <w:noProof/>
            <w:lang w:val="en"/>
          </w:rPr>
          <w:t>8</w:t>
        </w:r>
        <w:r>
          <w:rPr>
            <w:lang w:val="en"/>
          </w:rPr>
          <w:fldChar w:fldCharType="end"/>
        </w:r>
      </w:p>
    </w:sdtContent>
  </w:sdt>
  <w:p w14:paraId="0F14514C" w14:textId="77777777" w:rsidR="00C607B2" w:rsidRPr="00D340F3" w:rsidRDefault="00C607B2" w:rsidP="00EF237D">
    <w:pPr>
      <w:jc w:val="center"/>
      <w:rPr>
        <w:color w:val="FFFFFF"/>
        <w:sz w:val="2"/>
        <w:szCs w:val="2"/>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CC23D" w14:textId="77777777" w:rsidR="00DD1050" w:rsidRDefault="00DD1050">
      <w:pPr>
        <w:bidi w:val="0"/>
      </w:pPr>
      <w:r>
        <w:separator/>
      </w:r>
    </w:p>
  </w:footnote>
  <w:footnote w:type="continuationSeparator" w:id="0">
    <w:p w14:paraId="5208C0E1" w14:textId="77777777" w:rsidR="00DD1050" w:rsidRDefault="00DD1050">
      <w:pPr>
        <w:bidi w:val="0"/>
      </w:pPr>
      <w:r>
        <w:continuationSeparator/>
      </w:r>
    </w:p>
  </w:footnote>
  <w:footnote w:id="1">
    <w:p w14:paraId="779D44C2" w14:textId="77777777" w:rsidR="006739F1" w:rsidRPr="00F24C7B" w:rsidRDefault="006739F1" w:rsidP="00F24C7B">
      <w:pPr>
        <w:pStyle w:val="FootnoteText"/>
        <w:bidi w:val="0"/>
        <w:spacing w:line="240" w:lineRule="auto"/>
        <w:rPr>
          <w:rFonts w:asciiTheme="majorBidi" w:hAnsiTheme="majorBidi" w:cstheme="majorBidi"/>
        </w:rPr>
      </w:pPr>
      <w:r w:rsidRPr="00F24C7B">
        <w:rPr>
          <w:rStyle w:val="FootnoteReference"/>
          <w:rFonts w:asciiTheme="majorBidi" w:hAnsiTheme="majorBidi" w:cstheme="majorBidi"/>
          <w:lang w:val="en"/>
        </w:rPr>
        <w:footnoteRef/>
      </w:r>
      <w:r w:rsidRPr="00F24C7B">
        <w:rPr>
          <w:rFonts w:asciiTheme="majorBidi" w:hAnsiTheme="majorBidi" w:cstheme="majorBidi"/>
          <w:lang w:val="en"/>
        </w:rPr>
        <w:t xml:space="preserve"> </w:t>
      </w:r>
      <w:r w:rsidRPr="00F24C7B">
        <w:rPr>
          <w:rStyle w:val="FootnoteReference"/>
          <w:rFonts w:asciiTheme="majorBidi" w:hAnsiTheme="majorBidi" w:cstheme="majorBidi"/>
          <w:vertAlign w:val="baseline"/>
          <w:lang w:val="en"/>
        </w:rPr>
        <w:t>There was a retroactive correction in the number of accounts, as of December 31 2017, due to data scrubbing carried out by the banking corporations.</w:t>
      </w:r>
      <w:r w:rsidRPr="00F24C7B">
        <w:rPr>
          <w:rFonts w:asciiTheme="majorBidi" w:hAnsiTheme="majorBidi" w:cstheme="majorBidi"/>
          <w:lang w:val="en"/>
        </w:rPr>
        <w:t xml:space="preserve"> In addition, there was a retroactive correction in fee revenue from card holders collected by credit card companies from 2011 onward. </w:t>
      </w:r>
    </w:p>
  </w:footnote>
  <w:footnote w:id="2">
    <w:p w14:paraId="6763D045" w14:textId="77777777" w:rsidR="006739F1" w:rsidRPr="00F24C7B" w:rsidRDefault="006739F1" w:rsidP="00F24C7B">
      <w:pPr>
        <w:pStyle w:val="FootnoteText"/>
        <w:bidi w:val="0"/>
        <w:spacing w:line="240" w:lineRule="auto"/>
        <w:rPr>
          <w:rFonts w:asciiTheme="majorBidi" w:hAnsiTheme="majorBidi" w:cstheme="majorBidi"/>
          <w:rtl/>
        </w:rPr>
      </w:pPr>
      <w:r w:rsidRPr="00F24C7B">
        <w:rPr>
          <w:rStyle w:val="FootnoteReference"/>
          <w:rFonts w:asciiTheme="majorBidi" w:hAnsiTheme="majorBidi" w:cstheme="majorBidi"/>
          <w:lang w:val="en"/>
        </w:rPr>
        <w:footnoteRef/>
      </w:r>
      <w:r w:rsidRPr="00F24C7B">
        <w:rPr>
          <w:rStyle w:val="FootnoteReference"/>
          <w:rFonts w:asciiTheme="majorBidi" w:hAnsiTheme="majorBidi" w:cstheme="majorBidi"/>
          <w:lang w:val="en"/>
        </w:rPr>
        <w:t xml:space="preserve"> </w:t>
      </w:r>
      <w:r w:rsidRPr="00F24C7B">
        <w:rPr>
          <w:rFonts w:asciiTheme="majorBidi" w:hAnsiTheme="majorBidi" w:cstheme="majorBidi"/>
          <w:b/>
          <w:bCs/>
          <w:lang w:val="en"/>
        </w:rPr>
        <w:t>The average monthly cost for managing a current account and holding a debit card per household or private banking</w:t>
      </w:r>
      <w:r w:rsidRPr="00F24C7B">
        <w:rPr>
          <w:rFonts w:asciiTheme="majorBidi" w:hAnsiTheme="majorBidi" w:cstheme="majorBidi"/>
          <w:lang w:val="en"/>
        </w:rPr>
        <w:t xml:space="preserve"> account is calculated as total revenue from fees collected directly by the banking corporations from household and private banking accounts, relative to the number of households and private banking current accounts, per month, broken down by banking areas of activity (in accordance with data reported to the Banking Supervision Department by the banks, the financial statements, and Banking Supervision Department calculations).</w:t>
      </w:r>
    </w:p>
  </w:footnote>
  <w:footnote w:id="3">
    <w:p w14:paraId="7B39C267" w14:textId="77777777" w:rsidR="006739F1" w:rsidRPr="00F24C7B" w:rsidRDefault="006739F1" w:rsidP="00F24C7B">
      <w:pPr>
        <w:pStyle w:val="FootnoteText"/>
        <w:bidi w:val="0"/>
        <w:spacing w:line="240" w:lineRule="auto"/>
        <w:rPr>
          <w:rFonts w:asciiTheme="majorBidi" w:hAnsiTheme="majorBidi" w:cstheme="majorBidi"/>
        </w:rPr>
      </w:pPr>
      <w:r w:rsidRPr="00F24C7B">
        <w:rPr>
          <w:rStyle w:val="FootnoteReference"/>
          <w:rFonts w:asciiTheme="majorBidi" w:hAnsiTheme="majorBidi" w:cstheme="majorBidi"/>
          <w:lang w:val="en"/>
        </w:rPr>
        <w:footnoteRef/>
      </w:r>
      <w:r w:rsidRPr="00F24C7B">
        <w:rPr>
          <w:rFonts w:asciiTheme="majorBidi" w:hAnsiTheme="majorBidi" w:cstheme="majorBidi"/>
          <w:lang w:val="en"/>
        </w:rPr>
        <w:t xml:space="preserve"> The current graph was calculated based on revised data from several accounts reported by the banking corporations (see Footnote 1 as well).</w:t>
      </w:r>
      <w:r w:rsidRPr="00F24C7B">
        <w:rPr>
          <w:rFonts w:asciiTheme="majorBidi" w:hAnsiTheme="majorBidi" w:cstheme="majorBidi"/>
          <w:rtl/>
        </w:rPr>
        <w:t xml:space="preserve"> </w:t>
      </w:r>
    </w:p>
  </w:footnote>
  <w:footnote w:id="4">
    <w:p w14:paraId="71E3D35D" w14:textId="77777777" w:rsidR="006739F1" w:rsidRPr="00F24C7B" w:rsidRDefault="006739F1" w:rsidP="00F24C7B">
      <w:pPr>
        <w:pStyle w:val="FootnoteText"/>
        <w:bidi w:val="0"/>
        <w:spacing w:line="240" w:lineRule="auto"/>
        <w:rPr>
          <w:rFonts w:asciiTheme="majorBidi" w:hAnsiTheme="majorBidi" w:cstheme="majorBidi"/>
        </w:rPr>
      </w:pPr>
      <w:r w:rsidRPr="00F24C7B">
        <w:rPr>
          <w:rStyle w:val="FootnoteReference"/>
          <w:rFonts w:asciiTheme="majorBidi" w:hAnsiTheme="majorBidi" w:cstheme="majorBidi"/>
          <w:lang w:val="en"/>
        </w:rPr>
        <w:footnoteRef/>
      </w:r>
      <w:r w:rsidRPr="00F24C7B">
        <w:rPr>
          <w:rFonts w:asciiTheme="majorBidi" w:hAnsiTheme="majorBidi" w:cstheme="majorBidi"/>
          <w:lang w:val="en"/>
        </w:rPr>
        <w:t xml:space="preserve"> Amendment to the Rules of Banking (Customer Service) (Fees) (Amendment), 5719-2019. A small business as defined by the Rules. </w:t>
      </w:r>
    </w:p>
  </w:footnote>
  <w:footnote w:id="5">
    <w:p w14:paraId="4C3090FE" w14:textId="77777777" w:rsidR="006739F1" w:rsidRPr="00F24C7B" w:rsidRDefault="006739F1" w:rsidP="00F24C7B">
      <w:pPr>
        <w:pStyle w:val="FootnoteText"/>
        <w:bidi w:val="0"/>
        <w:spacing w:line="240" w:lineRule="auto"/>
        <w:rPr>
          <w:rFonts w:asciiTheme="majorBidi" w:hAnsiTheme="majorBidi" w:cstheme="majorBidi"/>
        </w:rPr>
      </w:pPr>
      <w:r w:rsidRPr="00F24C7B">
        <w:rPr>
          <w:rStyle w:val="FootnoteReference"/>
          <w:rFonts w:asciiTheme="majorBidi" w:hAnsiTheme="majorBidi" w:cstheme="majorBidi"/>
          <w:lang w:val="en"/>
        </w:rPr>
        <w:footnoteRef/>
      </w:r>
      <w:r w:rsidRPr="00F24C7B">
        <w:rPr>
          <w:rFonts w:asciiTheme="majorBidi" w:hAnsiTheme="majorBidi" w:cstheme="majorBidi"/>
          <w:lang w:val="en"/>
        </w:rPr>
        <w:t xml:space="preserve"> Except for the Bank of Jerusalem, which charges a fixed fee of NIS 6.5 per month, regardless of the number of transactions.</w:t>
      </w:r>
    </w:p>
  </w:footnote>
  <w:footnote w:id="6">
    <w:p w14:paraId="7E374400" w14:textId="77777777" w:rsidR="006739F1" w:rsidRPr="00F24C7B" w:rsidRDefault="006739F1" w:rsidP="00F24C7B">
      <w:pPr>
        <w:pStyle w:val="FootnoteText"/>
        <w:bidi w:val="0"/>
        <w:spacing w:line="240" w:lineRule="auto"/>
        <w:rPr>
          <w:rFonts w:asciiTheme="majorBidi" w:hAnsiTheme="majorBidi" w:cstheme="majorBidi"/>
        </w:rPr>
      </w:pPr>
      <w:r w:rsidRPr="00F24C7B">
        <w:rPr>
          <w:rStyle w:val="FootnoteReference"/>
          <w:rFonts w:asciiTheme="majorBidi" w:hAnsiTheme="majorBidi" w:cstheme="majorBidi"/>
          <w:lang w:val="en"/>
        </w:rPr>
        <w:footnoteRef/>
      </w:r>
      <w:r w:rsidRPr="00F24C7B">
        <w:rPr>
          <w:rFonts w:asciiTheme="majorBidi" w:hAnsiTheme="majorBidi" w:cstheme="majorBidi"/>
          <w:lang w:val="en"/>
        </w:rPr>
        <w:t xml:space="preserve"> For more information, please see the Definitions section in the Banking (Service to the Customer) (Fees) Rules, 5768-2008.</w:t>
      </w:r>
    </w:p>
  </w:footnote>
  <w:footnote w:id="7">
    <w:p w14:paraId="2938AB23" w14:textId="77777777" w:rsidR="006739F1" w:rsidRPr="00F24C7B" w:rsidRDefault="006739F1" w:rsidP="00F24C7B">
      <w:pPr>
        <w:pStyle w:val="FootnoteText"/>
        <w:bidi w:val="0"/>
        <w:spacing w:line="240" w:lineRule="auto"/>
        <w:rPr>
          <w:rFonts w:asciiTheme="majorBidi" w:hAnsiTheme="majorBidi" w:cstheme="majorBidi"/>
          <w:rtl/>
        </w:rPr>
      </w:pPr>
      <w:r w:rsidRPr="00F24C7B">
        <w:rPr>
          <w:rStyle w:val="FootnoteReference"/>
          <w:rFonts w:asciiTheme="majorBidi" w:hAnsiTheme="majorBidi" w:cstheme="majorBidi"/>
          <w:lang w:val="en"/>
        </w:rPr>
        <w:footnoteRef/>
      </w:r>
      <w:r w:rsidRPr="00F24C7B">
        <w:rPr>
          <w:rFonts w:asciiTheme="majorBidi" w:hAnsiTheme="majorBidi" w:cstheme="majorBidi"/>
          <w:lang w:val="en"/>
        </w:rPr>
        <w:t xml:space="preserve"> The Bank of Jerusalem retroactively corrected the data for the previous report - second half of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A1FDC" w14:textId="77777777" w:rsidR="006739F1" w:rsidRDefault="006739F1" w:rsidP="0028590F">
    <w:pPr>
      <w:pStyle w:val="Header"/>
      <w:framePr w:wrap="around" w:vAnchor="text" w:hAnchor="margin" w:xAlign="center" w:y="1"/>
      <w:bidi w:val="0"/>
      <w:rPr>
        <w:rStyle w:val="PageNumber"/>
      </w:rPr>
    </w:pPr>
    <w:r>
      <w:rPr>
        <w:rStyle w:val="PageNumber"/>
        <w:lang w:val="en"/>
      </w:rPr>
      <w:fldChar w:fldCharType="begin"/>
    </w:r>
    <w:r>
      <w:rPr>
        <w:rStyle w:val="PageNumber"/>
        <w:lang w:val="en"/>
      </w:rPr>
      <w:instrText xml:space="preserve">PAGE  </w:instrText>
    </w:r>
    <w:r>
      <w:rPr>
        <w:rStyle w:val="PageNumber"/>
        <w:lang w:val="en"/>
      </w:rPr>
      <w:fldChar w:fldCharType="separate"/>
    </w:r>
    <w:r>
      <w:rPr>
        <w:rStyle w:val="PageNumber"/>
        <w:noProof/>
        <w:lang w:val="en"/>
      </w:rPr>
      <w:t>1</w:t>
    </w:r>
    <w:r>
      <w:rPr>
        <w:rStyle w:val="PageNumber"/>
        <w:lang w:val="en"/>
      </w:rPr>
      <w:fldChar w:fldCharType="end"/>
    </w:r>
  </w:p>
  <w:p w14:paraId="66E4F06B" w14:textId="77777777" w:rsidR="006739F1" w:rsidRDefault="006739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D1092" w14:textId="77777777" w:rsidR="00C607B2" w:rsidRDefault="00C607B2" w:rsidP="0028590F">
    <w:pPr>
      <w:pStyle w:val="Header"/>
      <w:framePr w:wrap="around" w:vAnchor="text" w:hAnchor="margin" w:xAlign="center" w:y="1"/>
      <w:bidi w:val="0"/>
      <w:rPr>
        <w:rStyle w:val="PageNumber"/>
      </w:rPr>
    </w:pPr>
    <w:r>
      <w:rPr>
        <w:rStyle w:val="PageNumber"/>
        <w:lang w:val="en"/>
      </w:rPr>
      <w:fldChar w:fldCharType="begin"/>
    </w:r>
    <w:r>
      <w:rPr>
        <w:rStyle w:val="PageNumber"/>
        <w:lang w:val="en"/>
      </w:rPr>
      <w:instrText xml:space="preserve">PAGE  </w:instrText>
    </w:r>
    <w:r>
      <w:rPr>
        <w:rStyle w:val="PageNumber"/>
        <w:lang w:val="en"/>
      </w:rPr>
      <w:fldChar w:fldCharType="separate"/>
    </w:r>
    <w:r>
      <w:rPr>
        <w:rStyle w:val="PageNumber"/>
        <w:noProof/>
        <w:lang w:val="en"/>
      </w:rPr>
      <w:t>1</w:t>
    </w:r>
    <w:r>
      <w:rPr>
        <w:rStyle w:val="PageNumber"/>
        <w:lang w:val="en"/>
      </w:rPr>
      <w:fldChar w:fldCharType="end"/>
    </w:r>
  </w:p>
  <w:p w14:paraId="78415C1F" w14:textId="77777777" w:rsidR="00C607B2" w:rsidRDefault="00C607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3181"/>
      <w:gridCol w:w="2596"/>
      <w:gridCol w:w="3140"/>
    </w:tblGrid>
    <w:tr w:rsidR="00C607B2" w:rsidRPr="00E82F39" w14:paraId="6008D1A4" w14:textId="77777777" w:rsidTr="00DB45E2">
      <w:trPr>
        <w:trHeight w:val="856"/>
        <w:jc w:val="center"/>
      </w:trPr>
      <w:tc>
        <w:tcPr>
          <w:tcW w:w="3181" w:type="dxa"/>
          <w:tcBorders>
            <w:top w:val="nil"/>
            <w:left w:val="nil"/>
            <w:bottom w:val="nil"/>
            <w:right w:val="nil"/>
          </w:tcBorders>
          <w:vAlign w:val="center"/>
        </w:tcPr>
        <w:p w14:paraId="3FC9954C" w14:textId="77777777" w:rsidR="00C607B2" w:rsidRPr="00DB45E2" w:rsidRDefault="00C607B2" w:rsidP="00DB45E2">
          <w:pPr>
            <w:jc w:val="left"/>
            <w:rPr>
              <w:sz w:val="32"/>
              <w:szCs w:val="32"/>
            </w:rPr>
          </w:pPr>
        </w:p>
      </w:tc>
      <w:tc>
        <w:tcPr>
          <w:tcW w:w="2596" w:type="dxa"/>
          <w:tcBorders>
            <w:top w:val="nil"/>
            <w:left w:val="nil"/>
            <w:bottom w:val="nil"/>
            <w:right w:val="nil"/>
          </w:tcBorders>
        </w:tcPr>
        <w:p w14:paraId="33716DE2" w14:textId="77777777" w:rsidR="00C607B2" w:rsidRDefault="00C607B2" w:rsidP="005C10F9">
          <w:pPr>
            <w:tabs>
              <w:tab w:val="clear" w:pos="567"/>
              <w:tab w:val="left" w:pos="167"/>
            </w:tabs>
            <w:jc w:val="center"/>
            <w:rPr>
              <w:noProof/>
            </w:rPr>
          </w:pPr>
        </w:p>
      </w:tc>
      <w:tc>
        <w:tcPr>
          <w:tcW w:w="3140" w:type="dxa"/>
          <w:tcBorders>
            <w:top w:val="nil"/>
            <w:left w:val="nil"/>
            <w:bottom w:val="nil"/>
            <w:right w:val="nil"/>
          </w:tcBorders>
          <w:vAlign w:val="center"/>
        </w:tcPr>
        <w:p w14:paraId="219158CF" w14:textId="77777777" w:rsidR="00C607B2" w:rsidRPr="00E82F39" w:rsidRDefault="00C607B2" w:rsidP="00E82F39">
          <w:pPr>
            <w:spacing w:line="480" w:lineRule="auto"/>
            <w:jc w:val="right"/>
            <w:rPr>
              <w:b/>
              <w:bCs/>
            </w:rPr>
          </w:pPr>
        </w:p>
      </w:tc>
    </w:tr>
  </w:tbl>
  <w:p w14:paraId="4D5F759E" w14:textId="77777777" w:rsidR="00C607B2" w:rsidRPr="00CF2125" w:rsidRDefault="00C607B2" w:rsidP="003B43FE">
    <w:pPr>
      <w:pStyle w:val="Header"/>
      <w:rPr>
        <w:sz w:val="2"/>
        <w:szCs w:val="2"/>
      </w:rPr>
    </w:pPr>
    <w:bookmarkStart w:id="1" w:name="T004"/>
    <w:bookmarkStart w:id="2" w:name="T005"/>
    <w:bookmarkStart w:id="3" w:name="Flag"/>
    <w:bookmarkEnd w:id="1"/>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44C"/>
    <w:multiLevelType w:val="hybridMultilevel"/>
    <w:tmpl w:val="EB98E46C"/>
    <w:lvl w:ilvl="0" w:tplc="AD74C2A8">
      <w:start w:val="1"/>
      <w:numFmt w:val="bullet"/>
      <w:lvlText w:val=""/>
      <w:lvlJc w:val="left"/>
      <w:pPr>
        <w:tabs>
          <w:tab w:val="num" w:pos="720"/>
        </w:tabs>
        <w:ind w:left="720" w:hanging="360"/>
      </w:pPr>
      <w:rPr>
        <w:rFonts w:ascii="Wingdings" w:hAnsi="Wingdings" w:hint="default"/>
        <w:color w:val="auto"/>
        <w:sz w:val="24"/>
        <w:szCs w:val="24"/>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E534A86"/>
    <w:multiLevelType w:val="hybridMultilevel"/>
    <w:tmpl w:val="099C168E"/>
    <w:lvl w:ilvl="0" w:tplc="A6221A96">
      <w:start w:val="1"/>
      <w:numFmt w:val="decimal"/>
      <w:lvlText w:val="%1."/>
      <w:lvlJc w:val="left"/>
      <w:pPr>
        <w:ind w:left="360" w:hanging="360"/>
      </w:pPr>
      <w:rPr>
        <w:rFonts w:hint="default"/>
        <w:lang w:bidi="he-I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061D02"/>
    <w:multiLevelType w:val="multilevel"/>
    <w:tmpl w:val="45344B3C"/>
    <w:lvl w:ilvl="0">
      <w:start w:val="1"/>
      <w:numFmt w:val="decimal"/>
      <w:lvlRestart w:val="0"/>
      <w:lvlText w:val="%1."/>
      <w:lvlJc w:val="left"/>
      <w:pPr>
        <w:tabs>
          <w:tab w:val="num" w:pos="720"/>
        </w:tabs>
        <w:ind w:left="720" w:hanging="720"/>
      </w:pPr>
      <w:rPr>
        <w:rFonts w:cs="David" w:hint="default"/>
        <w:bCs w:val="0"/>
        <w:iCs w:val="0"/>
        <w:color w:val="auto"/>
        <w:sz w:val="24"/>
        <w:szCs w:val="24"/>
      </w:rPr>
    </w:lvl>
    <w:lvl w:ilvl="1">
      <w:start w:val="1"/>
      <w:numFmt w:val="hebrew1"/>
      <w:lvlText w:val="%2."/>
      <w:lvlJc w:val="left"/>
      <w:pPr>
        <w:tabs>
          <w:tab w:val="num" w:pos="1440"/>
        </w:tabs>
        <w:ind w:left="1440" w:hanging="720"/>
      </w:pPr>
      <w:rPr>
        <w:rFonts w:cs="David" w:hint="default"/>
        <w:bCs w:val="0"/>
        <w:iCs w:val="0"/>
        <w:color w:val="auto"/>
        <w:sz w:val="24"/>
        <w:szCs w:val="24"/>
      </w:rPr>
    </w:lvl>
    <w:lvl w:ilvl="2">
      <w:start w:val="1"/>
      <w:numFmt w:val="decimal"/>
      <w:lvlText w:val="%3)"/>
      <w:lvlJc w:val="left"/>
      <w:pPr>
        <w:tabs>
          <w:tab w:val="num" w:pos="2160"/>
        </w:tabs>
        <w:ind w:left="2160" w:hanging="720"/>
      </w:pPr>
      <w:rPr>
        <w:rFonts w:cs="David" w:hint="default"/>
        <w:bCs w:val="0"/>
        <w:iCs w:val="0"/>
        <w:color w:val="auto"/>
        <w:sz w:val="24"/>
        <w:szCs w:val="24"/>
      </w:rPr>
    </w:lvl>
    <w:lvl w:ilvl="3">
      <w:start w:val="1"/>
      <w:numFmt w:val="hebrew1"/>
      <w:lvlText w:val="%4)"/>
      <w:lvlJc w:val="left"/>
      <w:pPr>
        <w:tabs>
          <w:tab w:val="num" w:pos="2880"/>
        </w:tabs>
        <w:ind w:left="2880" w:hanging="720"/>
      </w:pPr>
      <w:rPr>
        <w:rFonts w:cs="David" w:hint="default"/>
        <w:bCs w:val="0"/>
        <w:iCs w:val="0"/>
        <w:color w:val="auto"/>
        <w:sz w:val="24"/>
        <w:szCs w:val="24"/>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3" w15:restartNumberingAfterBreak="0">
    <w:nsid w:val="18094C18"/>
    <w:multiLevelType w:val="hybridMultilevel"/>
    <w:tmpl w:val="F6DA9A38"/>
    <w:lvl w:ilvl="0" w:tplc="AD74C2A8">
      <w:start w:val="1"/>
      <w:numFmt w:val="bullet"/>
      <w:lvlText w:val=""/>
      <w:lvlJc w:val="left"/>
      <w:pPr>
        <w:ind w:left="1865" w:hanging="360"/>
      </w:pPr>
      <w:rPr>
        <w:rFonts w:ascii="Wingdings" w:hAnsi="Wingdings" w:hint="default"/>
        <w:color w:val="auto"/>
        <w:sz w:val="24"/>
        <w:szCs w:val="24"/>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4" w15:restartNumberingAfterBreak="0">
    <w:nsid w:val="4B012AC8"/>
    <w:multiLevelType w:val="hybridMultilevel"/>
    <w:tmpl w:val="85C68180"/>
    <w:lvl w:ilvl="0" w:tplc="01D80F8A">
      <w:start w:val="6"/>
      <w:numFmt w:val="bullet"/>
      <w:lvlText w:val="-"/>
      <w:lvlJc w:val="left"/>
      <w:pPr>
        <w:ind w:left="-582" w:hanging="360"/>
      </w:pPr>
      <w:rPr>
        <w:rFonts w:ascii="David" w:eastAsia="Times New Roman" w:hAnsi="David" w:cs="David" w:hint="default"/>
      </w:rPr>
    </w:lvl>
    <w:lvl w:ilvl="1" w:tplc="04090003" w:tentative="1">
      <w:start w:val="1"/>
      <w:numFmt w:val="bullet"/>
      <w:lvlText w:val="o"/>
      <w:lvlJc w:val="left"/>
      <w:pPr>
        <w:ind w:left="138" w:hanging="360"/>
      </w:pPr>
      <w:rPr>
        <w:rFonts w:ascii="Courier New" w:hAnsi="Courier New" w:cs="Courier New" w:hint="default"/>
      </w:rPr>
    </w:lvl>
    <w:lvl w:ilvl="2" w:tplc="04090005" w:tentative="1">
      <w:start w:val="1"/>
      <w:numFmt w:val="bullet"/>
      <w:lvlText w:val=""/>
      <w:lvlJc w:val="left"/>
      <w:pPr>
        <w:ind w:left="858" w:hanging="360"/>
      </w:pPr>
      <w:rPr>
        <w:rFonts w:ascii="Wingdings" w:hAnsi="Wingdings" w:hint="default"/>
      </w:rPr>
    </w:lvl>
    <w:lvl w:ilvl="3" w:tplc="04090001" w:tentative="1">
      <w:start w:val="1"/>
      <w:numFmt w:val="bullet"/>
      <w:lvlText w:val=""/>
      <w:lvlJc w:val="left"/>
      <w:pPr>
        <w:ind w:left="1578" w:hanging="360"/>
      </w:pPr>
      <w:rPr>
        <w:rFonts w:ascii="Symbol" w:hAnsi="Symbol" w:hint="default"/>
      </w:rPr>
    </w:lvl>
    <w:lvl w:ilvl="4" w:tplc="04090003" w:tentative="1">
      <w:start w:val="1"/>
      <w:numFmt w:val="bullet"/>
      <w:lvlText w:val="o"/>
      <w:lvlJc w:val="left"/>
      <w:pPr>
        <w:ind w:left="2298" w:hanging="360"/>
      </w:pPr>
      <w:rPr>
        <w:rFonts w:ascii="Courier New" w:hAnsi="Courier New" w:cs="Courier New" w:hint="default"/>
      </w:rPr>
    </w:lvl>
    <w:lvl w:ilvl="5" w:tplc="04090005" w:tentative="1">
      <w:start w:val="1"/>
      <w:numFmt w:val="bullet"/>
      <w:lvlText w:val=""/>
      <w:lvlJc w:val="left"/>
      <w:pPr>
        <w:ind w:left="3018" w:hanging="360"/>
      </w:pPr>
      <w:rPr>
        <w:rFonts w:ascii="Wingdings" w:hAnsi="Wingdings" w:hint="default"/>
      </w:rPr>
    </w:lvl>
    <w:lvl w:ilvl="6" w:tplc="04090001" w:tentative="1">
      <w:start w:val="1"/>
      <w:numFmt w:val="bullet"/>
      <w:lvlText w:val=""/>
      <w:lvlJc w:val="left"/>
      <w:pPr>
        <w:ind w:left="3738" w:hanging="360"/>
      </w:pPr>
      <w:rPr>
        <w:rFonts w:ascii="Symbol" w:hAnsi="Symbol" w:hint="default"/>
      </w:rPr>
    </w:lvl>
    <w:lvl w:ilvl="7" w:tplc="04090003" w:tentative="1">
      <w:start w:val="1"/>
      <w:numFmt w:val="bullet"/>
      <w:lvlText w:val="o"/>
      <w:lvlJc w:val="left"/>
      <w:pPr>
        <w:ind w:left="4458" w:hanging="360"/>
      </w:pPr>
      <w:rPr>
        <w:rFonts w:ascii="Courier New" w:hAnsi="Courier New" w:cs="Courier New" w:hint="default"/>
      </w:rPr>
    </w:lvl>
    <w:lvl w:ilvl="8" w:tplc="04090005" w:tentative="1">
      <w:start w:val="1"/>
      <w:numFmt w:val="bullet"/>
      <w:lvlText w:val=""/>
      <w:lvlJc w:val="left"/>
      <w:pPr>
        <w:ind w:left="5178" w:hanging="360"/>
      </w:pPr>
      <w:rPr>
        <w:rFonts w:ascii="Wingdings" w:hAnsi="Wingdings" w:hint="default"/>
      </w:rPr>
    </w:lvl>
  </w:abstractNum>
  <w:abstractNum w:abstractNumId="5" w15:restartNumberingAfterBreak="0">
    <w:nsid w:val="4B9422B4"/>
    <w:multiLevelType w:val="multilevel"/>
    <w:tmpl w:val="A79CBD50"/>
    <w:lvl w:ilvl="0">
      <w:start w:val="1"/>
      <w:numFmt w:val="decimal"/>
      <w:pStyle w:val="Heading2"/>
      <w:lvlText w:val="%1."/>
      <w:lvlJc w:val="left"/>
      <w:pPr>
        <w:ind w:left="360" w:hanging="360"/>
      </w:pPr>
      <w:rPr>
        <w:color w:val="17365D"/>
      </w:rPr>
    </w:lvl>
    <w:lvl w:ilvl="1">
      <w:start w:val="1"/>
      <w:numFmt w:val="decimal"/>
      <w:pStyle w:val="Heading3"/>
      <w:lvlText w:val="%1.%2."/>
      <w:lvlJc w:val="left"/>
      <w:pPr>
        <w:ind w:left="6244" w:hanging="432"/>
      </w:pPr>
      <w:rPr>
        <w:b/>
        <w:bCs/>
        <w:color w:val="0070C0"/>
      </w:rPr>
    </w:lvl>
    <w:lvl w:ilvl="2">
      <w:start w:val="1"/>
      <w:numFmt w:val="decimal"/>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C86747A"/>
    <w:multiLevelType w:val="multilevel"/>
    <w:tmpl w:val="83582D9A"/>
    <w:lvl w:ilvl="0">
      <w:start w:val="1"/>
      <w:numFmt w:val="decimal"/>
      <w:lvlText w:val="%1."/>
      <w:lvlJc w:val="left"/>
      <w:pPr>
        <w:ind w:left="360" w:hanging="360"/>
      </w:pPr>
      <w:rPr>
        <w:color w:val="17365D"/>
      </w:rPr>
    </w:lvl>
    <w:lvl w:ilvl="1">
      <w:start w:val="1"/>
      <w:numFmt w:val="decimal"/>
      <w:lvlText w:val="%1.%2."/>
      <w:lvlJc w:val="left"/>
      <w:pPr>
        <w:ind w:left="6244" w:hanging="432"/>
      </w:pPr>
      <w:rPr>
        <w:b/>
        <w:bCs/>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5E15FE7"/>
    <w:multiLevelType w:val="hybridMultilevel"/>
    <w:tmpl w:val="706659AC"/>
    <w:lvl w:ilvl="0" w:tplc="838E7DF4">
      <w:start w:val="1"/>
      <w:numFmt w:val="bullet"/>
      <w:lvlText w:val=""/>
      <w:lvlJc w:val="left"/>
      <w:pPr>
        <w:ind w:left="360" w:hanging="360"/>
      </w:pPr>
      <w:rPr>
        <w:rFonts w:ascii="Wingdings" w:hAnsi="Wingdings" w:hint="default"/>
        <w:color w:val="auto"/>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F8708F4"/>
    <w:multiLevelType w:val="hybridMultilevel"/>
    <w:tmpl w:val="3258AAA8"/>
    <w:lvl w:ilvl="0" w:tplc="04090001">
      <w:start w:val="1"/>
      <w:numFmt w:val="bullet"/>
      <w:lvlText w:val=""/>
      <w:lvlJc w:val="left"/>
      <w:pPr>
        <w:ind w:left="1865" w:hanging="360"/>
      </w:pPr>
      <w:rPr>
        <w:rFonts w:ascii="Symbol" w:hAnsi="Symbol"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9" w15:restartNumberingAfterBreak="0">
    <w:nsid w:val="71701977"/>
    <w:multiLevelType w:val="hybridMultilevel"/>
    <w:tmpl w:val="A5A63D68"/>
    <w:lvl w:ilvl="0" w:tplc="4B4AE924">
      <w:numFmt w:val="bullet"/>
      <w:lvlText w:val="-"/>
      <w:lvlJc w:val="left"/>
      <w:pPr>
        <w:ind w:left="720" w:hanging="360"/>
      </w:pPr>
      <w:rPr>
        <w:rFonts w:asciiTheme="majorBidi" w:eastAsia="Times New Roman" w:hAnsiTheme="majorBidi" w:cstheme="majorBidi"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1A0E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5"/>
  </w:num>
  <w:num w:numId="3">
    <w:abstractNumId w:val="10"/>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5"/>
  </w:num>
  <w:num w:numId="9">
    <w:abstractNumId w:val="9"/>
  </w:num>
  <w:num w:numId="10">
    <w:abstractNumId w:val="4"/>
  </w:num>
  <w:num w:numId="11">
    <w:abstractNumId w:val="3"/>
  </w:num>
  <w:num w:numId="12">
    <w:abstractNumId w:val="5"/>
  </w:num>
  <w:num w:numId="13">
    <w:abstractNumId w:val="5"/>
  </w:num>
  <w:num w:numId="14">
    <w:abstractNumId w:val="5"/>
  </w:num>
  <w:num w:numId="15">
    <w:abstractNumId w:val="5"/>
  </w:num>
  <w:num w:numId="16">
    <w:abstractNumId w:val="6"/>
  </w:num>
  <w:num w:numId="17">
    <w:abstractNumId w:val="5"/>
  </w:num>
  <w:num w:numId="1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064"/>
    <w:rsid w:val="0000050C"/>
    <w:rsid w:val="000009F1"/>
    <w:rsid w:val="000015CF"/>
    <w:rsid w:val="00002E21"/>
    <w:rsid w:val="00003ACA"/>
    <w:rsid w:val="00004D54"/>
    <w:rsid w:val="000060CF"/>
    <w:rsid w:val="000064CA"/>
    <w:rsid w:val="000067D7"/>
    <w:rsid w:val="000072E9"/>
    <w:rsid w:val="00007B3A"/>
    <w:rsid w:val="00007C4B"/>
    <w:rsid w:val="00010810"/>
    <w:rsid w:val="00010D80"/>
    <w:rsid w:val="0001164B"/>
    <w:rsid w:val="000118DB"/>
    <w:rsid w:val="00013569"/>
    <w:rsid w:val="000138B6"/>
    <w:rsid w:val="00013C79"/>
    <w:rsid w:val="000141C0"/>
    <w:rsid w:val="0001446E"/>
    <w:rsid w:val="00014EA5"/>
    <w:rsid w:val="000165C9"/>
    <w:rsid w:val="00016DBC"/>
    <w:rsid w:val="000173D2"/>
    <w:rsid w:val="00023B38"/>
    <w:rsid w:val="00023E35"/>
    <w:rsid w:val="000248D1"/>
    <w:rsid w:val="000260BF"/>
    <w:rsid w:val="000322C3"/>
    <w:rsid w:val="000328FC"/>
    <w:rsid w:val="00034386"/>
    <w:rsid w:val="000348F7"/>
    <w:rsid w:val="00035F57"/>
    <w:rsid w:val="00036347"/>
    <w:rsid w:val="00036C88"/>
    <w:rsid w:val="00040F4E"/>
    <w:rsid w:val="00041685"/>
    <w:rsid w:val="00041883"/>
    <w:rsid w:val="00041900"/>
    <w:rsid w:val="0004199F"/>
    <w:rsid w:val="00041ED2"/>
    <w:rsid w:val="0004453D"/>
    <w:rsid w:val="000454F4"/>
    <w:rsid w:val="000458B3"/>
    <w:rsid w:val="00045FE5"/>
    <w:rsid w:val="00047347"/>
    <w:rsid w:val="0004766A"/>
    <w:rsid w:val="0005118E"/>
    <w:rsid w:val="0005120D"/>
    <w:rsid w:val="000522A4"/>
    <w:rsid w:val="000532B0"/>
    <w:rsid w:val="000559E2"/>
    <w:rsid w:val="00055EFD"/>
    <w:rsid w:val="00056BB9"/>
    <w:rsid w:val="00057218"/>
    <w:rsid w:val="00057630"/>
    <w:rsid w:val="00060120"/>
    <w:rsid w:val="00060450"/>
    <w:rsid w:val="00061C89"/>
    <w:rsid w:val="00062627"/>
    <w:rsid w:val="00062F95"/>
    <w:rsid w:val="0006325B"/>
    <w:rsid w:val="00067DF6"/>
    <w:rsid w:val="00072414"/>
    <w:rsid w:val="00073855"/>
    <w:rsid w:val="00074D82"/>
    <w:rsid w:val="00074F3D"/>
    <w:rsid w:val="0007501A"/>
    <w:rsid w:val="000755D7"/>
    <w:rsid w:val="00075789"/>
    <w:rsid w:val="000760DC"/>
    <w:rsid w:val="0007611F"/>
    <w:rsid w:val="00076B44"/>
    <w:rsid w:val="00080CC8"/>
    <w:rsid w:val="00080F31"/>
    <w:rsid w:val="00081137"/>
    <w:rsid w:val="000817AA"/>
    <w:rsid w:val="000818C9"/>
    <w:rsid w:val="000821B2"/>
    <w:rsid w:val="00083821"/>
    <w:rsid w:val="000842F1"/>
    <w:rsid w:val="000845B5"/>
    <w:rsid w:val="00084E9A"/>
    <w:rsid w:val="000861D4"/>
    <w:rsid w:val="00086CA6"/>
    <w:rsid w:val="0008722A"/>
    <w:rsid w:val="00087C8A"/>
    <w:rsid w:val="00090F50"/>
    <w:rsid w:val="00090FCA"/>
    <w:rsid w:val="00091773"/>
    <w:rsid w:val="00091DBD"/>
    <w:rsid w:val="00092000"/>
    <w:rsid w:val="0009261A"/>
    <w:rsid w:val="000934BA"/>
    <w:rsid w:val="00094207"/>
    <w:rsid w:val="00094BA3"/>
    <w:rsid w:val="00095E0A"/>
    <w:rsid w:val="00096C01"/>
    <w:rsid w:val="00096D9E"/>
    <w:rsid w:val="00097654"/>
    <w:rsid w:val="000976BD"/>
    <w:rsid w:val="00097BAD"/>
    <w:rsid w:val="00097EF6"/>
    <w:rsid w:val="000A0132"/>
    <w:rsid w:val="000A0D23"/>
    <w:rsid w:val="000A1A7A"/>
    <w:rsid w:val="000A2739"/>
    <w:rsid w:val="000A28E2"/>
    <w:rsid w:val="000A4601"/>
    <w:rsid w:val="000A5714"/>
    <w:rsid w:val="000A62BC"/>
    <w:rsid w:val="000A631E"/>
    <w:rsid w:val="000A7700"/>
    <w:rsid w:val="000A7D1A"/>
    <w:rsid w:val="000B1CE9"/>
    <w:rsid w:val="000B29CC"/>
    <w:rsid w:val="000B38AD"/>
    <w:rsid w:val="000B4065"/>
    <w:rsid w:val="000B4676"/>
    <w:rsid w:val="000B46DD"/>
    <w:rsid w:val="000B47D0"/>
    <w:rsid w:val="000B4E8A"/>
    <w:rsid w:val="000B6B02"/>
    <w:rsid w:val="000B6C38"/>
    <w:rsid w:val="000C0AB5"/>
    <w:rsid w:val="000C1EF4"/>
    <w:rsid w:val="000C24AA"/>
    <w:rsid w:val="000C2E8A"/>
    <w:rsid w:val="000C30D2"/>
    <w:rsid w:val="000C3299"/>
    <w:rsid w:val="000C491E"/>
    <w:rsid w:val="000C58ED"/>
    <w:rsid w:val="000D074D"/>
    <w:rsid w:val="000D0E49"/>
    <w:rsid w:val="000D197F"/>
    <w:rsid w:val="000D20B3"/>
    <w:rsid w:val="000D5361"/>
    <w:rsid w:val="000D6045"/>
    <w:rsid w:val="000D6161"/>
    <w:rsid w:val="000D64FA"/>
    <w:rsid w:val="000D6601"/>
    <w:rsid w:val="000D68C4"/>
    <w:rsid w:val="000E1EA0"/>
    <w:rsid w:val="000E2D30"/>
    <w:rsid w:val="000E4353"/>
    <w:rsid w:val="000E477F"/>
    <w:rsid w:val="000E47A5"/>
    <w:rsid w:val="000E655A"/>
    <w:rsid w:val="000E7634"/>
    <w:rsid w:val="000E7BD5"/>
    <w:rsid w:val="000F0272"/>
    <w:rsid w:val="000F1FD6"/>
    <w:rsid w:val="000F20A6"/>
    <w:rsid w:val="000F2763"/>
    <w:rsid w:val="000F2EC4"/>
    <w:rsid w:val="000F419C"/>
    <w:rsid w:val="000F4ABC"/>
    <w:rsid w:val="000F4B8C"/>
    <w:rsid w:val="000F6C4F"/>
    <w:rsid w:val="000F6FB6"/>
    <w:rsid w:val="000F785B"/>
    <w:rsid w:val="000F7D4E"/>
    <w:rsid w:val="00100AC3"/>
    <w:rsid w:val="0010101F"/>
    <w:rsid w:val="00101288"/>
    <w:rsid w:val="00101682"/>
    <w:rsid w:val="00102044"/>
    <w:rsid w:val="00102145"/>
    <w:rsid w:val="00103060"/>
    <w:rsid w:val="00103714"/>
    <w:rsid w:val="00105D15"/>
    <w:rsid w:val="00106699"/>
    <w:rsid w:val="00110C8B"/>
    <w:rsid w:val="00110CC5"/>
    <w:rsid w:val="00111503"/>
    <w:rsid w:val="00111567"/>
    <w:rsid w:val="0011244B"/>
    <w:rsid w:val="00112B9C"/>
    <w:rsid w:val="001131B1"/>
    <w:rsid w:val="00113229"/>
    <w:rsid w:val="00113E1C"/>
    <w:rsid w:val="00114069"/>
    <w:rsid w:val="00115537"/>
    <w:rsid w:val="001171D2"/>
    <w:rsid w:val="00117936"/>
    <w:rsid w:val="00120992"/>
    <w:rsid w:val="001210AE"/>
    <w:rsid w:val="001211C1"/>
    <w:rsid w:val="00121F22"/>
    <w:rsid w:val="00122776"/>
    <w:rsid w:val="00122CE0"/>
    <w:rsid w:val="00122F55"/>
    <w:rsid w:val="0012372B"/>
    <w:rsid w:val="00124280"/>
    <w:rsid w:val="00125353"/>
    <w:rsid w:val="00126797"/>
    <w:rsid w:val="001272AD"/>
    <w:rsid w:val="00127536"/>
    <w:rsid w:val="00127747"/>
    <w:rsid w:val="001277B3"/>
    <w:rsid w:val="00127926"/>
    <w:rsid w:val="001301F4"/>
    <w:rsid w:val="00130B12"/>
    <w:rsid w:val="00131FFE"/>
    <w:rsid w:val="00132581"/>
    <w:rsid w:val="00132766"/>
    <w:rsid w:val="001337A3"/>
    <w:rsid w:val="00133917"/>
    <w:rsid w:val="00133D36"/>
    <w:rsid w:val="00135649"/>
    <w:rsid w:val="00135BF1"/>
    <w:rsid w:val="00137097"/>
    <w:rsid w:val="00137FE4"/>
    <w:rsid w:val="001405CE"/>
    <w:rsid w:val="00140A35"/>
    <w:rsid w:val="00140C61"/>
    <w:rsid w:val="00142AF8"/>
    <w:rsid w:val="00144642"/>
    <w:rsid w:val="00144862"/>
    <w:rsid w:val="0014586B"/>
    <w:rsid w:val="00146159"/>
    <w:rsid w:val="00146716"/>
    <w:rsid w:val="00146D0A"/>
    <w:rsid w:val="00147470"/>
    <w:rsid w:val="0015033E"/>
    <w:rsid w:val="00150777"/>
    <w:rsid w:val="00151751"/>
    <w:rsid w:val="00151C49"/>
    <w:rsid w:val="00153CF0"/>
    <w:rsid w:val="00154025"/>
    <w:rsid w:val="00154606"/>
    <w:rsid w:val="00154D2B"/>
    <w:rsid w:val="00155830"/>
    <w:rsid w:val="00155A8A"/>
    <w:rsid w:val="00156377"/>
    <w:rsid w:val="00156C1B"/>
    <w:rsid w:val="00156EA2"/>
    <w:rsid w:val="001576C0"/>
    <w:rsid w:val="00163047"/>
    <w:rsid w:val="00163AF9"/>
    <w:rsid w:val="00167293"/>
    <w:rsid w:val="00167A84"/>
    <w:rsid w:val="00170266"/>
    <w:rsid w:val="00170D1B"/>
    <w:rsid w:val="00171A63"/>
    <w:rsid w:val="0017230E"/>
    <w:rsid w:val="00174142"/>
    <w:rsid w:val="00174934"/>
    <w:rsid w:val="00177F4F"/>
    <w:rsid w:val="00180198"/>
    <w:rsid w:val="00182954"/>
    <w:rsid w:val="00184124"/>
    <w:rsid w:val="0018469C"/>
    <w:rsid w:val="00184A03"/>
    <w:rsid w:val="00184A66"/>
    <w:rsid w:val="00184B2B"/>
    <w:rsid w:val="00184B51"/>
    <w:rsid w:val="00184D7A"/>
    <w:rsid w:val="00186466"/>
    <w:rsid w:val="001876C1"/>
    <w:rsid w:val="0019016B"/>
    <w:rsid w:val="001906A9"/>
    <w:rsid w:val="00191249"/>
    <w:rsid w:val="00193323"/>
    <w:rsid w:val="00193B27"/>
    <w:rsid w:val="00194108"/>
    <w:rsid w:val="00194486"/>
    <w:rsid w:val="001945A5"/>
    <w:rsid w:val="00194701"/>
    <w:rsid w:val="0019495D"/>
    <w:rsid w:val="00194AD9"/>
    <w:rsid w:val="00194B92"/>
    <w:rsid w:val="00194FBC"/>
    <w:rsid w:val="00195883"/>
    <w:rsid w:val="00195CDC"/>
    <w:rsid w:val="00195D99"/>
    <w:rsid w:val="00196042"/>
    <w:rsid w:val="001960DE"/>
    <w:rsid w:val="001965BD"/>
    <w:rsid w:val="001A0161"/>
    <w:rsid w:val="001A01E9"/>
    <w:rsid w:val="001A203E"/>
    <w:rsid w:val="001A243E"/>
    <w:rsid w:val="001A405F"/>
    <w:rsid w:val="001A4876"/>
    <w:rsid w:val="001A5731"/>
    <w:rsid w:val="001A6BDE"/>
    <w:rsid w:val="001A77CF"/>
    <w:rsid w:val="001A7BC2"/>
    <w:rsid w:val="001A7F61"/>
    <w:rsid w:val="001B0BC5"/>
    <w:rsid w:val="001B1F6F"/>
    <w:rsid w:val="001B372B"/>
    <w:rsid w:val="001B5090"/>
    <w:rsid w:val="001B59D4"/>
    <w:rsid w:val="001B5FF2"/>
    <w:rsid w:val="001C1479"/>
    <w:rsid w:val="001C16D3"/>
    <w:rsid w:val="001C1821"/>
    <w:rsid w:val="001C1B62"/>
    <w:rsid w:val="001C1E9A"/>
    <w:rsid w:val="001C295C"/>
    <w:rsid w:val="001C2C52"/>
    <w:rsid w:val="001C2D80"/>
    <w:rsid w:val="001C3037"/>
    <w:rsid w:val="001C35AE"/>
    <w:rsid w:val="001C3DA7"/>
    <w:rsid w:val="001C4947"/>
    <w:rsid w:val="001C4CCA"/>
    <w:rsid w:val="001C59F2"/>
    <w:rsid w:val="001C6957"/>
    <w:rsid w:val="001C6A20"/>
    <w:rsid w:val="001C7FE5"/>
    <w:rsid w:val="001D1534"/>
    <w:rsid w:val="001D25D1"/>
    <w:rsid w:val="001D3C5E"/>
    <w:rsid w:val="001D4E78"/>
    <w:rsid w:val="001D6395"/>
    <w:rsid w:val="001D6939"/>
    <w:rsid w:val="001D6A72"/>
    <w:rsid w:val="001D7A8C"/>
    <w:rsid w:val="001E0DC7"/>
    <w:rsid w:val="001E1307"/>
    <w:rsid w:val="001E26FC"/>
    <w:rsid w:val="001E40CD"/>
    <w:rsid w:val="001E4153"/>
    <w:rsid w:val="001E47D6"/>
    <w:rsid w:val="001E580C"/>
    <w:rsid w:val="001E7C4C"/>
    <w:rsid w:val="001F044E"/>
    <w:rsid w:val="001F4677"/>
    <w:rsid w:val="001F4E78"/>
    <w:rsid w:val="001F59E8"/>
    <w:rsid w:val="001F610E"/>
    <w:rsid w:val="001F75DE"/>
    <w:rsid w:val="002002F9"/>
    <w:rsid w:val="002007C5"/>
    <w:rsid w:val="00203F23"/>
    <w:rsid w:val="00205AF3"/>
    <w:rsid w:val="00206C50"/>
    <w:rsid w:val="00207D11"/>
    <w:rsid w:val="00207D69"/>
    <w:rsid w:val="00210127"/>
    <w:rsid w:val="0021103E"/>
    <w:rsid w:val="00211850"/>
    <w:rsid w:val="00212066"/>
    <w:rsid w:val="00212D83"/>
    <w:rsid w:val="00213AC8"/>
    <w:rsid w:val="0021469D"/>
    <w:rsid w:val="002150F7"/>
    <w:rsid w:val="0021670A"/>
    <w:rsid w:val="0021781B"/>
    <w:rsid w:val="00217B5D"/>
    <w:rsid w:val="00221338"/>
    <w:rsid w:val="00221541"/>
    <w:rsid w:val="0022198F"/>
    <w:rsid w:val="00221D97"/>
    <w:rsid w:val="00221F62"/>
    <w:rsid w:val="002228F0"/>
    <w:rsid w:val="00222C3C"/>
    <w:rsid w:val="00222C72"/>
    <w:rsid w:val="002238C8"/>
    <w:rsid w:val="002238CF"/>
    <w:rsid w:val="00224108"/>
    <w:rsid w:val="002246EF"/>
    <w:rsid w:val="00225D41"/>
    <w:rsid w:val="00225F5D"/>
    <w:rsid w:val="002265D2"/>
    <w:rsid w:val="00227159"/>
    <w:rsid w:val="00227A1C"/>
    <w:rsid w:val="00227CD7"/>
    <w:rsid w:val="002316B8"/>
    <w:rsid w:val="00232400"/>
    <w:rsid w:val="002324FD"/>
    <w:rsid w:val="00233607"/>
    <w:rsid w:val="0023546C"/>
    <w:rsid w:val="00235B01"/>
    <w:rsid w:val="002420DC"/>
    <w:rsid w:val="00242173"/>
    <w:rsid w:val="00243271"/>
    <w:rsid w:val="002435F5"/>
    <w:rsid w:val="002437D9"/>
    <w:rsid w:val="00243DFA"/>
    <w:rsid w:val="00244CB3"/>
    <w:rsid w:val="00244D5E"/>
    <w:rsid w:val="002455CF"/>
    <w:rsid w:val="00246763"/>
    <w:rsid w:val="0024732C"/>
    <w:rsid w:val="00247BBC"/>
    <w:rsid w:val="00247C25"/>
    <w:rsid w:val="00247EBF"/>
    <w:rsid w:val="00250122"/>
    <w:rsid w:val="00250589"/>
    <w:rsid w:val="002521E2"/>
    <w:rsid w:val="0025254B"/>
    <w:rsid w:val="002533D5"/>
    <w:rsid w:val="0025451F"/>
    <w:rsid w:val="00254AF8"/>
    <w:rsid w:val="00254E88"/>
    <w:rsid w:val="00255A65"/>
    <w:rsid w:val="00257022"/>
    <w:rsid w:val="00257636"/>
    <w:rsid w:val="00260D77"/>
    <w:rsid w:val="00261A5D"/>
    <w:rsid w:val="00266165"/>
    <w:rsid w:val="002679F8"/>
    <w:rsid w:val="00270428"/>
    <w:rsid w:val="002719CC"/>
    <w:rsid w:val="0027211B"/>
    <w:rsid w:val="002724DF"/>
    <w:rsid w:val="00272B4A"/>
    <w:rsid w:val="0027394E"/>
    <w:rsid w:val="002749CC"/>
    <w:rsid w:val="00274B04"/>
    <w:rsid w:val="002755BE"/>
    <w:rsid w:val="00276B19"/>
    <w:rsid w:val="00277261"/>
    <w:rsid w:val="00277B18"/>
    <w:rsid w:val="00280582"/>
    <w:rsid w:val="00280677"/>
    <w:rsid w:val="00280A4A"/>
    <w:rsid w:val="0028113F"/>
    <w:rsid w:val="00281822"/>
    <w:rsid w:val="002821AB"/>
    <w:rsid w:val="00282DF6"/>
    <w:rsid w:val="0028325E"/>
    <w:rsid w:val="00284C4C"/>
    <w:rsid w:val="00285548"/>
    <w:rsid w:val="0028590F"/>
    <w:rsid w:val="0028765A"/>
    <w:rsid w:val="002904EC"/>
    <w:rsid w:val="002908F2"/>
    <w:rsid w:val="00290B3C"/>
    <w:rsid w:val="002931D6"/>
    <w:rsid w:val="0029435A"/>
    <w:rsid w:val="00294672"/>
    <w:rsid w:val="00294F93"/>
    <w:rsid w:val="002953A3"/>
    <w:rsid w:val="00295B30"/>
    <w:rsid w:val="00296CB4"/>
    <w:rsid w:val="002A05C1"/>
    <w:rsid w:val="002A0DB7"/>
    <w:rsid w:val="002A2713"/>
    <w:rsid w:val="002A27A9"/>
    <w:rsid w:val="002A2ACB"/>
    <w:rsid w:val="002A4849"/>
    <w:rsid w:val="002A4F58"/>
    <w:rsid w:val="002A583D"/>
    <w:rsid w:val="002A6731"/>
    <w:rsid w:val="002A6CA2"/>
    <w:rsid w:val="002A6EB5"/>
    <w:rsid w:val="002A729D"/>
    <w:rsid w:val="002A7341"/>
    <w:rsid w:val="002B02BE"/>
    <w:rsid w:val="002B0643"/>
    <w:rsid w:val="002B1970"/>
    <w:rsid w:val="002B2743"/>
    <w:rsid w:val="002B3459"/>
    <w:rsid w:val="002B4577"/>
    <w:rsid w:val="002B4F77"/>
    <w:rsid w:val="002B5941"/>
    <w:rsid w:val="002B5A3C"/>
    <w:rsid w:val="002B6480"/>
    <w:rsid w:val="002B65BC"/>
    <w:rsid w:val="002B7502"/>
    <w:rsid w:val="002B7766"/>
    <w:rsid w:val="002B7DA2"/>
    <w:rsid w:val="002C0546"/>
    <w:rsid w:val="002C07CC"/>
    <w:rsid w:val="002C0DE0"/>
    <w:rsid w:val="002C130F"/>
    <w:rsid w:val="002C1D19"/>
    <w:rsid w:val="002C47A5"/>
    <w:rsid w:val="002C70F9"/>
    <w:rsid w:val="002C72C8"/>
    <w:rsid w:val="002C7A75"/>
    <w:rsid w:val="002D0E99"/>
    <w:rsid w:val="002D2E71"/>
    <w:rsid w:val="002D31A3"/>
    <w:rsid w:val="002D3AAD"/>
    <w:rsid w:val="002D3C78"/>
    <w:rsid w:val="002D3F47"/>
    <w:rsid w:val="002D4F2D"/>
    <w:rsid w:val="002D5BBC"/>
    <w:rsid w:val="002D626A"/>
    <w:rsid w:val="002D66A0"/>
    <w:rsid w:val="002D6BB1"/>
    <w:rsid w:val="002D727B"/>
    <w:rsid w:val="002D7849"/>
    <w:rsid w:val="002D7F4B"/>
    <w:rsid w:val="002E015D"/>
    <w:rsid w:val="002E0642"/>
    <w:rsid w:val="002E0EB8"/>
    <w:rsid w:val="002E1502"/>
    <w:rsid w:val="002E1DE3"/>
    <w:rsid w:val="002E20EC"/>
    <w:rsid w:val="002E21E6"/>
    <w:rsid w:val="002E2D0E"/>
    <w:rsid w:val="002E3211"/>
    <w:rsid w:val="002E4247"/>
    <w:rsid w:val="002E556F"/>
    <w:rsid w:val="002E6623"/>
    <w:rsid w:val="002E686B"/>
    <w:rsid w:val="002E7025"/>
    <w:rsid w:val="002E7DBA"/>
    <w:rsid w:val="002F00A8"/>
    <w:rsid w:val="002F04F1"/>
    <w:rsid w:val="002F0E9D"/>
    <w:rsid w:val="002F12D8"/>
    <w:rsid w:val="002F28BA"/>
    <w:rsid w:val="002F3553"/>
    <w:rsid w:val="002F4B5D"/>
    <w:rsid w:val="002F4E3A"/>
    <w:rsid w:val="002F5BD7"/>
    <w:rsid w:val="002F61CD"/>
    <w:rsid w:val="002F7891"/>
    <w:rsid w:val="002F7A8C"/>
    <w:rsid w:val="002F7ECA"/>
    <w:rsid w:val="003000B6"/>
    <w:rsid w:val="00300F86"/>
    <w:rsid w:val="00300FF0"/>
    <w:rsid w:val="00301B09"/>
    <w:rsid w:val="00302144"/>
    <w:rsid w:val="00303455"/>
    <w:rsid w:val="00303734"/>
    <w:rsid w:val="0030378A"/>
    <w:rsid w:val="00304099"/>
    <w:rsid w:val="003045C9"/>
    <w:rsid w:val="003046F1"/>
    <w:rsid w:val="00304BEF"/>
    <w:rsid w:val="003051CB"/>
    <w:rsid w:val="0030598C"/>
    <w:rsid w:val="00305DF6"/>
    <w:rsid w:val="0030680A"/>
    <w:rsid w:val="00306D35"/>
    <w:rsid w:val="003079E2"/>
    <w:rsid w:val="00307E70"/>
    <w:rsid w:val="0031140D"/>
    <w:rsid w:val="00311716"/>
    <w:rsid w:val="00313621"/>
    <w:rsid w:val="00314E6C"/>
    <w:rsid w:val="00315847"/>
    <w:rsid w:val="00316BCA"/>
    <w:rsid w:val="00321406"/>
    <w:rsid w:val="0032184C"/>
    <w:rsid w:val="00322BE3"/>
    <w:rsid w:val="003234C7"/>
    <w:rsid w:val="0032416B"/>
    <w:rsid w:val="003254C8"/>
    <w:rsid w:val="00325E82"/>
    <w:rsid w:val="003266BF"/>
    <w:rsid w:val="0032695E"/>
    <w:rsid w:val="0032762A"/>
    <w:rsid w:val="00327890"/>
    <w:rsid w:val="00327B85"/>
    <w:rsid w:val="00330908"/>
    <w:rsid w:val="00331763"/>
    <w:rsid w:val="00331994"/>
    <w:rsid w:val="00332CDE"/>
    <w:rsid w:val="00336128"/>
    <w:rsid w:val="003365C2"/>
    <w:rsid w:val="00337B31"/>
    <w:rsid w:val="00337B6B"/>
    <w:rsid w:val="00340228"/>
    <w:rsid w:val="003402DA"/>
    <w:rsid w:val="0034037E"/>
    <w:rsid w:val="003403E5"/>
    <w:rsid w:val="00341CDF"/>
    <w:rsid w:val="003436A6"/>
    <w:rsid w:val="00343910"/>
    <w:rsid w:val="00345A0C"/>
    <w:rsid w:val="00346469"/>
    <w:rsid w:val="00347A79"/>
    <w:rsid w:val="00347CE0"/>
    <w:rsid w:val="0035000D"/>
    <w:rsid w:val="00350731"/>
    <w:rsid w:val="00350D3E"/>
    <w:rsid w:val="003519A8"/>
    <w:rsid w:val="00353B74"/>
    <w:rsid w:val="00353BE1"/>
    <w:rsid w:val="00354D1C"/>
    <w:rsid w:val="003552B8"/>
    <w:rsid w:val="00355885"/>
    <w:rsid w:val="0035590F"/>
    <w:rsid w:val="00355E0B"/>
    <w:rsid w:val="00355F3D"/>
    <w:rsid w:val="003564D2"/>
    <w:rsid w:val="003565BD"/>
    <w:rsid w:val="00357FFD"/>
    <w:rsid w:val="00360B63"/>
    <w:rsid w:val="003622AC"/>
    <w:rsid w:val="00362C64"/>
    <w:rsid w:val="00363249"/>
    <w:rsid w:val="00364805"/>
    <w:rsid w:val="00364985"/>
    <w:rsid w:val="00364FF4"/>
    <w:rsid w:val="00365066"/>
    <w:rsid w:val="003652B5"/>
    <w:rsid w:val="00365D77"/>
    <w:rsid w:val="00366697"/>
    <w:rsid w:val="00366AEF"/>
    <w:rsid w:val="00367CC7"/>
    <w:rsid w:val="00367F35"/>
    <w:rsid w:val="003713AF"/>
    <w:rsid w:val="00371B57"/>
    <w:rsid w:val="00372AD5"/>
    <w:rsid w:val="00373469"/>
    <w:rsid w:val="0037353A"/>
    <w:rsid w:val="003735E3"/>
    <w:rsid w:val="0037382D"/>
    <w:rsid w:val="003745BD"/>
    <w:rsid w:val="003759F0"/>
    <w:rsid w:val="00376A74"/>
    <w:rsid w:val="00377555"/>
    <w:rsid w:val="00377BCC"/>
    <w:rsid w:val="003805B8"/>
    <w:rsid w:val="00380E86"/>
    <w:rsid w:val="00381D29"/>
    <w:rsid w:val="003823E8"/>
    <w:rsid w:val="00382539"/>
    <w:rsid w:val="0038256D"/>
    <w:rsid w:val="00383897"/>
    <w:rsid w:val="003845A6"/>
    <w:rsid w:val="00384FC4"/>
    <w:rsid w:val="0038511E"/>
    <w:rsid w:val="00386B65"/>
    <w:rsid w:val="003871CE"/>
    <w:rsid w:val="00387850"/>
    <w:rsid w:val="00390067"/>
    <w:rsid w:val="00390FDD"/>
    <w:rsid w:val="003917E4"/>
    <w:rsid w:val="00391905"/>
    <w:rsid w:val="00391E19"/>
    <w:rsid w:val="00391E55"/>
    <w:rsid w:val="0039224F"/>
    <w:rsid w:val="003922ED"/>
    <w:rsid w:val="00392580"/>
    <w:rsid w:val="00392CA3"/>
    <w:rsid w:val="00393693"/>
    <w:rsid w:val="0039381A"/>
    <w:rsid w:val="0039399F"/>
    <w:rsid w:val="00393D99"/>
    <w:rsid w:val="00394018"/>
    <w:rsid w:val="003959CD"/>
    <w:rsid w:val="00395D98"/>
    <w:rsid w:val="003960D3"/>
    <w:rsid w:val="00396B84"/>
    <w:rsid w:val="00397ABD"/>
    <w:rsid w:val="003A1250"/>
    <w:rsid w:val="003A1AC9"/>
    <w:rsid w:val="003A3260"/>
    <w:rsid w:val="003A32E7"/>
    <w:rsid w:val="003A40B3"/>
    <w:rsid w:val="003A4386"/>
    <w:rsid w:val="003A4B3F"/>
    <w:rsid w:val="003A4CB7"/>
    <w:rsid w:val="003A58D7"/>
    <w:rsid w:val="003A656D"/>
    <w:rsid w:val="003A706F"/>
    <w:rsid w:val="003A71BD"/>
    <w:rsid w:val="003B04C9"/>
    <w:rsid w:val="003B1566"/>
    <w:rsid w:val="003B1712"/>
    <w:rsid w:val="003B1DC0"/>
    <w:rsid w:val="003B4241"/>
    <w:rsid w:val="003B43FE"/>
    <w:rsid w:val="003B444E"/>
    <w:rsid w:val="003B4828"/>
    <w:rsid w:val="003B538C"/>
    <w:rsid w:val="003B5C7F"/>
    <w:rsid w:val="003B5EC7"/>
    <w:rsid w:val="003B6630"/>
    <w:rsid w:val="003B7502"/>
    <w:rsid w:val="003B7A1B"/>
    <w:rsid w:val="003C01E2"/>
    <w:rsid w:val="003C08D4"/>
    <w:rsid w:val="003C102E"/>
    <w:rsid w:val="003C1498"/>
    <w:rsid w:val="003C1DAB"/>
    <w:rsid w:val="003C28AF"/>
    <w:rsid w:val="003C33FF"/>
    <w:rsid w:val="003C4F4D"/>
    <w:rsid w:val="003C7E60"/>
    <w:rsid w:val="003C7F8F"/>
    <w:rsid w:val="003D05B0"/>
    <w:rsid w:val="003D17C5"/>
    <w:rsid w:val="003D22A2"/>
    <w:rsid w:val="003D236D"/>
    <w:rsid w:val="003D322C"/>
    <w:rsid w:val="003D3B36"/>
    <w:rsid w:val="003D3D30"/>
    <w:rsid w:val="003D40EC"/>
    <w:rsid w:val="003D4976"/>
    <w:rsid w:val="003D52B2"/>
    <w:rsid w:val="003D5CE8"/>
    <w:rsid w:val="003D6B17"/>
    <w:rsid w:val="003D6F9F"/>
    <w:rsid w:val="003D7F6A"/>
    <w:rsid w:val="003E04D9"/>
    <w:rsid w:val="003E1421"/>
    <w:rsid w:val="003E2E11"/>
    <w:rsid w:val="003E3D97"/>
    <w:rsid w:val="003E408E"/>
    <w:rsid w:val="003E4314"/>
    <w:rsid w:val="003E500E"/>
    <w:rsid w:val="003E740C"/>
    <w:rsid w:val="003E7430"/>
    <w:rsid w:val="003F0358"/>
    <w:rsid w:val="003F100C"/>
    <w:rsid w:val="003F1BAA"/>
    <w:rsid w:val="003F30A2"/>
    <w:rsid w:val="003F4E56"/>
    <w:rsid w:val="003F5167"/>
    <w:rsid w:val="003F5CFA"/>
    <w:rsid w:val="003F6967"/>
    <w:rsid w:val="003F733D"/>
    <w:rsid w:val="003F79FC"/>
    <w:rsid w:val="00400454"/>
    <w:rsid w:val="00400CA1"/>
    <w:rsid w:val="00400E9E"/>
    <w:rsid w:val="00401379"/>
    <w:rsid w:val="00401485"/>
    <w:rsid w:val="00401B5B"/>
    <w:rsid w:val="004026F4"/>
    <w:rsid w:val="00402F4A"/>
    <w:rsid w:val="00402F4D"/>
    <w:rsid w:val="0040358C"/>
    <w:rsid w:val="0040432E"/>
    <w:rsid w:val="0040510D"/>
    <w:rsid w:val="00405236"/>
    <w:rsid w:val="0040551F"/>
    <w:rsid w:val="00405C8D"/>
    <w:rsid w:val="00405F81"/>
    <w:rsid w:val="004061AA"/>
    <w:rsid w:val="00406BDB"/>
    <w:rsid w:val="004074E9"/>
    <w:rsid w:val="0041085F"/>
    <w:rsid w:val="0041091D"/>
    <w:rsid w:val="00412B04"/>
    <w:rsid w:val="00414AF3"/>
    <w:rsid w:val="004150E2"/>
    <w:rsid w:val="00415587"/>
    <w:rsid w:val="004156BA"/>
    <w:rsid w:val="00416064"/>
    <w:rsid w:val="004164F7"/>
    <w:rsid w:val="00417108"/>
    <w:rsid w:val="0041717C"/>
    <w:rsid w:val="004172CC"/>
    <w:rsid w:val="00417305"/>
    <w:rsid w:val="00417685"/>
    <w:rsid w:val="00417729"/>
    <w:rsid w:val="004235E6"/>
    <w:rsid w:val="00423714"/>
    <w:rsid w:val="00424030"/>
    <w:rsid w:val="00424CEB"/>
    <w:rsid w:val="004262CB"/>
    <w:rsid w:val="00430662"/>
    <w:rsid w:val="00431F95"/>
    <w:rsid w:val="00433EA4"/>
    <w:rsid w:val="00433F50"/>
    <w:rsid w:val="0043604C"/>
    <w:rsid w:val="00436361"/>
    <w:rsid w:val="0043715E"/>
    <w:rsid w:val="0043742A"/>
    <w:rsid w:val="00441212"/>
    <w:rsid w:val="004415B4"/>
    <w:rsid w:val="00441B3D"/>
    <w:rsid w:val="00441D73"/>
    <w:rsid w:val="00441FB5"/>
    <w:rsid w:val="00443CB7"/>
    <w:rsid w:val="00444CE9"/>
    <w:rsid w:val="004467D4"/>
    <w:rsid w:val="00447019"/>
    <w:rsid w:val="004471FD"/>
    <w:rsid w:val="00447FCC"/>
    <w:rsid w:val="0045002A"/>
    <w:rsid w:val="00451239"/>
    <w:rsid w:val="00451DBC"/>
    <w:rsid w:val="004527A7"/>
    <w:rsid w:val="00454AEE"/>
    <w:rsid w:val="00454CCF"/>
    <w:rsid w:val="00457233"/>
    <w:rsid w:val="00464583"/>
    <w:rsid w:val="00464929"/>
    <w:rsid w:val="00464ABE"/>
    <w:rsid w:val="00464C4D"/>
    <w:rsid w:val="004659A3"/>
    <w:rsid w:val="00470E3A"/>
    <w:rsid w:val="00471761"/>
    <w:rsid w:val="00473017"/>
    <w:rsid w:val="004742B2"/>
    <w:rsid w:val="004745DB"/>
    <w:rsid w:val="00475D9E"/>
    <w:rsid w:val="0047638B"/>
    <w:rsid w:val="00477D5A"/>
    <w:rsid w:val="00481FE7"/>
    <w:rsid w:val="004822A1"/>
    <w:rsid w:val="0048307D"/>
    <w:rsid w:val="0048340A"/>
    <w:rsid w:val="0048355D"/>
    <w:rsid w:val="004838A1"/>
    <w:rsid w:val="00483947"/>
    <w:rsid w:val="00484B95"/>
    <w:rsid w:val="00484C6E"/>
    <w:rsid w:val="004850E6"/>
    <w:rsid w:val="004852C8"/>
    <w:rsid w:val="00485CE3"/>
    <w:rsid w:val="00485E89"/>
    <w:rsid w:val="00487119"/>
    <w:rsid w:val="00487EF6"/>
    <w:rsid w:val="004912E9"/>
    <w:rsid w:val="00492366"/>
    <w:rsid w:val="00492F3E"/>
    <w:rsid w:val="00493529"/>
    <w:rsid w:val="00493ED8"/>
    <w:rsid w:val="00493F99"/>
    <w:rsid w:val="00495F98"/>
    <w:rsid w:val="004963B2"/>
    <w:rsid w:val="004966DE"/>
    <w:rsid w:val="004972EA"/>
    <w:rsid w:val="004974EB"/>
    <w:rsid w:val="00497806"/>
    <w:rsid w:val="00497EF5"/>
    <w:rsid w:val="004A003C"/>
    <w:rsid w:val="004A00BD"/>
    <w:rsid w:val="004A0333"/>
    <w:rsid w:val="004A0C15"/>
    <w:rsid w:val="004A17DA"/>
    <w:rsid w:val="004A2F4E"/>
    <w:rsid w:val="004A487D"/>
    <w:rsid w:val="004A5DEF"/>
    <w:rsid w:val="004A62B0"/>
    <w:rsid w:val="004A657A"/>
    <w:rsid w:val="004A6B82"/>
    <w:rsid w:val="004A71CC"/>
    <w:rsid w:val="004A74A1"/>
    <w:rsid w:val="004B0748"/>
    <w:rsid w:val="004B0F36"/>
    <w:rsid w:val="004B0FE6"/>
    <w:rsid w:val="004B162B"/>
    <w:rsid w:val="004B24C5"/>
    <w:rsid w:val="004B3A8E"/>
    <w:rsid w:val="004B459C"/>
    <w:rsid w:val="004B45D3"/>
    <w:rsid w:val="004B5A8A"/>
    <w:rsid w:val="004B6EF3"/>
    <w:rsid w:val="004B7383"/>
    <w:rsid w:val="004B77B5"/>
    <w:rsid w:val="004C043A"/>
    <w:rsid w:val="004C0C9E"/>
    <w:rsid w:val="004C1B6F"/>
    <w:rsid w:val="004C27C9"/>
    <w:rsid w:val="004C3959"/>
    <w:rsid w:val="004C3AB7"/>
    <w:rsid w:val="004C3C4F"/>
    <w:rsid w:val="004C431D"/>
    <w:rsid w:val="004C4667"/>
    <w:rsid w:val="004C491D"/>
    <w:rsid w:val="004C688A"/>
    <w:rsid w:val="004C7CF7"/>
    <w:rsid w:val="004D054E"/>
    <w:rsid w:val="004D0830"/>
    <w:rsid w:val="004D18DC"/>
    <w:rsid w:val="004D2880"/>
    <w:rsid w:val="004D2A2C"/>
    <w:rsid w:val="004D2D85"/>
    <w:rsid w:val="004D2DAC"/>
    <w:rsid w:val="004D317D"/>
    <w:rsid w:val="004D3698"/>
    <w:rsid w:val="004D3716"/>
    <w:rsid w:val="004D42C0"/>
    <w:rsid w:val="004D4CA9"/>
    <w:rsid w:val="004D4F93"/>
    <w:rsid w:val="004D5268"/>
    <w:rsid w:val="004D640E"/>
    <w:rsid w:val="004D6607"/>
    <w:rsid w:val="004D6CBF"/>
    <w:rsid w:val="004E0649"/>
    <w:rsid w:val="004E0AA5"/>
    <w:rsid w:val="004E0B60"/>
    <w:rsid w:val="004E0CCB"/>
    <w:rsid w:val="004E17C3"/>
    <w:rsid w:val="004E28A1"/>
    <w:rsid w:val="004E2F78"/>
    <w:rsid w:val="004E39A6"/>
    <w:rsid w:val="004E3EBC"/>
    <w:rsid w:val="004E6527"/>
    <w:rsid w:val="004E6A4E"/>
    <w:rsid w:val="004E70CB"/>
    <w:rsid w:val="004F01E5"/>
    <w:rsid w:val="004F3657"/>
    <w:rsid w:val="004F3693"/>
    <w:rsid w:val="004F3D59"/>
    <w:rsid w:val="004F5168"/>
    <w:rsid w:val="004F6421"/>
    <w:rsid w:val="004F7866"/>
    <w:rsid w:val="00502A3B"/>
    <w:rsid w:val="00504240"/>
    <w:rsid w:val="00504617"/>
    <w:rsid w:val="005047BF"/>
    <w:rsid w:val="00504CBC"/>
    <w:rsid w:val="00505A86"/>
    <w:rsid w:val="005062C1"/>
    <w:rsid w:val="005064AF"/>
    <w:rsid w:val="0050668A"/>
    <w:rsid w:val="00506CF8"/>
    <w:rsid w:val="005071A0"/>
    <w:rsid w:val="005071D7"/>
    <w:rsid w:val="0050789B"/>
    <w:rsid w:val="0051034E"/>
    <w:rsid w:val="00510869"/>
    <w:rsid w:val="00510D91"/>
    <w:rsid w:val="00510ECE"/>
    <w:rsid w:val="005113F7"/>
    <w:rsid w:val="005135BD"/>
    <w:rsid w:val="00513E3F"/>
    <w:rsid w:val="0051451B"/>
    <w:rsid w:val="0051456D"/>
    <w:rsid w:val="005146A7"/>
    <w:rsid w:val="00516F0F"/>
    <w:rsid w:val="0052042D"/>
    <w:rsid w:val="00521937"/>
    <w:rsid w:val="00521F7B"/>
    <w:rsid w:val="005223C7"/>
    <w:rsid w:val="005227A2"/>
    <w:rsid w:val="005238F8"/>
    <w:rsid w:val="00524AB4"/>
    <w:rsid w:val="00524B39"/>
    <w:rsid w:val="00526529"/>
    <w:rsid w:val="00526955"/>
    <w:rsid w:val="0052696C"/>
    <w:rsid w:val="00526B97"/>
    <w:rsid w:val="00527EBB"/>
    <w:rsid w:val="00530042"/>
    <w:rsid w:val="005302DA"/>
    <w:rsid w:val="00530D2E"/>
    <w:rsid w:val="005311AC"/>
    <w:rsid w:val="0053292B"/>
    <w:rsid w:val="00534568"/>
    <w:rsid w:val="0053479A"/>
    <w:rsid w:val="00535129"/>
    <w:rsid w:val="00536569"/>
    <w:rsid w:val="00537327"/>
    <w:rsid w:val="00540CC1"/>
    <w:rsid w:val="00540D23"/>
    <w:rsid w:val="0054118B"/>
    <w:rsid w:val="005417AE"/>
    <w:rsid w:val="00541B1C"/>
    <w:rsid w:val="00542763"/>
    <w:rsid w:val="00543A52"/>
    <w:rsid w:val="005447A1"/>
    <w:rsid w:val="00546B48"/>
    <w:rsid w:val="00547DB2"/>
    <w:rsid w:val="00547FF4"/>
    <w:rsid w:val="00551DD3"/>
    <w:rsid w:val="00553AD7"/>
    <w:rsid w:val="00554095"/>
    <w:rsid w:val="005547CA"/>
    <w:rsid w:val="00554E8F"/>
    <w:rsid w:val="005557B8"/>
    <w:rsid w:val="00555FD4"/>
    <w:rsid w:val="00556CD7"/>
    <w:rsid w:val="0055789D"/>
    <w:rsid w:val="00560180"/>
    <w:rsid w:val="00560908"/>
    <w:rsid w:val="00561A79"/>
    <w:rsid w:val="0056307E"/>
    <w:rsid w:val="00563C00"/>
    <w:rsid w:val="00565159"/>
    <w:rsid w:val="005668C1"/>
    <w:rsid w:val="00571EFC"/>
    <w:rsid w:val="00572DEF"/>
    <w:rsid w:val="00573802"/>
    <w:rsid w:val="005738ED"/>
    <w:rsid w:val="005752A2"/>
    <w:rsid w:val="00575F6C"/>
    <w:rsid w:val="00575FBA"/>
    <w:rsid w:val="00580A0A"/>
    <w:rsid w:val="0058127D"/>
    <w:rsid w:val="005816F7"/>
    <w:rsid w:val="00581DE4"/>
    <w:rsid w:val="00582BF7"/>
    <w:rsid w:val="00583858"/>
    <w:rsid w:val="005850AC"/>
    <w:rsid w:val="00585F96"/>
    <w:rsid w:val="00586203"/>
    <w:rsid w:val="00586A2E"/>
    <w:rsid w:val="00590547"/>
    <w:rsid w:val="00590F03"/>
    <w:rsid w:val="00591AB8"/>
    <w:rsid w:val="00591AC4"/>
    <w:rsid w:val="005920AB"/>
    <w:rsid w:val="005929BB"/>
    <w:rsid w:val="00594164"/>
    <w:rsid w:val="00594680"/>
    <w:rsid w:val="00594AFD"/>
    <w:rsid w:val="0059532C"/>
    <w:rsid w:val="005958DE"/>
    <w:rsid w:val="00595AF8"/>
    <w:rsid w:val="005968F7"/>
    <w:rsid w:val="00596C8D"/>
    <w:rsid w:val="00596D08"/>
    <w:rsid w:val="00597DF3"/>
    <w:rsid w:val="005A27CD"/>
    <w:rsid w:val="005A2DA0"/>
    <w:rsid w:val="005A2EDE"/>
    <w:rsid w:val="005A2FAD"/>
    <w:rsid w:val="005A3B39"/>
    <w:rsid w:val="005A3F75"/>
    <w:rsid w:val="005A4AEB"/>
    <w:rsid w:val="005A4FEE"/>
    <w:rsid w:val="005A7EA2"/>
    <w:rsid w:val="005B0314"/>
    <w:rsid w:val="005B1923"/>
    <w:rsid w:val="005B1B2A"/>
    <w:rsid w:val="005B2590"/>
    <w:rsid w:val="005B2A49"/>
    <w:rsid w:val="005B3F3F"/>
    <w:rsid w:val="005B4491"/>
    <w:rsid w:val="005B6135"/>
    <w:rsid w:val="005B6E6A"/>
    <w:rsid w:val="005C0CB2"/>
    <w:rsid w:val="005C10F9"/>
    <w:rsid w:val="005C1A28"/>
    <w:rsid w:val="005C227B"/>
    <w:rsid w:val="005C2AEF"/>
    <w:rsid w:val="005C2EC2"/>
    <w:rsid w:val="005C32C3"/>
    <w:rsid w:val="005C54CD"/>
    <w:rsid w:val="005C57B6"/>
    <w:rsid w:val="005C6E08"/>
    <w:rsid w:val="005C7562"/>
    <w:rsid w:val="005D122B"/>
    <w:rsid w:val="005D1C39"/>
    <w:rsid w:val="005D2F64"/>
    <w:rsid w:val="005D3455"/>
    <w:rsid w:val="005D3701"/>
    <w:rsid w:val="005D3D15"/>
    <w:rsid w:val="005D4705"/>
    <w:rsid w:val="005D6B69"/>
    <w:rsid w:val="005D6DDB"/>
    <w:rsid w:val="005D74EF"/>
    <w:rsid w:val="005D754C"/>
    <w:rsid w:val="005D7589"/>
    <w:rsid w:val="005E0C39"/>
    <w:rsid w:val="005E0EEC"/>
    <w:rsid w:val="005E148A"/>
    <w:rsid w:val="005E2BCB"/>
    <w:rsid w:val="005E3090"/>
    <w:rsid w:val="005E348D"/>
    <w:rsid w:val="005E4DF7"/>
    <w:rsid w:val="005E57AF"/>
    <w:rsid w:val="005E6CC4"/>
    <w:rsid w:val="005E7525"/>
    <w:rsid w:val="005F20A3"/>
    <w:rsid w:val="005F3525"/>
    <w:rsid w:val="005F3BB7"/>
    <w:rsid w:val="005F4994"/>
    <w:rsid w:val="005F5763"/>
    <w:rsid w:val="005F759E"/>
    <w:rsid w:val="00601501"/>
    <w:rsid w:val="00601A3D"/>
    <w:rsid w:val="00603778"/>
    <w:rsid w:val="00604055"/>
    <w:rsid w:val="00604C53"/>
    <w:rsid w:val="006055E4"/>
    <w:rsid w:val="00607BCB"/>
    <w:rsid w:val="00607D06"/>
    <w:rsid w:val="006103B9"/>
    <w:rsid w:val="006104A9"/>
    <w:rsid w:val="00610C65"/>
    <w:rsid w:val="00613ED9"/>
    <w:rsid w:val="006166ED"/>
    <w:rsid w:val="00617416"/>
    <w:rsid w:val="006204F5"/>
    <w:rsid w:val="00620E45"/>
    <w:rsid w:val="006212D4"/>
    <w:rsid w:val="00621598"/>
    <w:rsid w:val="0062169B"/>
    <w:rsid w:val="00621B8D"/>
    <w:rsid w:val="0062256E"/>
    <w:rsid w:val="00623577"/>
    <w:rsid w:val="006248E5"/>
    <w:rsid w:val="00624920"/>
    <w:rsid w:val="00625B02"/>
    <w:rsid w:val="006260B0"/>
    <w:rsid w:val="006268C4"/>
    <w:rsid w:val="0062790C"/>
    <w:rsid w:val="00631874"/>
    <w:rsid w:val="00631EC8"/>
    <w:rsid w:val="00634897"/>
    <w:rsid w:val="00635DBF"/>
    <w:rsid w:val="006362D8"/>
    <w:rsid w:val="0064019E"/>
    <w:rsid w:val="00642677"/>
    <w:rsid w:val="00642A63"/>
    <w:rsid w:val="0064330A"/>
    <w:rsid w:val="0064358E"/>
    <w:rsid w:val="0064369E"/>
    <w:rsid w:val="00643799"/>
    <w:rsid w:val="00643FE5"/>
    <w:rsid w:val="00644609"/>
    <w:rsid w:val="006448B2"/>
    <w:rsid w:val="006458F4"/>
    <w:rsid w:val="00650761"/>
    <w:rsid w:val="00651165"/>
    <w:rsid w:val="0065252E"/>
    <w:rsid w:val="006533CC"/>
    <w:rsid w:val="00653F69"/>
    <w:rsid w:val="006545BA"/>
    <w:rsid w:val="006545D0"/>
    <w:rsid w:val="00654B05"/>
    <w:rsid w:val="006569B3"/>
    <w:rsid w:val="006570EC"/>
    <w:rsid w:val="00657C6B"/>
    <w:rsid w:val="0066032A"/>
    <w:rsid w:val="006603AA"/>
    <w:rsid w:val="00662237"/>
    <w:rsid w:val="00662AD4"/>
    <w:rsid w:val="00664A7E"/>
    <w:rsid w:val="0066538F"/>
    <w:rsid w:val="006653E0"/>
    <w:rsid w:val="00665F74"/>
    <w:rsid w:val="00666399"/>
    <w:rsid w:val="006669F8"/>
    <w:rsid w:val="006674EC"/>
    <w:rsid w:val="006716C3"/>
    <w:rsid w:val="00672842"/>
    <w:rsid w:val="00672861"/>
    <w:rsid w:val="0067384C"/>
    <w:rsid w:val="006739F1"/>
    <w:rsid w:val="006746F6"/>
    <w:rsid w:val="00675725"/>
    <w:rsid w:val="00675C20"/>
    <w:rsid w:val="00676CE0"/>
    <w:rsid w:val="00676D7F"/>
    <w:rsid w:val="00677067"/>
    <w:rsid w:val="00677183"/>
    <w:rsid w:val="0067743E"/>
    <w:rsid w:val="00680C43"/>
    <w:rsid w:val="00681189"/>
    <w:rsid w:val="006813AF"/>
    <w:rsid w:val="006819D1"/>
    <w:rsid w:val="00681E54"/>
    <w:rsid w:val="00682076"/>
    <w:rsid w:val="00682147"/>
    <w:rsid w:val="00683B09"/>
    <w:rsid w:val="006841B0"/>
    <w:rsid w:val="0068633A"/>
    <w:rsid w:val="00686513"/>
    <w:rsid w:val="00687BC2"/>
    <w:rsid w:val="006902A0"/>
    <w:rsid w:val="006907B6"/>
    <w:rsid w:val="00691637"/>
    <w:rsid w:val="006923A4"/>
    <w:rsid w:val="00692F30"/>
    <w:rsid w:val="006930D5"/>
    <w:rsid w:val="006943D4"/>
    <w:rsid w:val="00695A81"/>
    <w:rsid w:val="006963E7"/>
    <w:rsid w:val="00696BFD"/>
    <w:rsid w:val="00696C79"/>
    <w:rsid w:val="006A0CD1"/>
    <w:rsid w:val="006A16FF"/>
    <w:rsid w:val="006A373C"/>
    <w:rsid w:val="006A6257"/>
    <w:rsid w:val="006A6B36"/>
    <w:rsid w:val="006A6D0C"/>
    <w:rsid w:val="006A6DFA"/>
    <w:rsid w:val="006B312E"/>
    <w:rsid w:val="006B33C0"/>
    <w:rsid w:val="006B53A4"/>
    <w:rsid w:val="006B6B4D"/>
    <w:rsid w:val="006B6FA5"/>
    <w:rsid w:val="006C15B6"/>
    <w:rsid w:val="006C1AAC"/>
    <w:rsid w:val="006C223B"/>
    <w:rsid w:val="006C28C1"/>
    <w:rsid w:val="006C432E"/>
    <w:rsid w:val="006C52F4"/>
    <w:rsid w:val="006C66E8"/>
    <w:rsid w:val="006D0E45"/>
    <w:rsid w:val="006D1119"/>
    <w:rsid w:val="006D121D"/>
    <w:rsid w:val="006D12B3"/>
    <w:rsid w:val="006D1B14"/>
    <w:rsid w:val="006D2986"/>
    <w:rsid w:val="006D4397"/>
    <w:rsid w:val="006D451F"/>
    <w:rsid w:val="006D51D3"/>
    <w:rsid w:val="006D567B"/>
    <w:rsid w:val="006D5B28"/>
    <w:rsid w:val="006D7CE2"/>
    <w:rsid w:val="006E0A15"/>
    <w:rsid w:val="006E0F70"/>
    <w:rsid w:val="006E15D6"/>
    <w:rsid w:val="006E3046"/>
    <w:rsid w:val="006E38D8"/>
    <w:rsid w:val="006E3D2C"/>
    <w:rsid w:val="006E3F5F"/>
    <w:rsid w:val="006E40D4"/>
    <w:rsid w:val="006E475A"/>
    <w:rsid w:val="006E67EB"/>
    <w:rsid w:val="006F379E"/>
    <w:rsid w:val="006F4428"/>
    <w:rsid w:val="006F55CB"/>
    <w:rsid w:val="006F6DA8"/>
    <w:rsid w:val="006F7E7E"/>
    <w:rsid w:val="00701394"/>
    <w:rsid w:val="0070180D"/>
    <w:rsid w:val="007047A1"/>
    <w:rsid w:val="007049CE"/>
    <w:rsid w:val="007055DB"/>
    <w:rsid w:val="007058ED"/>
    <w:rsid w:val="00705B24"/>
    <w:rsid w:val="00705C17"/>
    <w:rsid w:val="00705DB4"/>
    <w:rsid w:val="007066C1"/>
    <w:rsid w:val="00707799"/>
    <w:rsid w:val="007077F8"/>
    <w:rsid w:val="0071094E"/>
    <w:rsid w:val="00710E90"/>
    <w:rsid w:val="0071111A"/>
    <w:rsid w:val="00711358"/>
    <w:rsid w:val="007113C4"/>
    <w:rsid w:val="00711EE7"/>
    <w:rsid w:val="00712183"/>
    <w:rsid w:val="00714974"/>
    <w:rsid w:val="007154B5"/>
    <w:rsid w:val="00715F7B"/>
    <w:rsid w:val="0071687B"/>
    <w:rsid w:val="007208FD"/>
    <w:rsid w:val="007209E3"/>
    <w:rsid w:val="00720A35"/>
    <w:rsid w:val="00721D26"/>
    <w:rsid w:val="00723042"/>
    <w:rsid w:val="00724640"/>
    <w:rsid w:val="0072534F"/>
    <w:rsid w:val="007259AB"/>
    <w:rsid w:val="007305D8"/>
    <w:rsid w:val="00732CF0"/>
    <w:rsid w:val="00733177"/>
    <w:rsid w:val="007334C5"/>
    <w:rsid w:val="0073463D"/>
    <w:rsid w:val="00735CB2"/>
    <w:rsid w:val="007376C4"/>
    <w:rsid w:val="007402AA"/>
    <w:rsid w:val="007406BD"/>
    <w:rsid w:val="0074079C"/>
    <w:rsid w:val="00741370"/>
    <w:rsid w:val="007416B9"/>
    <w:rsid w:val="00742745"/>
    <w:rsid w:val="007429C7"/>
    <w:rsid w:val="00743BBB"/>
    <w:rsid w:val="007445E1"/>
    <w:rsid w:val="00745546"/>
    <w:rsid w:val="00745641"/>
    <w:rsid w:val="00745DD9"/>
    <w:rsid w:val="007506FE"/>
    <w:rsid w:val="00751BD9"/>
    <w:rsid w:val="0075273E"/>
    <w:rsid w:val="00752CB5"/>
    <w:rsid w:val="0075334B"/>
    <w:rsid w:val="007533F6"/>
    <w:rsid w:val="007534FC"/>
    <w:rsid w:val="007535B9"/>
    <w:rsid w:val="007537E9"/>
    <w:rsid w:val="00754D00"/>
    <w:rsid w:val="00763891"/>
    <w:rsid w:val="00763944"/>
    <w:rsid w:val="00763A6C"/>
    <w:rsid w:val="0076431C"/>
    <w:rsid w:val="007644E0"/>
    <w:rsid w:val="007656E7"/>
    <w:rsid w:val="00766EB9"/>
    <w:rsid w:val="007670E4"/>
    <w:rsid w:val="007671D2"/>
    <w:rsid w:val="007708AF"/>
    <w:rsid w:val="007709AB"/>
    <w:rsid w:val="00770C3C"/>
    <w:rsid w:val="007721DF"/>
    <w:rsid w:val="00772FA3"/>
    <w:rsid w:val="007734BC"/>
    <w:rsid w:val="007736CC"/>
    <w:rsid w:val="00774302"/>
    <w:rsid w:val="00774D06"/>
    <w:rsid w:val="00775A73"/>
    <w:rsid w:val="00776651"/>
    <w:rsid w:val="0077715F"/>
    <w:rsid w:val="00777B37"/>
    <w:rsid w:val="00780631"/>
    <w:rsid w:val="0078147B"/>
    <w:rsid w:val="0078187E"/>
    <w:rsid w:val="00781A0F"/>
    <w:rsid w:val="00785754"/>
    <w:rsid w:val="00785F0F"/>
    <w:rsid w:val="00786DB1"/>
    <w:rsid w:val="00790C0F"/>
    <w:rsid w:val="00791DF2"/>
    <w:rsid w:val="00793E2A"/>
    <w:rsid w:val="0079429A"/>
    <w:rsid w:val="0079470B"/>
    <w:rsid w:val="0079470F"/>
    <w:rsid w:val="0079475F"/>
    <w:rsid w:val="007951B7"/>
    <w:rsid w:val="007957B6"/>
    <w:rsid w:val="00796388"/>
    <w:rsid w:val="00796C23"/>
    <w:rsid w:val="007A0221"/>
    <w:rsid w:val="007A0795"/>
    <w:rsid w:val="007A1259"/>
    <w:rsid w:val="007A231F"/>
    <w:rsid w:val="007A3BCB"/>
    <w:rsid w:val="007A3C4C"/>
    <w:rsid w:val="007A573E"/>
    <w:rsid w:val="007A59C1"/>
    <w:rsid w:val="007A62D8"/>
    <w:rsid w:val="007A65F9"/>
    <w:rsid w:val="007A6689"/>
    <w:rsid w:val="007A691C"/>
    <w:rsid w:val="007B0A56"/>
    <w:rsid w:val="007B0C36"/>
    <w:rsid w:val="007B0D28"/>
    <w:rsid w:val="007B1A8E"/>
    <w:rsid w:val="007B2486"/>
    <w:rsid w:val="007B2784"/>
    <w:rsid w:val="007B2DFC"/>
    <w:rsid w:val="007B452E"/>
    <w:rsid w:val="007B504A"/>
    <w:rsid w:val="007B6082"/>
    <w:rsid w:val="007B6A28"/>
    <w:rsid w:val="007B77ED"/>
    <w:rsid w:val="007B7942"/>
    <w:rsid w:val="007B796F"/>
    <w:rsid w:val="007C047C"/>
    <w:rsid w:val="007C0F13"/>
    <w:rsid w:val="007C184E"/>
    <w:rsid w:val="007C35E1"/>
    <w:rsid w:val="007C5A26"/>
    <w:rsid w:val="007C5B99"/>
    <w:rsid w:val="007C6AD2"/>
    <w:rsid w:val="007D14A0"/>
    <w:rsid w:val="007D1DA7"/>
    <w:rsid w:val="007D2BEC"/>
    <w:rsid w:val="007D35C9"/>
    <w:rsid w:val="007D3944"/>
    <w:rsid w:val="007D3952"/>
    <w:rsid w:val="007D3A50"/>
    <w:rsid w:val="007D6692"/>
    <w:rsid w:val="007D69A9"/>
    <w:rsid w:val="007D6ADF"/>
    <w:rsid w:val="007D7F5C"/>
    <w:rsid w:val="007E1044"/>
    <w:rsid w:val="007E11EE"/>
    <w:rsid w:val="007E122C"/>
    <w:rsid w:val="007E1239"/>
    <w:rsid w:val="007E1D89"/>
    <w:rsid w:val="007E23F8"/>
    <w:rsid w:val="007E2AF9"/>
    <w:rsid w:val="007E2E37"/>
    <w:rsid w:val="007E3A06"/>
    <w:rsid w:val="007E3CC2"/>
    <w:rsid w:val="007E4347"/>
    <w:rsid w:val="007E69AC"/>
    <w:rsid w:val="007E7353"/>
    <w:rsid w:val="007E74B3"/>
    <w:rsid w:val="007E7899"/>
    <w:rsid w:val="007F0368"/>
    <w:rsid w:val="007F1090"/>
    <w:rsid w:val="007F35DD"/>
    <w:rsid w:val="007F42F7"/>
    <w:rsid w:val="007F4C24"/>
    <w:rsid w:val="007F6836"/>
    <w:rsid w:val="007F7FCD"/>
    <w:rsid w:val="008004E0"/>
    <w:rsid w:val="008010A7"/>
    <w:rsid w:val="00802FA2"/>
    <w:rsid w:val="008031C7"/>
    <w:rsid w:val="008043DE"/>
    <w:rsid w:val="00804E5A"/>
    <w:rsid w:val="00806B0E"/>
    <w:rsid w:val="0080753A"/>
    <w:rsid w:val="0081075B"/>
    <w:rsid w:val="00810F57"/>
    <w:rsid w:val="0081109E"/>
    <w:rsid w:val="00811CC7"/>
    <w:rsid w:val="00811FFA"/>
    <w:rsid w:val="008127A1"/>
    <w:rsid w:val="008129B8"/>
    <w:rsid w:val="00813F62"/>
    <w:rsid w:val="00815FF5"/>
    <w:rsid w:val="00817112"/>
    <w:rsid w:val="00817285"/>
    <w:rsid w:val="008203AB"/>
    <w:rsid w:val="008214A2"/>
    <w:rsid w:val="008216A0"/>
    <w:rsid w:val="008220D4"/>
    <w:rsid w:val="008228AA"/>
    <w:rsid w:val="00823CA7"/>
    <w:rsid w:val="00824638"/>
    <w:rsid w:val="008257D6"/>
    <w:rsid w:val="0082637F"/>
    <w:rsid w:val="008269AD"/>
    <w:rsid w:val="0082794B"/>
    <w:rsid w:val="0083018B"/>
    <w:rsid w:val="00830DB7"/>
    <w:rsid w:val="00831CA4"/>
    <w:rsid w:val="0083202F"/>
    <w:rsid w:val="008320AA"/>
    <w:rsid w:val="00832C4B"/>
    <w:rsid w:val="00833346"/>
    <w:rsid w:val="0083380D"/>
    <w:rsid w:val="00833883"/>
    <w:rsid w:val="00833C56"/>
    <w:rsid w:val="0083527F"/>
    <w:rsid w:val="008353F4"/>
    <w:rsid w:val="00836A77"/>
    <w:rsid w:val="008379DB"/>
    <w:rsid w:val="00840225"/>
    <w:rsid w:val="00840941"/>
    <w:rsid w:val="00841212"/>
    <w:rsid w:val="008427B0"/>
    <w:rsid w:val="00843168"/>
    <w:rsid w:val="00845606"/>
    <w:rsid w:val="008479A0"/>
    <w:rsid w:val="00850754"/>
    <w:rsid w:val="008518ED"/>
    <w:rsid w:val="00851B8D"/>
    <w:rsid w:val="00853598"/>
    <w:rsid w:val="00854B54"/>
    <w:rsid w:val="00855EEB"/>
    <w:rsid w:val="00857A58"/>
    <w:rsid w:val="00857AE9"/>
    <w:rsid w:val="0086041E"/>
    <w:rsid w:val="00860D61"/>
    <w:rsid w:val="00861CB0"/>
    <w:rsid w:val="008629EA"/>
    <w:rsid w:val="00862DF3"/>
    <w:rsid w:val="00863087"/>
    <w:rsid w:val="00864251"/>
    <w:rsid w:val="008649E2"/>
    <w:rsid w:val="008655F0"/>
    <w:rsid w:val="008662A8"/>
    <w:rsid w:val="00871F5D"/>
    <w:rsid w:val="00873C7A"/>
    <w:rsid w:val="008750BB"/>
    <w:rsid w:val="00875F54"/>
    <w:rsid w:val="00875FCC"/>
    <w:rsid w:val="00876554"/>
    <w:rsid w:val="0087786D"/>
    <w:rsid w:val="00877E54"/>
    <w:rsid w:val="0088119B"/>
    <w:rsid w:val="00881C4A"/>
    <w:rsid w:val="0088301E"/>
    <w:rsid w:val="00883F14"/>
    <w:rsid w:val="00884162"/>
    <w:rsid w:val="00884AC5"/>
    <w:rsid w:val="00884C26"/>
    <w:rsid w:val="00884F26"/>
    <w:rsid w:val="00890627"/>
    <w:rsid w:val="0089070A"/>
    <w:rsid w:val="00891254"/>
    <w:rsid w:val="008931A8"/>
    <w:rsid w:val="00893CA5"/>
    <w:rsid w:val="00894838"/>
    <w:rsid w:val="0089517D"/>
    <w:rsid w:val="00896FAA"/>
    <w:rsid w:val="00897746"/>
    <w:rsid w:val="008A003E"/>
    <w:rsid w:val="008A034C"/>
    <w:rsid w:val="008A03DE"/>
    <w:rsid w:val="008A0CE0"/>
    <w:rsid w:val="008A12C6"/>
    <w:rsid w:val="008A1A8C"/>
    <w:rsid w:val="008A24BE"/>
    <w:rsid w:val="008A2516"/>
    <w:rsid w:val="008A25F2"/>
    <w:rsid w:val="008A3BBA"/>
    <w:rsid w:val="008A5120"/>
    <w:rsid w:val="008B1048"/>
    <w:rsid w:val="008B22C2"/>
    <w:rsid w:val="008B26FB"/>
    <w:rsid w:val="008B2F49"/>
    <w:rsid w:val="008B556B"/>
    <w:rsid w:val="008B57E3"/>
    <w:rsid w:val="008B5A8D"/>
    <w:rsid w:val="008B6781"/>
    <w:rsid w:val="008C0838"/>
    <w:rsid w:val="008C0CB1"/>
    <w:rsid w:val="008C1DA9"/>
    <w:rsid w:val="008C203C"/>
    <w:rsid w:val="008C25BC"/>
    <w:rsid w:val="008C29F5"/>
    <w:rsid w:val="008C2D0A"/>
    <w:rsid w:val="008C305A"/>
    <w:rsid w:val="008C7188"/>
    <w:rsid w:val="008D0326"/>
    <w:rsid w:val="008D0F9E"/>
    <w:rsid w:val="008D36EA"/>
    <w:rsid w:val="008D509E"/>
    <w:rsid w:val="008D7332"/>
    <w:rsid w:val="008E0A22"/>
    <w:rsid w:val="008E2103"/>
    <w:rsid w:val="008E2688"/>
    <w:rsid w:val="008E337B"/>
    <w:rsid w:val="008E4153"/>
    <w:rsid w:val="008E4238"/>
    <w:rsid w:val="008E518B"/>
    <w:rsid w:val="008E61C1"/>
    <w:rsid w:val="008E6A8D"/>
    <w:rsid w:val="008E75F2"/>
    <w:rsid w:val="008E7E49"/>
    <w:rsid w:val="008F00B0"/>
    <w:rsid w:val="008F01F9"/>
    <w:rsid w:val="008F119B"/>
    <w:rsid w:val="008F13FC"/>
    <w:rsid w:val="008F24CF"/>
    <w:rsid w:val="008F2A8E"/>
    <w:rsid w:val="008F4C08"/>
    <w:rsid w:val="008F54A1"/>
    <w:rsid w:val="008F6733"/>
    <w:rsid w:val="008F7F47"/>
    <w:rsid w:val="00900DD2"/>
    <w:rsid w:val="009010F8"/>
    <w:rsid w:val="00901475"/>
    <w:rsid w:val="00903BFD"/>
    <w:rsid w:val="009042BC"/>
    <w:rsid w:val="009050F7"/>
    <w:rsid w:val="00906652"/>
    <w:rsid w:val="0090753B"/>
    <w:rsid w:val="00907828"/>
    <w:rsid w:val="009078FF"/>
    <w:rsid w:val="00907C0B"/>
    <w:rsid w:val="00910012"/>
    <w:rsid w:val="00910447"/>
    <w:rsid w:val="00910DD7"/>
    <w:rsid w:val="0091177D"/>
    <w:rsid w:val="00912F34"/>
    <w:rsid w:val="00913E26"/>
    <w:rsid w:val="0091698B"/>
    <w:rsid w:val="00916D9E"/>
    <w:rsid w:val="00917381"/>
    <w:rsid w:val="009173C4"/>
    <w:rsid w:val="0091796A"/>
    <w:rsid w:val="009200E7"/>
    <w:rsid w:val="009207C1"/>
    <w:rsid w:val="00921FC9"/>
    <w:rsid w:val="0092283D"/>
    <w:rsid w:val="00923158"/>
    <w:rsid w:val="009236A4"/>
    <w:rsid w:val="00924CE6"/>
    <w:rsid w:val="00926E67"/>
    <w:rsid w:val="00927154"/>
    <w:rsid w:val="00930185"/>
    <w:rsid w:val="009307B6"/>
    <w:rsid w:val="009321C3"/>
    <w:rsid w:val="009324ED"/>
    <w:rsid w:val="00933B0E"/>
    <w:rsid w:val="009353CE"/>
    <w:rsid w:val="00935A76"/>
    <w:rsid w:val="00936307"/>
    <w:rsid w:val="0094014C"/>
    <w:rsid w:val="009403E2"/>
    <w:rsid w:val="00940E35"/>
    <w:rsid w:val="0094172F"/>
    <w:rsid w:val="00941CCD"/>
    <w:rsid w:val="009423E5"/>
    <w:rsid w:val="00942DEC"/>
    <w:rsid w:val="00943C10"/>
    <w:rsid w:val="00943C6E"/>
    <w:rsid w:val="0094445A"/>
    <w:rsid w:val="009457C3"/>
    <w:rsid w:val="00950548"/>
    <w:rsid w:val="009514DA"/>
    <w:rsid w:val="009514E4"/>
    <w:rsid w:val="009524B6"/>
    <w:rsid w:val="00952B86"/>
    <w:rsid w:val="00952E83"/>
    <w:rsid w:val="0095343F"/>
    <w:rsid w:val="00955B8B"/>
    <w:rsid w:val="009610F7"/>
    <w:rsid w:val="00964280"/>
    <w:rsid w:val="0096543B"/>
    <w:rsid w:val="00965D34"/>
    <w:rsid w:val="00965DA4"/>
    <w:rsid w:val="00965DDB"/>
    <w:rsid w:val="00965E8E"/>
    <w:rsid w:val="0096685D"/>
    <w:rsid w:val="00967093"/>
    <w:rsid w:val="00970681"/>
    <w:rsid w:val="00970BCE"/>
    <w:rsid w:val="00970D5F"/>
    <w:rsid w:val="00970EF3"/>
    <w:rsid w:val="009714B9"/>
    <w:rsid w:val="0097274E"/>
    <w:rsid w:val="009731BD"/>
    <w:rsid w:val="00974D4E"/>
    <w:rsid w:val="00974FF8"/>
    <w:rsid w:val="009757FE"/>
    <w:rsid w:val="00975A92"/>
    <w:rsid w:val="00975EF6"/>
    <w:rsid w:val="00976132"/>
    <w:rsid w:val="00976A9A"/>
    <w:rsid w:val="00976C6D"/>
    <w:rsid w:val="00977D03"/>
    <w:rsid w:val="00980C3E"/>
    <w:rsid w:val="0098238F"/>
    <w:rsid w:val="00982544"/>
    <w:rsid w:val="00983D7F"/>
    <w:rsid w:val="009849C9"/>
    <w:rsid w:val="0098692B"/>
    <w:rsid w:val="0098701B"/>
    <w:rsid w:val="00987968"/>
    <w:rsid w:val="00987E1F"/>
    <w:rsid w:val="00987EEF"/>
    <w:rsid w:val="00990065"/>
    <w:rsid w:val="009917D4"/>
    <w:rsid w:val="009917DE"/>
    <w:rsid w:val="00994751"/>
    <w:rsid w:val="00994FF2"/>
    <w:rsid w:val="00995144"/>
    <w:rsid w:val="009964DF"/>
    <w:rsid w:val="009968DF"/>
    <w:rsid w:val="009A0E31"/>
    <w:rsid w:val="009A20F2"/>
    <w:rsid w:val="009A22BF"/>
    <w:rsid w:val="009A4528"/>
    <w:rsid w:val="009A4A27"/>
    <w:rsid w:val="009A5026"/>
    <w:rsid w:val="009A575F"/>
    <w:rsid w:val="009A76BB"/>
    <w:rsid w:val="009B07E8"/>
    <w:rsid w:val="009B1FF2"/>
    <w:rsid w:val="009B2115"/>
    <w:rsid w:val="009B23F0"/>
    <w:rsid w:val="009B35FE"/>
    <w:rsid w:val="009B369D"/>
    <w:rsid w:val="009B3D07"/>
    <w:rsid w:val="009B4BA5"/>
    <w:rsid w:val="009B50AE"/>
    <w:rsid w:val="009B5649"/>
    <w:rsid w:val="009B56CA"/>
    <w:rsid w:val="009B6066"/>
    <w:rsid w:val="009B6558"/>
    <w:rsid w:val="009B65AD"/>
    <w:rsid w:val="009B6D23"/>
    <w:rsid w:val="009B7516"/>
    <w:rsid w:val="009C030B"/>
    <w:rsid w:val="009C1521"/>
    <w:rsid w:val="009C1582"/>
    <w:rsid w:val="009C4A32"/>
    <w:rsid w:val="009C53CC"/>
    <w:rsid w:val="009C5CAC"/>
    <w:rsid w:val="009C66CB"/>
    <w:rsid w:val="009C68F0"/>
    <w:rsid w:val="009D06B0"/>
    <w:rsid w:val="009D1A4D"/>
    <w:rsid w:val="009D35CA"/>
    <w:rsid w:val="009D385A"/>
    <w:rsid w:val="009D6AC2"/>
    <w:rsid w:val="009D6BD5"/>
    <w:rsid w:val="009E122B"/>
    <w:rsid w:val="009E1AB0"/>
    <w:rsid w:val="009E1F9F"/>
    <w:rsid w:val="009E215C"/>
    <w:rsid w:val="009E279A"/>
    <w:rsid w:val="009E3185"/>
    <w:rsid w:val="009E3250"/>
    <w:rsid w:val="009E3C25"/>
    <w:rsid w:val="009E482A"/>
    <w:rsid w:val="009E6234"/>
    <w:rsid w:val="009F018D"/>
    <w:rsid w:val="009F1723"/>
    <w:rsid w:val="009F2753"/>
    <w:rsid w:val="009F2DB0"/>
    <w:rsid w:val="009F371C"/>
    <w:rsid w:val="009F44CD"/>
    <w:rsid w:val="009F4604"/>
    <w:rsid w:val="009F53E8"/>
    <w:rsid w:val="009F5C30"/>
    <w:rsid w:val="009F6520"/>
    <w:rsid w:val="009F6F68"/>
    <w:rsid w:val="009F6FF2"/>
    <w:rsid w:val="009F7FC2"/>
    <w:rsid w:val="00A0005E"/>
    <w:rsid w:val="00A022AB"/>
    <w:rsid w:val="00A02A37"/>
    <w:rsid w:val="00A02B66"/>
    <w:rsid w:val="00A02C9C"/>
    <w:rsid w:val="00A0302F"/>
    <w:rsid w:val="00A03D0E"/>
    <w:rsid w:val="00A043F5"/>
    <w:rsid w:val="00A05D20"/>
    <w:rsid w:val="00A06BA5"/>
    <w:rsid w:val="00A06F82"/>
    <w:rsid w:val="00A06F89"/>
    <w:rsid w:val="00A07469"/>
    <w:rsid w:val="00A078A1"/>
    <w:rsid w:val="00A10189"/>
    <w:rsid w:val="00A10EA6"/>
    <w:rsid w:val="00A11D98"/>
    <w:rsid w:val="00A11DFB"/>
    <w:rsid w:val="00A11EBC"/>
    <w:rsid w:val="00A12FEB"/>
    <w:rsid w:val="00A13BB3"/>
    <w:rsid w:val="00A13D24"/>
    <w:rsid w:val="00A147DE"/>
    <w:rsid w:val="00A14A48"/>
    <w:rsid w:val="00A14F62"/>
    <w:rsid w:val="00A157E7"/>
    <w:rsid w:val="00A15B99"/>
    <w:rsid w:val="00A16FC5"/>
    <w:rsid w:val="00A171DD"/>
    <w:rsid w:val="00A17DED"/>
    <w:rsid w:val="00A20331"/>
    <w:rsid w:val="00A2083B"/>
    <w:rsid w:val="00A22269"/>
    <w:rsid w:val="00A22973"/>
    <w:rsid w:val="00A25377"/>
    <w:rsid w:val="00A25AA2"/>
    <w:rsid w:val="00A26942"/>
    <w:rsid w:val="00A27017"/>
    <w:rsid w:val="00A312F0"/>
    <w:rsid w:val="00A3136A"/>
    <w:rsid w:val="00A314BF"/>
    <w:rsid w:val="00A31A1C"/>
    <w:rsid w:val="00A3330D"/>
    <w:rsid w:val="00A347DA"/>
    <w:rsid w:val="00A34941"/>
    <w:rsid w:val="00A358BE"/>
    <w:rsid w:val="00A35C36"/>
    <w:rsid w:val="00A35F60"/>
    <w:rsid w:val="00A35F7C"/>
    <w:rsid w:val="00A362C3"/>
    <w:rsid w:val="00A36B91"/>
    <w:rsid w:val="00A36F45"/>
    <w:rsid w:val="00A37020"/>
    <w:rsid w:val="00A37212"/>
    <w:rsid w:val="00A3763E"/>
    <w:rsid w:val="00A37979"/>
    <w:rsid w:val="00A4182C"/>
    <w:rsid w:val="00A418B6"/>
    <w:rsid w:val="00A431A3"/>
    <w:rsid w:val="00A449B8"/>
    <w:rsid w:val="00A44E58"/>
    <w:rsid w:val="00A45A92"/>
    <w:rsid w:val="00A4668B"/>
    <w:rsid w:val="00A477BA"/>
    <w:rsid w:val="00A5100D"/>
    <w:rsid w:val="00A51077"/>
    <w:rsid w:val="00A51601"/>
    <w:rsid w:val="00A51782"/>
    <w:rsid w:val="00A517CE"/>
    <w:rsid w:val="00A5478D"/>
    <w:rsid w:val="00A547C0"/>
    <w:rsid w:val="00A554BA"/>
    <w:rsid w:val="00A56B9C"/>
    <w:rsid w:val="00A5721C"/>
    <w:rsid w:val="00A57259"/>
    <w:rsid w:val="00A577D8"/>
    <w:rsid w:val="00A6053C"/>
    <w:rsid w:val="00A6128D"/>
    <w:rsid w:val="00A6276C"/>
    <w:rsid w:val="00A66452"/>
    <w:rsid w:val="00A66CCE"/>
    <w:rsid w:val="00A67965"/>
    <w:rsid w:val="00A72989"/>
    <w:rsid w:val="00A738B3"/>
    <w:rsid w:val="00A73C96"/>
    <w:rsid w:val="00A742AC"/>
    <w:rsid w:val="00A74867"/>
    <w:rsid w:val="00A7575E"/>
    <w:rsid w:val="00A7641F"/>
    <w:rsid w:val="00A76DDB"/>
    <w:rsid w:val="00A77904"/>
    <w:rsid w:val="00A809CE"/>
    <w:rsid w:val="00A81604"/>
    <w:rsid w:val="00A81618"/>
    <w:rsid w:val="00A81B14"/>
    <w:rsid w:val="00A828B7"/>
    <w:rsid w:val="00A82EEE"/>
    <w:rsid w:val="00A8332E"/>
    <w:rsid w:val="00A8549F"/>
    <w:rsid w:val="00A8776F"/>
    <w:rsid w:val="00A90CE4"/>
    <w:rsid w:val="00A94780"/>
    <w:rsid w:val="00A94A69"/>
    <w:rsid w:val="00A94E56"/>
    <w:rsid w:val="00A972E4"/>
    <w:rsid w:val="00AA1147"/>
    <w:rsid w:val="00AA1425"/>
    <w:rsid w:val="00AA24DF"/>
    <w:rsid w:val="00AA27F1"/>
    <w:rsid w:val="00AA2811"/>
    <w:rsid w:val="00AA5059"/>
    <w:rsid w:val="00AA57A4"/>
    <w:rsid w:val="00AA58A7"/>
    <w:rsid w:val="00AA604D"/>
    <w:rsid w:val="00AA6FC3"/>
    <w:rsid w:val="00AB08AA"/>
    <w:rsid w:val="00AB1C64"/>
    <w:rsid w:val="00AB57DD"/>
    <w:rsid w:val="00AB680E"/>
    <w:rsid w:val="00AB6DD5"/>
    <w:rsid w:val="00AB714A"/>
    <w:rsid w:val="00AB7760"/>
    <w:rsid w:val="00AB7881"/>
    <w:rsid w:val="00AB7DD8"/>
    <w:rsid w:val="00AC2C6E"/>
    <w:rsid w:val="00AC3AD1"/>
    <w:rsid w:val="00AC3ADA"/>
    <w:rsid w:val="00AC43F8"/>
    <w:rsid w:val="00AC7664"/>
    <w:rsid w:val="00AD1C25"/>
    <w:rsid w:val="00AD1FA2"/>
    <w:rsid w:val="00AD2086"/>
    <w:rsid w:val="00AD25A3"/>
    <w:rsid w:val="00AD2E1D"/>
    <w:rsid w:val="00AD319A"/>
    <w:rsid w:val="00AD48CB"/>
    <w:rsid w:val="00AD4AE1"/>
    <w:rsid w:val="00AD50F8"/>
    <w:rsid w:val="00AD58CC"/>
    <w:rsid w:val="00AD5D20"/>
    <w:rsid w:val="00AD5D4F"/>
    <w:rsid w:val="00AD6286"/>
    <w:rsid w:val="00AD7836"/>
    <w:rsid w:val="00AE001C"/>
    <w:rsid w:val="00AE02B3"/>
    <w:rsid w:val="00AE0A5C"/>
    <w:rsid w:val="00AE0AB9"/>
    <w:rsid w:val="00AE2A0D"/>
    <w:rsid w:val="00AE2A50"/>
    <w:rsid w:val="00AE46D4"/>
    <w:rsid w:val="00AE5C8B"/>
    <w:rsid w:val="00AE7224"/>
    <w:rsid w:val="00AE7B49"/>
    <w:rsid w:val="00AF024A"/>
    <w:rsid w:val="00AF0C63"/>
    <w:rsid w:val="00AF0D3A"/>
    <w:rsid w:val="00AF11B0"/>
    <w:rsid w:val="00AF2163"/>
    <w:rsid w:val="00AF280A"/>
    <w:rsid w:val="00AF2A21"/>
    <w:rsid w:val="00AF2ED7"/>
    <w:rsid w:val="00AF3248"/>
    <w:rsid w:val="00AF43B1"/>
    <w:rsid w:val="00AF68C9"/>
    <w:rsid w:val="00AF7106"/>
    <w:rsid w:val="00B00668"/>
    <w:rsid w:val="00B006BE"/>
    <w:rsid w:val="00B01492"/>
    <w:rsid w:val="00B0235B"/>
    <w:rsid w:val="00B02532"/>
    <w:rsid w:val="00B025B0"/>
    <w:rsid w:val="00B02DB0"/>
    <w:rsid w:val="00B030B6"/>
    <w:rsid w:val="00B042C2"/>
    <w:rsid w:val="00B043E8"/>
    <w:rsid w:val="00B04DE4"/>
    <w:rsid w:val="00B059BE"/>
    <w:rsid w:val="00B061C0"/>
    <w:rsid w:val="00B064B1"/>
    <w:rsid w:val="00B06BFF"/>
    <w:rsid w:val="00B07835"/>
    <w:rsid w:val="00B11229"/>
    <w:rsid w:val="00B12FAC"/>
    <w:rsid w:val="00B13ACB"/>
    <w:rsid w:val="00B14683"/>
    <w:rsid w:val="00B149DF"/>
    <w:rsid w:val="00B166D0"/>
    <w:rsid w:val="00B17A0C"/>
    <w:rsid w:val="00B17A1F"/>
    <w:rsid w:val="00B17C3C"/>
    <w:rsid w:val="00B2061B"/>
    <w:rsid w:val="00B218A4"/>
    <w:rsid w:val="00B24B99"/>
    <w:rsid w:val="00B24EF2"/>
    <w:rsid w:val="00B25675"/>
    <w:rsid w:val="00B25676"/>
    <w:rsid w:val="00B26ABF"/>
    <w:rsid w:val="00B26C00"/>
    <w:rsid w:val="00B26E12"/>
    <w:rsid w:val="00B27F35"/>
    <w:rsid w:val="00B30D97"/>
    <w:rsid w:val="00B31DAE"/>
    <w:rsid w:val="00B32016"/>
    <w:rsid w:val="00B32097"/>
    <w:rsid w:val="00B327BD"/>
    <w:rsid w:val="00B42452"/>
    <w:rsid w:val="00B4271E"/>
    <w:rsid w:val="00B4328B"/>
    <w:rsid w:val="00B44243"/>
    <w:rsid w:val="00B4445C"/>
    <w:rsid w:val="00B45634"/>
    <w:rsid w:val="00B45769"/>
    <w:rsid w:val="00B45DF4"/>
    <w:rsid w:val="00B46311"/>
    <w:rsid w:val="00B47227"/>
    <w:rsid w:val="00B47531"/>
    <w:rsid w:val="00B47C05"/>
    <w:rsid w:val="00B47EDC"/>
    <w:rsid w:val="00B5046E"/>
    <w:rsid w:val="00B51562"/>
    <w:rsid w:val="00B518A9"/>
    <w:rsid w:val="00B5293C"/>
    <w:rsid w:val="00B52F54"/>
    <w:rsid w:val="00B53B41"/>
    <w:rsid w:val="00B55DCD"/>
    <w:rsid w:val="00B5718A"/>
    <w:rsid w:val="00B5720C"/>
    <w:rsid w:val="00B612FB"/>
    <w:rsid w:val="00B61358"/>
    <w:rsid w:val="00B61589"/>
    <w:rsid w:val="00B61998"/>
    <w:rsid w:val="00B61CCB"/>
    <w:rsid w:val="00B62842"/>
    <w:rsid w:val="00B63FDA"/>
    <w:rsid w:val="00B651A1"/>
    <w:rsid w:val="00B66175"/>
    <w:rsid w:val="00B672F0"/>
    <w:rsid w:val="00B67731"/>
    <w:rsid w:val="00B67E74"/>
    <w:rsid w:val="00B70B62"/>
    <w:rsid w:val="00B70DA0"/>
    <w:rsid w:val="00B70FDA"/>
    <w:rsid w:val="00B71A5E"/>
    <w:rsid w:val="00B72EEB"/>
    <w:rsid w:val="00B731D2"/>
    <w:rsid w:val="00B73672"/>
    <w:rsid w:val="00B73DE9"/>
    <w:rsid w:val="00B75086"/>
    <w:rsid w:val="00B75429"/>
    <w:rsid w:val="00B76301"/>
    <w:rsid w:val="00B77FF8"/>
    <w:rsid w:val="00B81D2E"/>
    <w:rsid w:val="00B81FED"/>
    <w:rsid w:val="00B84571"/>
    <w:rsid w:val="00B853B8"/>
    <w:rsid w:val="00B86964"/>
    <w:rsid w:val="00B86CEC"/>
    <w:rsid w:val="00B872B9"/>
    <w:rsid w:val="00B8757D"/>
    <w:rsid w:val="00B87E70"/>
    <w:rsid w:val="00B90F6D"/>
    <w:rsid w:val="00B9376E"/>
    <w:rsid w:val="00B93BA7"/>
    <w:rsid w:val="00B941B4"/>
    <w:rsid w:val="00B94E87"/>
    <w:rsid w:val="00B951F5"/>
    <w:rsid w:val="00B95AE7"/>
    <w:rsid w:val="00B95D58"/>
    <w:rsid w:val="00B95F91"/>
    <w:rsid w:val="00B96EA9"/>
    <w:rsid w:val="00B9793D"/>
    <w:rsid w:val="00B97C25"/>
    <w:rsid w:val="00BA0AC6"/>
    <w:rsid w:val="00BA237D"/>
    <w:rsid w:val="00BA25AE"/>
    <w:rsid w:val="00BA2F94"/>
    <w:rsid w:val="00BA41BA"/>
    <w:rsid w:val="00BA538C"/>
    <w:rsid w:val="00BA56E9"/>
    <w:rsid w:val="00BA57C9"/>
    <w:rsid w:val="00BA59A1"/>
    <w:rsid w:val="00BA604A"/>
    <w:rsid w:val="00BA7074"/>
    <w:rsid w:val="00BA708E"/>
    <w:rsid w:val="00BA70AE"/>
    <w:rsid w:val="00BA73A5"/>
    <w:rsid w:val="00BB0A10"/>
    <w:rsid w:val="00BB0E33"/>
    <w:rsid w:val="00BB1158"/>
    <w:rsid w:val="00BB20D0"/>
    <w:rsid w:val="00BB2180"/>
    <w:rsid w:val="00BB2915"/>
    <w:rsid w:val="00BB3529"/>
    <w:rsid w:val="00BB391A"/>
    <w:rsid w:val="00BB3C56"/>
    <w:rsid w:val="00BB3F32"/>
    <w:rsid w:val="00BB4273"/>
    <w:rsid w:val="00BB4EEF"/>
    <w:rsid w:val="00BB5C7E"/>
    <w:rsid w:val="00BB5D30"/>
    <w:rsid w:val="00BC055E"/>
    <w:rsid w:val="00BC1519"/>
    <w:rsid w:val="00BC15D1"/>
    <w:rsid w:val="00BC1FC3"/>
    <w:rsid w:val="00BC21A5"/>
    <w:rsid w:val="00BC23C7"/>
    <w:rsid w:val="00BC24EA"/>
    <w:rsid w:val="00BC2930"/>
    <w:rsid w:val="00BC2994"/>
    <w:rsid w:val="00BC3CE9"/>
    <w:rsid w:val="00BC4342"/>
    <w:rsid w:val="00BC4975"/>
    <w:rsid w:val="00BC4F35"/>
    <w:rsid w:val="00BC72B8"/>
    <w:rsid w:val="00BC7BCD"/>
    <w:rsid w:val="00BC7F41"/>
    <w:rsid w:val="00BD0B91"/>
    <w:rsid w:val="00BD2056"/>
    <w:rsid w:val="00BD33DE"/>
    <w:rsid w:val="00BD5E52"/>
    <w:rsid w:val="00BD60B7"/>
    <w:rsid w:val="00BD7F73"/>
    <w:rsid w:val="00BE0CB2"/>
    <w:rsid w:val="00BE1970"/>
    <w:rsid w:val="00BE3E2D"/>
    <w:rsid w:val="00BE3E79"/>
    <w:rsid w:val="00BE42F8"/>
    <w:rsid w:val="00BE5235"/>
    <w:rsid w:val="00BE5FF0"/>
    <w:rsid w:val="00BE74ED"/>
    <w:rsid w:val="00BE7618"/>
    <w:rsid w:val="00BE77BC"/>
    <w:rsid w:val="00BF030A"/>
    <w:rsid w:val="00BF1C2A"/>
    <w:rsid w:val="00BF2647"/>
    <w:rsid w:val="00BF58A5"/>
    <w:rsid w:val="00BF66CD"/>
    <w:rsid w:val="00BF76A9"/>
    <w:rsid w:val="00BF7B61"/>
    <w:rsid w:val="00BF7EBA"/>
    <w:rsid w:val="00C01C86"/>
    <w:rsid w:val="00C02B5A"/>
    <w:rsid w:val="00C03F82"/>
    <w:rsid w:val="00C040C1"/>
    <w:rsid w:val="00C0470A"/>
    <w:rsid w:val="00C05774"/>
    <w:rsid w:val="00C06DB4"/>
    <w:rsid w:val="00C06F55"/>
    <w:rsid w:val="00C07E0E"/>
    <w:rsid w:val="00C110B6"/>
    <w:rsid w:val="00C126E4"/>
    <w:rsid w:val="00C12893"/>
    <w:rsid w:val="00C1292D"/>
    <w:rsid w:val="00C14CC5"/>
    <w:rsid w:val="00C1520C"/>
    <w:rsid w:val="00C16DE0"/>
    <w:rsid w:val="00C17260"/>
    <w:rsid w:val="00C205B7"/>
    <w:rsid w:val="00C20910"/>
    <w:rsid w:val="00C20CA9"/>
    <w:rsid w:val="00C21705"/>
    <w:rsid w:val="00C21FBC"/>
    <w:rsid w:val="00C23ACF"/>
    <w:rsid w:val="00C23D5F"/>
    <w:rsid w:val="00C244FF"/>
    <w:rsid w:val="00C25918"/>
    <w:rsid w:val="00C26F26"/>
    <w:rsid w:val="00C27366"/>
    <w:rsid w:val="00C2751F"/>
    <w:rsid w:val="00C307E9"/>
    <w:rsid w:val="00C3138B"/>
    <w:rsid w:val="00C320BB"/>
    <w:rsid w:val="00C32D9F"/>
    <w:rsid w:val="00C33ADE"/>
    <w:rsid w:val="00C33B77"/>
    <w:rsid w:val="00C33BBD"/>
    <w:rsid w:val="00C34956"/>
    <w:rsid w:val="00C3575F"/>
    <w:rsid w:val="00C36407"/>
    <w:rsid w:val="00C404B8"/>
    <w:rsid w:val="00C411F8"/>
    <w:rsid w:val="00C41B7C"/>
    <w:rsid w:val="00C41DE0"/>
    <w:rsid w:val="00C438FF"/>
    <w:rsid w:val="00C449C2"/>
    <w:rsid w:val="00C44EDE"/>
    <w:rsid w:val="00C45AA6"/>
    <w:rsid w:val="00C45F18"/>
    <w:rsid w:val="00C469C6"/>
    <w:rsid w:val="00C46CD2"/>
    <w:rsid w:val="00C47AA2"/>
    <w:rsid w:val="00C52EDF"/>
    <w:rsid w:val="00C53442"/>
    <w:rsid w:val="00C54903"/>
    <w:rsid w:val="00C54B28"/>
    <w:rsid w:val="00C54D32"/>
    <w:rsid w:val="00C54E80"/>
    <w:rsid w:val="00C55697"/>
    <w:rsid w:val="00C560F4"/>
    <w:rsid w:val="00C571A3"/>
    <w:rsid w:val="00C57D84"/>
    <w:rsid w:val="00C57FB4"/>
    <w:rsid w:val="00C6007B"/>
    <w:rsid w:val="00C607B2"/>
    <w:rsid w:val="00C613FC"/>
    <w:rsid w:val="00C61E40"/>
    <w:rsid w:val="00C629BC"/>
    <w:rsid w:val="00C639C2"/>
    <w:rsid w:val="00C63FEF"/>
    <w:rsid w:val="00C6467F"/>
    <w:rsid w:val="00C669E6"/>
    <w:rsid w:val="00C66DD3"/>
    <w:rsid w:val="00C672B5"/>
    <w:rsid w:val="00C67A4B"/>
    <w:rsid w:val="00C67A9C"/>
    <w:rsid w:val="00C70124"/>
    <w:rsid w:val="00C72E9B"/>
    <w:rsid w:val="00C73EF8"/>
    <w:rsid w:val="00C74047"/>
    <w:rsid w:val="00C748EA"/>
    <w:rsid w:val="00C74EB6"/>
    <w:rsid w:val="00C750AD"/>
    <w:rsid w:val="00C7628A"/>
    <w:rsid w:val="00C802EC"/>
    <w:rsid w:val="00C804EA"/>
    <w:rsid w:val="00C80FDE"/>
    <w:rsid w:val="00C82DF0"/>
    <w:rsid w:val="00C83807"/>
    <w:rsid w:val="00C8395E"/>
    <w:rsid w:val="00C84DB2"/>
    <w:rsid w:val="00C85290"/>
    <w:rsid w:val="00C86FF6"/>
    <w:rsid w:val="00C90471"/>
    <w:rsid w:val="00C908CD"/>
    <w:rsid w:val="00C93746"/>
    <w:rsid w:val="00C93834"/>
    <w:rsid w:val="00C95070"/>
    <w:rsid w:val="00C976B9"/>
    <w:rsid w:val="00CA0438"/>
    <w:rsid w:val="00CA04F4"/>
    <w:rsid w:val="00CA0712"/>
    <w:rsid w:val="00CA1B4E"/>
    <w:rsid w:val="00CA1ECD"/>
    <w:rsid w:val="00CA4119"/>
    <w:rsid w:val="00CA43D0"/>
    <w:rsid w:val="00CA5FC5"/>
    <w:rsid w:val="00CA65C9"/>
    <w:rsid w:val="00CA6A00"/>
    <w:rsid w:val="00CA74C1"/>
    <w:rsid w:val="00CA7676"/>
    <w:rsid w:val="00CA7C3C"/>
    <w:rsid w:val="00CA7F22"/>
    <w:rsid w:val="00CB0482"/>
    <w:rsid w:val="00CB0E10"/>
    <w:rsid w:val="00CB175E"/>
    <w:rsid w:val="00CB1A9D"/>
    <w:rsid w:val="00CB26D0"/>
    <w:rsid w:val="00CB3E6B"/>
    <w:rsid w:val="00CB4063"/>
    <w:rsid w:val="00CB4C9F"/>
    <w:rsid w:val="00CB6000"/>
    <w:rsid w:val="00CB60EC"/>
    <w:rsid w:val="00CB76D3"/>
    <w:rsid w:val="00CB7B40"/>
    <w:rsid w:val="00CB7B41"/>
    <w:rsid w:val="00CB7D4D"/>
    <w:rsid w:val="00CC09BD"/>
    <w:rsid w:val="00CC1599"/>
    <w:rsid w:val="00CC1A2E"/>
    <w:rsid w:val="00CC417A"/>
    <w:rsid w:val="00CC5D77"/>
    <w:rsid w:val="00CC6D36"/>
    <w:rsid w:val="00CD000A"/>
    <w:rsid w:val="00CD0BF9"/>
    <w:rsid w:val="00CD14E0"/>
    <w:rsid w:val="00CD1691"/>
    <w:rsid w:val="00CD2C4C"/>
    <w:rsid w:val="00CD34B3"/>
    <w:rsid w:val="00CD34BD"/>
    <w:rsid w:val="00CD36BC"/>
    <w:rsid w:val="00CD4969"/>
    <w:rsid w:val="00CD509D"/>
    <w:rsid w:val="00CD6D9F"/>
    <w:rsid w:val="00CD72D5"/>
    <w:rsid w:val="00CE1CC2"/>
    <w:rsid w:val="00CE3252"/>
    <w:rsid w:val="00CE3B26"/>
    <w:rsid w:val="00CE3B3F"/>
    <w:rsid w:val="00CE440A"/>
    <w:rsid w:val="00CE4B76"/>
    <w:rsid w:val="00CE4C78"/>
    <w:rsid w:val="00CE54EE"/>
    <w:rsid w:val="00CE5F99"/>
    <w:rsid w:val="00CE6905"/>
    <w:rsid w:val="00CE7210"/>
    <w:rsid w:val="00CE7FB8"/>
    <w:rsid w:val="00CF1440"/>
    <w:rsid w:val="00CF2125"/>
    <w:rsid w:val="00CF2188"/>
    <w:rsid w:val="00CF2FEB"/>
    <w:rsid w:val="00CF3BE1"/>
    <w:rsid w:val="00CF5CE2"/>
    <w:rsid w:val="00CF654D"/>
    <w:rsid w:val="00CF66EB"/>
    <w:rsid w:val="00CF68D4"/>
    <w:rsid w:val="00CF69F9"/>
    <w:rsid w:val="00D00071"/>
    <w:rsid w:val="00D013BC"/>
    <w:rsid w:val="00D015FA"/>
    <w:rsid w:val="00D0432F"/>
    <w:rsid w:val="00D044A1"/>
    <w:rsid w:val="00D051BD"/>
    <w:rsid w:val="00D06DB5"/>
    <w:rsid w:val="00D07CE9"/>
    <w:rsid w:val="00D101B5"/>
    <w:rsid w:val="00D11511"/>
    <w:rsid w:val="00D11968"/>
    <w:rsid w:val="00D11F7A"/>
    <w:rsid w:val="00D130D2"/>
    <w:rsid w:val="00D13E1F"/>
    <w:rsid w:val="00D14A9F"/>
    <w:rsid w:val="00D15482"/>
    <w:rsid w:val="00D163B6"/>
    <w:rsid w:val="00D17779"/>
    <w:rsid w:val="00D20B7E"/>
    <w:rsid w:val="00D2182F"/>
    <w:rsid w:val="00D22681"/>
    <w:rsid w:val="00D26313"/>
    <w:rsid w:val="00D27972"/>
    <w:rsid w:val="00D3035F"/>
    <w:rsid w:val="00D30516"/>
    <w:rsid w:val="00D30D10"/>
    <w:rsid w:val="00D30FDB"/>
    <w:rsid w:val="00D31335"/>
    <w:rsid w:val="00D318A7"/>
    <w:rsid w:val="00D33AB7"/>
    <w:rsid w:val="00D340F3"/>
    <w:rsid w:val="00D344AC"/>
    <w:rsid w:val="00D3510F"/>
    <w:rsid w:val="00D35340"/>
    <w:rsid w:val="00D35CE2"/>
    <w:rsid w:val="00D35E0E"/>
    <w:rsid w:val="00D366A5"/>
    <w:rsid w:val="00D36CE4"/>
    <w:rsid w:val="00D37315"/>
    <w:rsid w:val="00D4184A"/>
    <w:rsid w:val="00D43A7C"/>
    <w:rsid w:val="00D4481D"/>
    <w:rsid w:val="00D4588A"/>
    <w:rsid w:val="00D463AF"/>
    <w:rsid w:val="00D4648D"/>
    <w:rsid w:val="00D47335"/>
    <w:rsid w:val="00D47DF0"/>
    <w:rsid w:val="00D47DF9"/>
    <w:rsid w:val="00D50138"/>
    <w:rsid w:val="00D50363"/>
    <w:rsid w:val="00D521C8"/>
    <w:rsid w:val="00D53E6E"/>
    <w:rsid w:val="00D544CC"/>
    <w:rsid w:val="00D550AB"/>
    <w:rsid w:val="00D55286"/>
    <w:rsid w:val="00D567A1"/>
    <w:rsid w:val="00D567A4"/>
    <w:rsid w:val="00D577F3"/>
    <w:rsid w:val="00D57F2F"/>
    <w:rsid w:val="00D60D6D"/>
    <w:rsid w:val="00D623D9"/>
    <w:rsid w:val="00D63B0A"/>
    <w:rsid w:val="00D64FD8"/>
    <w:rsid w:val="00D6535B"/>
    <w:rsid w:val="00D66AB4"/>
    <w:rsid w:val="00D67CC8"/>
    <w:rsid w:val="00D70076"/>
    <w:rsid w:val="00D70DE7"/>
    <w:rsid w:val="00D729F3"/>
    <w:rsid w:val="00D74D2F"/>
    <w:rsid w:val="00D80060"/>
    <w:rsid w:val="00D8033A"/>
    <w:rsid w:val="00D81113"/>
    <w:rsid w:val="00D819AF"/>
    <w:rsid w:val="00D81B7C"/>
    <w:rsid w:val="00D81B80"/>
    <w:rsid w:val="00D81ED9"/>
    <w:rsid w:val="00D81EF4"/>
    <w:rsid w:val="00D828F4"/>
    <w:rsid w:val="00D83B4B"/>
    <w:rsid w:val="00D83B7F"/>
    <w:rsid w:val="00D84B5C"/>
    <w:rsid w:val="00D8585A"/>
    <w:rsid w:val="00D86959"/>
    <w:rsid w:val="00D87CDA"/>
    <w:rsid w:val="00D91162"/>
    <w:rsid w:val="00D9292D"/>
    <w:rsid w:val="00D92D7B"/>
    <w:rsid w:val="00D931B7"/>
    <w:rsid w:val="00D9401D"/>
    <w:rsid w:val="00D94CA9"/>
    <w:rsid w:val="00D950DE"/>
    <w:rsid w:val="00D952E2"/>
    <w:rsid w:val="00D95EC6"/>
    <w:rsid w:val="00DA16CD"/>
    <w:rsid w:val="00DA3219"/>
    <w:rsid w:val="00DA523F"/>
    <w:rsid w:val="00DA55DF"/>
    <w:rsid w:val="00DA6593"/>
    <w:rsid w:val="00DA6CB4"/>
    <w:rsid w:val="00DA7C62"/>
    <w:rsid w:val="00DB24CD"/>
    <w:rsid w:val="00DB3A97"/>
    <w:rsid w:val="00DB3B4C"/>
    <w:rsid w:val="00DB45E2"/>
    <w:rsid w:val="00DB4F57"/>
    <w:rsid w:val="00DB503C"/>
    <w:rsid w:val="00DB5B31"/>
    <w:rsid w:val="00DB64E7"/>
    <w:rsid w:val="00DB6D4E"/>
    <w:rsid w:val="00DC00C6"/>
    <w:rsid w:val="00DC11D7"/>
    <w:rsid w:val="00DC22CB"/>
    <w:rsid w:val="00DC33FC"/>
    <w:rsid w:val="00DC4721"/>
    <w:rsid w:val="00DC4CEF"/>
    <w:rsid w:val="00DC6684"/>
    <w:rsid w:val="00DC7A2F"/>
    <w:rsid w:val="00DD04C2"/>
    <w:rsid w:val="00DD0E46"/>
    <w:rsid w:val="00DD1050"/>
    <w:rsid w:val="00DD13CB"/>
    <w:rsid w:val="00DD1A66"/>
    <w:rsid w:val="00DD1B04"/>
    <w:rsid w:val="00DD312A"/>
    <w:rsid w:val="00DD4313"/>
    <w:rsid w:val="00DD4A58"/>
    <w:rsid w:val="00DD6547"/>
    <w:rsid w:val="00DD71F9"/>
    <w:rsid w:val="00DD7463"/>
    <w:rsid w:val="00DD7DB0"/>
    <w:rsid w:val="00DE030E"/>
    <w:rsid w:val="00DE0B61"/>
    <w:rsid w:val="00DE14CF"/>
    <w:rsid w:val="00DE17AA"/>
    <w:rsid w:val="00DE1D15"/>
    <w:rsid w:val="00DE2C1F"/>
    <w:rsid w:val="00DE2E93"/>
    <w:rsid w:val="00DE3600"/>
    <w:rsid w:val="00DE567C"/>
    <w:rsid w:val="00DF21B1"/>
    <w:rsid w:val="00DF2A50"/>
    <w:rsid w:val="00DF2AE2"/>
    <w:rsid w:val="00DF2B74"/>
    <w:rsid w:val="00DF325E"/>
    <w:rsid w:val="00DF345A"/>
    <w:rsid w:val="00DF3EDF"/>
    <w:rsid w:val="00DF4984"/>
    <w:rsid w:val="00DF4BF2"/>
    <w:rsid w:val="00DF4EBF"/>
    <w:rsid w:val="00DF5099"/>
    <w:rsid w:val="00DF5732"/>
    <w:rsid w:val="00DF5FE7"/>
    <w:rsid w:val="00DF5FF5"/>
    <w:rsid w:val="00DF6D6C"/>
    <w:rsid w:val="00DF7949"/>
    <w:rsid w:val="00DF7A93"/>
    <w:rsid w:val="00E0146D"/>
    <w:rsid w:val="00E0185A"/>
    <w:rsid w:val="00E02747"/>
    <w:rsid w:val="00E029DC"/>
    <w:rsid w:val="00E033B9"/>
    <w:rsid w:val="00E050E4"/>
    <w:rsid w:val="00E06165"/>
    <w:rsid w:val="00E07368"/>
    <w:rsid w:val="00E13192"/>
    <w:rsid w:val="00E13833"/>
    <w:rsid w:val="00E13F86"/>
    <w:rsid w:val="00E147D9"/>
    <w:rsid w:val="00E14BF5"/>
    <w:rsid w:val="00E15A8C"/>
    <w:rsid w:val="00E173CA"/>
    <w:rsid w:val="00E2004B"/>
    <w:rsid w:val="00E2064E"/>
    <w:rsid w:val="00E20D5E"/>
    <w:rsid w:val="00E21E77"/>
    <w:rsid w:val="00E21F70"/>
    <w:rsid w:val="00E22C61"/>
    <w:rsid w:val="00E233E4"/>
    <w:rsid w:val="00E2465A"/>
    <w:rsid w:val="00E27C3C"/>
    <w:rsid w:val="00E313B2"/>
    <w:rsid w:val="00E3220C"/>
    <w:rsid w:val="00E32D0C"/>
    <w:rsid w:val="00E32D2B"/>
    <w:rsid w:val="00E32FE9"/>
    <w:rsid w:val="00E33649"/>
    <w:rsid w:val="00E34654"/>
    <w:rsid w:val="00E35785"/>
    <w:rsid w:val="00E36D65"/>
    <w:rsid w:val="00E4166E"/>
    <w:rsid w:val="00E41AF9"/>
    <w:rsid w:val="00E42CAA"/>
    <w:rsid w:val="00E43228"/>
    <w:rsid w:val="00E432E7"/>
    <w:rsid w:val="00E4387E"/>
    <w:rsid w:val="00E44005"/>
    <w:rsid w:val="00E441AB"/>
    <w:rsid w:val="00E447A6"/>
    <w:rsid w:val="00E457DC"/>
    <w:rsid w:val="00E45CA0"/>
    <w:rsid w:val="00E46408"/>
    <w:rsid w:val="00E504BA"/>
    <w:rsid w:val="00E5050E"/>
    <w:rsid w:val="00E51718"/>
    <w:rsid w:val="00E5190B"/>
    <w:rsid w:val="00E52927"/>
    <w:rsid w:val="00E52F49"/>
    <w:rsid w:val="00E53069"/>
    <w:rsid w:val="00E537D0"/>
    <w:rsid w:val="00E54154"/>
    <w:rsid w:val="00E54A36"/>
    <w:rsid w:val="00E54C45"/>
    <w:rsid w:val="00E5527D"/>
    <w:rsid w:val="00E5555B"/>
    <w:rsid w:val="00E5622C"/>
    <w:rsid w:val="00E574DA"/>
    <w:rsid w:val="00E60C24"/>
    <w:rsid w:val="00E61410"/>
    <w:rsid w:val="00E61A44"/>
    <w:rsid w:val="00E62187"/>
    <w:rsid w:val="00E62202"/>
    <w:rsid w:val="00E627AB"/>
    <w:rsid w:val="00E6323F"/>
    <w:rsid w:val="00E63DC1"/>
    <w:rsid w:val="00E64F02"/>
    <w:rsid w:val="00E65009"/>
    <w:rsid w:val="00E65485"/>
    <w:rsid w:val="00E6549E"/>
    <w:rsid w:val="00E66BCD"/>
    <w:rsid w:val="00E67BCD"/>
    <w:rsid w:val="00E7058C"/>
    <w:rsid w:val="00E70AF5"/>
    <w:rsid w:val="00E71778"/>
    <w:rsid w:val="00E71EAD"/>
    <w:rsid w:val="00E72979"/>
    <w:rsid w:val="00E72A03"/>
    <w:rsid w:val="00E73B96"/>
    <w:rsid w:val="00E73DDA"/>
    <w:rsid w:val="00E73F45"/>
    <w:rsid w:val="00E74FDA"/>
    <w:rsid w:val="00E75BA8"/>
    <w:rsid w:val="00E77B6D"/>
    <w:rsid w:val="00E77E9E"/>
    <w:rsid w:val="00E80737"/>
    <w:rsid w:val="00E8073D"/>
    <w:rsid w:val="00E807B7"/>
    <w:rsid w:val="00E809EF"/>
    <w:rsid w:val="00E81858"/>
    <w:rsid w:val="00E82F39"/>
    <w:rsid w:val="00E83FB6"/>
    <w:rsid w:val="00E840B7"/>
    <w:rsid w:val="00E84485"/>
    <w:rsid w:val="00E84D5F"/>
    <w:rsid w:val="00E8555D"/>
    <w:rsid w:val="00E8690D"/>
    <w:rsid w:val="00E86B15"/>
    <w:rsid w:val="00E87984"/>
    <w:rsid w:val="00E87F35"/>
    <w:rsid w:val="00E87F98"/>
    <w:rsid w:val="00E905EC"/>
    <w:rsid w:val="00E915D8"/>
    <w:rsid w:val="00E91B3C"/>
    <w:rsid w:val="00E922FA"/>
    <w:rsid w:val="00E934DD"/>
    <w:rsid w:val="00E93712"/>
    <w:rsid w:val="00E93831"/>
    <w:rsid w:val="00E93A7E"/>
    <w:rsid w:val="00E94281"/>
    <w:rsid w:val="00E94E99"/>
    <w:rsid w:val="00E9550A"/>
    <w:rsid w:val="00E97848"/>
    <w:rsid w:val="00EA04D6"/>
    <w:rsid w:val="00EA06DF"/>
    <w:rsid w:val="00EA087E"/>
    <w:rsid w:val="00EA1172"/>
    <w:rsid w:val="00EA1D91"/>
    <w:rsid w:val="00EA1F6F"/>
    <w:rsid w:val="00EA3342"/>
    <w:rsid w:val="00EA361E"/>
    <w:rsid w:val="00EA6237"/>
    <w:rsid w:val="00EB0CE5"/>
    <w:rsid w:val="00EB14F4"/>
    <w:rsid w:val="00EB3464"/>
    <w:rsid w:val="00EB547C"/>
    <w:rsid w:val="00EB5BC5"/>
    <w:rsid w:val="00EC0D74"/>
    <w:rsid w:val="00EC211F"/>
    <w:rsid w:val="00EC27BE"/>
    <w:rsid w:val="00EC28A5"/>
    <w:rsid w:val="00EC2BE2"/>
    <w:rsid w:val="00EC3340"/>
    <w:rsid w:val="00EC38FA"/>
    <w:rsid w:val="00EC4E27"/>
    <w:rsid w:val="00EC53B0"/>
    <w:rsid w:val="00EC5E60"/>
    <w:rsid w:val="00EC6733"/>
    <w:rsid w:val="00EC753D"/>
    <w:rsid w:val="00ED0437"/>
    <w:rsid w:val="00ED1CD4"/>
    <w:rsid w:val="00ED2746"/>
    <w:rsid w:val="00ED3144"/>
    <w:rsid w:val="00ED3345"/>
    <w:rsid w:val="00ED4291"/>
    <w:rsid w:val="00ED545B"/>
    <w:rsid w:val="00ED5E7C"/>
    <w:rsid w:val="00ED5EC2"/>
    <w:rsid w:val="00ED5FA7"/>
    <w:rsid w:val="00ED7189"/>
    <w:rsid w:val="00ED78F3"/>
    <w:rsid w:val="00EE13A9"/>
    <w:rsid w:val="00EE2CAD"/>
    <w:rsid w:val="00EE3221"/>
    <w:rsid w:val="00EE3F7C"/>
    <w:rsid w:val="00EE419B"/>
    <w:rsid w:val="00EE4857"/>
    <w:rsid w:val="00EE552E"/>
    <w:rsid w:val="00EE63FA"/>
    <w:rsid w:val="00EE66C4"/>
    <w:rsid w:val="00EE7B4C"/>
    <w:rsid w:val="00EF237D"/>
    <w:rsid w:val="00EF4479"/>
    <w:rsid w:val="00EF5AAA"/>
    <w:rsid w:val="00EF5C54"/>
    <w:rsid w:val="00EF6015"/>
    <w:rsid w:val="00F009E7"/>
    <w:rsid w:val="00F00BA3"/>
    <w:rsid w:val="00F00D18"/>
    <w:rsid w:val="00F015BB"/>
    <w:rsid w:val="00F019B7"/>
    <w:rsid w:val="00F02449"/>
    <w:rsid w:val="00F028D7"/>
    <w:rsid w:val="00F02EBF"/>
    <w:rsid w:val="00F03AAE"/>
    <w:rsid w:val="00F03F92"/>
    <w:rsid w:val="00F046FE"/>
    <w:rsid w:val="00F04802"/>
    <w:rsid w:val="00F0559A"/>
    <w:rsid w:val="00F063F7"/>
    <w:rsid w:val="00F06F1D"/>
    <w:rsid w:val="00F075F4"/>
    <w:rsid w:val="00F0797F"/>
    <w:rsid w:val="00F07EFD"/>
    <w:rsid w:val="00F10650"/>
    <w:rsid w:val="00F119EC"/>
    <w:rsid w:val="00F12331"/>
    <w:rsid w:val="00F12C64"/>
    <w:rsid w:val="00F12F29"/>
    <w:rsid w:val="00F13965"/>
    <w:rsid w:val="00F13B57"/>
    <w:rsid w:val="00F13C48"/>
    <w:rsid w:val="00F14F3A"/>
    <w:rsid w:val="00F1565F"/>
    <w:rsid w:val="00F15AE8"/>
    <w:rsid w:val="00F15D28"/>
    <w:rsid w:val="00F15E40"/>
    <w:rsid w:val="00F162C4"/>
    <w:rsid w:val="00F16AB3"/>
    <w:rsid w:val="00F17932"/>
    <w:rsid w:val="00F206D0"/>
    <w:rsid w:val="00F210CC"/>
    <w:rsid w:val="00F21A8E"/>
    <w:rsid w:val="00F22F6C"/>
    <w:rsid w:val="00F22FA5"/>
    <w:rsid w:val="00F236F8"/>
    <w:rsid w:val="00F24269"/>
    <w:rsid w:val="00F24C7B"/>
    <w:rsid w:val="00F25E8B"/>
    <w:rsid w:val="00F262BF"/>
    <w:rsid w:val="00F2669D"/>
    <w:rsid w:val="00F26B03"/>
    <w:rsid w:val="00F27119"/>
    <w:rsid w:val="00F304B3"/>
    <w:rsid w:val="00F31321"/>
    <w:rsid w:val="00F31487"/>
    <w:rsid w:val="00F3186A"/>
    <w:rsid w:val="00F322A9"/>
    <w:rsid w:val="00F327AC"/>
    <w:rsid w:val="00F345C4"/>
    <w:rsid w:val="00F357AD"/>
    <w:rsid w:val="00F36AEC"/>
    <w:rsid w:val="00F4069F"/>
    <w:rsid w:val="00F40C3B"/>
    <w:rsid w:val="00F417F0"/>
    <w:rsid w:val="00F432D5"/>
    <w:rsid w:val="00F43720"/>
    <w:rsid w:val="00F43FD7"/>
    <w:rsid w:val="00F45131"/>
    <w:rsid w:val="00F4515D"/>
    <w:rsid w:val="00F46499"/>
    <w:rsid w:val="00F46651"/>
    <w:rsid w:val="00F4688B"/>
    <w:rsid w:val="00F476B1"/>
    <w:rsid w:val="00F4777D"/>
    <w:rsid w:val="00F52465"/>
    <w:rsid w:val="00F53FBD"/>
    <w:rsid w:val="00F54295"/>
    <w:rsid w:val="00F542F0"/>
    <w:rsid w:val="00F5515A"/>
    <w:rsid w:val="00F55603"/>
    <w:rsid w:val="00F55A5C"/>
    <w:rsid w:val="00F5628C"/>
    <w:rsid w:val="00F579A5"/>
    <w:rsid w:val="00F6084C"/>
    <w:rsid w:val="00F60B49"/>
    <w:rsid w:val="00F60C31"/>
    <w:rsid w:val="00F63AC7"/>
    <w:rsid w:val="00F6561C"/>
    <w:rsid w:val="00F65A5E"/>
    <w:rsid w:val="00F7410C"/>
    <w:rsid w:val="00F74770"/>
    <w:rsid w:val="00F74F03"/>
    <w:rsid w:val="00F74F32"/>
    <w:rsid w:val="00F74F3E"/>
    <w:rsid w:val="00F7557F"/>
    <w:rsid w:val="00F767C6"/>
    <w:rsid w:val="00F767EF"/>
    <w:rsid w:val="00F76B48"/>
    <w:rsid w:val="00F777FF"/>
    <w:rsid w:val="00F7797C"/>
    <w:rsid w:val="00F77C49"/>
    <w:rsid w:val="00F81461"/>
    <w:rsid w:val="00F83019"/>
    <w:rsid w:val="00F8387E"/>
    <w:rsid w:val="00F83A64"/>
    <w:rsid w:val="00F83AA7"/>
    <w:rsid w:val="00F85126"/>
    <w:rsid w:val="00F869B3"/>
    <w:rsid w:val="00F877A3"/>
    <w:rsid w:val="00F8794B"/>
    <w:rsid w:val="00F912DA"/>
    <w:rsid w:val="00F92EBA"/>
    <w:rsid w:val="00F93D01"/>
    <w:rsid w:val="00F95225"/>
    <w:rsid w:val="00F95532"/>
    <w:rsid w:val="00F96CE2"/>
    <w:rsid w:val="00F97E04"/>
    <w:rsid w:val="00FA0674"/>
    <w:rsid w:val="00FA166B"/>
    <w:rsid w:val="00FA19DB"/>
    <w:rsid w:val="00FA2017"/>
    <w:rsid w:val="00FA2497"/>
    <w:rsid w:val="00FA4D55"/>
    <w:rsid w:val="00FA5EAD"/>
    <w:rsid w:val="00FA62A6"/>
    <w:rsid w:val="00FB2AD0"/>
    <w:rsid w:val="00FB7BC8"/>
    <w:rsid w:val="00FC020E"/>
    <w:rsid w:val="00FC0A7C"/>
    <w:rsid w:val="00FC0C21"/>
    <w:rsid w:val="00FC1B43"/>
    <w:rsid w:val="00FC1B4E"/>
    <w:rsid w:val="00FC4064"/>
    <w:rsid w:val="00FC4EDB"/>
    <w:rsid w:val="00FC5632"/>
    <w:rsid w:val="00FC72E0"/>
    <w:rsid w:val="00FD1563"/>
    <w:rsid w:val="00FD18F3"/>
    <w:rsid w:val="00FD1F4E"/>
    <w:rsid w:val="00FD2407"/>
    <w:rsid w:val="00FD2715"/>
    <w:rsid w:val="00FD2DEB"/>
    <w:rsid w:val="00FD5BD0"/>
    <w:rsid w:val="00FD69FB"/>
    <w:rsid w:val="00FD76B6"/>
    <w:rsid w:val="00FD7923"/>
    <w:rsid w:val="00FE0366"/>
    <w:rsid w:val="00FE0DE1"/>
    <w:rsid w:val="00FE2025"/>
    <w:rsid w:val="00FE2C24"/>
    <w:rsid w:val="00FE31C1"/>
    <w:rsid w:val="00FE4F13"/>
    <w:rsid w:val="00FE73FE"/>
    <w:rsid w:val="00FE76B4"/>
    <w:rsid w:val="00FE7A51"/>
    <w:rsid w:val="00FF0295"/>
    <w:rsid w:val="00FF32A3"/>
    <w:rsid w:val="00FF361F"/>
    <w:rsid w:val="00FF372B"/>
    <w:rsid w:val="00FF4A38"/>
    <w:rsid w:val="00FF5555"/>
    <w:rsid w:val="00FF5DDF"/>
    <w:rsid w:val="00FF6150"/>
    <w:rsid w:val="00FF6CB8"/>
    <w:rsid w:val="00FF6F02"/>
    <w:rsid w:val="00FF7446"/>
    <w:rsid w:val="00FF7B64"/>
    <w:rsid w:val="00FF7C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1DA524"/>
  <w15:docId w15:val="{8CB1700A-7584-4DA7-9A16-58E6397FA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4BE"/>
    <w:pPr>
      <w:tabs>
        <w:tab w:val="left" w:pos="567"/>
        <w:tab w:val="left" w:pos="1134"/>
        <w:tab w:val="left" w:pos="1814"/>
        <w:tab w:val="left" w:pos="2665"/>
      </w:tabs>
      <w:bidi/>
      <w:spacing w:line="360" w:lineRule="auto"/>
      <w:jc w:val="both"/>
    </w:pPr>
    <w:rPr>
      <w:rFonts w:cs="David"/>
      <w:sz w:val="24"/>
      <w:szCs w:val="24"/>
    </w:rPr>
  </w:style>
  <w:style w:type="paragraph" w:styleId="Heading1">
    <w:name w:val="heading 1"/>
    <w:basedOn w:val="Normal"/>
    <w:qFormat/>
    <w:rsid w:val="00207D69"/>
    <w:pPr>
      <w:tabs>
        <w:tab w:val="clear" w:pos="567"/>
        <w:tab w:val="left" w:pos="-35"/>
      </w:tabs>
      <w:ind w:left="-35"/>
      <w:outlineLvl w:val="0"/>
    </w:pPr>
    <w:rPr>
      <w:rFonts w:ascii="Arial" w:hAnsi="Arial"/>
      <w:b/>
      <w:bCs/>
      <w:color w:val="17365D"/>
      <w:sz w:val="28"/>
      <w:szCs w:val="28"/>
    </w:rPr>
  </w:style>
  <w:style w:type="paragraph" w:styleId="Heading2">
    <w:name w:val="heading 2"/>
    <w:basedOn w:val="Normal"/>
    <w:qFormat/>
    <w:rsid w:val="00207D69"/>
    <w:pPr>
      <w:numPr>
        <w:numId w:val="2"/>
      </w:numPr>
      <w:tabs>
        <w:tab w:val="clear" w:pos="567"/>
        <w:tab w:val="left" w:pos="-35"/>
      </w:tabs>
      <w:outlineLvl w:val="1"/>
    </w:pPr>
    <w:rPr>
      <w:rFonts w:ascii="Arial" w:hAnsi="Arial"/>
      <w:b/>
      <w:bCs/>
      <w:color w:val="17365D"/>
    </w:rPr>
  </w:style>
  <w:style w:type="paragraph" w:styleId="Heading3">
    <w:name w:val="heading 3"/>
    <w:basedOn w:val="Normal"/>
    <w:qFormat/>
    <w:rsid w:val="0007501A"/>
    <w:pPr>
      <w:numPr>
        <w:ilvl w:val="1"/>
        <w:numId w:val="2"/>
      </w:numPr>
      <w:tabs>
        <w:tab w:val="clear" w:pos="567"/>
        <w:tab w:val="left" w:pos="452"/>
      </w:tabs>
      <w:outlineLvl w:val="2"/>
    </w:pPr>
    <w:rPr>
      <w:rFonts w:ascii="Arial" w:hAnsi="Arial"/>
      <w:b/>
      <w:bCs/>
      <w:color w:val="0070C0"/>
    </w:rPr>
  </w:style>
  <w:style w:type="paragraph" w:styleId="Heading4">
    <w:name w:val="heading 4"/>
    <w:basedOn w:val="Heading3"/>
    <w:qFormat/>
    <w:rsid w:val="00F767C6"/>
    <w:pPr>
      <w:numPr>
        <w:ilvl w:val="3"/>
      </w:numPr>
      <w:outlineLvl w:val="3"/>
    </w:pPr>
  </w:style>
  <w:style w:type="paragraph" w:styleId="Heading5">
    <w:name w:val="heading 5"/>
    <w:basedOn w:val="Normal"/>
    <w:next w:val="Normal"/>
    <w:qFormat/>
    <w:rsid w:val="00495F98"/>
    <w:pPr>
      <w:spacing w:before="240" w:after="60"/>
      <w:outlineLvl w:val="4"/>
    </w:pPr>
    <w:rPr>
      <w:b/>
      <w:bCs/>
      <w:i/>
      <w:iCs/>
      <w:sz w:val="26"/>
      <w:szCs w:val="26"/>
    </w:rPr>
  </w:style>
  <w:style w:type="paragraph" w:styleId="Heading6">
    <w:name w:val="heading 6"/>
    <w:basedOn w:val="Normal"/>
    <w:next w:val="Normal"/>
    <w:qFormat/>
    <w:rsid w:val="00495F98"/>
    <w:pPr>
      <w:spacing w:before="240" w:after="60"/>
      <w:outlineLvl w:val="5"/>
    </w:pPr>
    <w:rPr>
      <w:b/>
      <w:bCs/>
      <w:sz w:val="22"/>
      <w:szCs w:val="22"/>
    </w:rPr>
  </w:style>
  <w:style w:type="paragraph" w:styleId="Heading7">
    <w:name w:val="heading 7"/>
    <w:basedOn w:val="Normal"/>
    <w:next w:val="Normal"/>
    <w:qFormat/>
    <w:rsid w:val="00495F98"/>
    <w:pPr>
      <w:spacing w:before="240" w:after="60"/>
      <w:outlineLvl w:val="6"/>
    </w:pPr>
  </w:style>
  <w:style w:type="paragraph" w:styleId="Heading8">
    <w:name w:val="heading 8"/>
    <w:basedOn w:val="Normal"/>
    <w:next w:val="Normal"/>
    <w:qFormat/>
    <w:rsid w:val="00495F98"/>
    <w:pPr>
      <w:spacing w:before="240" w:after="60"/>
      <w:outlineLvl w:val="7"/>
    </w:pPr>
    <w:rPr>
      <w:i/>
      <w:iCs/>
    </w:rPr>
  </w:style>
  <w:style w:type="paragraph" w:styleId="Heading9">
    <w:name w:val="heading 9"/>
    <w:basedOn w:val="Normal"/>
    <w:next w:val="Normal"/>
    <w:qFormat/>
    <w:rsid w:val="00495F9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4358E"/>
    <w:pPr>
      <w:tabs>
        <w:tab w:val="center" w:pos="4153"/>
        <w:tab w:val="right" w:pos="8306"/>
      </w:tabs>
    </w:pPr>
    <w:rPr>
      <w:sz w:val="20"/>
      <w:lang w:eastAsia="he-IL"/>
    </w:rPr>
  </w:style>
  <w:style w:type="character" w:styleId="PageNumber">
    <w:name w:val="page number"/>
    <w:basedOn w:val="DefaultParagraphFont"/>
    <w:rsid w:val="0064358E"/>
  </w:style>
  <w:style w:type="paragraph" w:styleId="FootnoteText">
    <w:name w:val="footnote text"/>
    <w:basedOn w:val="Normal"/>
    <w:link w:val="FootnoteTextChar"/>
    <w:rsid w:val="004A00BD"/>
    <w:rPr>
      <w:sz w:val="20"/>
      <w:szCs w:val="20"/>
    </w:rPr>
  </w:style>
  <w:style w:type="paragraph" w:styleId="Header">
    <w:name w:val="header"/>
    <w:basedOn w:val="Normal"/>
    <w:rsid w:val="009207C1"/>
    <w:pPr>
      <w:tabs>
        <w:tab w:val="center" w:pos="4153"/>
        <w:tab w:val="right" w:pos="8306"/>
      </w:tabs>
    </w:pPr>
  </w:style>
  <w:style w:type="character" w:customStyle="1" w:styleId="FootnoteTextChar">
    <w:name w:val="Footnote Text Char"/>
    <w:link w:val="FootnoteText"/>
    <w:rsid w:val="004A00BD"/>
    <w:rPr>
      <w:rFonts w:cs="David"/>
    </w:rPr>
  </w:style>
  <w:style w:type="character" w:styleId="Hyperlink">
    <w:name w:val="Hyperlink"/>
    <w:rsid w:val="004A00BD"/>
    <w:rPr>
      <w:color w:val="0000FF"/>
      <w:u w:val="single"/>
    </w:rPr>
  </w:style>
  <w:style w:type="character" w:styleId="FootnoteReference">
    <w:name w:val="footnote reference"/>
    <w:rsid w:val="004A00BD"/>
    <w:rPr>
      <w:vertAlign w:val="superscript"/>
    </w:rPr>
  </w:style>
  <w:style w:type="paragraph" w:styleId="ListParagraph">
    <w:name w:val="List Paragraph"/>
    <w:basedOn w:val="Normal"/>
    <w:uiPriority w:val="34"/>
    <w:qFormat/>
    <w:rsid w:val="004A00BD"/>
    <w:pPr>
      <w:ind w:left="720"/>
    </w:pPr>
  </w:style>
  <w:style w:type="paragraph" w:styleId="BalloonText">
    <w:name w:val="Balloon Text"/>
    <w:basedOn w:val="Normal"/>
    <w:link w:val="BalloonTextChar"/>
    <w:rsid w:val="0083018B"/>
    <w:pPr>
      <w:spacing w:line="240" w:lineRule="auto"/>
    </w:pPr>
    <w:rPr>
      <w:rFonts w:ascii="Tahoma" w:hAnsi="Tahoma" w:cs="Tahoma"/>
      <w:sz w:val="16"/>
      <w:szCs w:val="16"/>
    </w:rPr>
  </w:style>
  <w:style w:type="character" w:customStyle="1" w:styleId="BalloonTextChar">
    <w:name w:val="Balloon Text Char"/>
    <w:link w:val="BalloonText"/>
    <w:rsid w:val="0083018B"/>
    <w:rPr>
      <w:rFonts w:ascii="Tahoma" w:hAnsi="Tahoma" w:cs="Tahoma"/>
      <w:sz w:val="16"/>
      <w:szCs w:val="16"/>
    </w:rPr>
  </w:style>
  <w:style w:type="character" w:styleId="CommentReference">
    <w:name w:val="annotation reference"/>
    <w:rsid w:val="009A20F2"/>
    <w:rPr>
      <w:sz w:val="16"/>
      <w:szCs w:val="16"/>
    </w:rPr>
  </w:style>
  <w:style w:type="paragraph" w:styleId="CommentText">
    <w:name w:val="annotation text"/>
    <w:basedOn w:val="Normal"/>
    <w:link w:val="CommentTextChar"/>
    <w:rsid w:val="009A20F2"/>
    <w:rPr>
      <w:sz w:val="20"/>
      <w:szCs w:val="20"/>
    </w:rPr>
  </w:style>
  <w:style w:type="character" w:customStyle="1" w:styleId="CommentTextChar">
    <w:name w:val="Comment Text Char"/>
    <w:link w:val="CommentText"/>
    <w:rsid w:val="009A20F2"/>
    <w:rPr>
      <w:rFonts w:cs="David"/>
    </w:rPr>
  </w:style>
  <w:style w:type="paragraph" w:styleId="CommentSubject">
    <w:name w:val="annotation subject"/>
    <w:basedOn w:val="CommentText"/>
    <w:next w:val="CommentText"/>
    <w:link w:val="CommentSubjectChar"/>
    <w:rsid w:val="009A20F2"/>
    <w:rPr>
      <w:b/>
      <w:bCs/>
    </w:rPr>
  </w:style>
  <w:style w:type="character" w:customStyle="1" w:styleId="CommentSubjectChar">
    <w:name w:val="Comment Subject Char"/>
    <w:link w:val="CommentSubject"/>
    <w:rsid w:val="009A20F2"/>
    <w:rPr>
      <w:rFonts w:cs="David"/>
      <w:b/>
      <w:bCs/>
    </w:rPr>
  </w:style>
  <w:style w:type="table" w:styleId="TableGrid">
    <w:name w:val="Table Grid"/>
    <w:basedOn w:val="TableNormal"/>
    <w:uiPriority w:val="59"/>
    <w:rsid w:val="00FD1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0161"/>
    <w:rPr>
      <w:rFonts w:cs="David"/>
      <w:sz w:val="24"/>
      <w:szCs w:val="24"/>
    </w:rPr>
  </w:style>
  <w:style w:type="table" w:styleId="MediumGrid3-Accent1">
    <w:name w:val="Medium Grid 3 Accent 1"/>
    <w:basedOn w:val="TableNormal"/>
    <w:uiPriority w:val="69"/>
    <w:rsid w:val="001C494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NormalWeb">
    <w:name w:val="Normal (Web)"/>
    <w:basedOn w:val="Normal"/>
    <w:uiPriority w:val="99"/>
    <w:unhideWhenUsed/>
    <w:rsid w:val="008F00B0"/>
    <w:pPr>
      <w:tabs>
        <w:tab w:val="clear" w:pos="567"/>
        <w:tab w:val="clear" w:pos="1134"/>
        <w:tab w:val="clear" w:pos="1814"/>
        <w:tab w:val="clear" w:pos="2665"/>
      </w:tabs>
      <w:bidi w:val="0"/>
      <w:spacing w:before="100" w:beforeAutospacing="1" w:after="100" w:afterAutospacing="1" w:line="240" w:lineRule="auto"/>
      <w:jc w:val="left"/>
    </w:pPr>
    <w:rPr>
      <w:rFonts w:cs="Times New Roman"/>
    </w:rPr>
  </w:style>
  <w:style w:type="table" w:styleId="TableSimple2">
    <w:name w:val="Table Simple 2"/>
    <w:basedOn w:val="TableNormal"/>
    <w:rsid w:val="00A73C96"/>
    <w:pPr>
      <w:tabs>
        <w:tab w:val="left" w:pos="567"/>
        <w:tab w:val="left" w:pos="1134"/>
        <w:tab w:val="left" w:pos="1814"/>
        <w:tab w:val="left" w:pos="2665"/>
      </w:tabs>
      <w:bidi/>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Emphasis">
    <w:name w:val="Emphasis"/>
    <w:qFormat/>
    <w:rsid w:val="00207D69"/>
  </w:style>
  <w:style w:type="table" w:styleId="TableProfessional">
    <w:name w:val="Table Professional"/>
    <w:basedOn w:val="TableNormal"/>
    <w:rsid w:val="00BC7F41"/>
    <w:pPr>
      <w:tabs>
        <w:tab w:val="left" w:pos="567"/>
        <w:tab w:val="left" w:pos="1134"/>
        <w:tab w:val="left" w:pos="1814"/>
        <w:tab w:val="left" w:pos="2665"/>
      </w:tabs>
      <w:bidi/>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FollowedHyperlink">
    <w:name w:val="FollowedHyperlink"/>
    <w:basedOn w:val="DefaultParagraphFont"/>
    <w:rsid w:val="007D69A9"/>
    <w:rPr>
      <w:color w:val="800080" w:themeColor="followedHyperlink"/>
      <w:u w:val="single"/>
    </w:rPr>
  </w:style>
  <w:style w:type="character" w:customStyle="1" w:styleId="FooterChar">
    <w:name w:val="Footer Char"/>
    <w:basedOn w:val="DefaultParagraphFont"/>
    <w:link w:val="Footer"/>
    <w:uiPriority w:val="99"/>
    <w:rsid w:val="000A1A7A"/>
    <w:rPr>
      <w:rFonts w:cs="David"/>
      <w:szCs w:val="24"/>
      <w:lang w:eastAsia="he-IL"/>
    </w:rPr>
  </w:style>
  <w:style w:type="paragraph" w:styleId="Caption">
    <w:name w:val="caption"/>
    <w:basedOn w:val="Normal"/>
    <w:next w:val="Normal"/>
    <w:unhideWhenUsed/>
    <w:qFormat/>
    <w:rsid w:val="006570EC"/>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59905">
      <w:bodyDiv w:val="1"/>
      <w:marLeft w:val="0"/>
      <w:marRight w:val="0"/>
      <w:marTop w:val="0"/>
      <w:marBottom w:val="0"/>
      <w:divBdr>
        <w:top w:val="none" w:sz="0" w:space="0" w:color="auto"/>
        <w:left w:val="none" w:sz="0" w:space="0" w:color="auto"/>
        <w:bottom w:val="none" w:sz="0" w:space="0" w:color="auto"/>
        <w:right w:val="none" w:sz="0" w:space="0" w:color="auto"/>
      </w:divBdr>
    </w:div>
    <w:div w:id="216475804">
      <w:bodyDiv w:val="1"/>
      <w:marLeft w:val="0"/>
      <w:marRight w:val="0"/>
      <w:marTop w:val="0"/>
      <w:marBottom w:val="0"/>
      <w:divBdr>
        <w:top w:val="none" w:sz="0" w:space="0" w:color="auto"/>
        <w:left w:val="none" w:sz="0" w:space="0" w:color="auto"/>
        <w:bottom w:val="none" w:sz="0" w:space="0" w:color="auto"/>
        <w:right w:val="none" w:sz="0" w:space="0" w:color="auto"/>
      </w:divBdr>
    </w:div>
    <w:div w:id="220680078">
      <w:bodyDiv w:val="1"/>
      <w:marLeft w:val="0"/>
      <w:marRight w:val="0"/>
      <w:marTop w:val="0"/>
      <w:marBottom w:val="0"/>
      <w:divBdr>
        <w:top w:val="none" w:sz="0" w:space="0" w:color="auto"/>
        <w:left w:val="none" w:sz="0" w:space="0" w:color="auto"/>
        <w:bottom w:val="none" w:sz="0" w:space="0" w:color="auto"/>
        <w:right w:val="none" w:sz="0" w:space="0" w:color="auto"/>
      </w:divBdr>
    </w:div>
    <w:div w:id="229510130">
      <w:bodyDiv w:val="1"/>
      <w:marLeft w:val="0"/>
      <w:marRight w:val="0"/>
      <w:marTop w:val="0"/>
      <w:marBottom w:val="0"/>
      <w:divBdr>
        <w:top w:val="none" w:sz="0" w:space="0" w:color="auto"/>
        <w:left w:val="none" w:sz="0" w:space="0" w:color="auto"/>
        <w:bottom w:val="none" w:sz="0" w:space="0" w:color="auto"/>
        <w:right w:val="none" w:sz="0" w:space="0" w:color="auto"/>
      </w:divBdr>
    </w:div>
    <w:div w:id="300230326">
      <w:bodyDiv w:val="1"/>
      <w:marLeft w:val="0"/>
      <w:marRight w:val="0"/>
      <w:marTop w:val="0"/>
      <w:marBottom w:val="0"/>
      <w:divBdr>
        <w:top w:val="none" w:sz="0" w:space="0" w:color="auto"/>
        <w:left w:val="none" w:sz="0" w:space="0" w:color="auto"/>
        <w:bottom w:val="none" w:sz="0" w:space="0" w:color="auto"/>
        <w:right w:val="none" w:sz="0" w:space="0" w:color="auto"/>
      </w:divBdr>
    </w:div>
    <w:div w:id="387922417">
      <w:bodyDiv w:val="1"/>
      <w:marLeft w:val="0"/>
      <w:marRight w:val="0"/>
      <w:marTop w:val="0"/>
      <w:marBottom w:val="0"/>
      <w:divBdr>
        <w:top w:val="none" w:sz="0" w:space="0" w:color="auto"/>
        <w:left w:val="none" w:sz="0" w:space="0" w:color="auto"/>
        <w:bottom w:val="none" w:sz="0" w:space="0" w:color="auto"/>
        <w:right w:val="none" w:sz="0" w:space="0" w:color="auto"/>
      </w:divBdr>
    </w:div>
    <w:div w:id="630331358">
      <w:bodyDiv w:val="1"/>
      <w:marLeft w:val="0"/>
      <w:marRight w:val="0"/>
      <w:marTop w:val="0"/>
      <w:marBottom w:val="0"/>
      <w:divBdr>
        <w:top w:val="none" w:sz="0" w:space="0" w:color="auto"/>
        <w:left w:val="none" w:sz="0" w:space="0" w:color="auto"/>
        <w:bottom w:val="none" w:sz="0" w:space="0" w:color="auto"/>
        <w:right w:val="none" w:sz="0" w:space="0" w:color="auto"/>
      </w:divBdr>
    </w:div>
    <w:div w:id="767963704">
      <w:bodyDiv w:val="1"/>
      <w:marLeft w:val="0"/>
      <w:marRight w:val="0"/>
      <w:marTop w:val="0"/>
      <w:marBottom w:val="0"/>
      <w:divBdr>
        <w:top w:val="none" w:sz="0" w:space="0" w:color="auto"/>
        <w:left w:val="none" w:sz="0" w:space="0" w:color="auto"/>
        <w:bottom w:val="none" w:sz="0" w:space="0" w:color="auto"/>
        <w:right w:val="none" w:sz="0" w:space="0" w:color="auto"/>
      </w:divBdr>
    </w:div>
    <w:div w:id="832263328">
      <w:bodyDiv w:val="1"/>
      <w:marLeft w:val="0"/>
      <w:marRight w:val="0"/>
      <w:marTop w:val="0"/>
      <w:marBottom w:val="0"/>
      <w:divBdr>
        <w:top w:val="none" w:sz="0" w:space="0" w:color="auto"/>
        <w:left w:val="none" w:sz="0" w:space="0" w:color="auto"/>
        <w:bottom w:val="none" w:sz="0" w:space="0" w:color="auto"/>
        <w:right w:val="none" w:sz="0" w:space="0" w:color="auto"/>
      </w:divBdr>
    </w:div>
    <w:div w:id="878467998">
      <w:bodyDiv w:val="1"/>
      <w:marLeft w:val="0"/>
      <w:marRight w:val="0"/>
      <w:marTop w:val="0"/>
      <w:marBottom w:val="0"/>
      <w:divBdr>
        <w:top w:val="none" w:sz="0" w:space="0" w:color="auto"/>
        <w:left w:val="none" w:sz="0" w:space="0" w:color="auto"/>
        <w:bottom w:val="none" w:sz="0" w:space="0" w:color="auto"/>
        <w:right w:val="none" w:sz="0" w:space="0" w:color="auto"/>
      </w:divBdr>
    </w:div>
    <w:div w:id="933174972">
      <w:bodyDiv w:val="1"/>
      <w:marLeft w:val="0"/>
      <w:marRight w:val="0"/>
      <w:marTop w:val="0"/>
      <w:marBottom w:val="0"/>
      <w:divBdr>
        <w:top w:val="none" w:sz="0" w:space="0" w:color="auto"/>
        <w:left w:val="none" w:sz="0" w:space="0" w:color="auto"/>
        <w:bottom w:val="none" w:sz="0" w:space="0" w:color="auto"/>
        <w:right w:val="none" w:sz="0" w:space="0" w:color="auto"/>
      </w:divBdr>
    </w:div>
    <w:div w:id="935402498">
      <w:bodyDiv w:val="1"/>
      <w:marLeft w:val="0"/>
      <w:marRight w:val="0"/>
      <w:marTop w:val="0"/>
      <w:marBottom w:val="0"/>
      <w:divBdr>
        <w:top w:val="none" w:sz="0" w:space="0" w:color="auto"/>
        <w:left w:val="none" w:sz="0" w:space="0" w:color="auto"/>
        <w:bottom w:val="none" w:sz="0" w:space="0" w:color="auto"/>
        <w:right w:val="none" w:sz="0" w:space="0" w:color="auto"/>
      </w:divBdr>
    </w:div>
    <w:div w:id="977538748">
      <w:bodyDiv w:val="1"/>
      <w:marLeft w:val="0"/>
      <w:marRight w:val="0"/>
      <w:marTop w:val="0"/>
      <w:marBottom w:val="0"/>
      <w:divBdr>
        <w:top w:val="none" w:sz="0" w:space="0" w:color="auto"/>
        <w:left w:val="none" w:sz="0" w:space="0" w:color="auto"/>
        <w:bottom w:val="none" w:sz="0" w:space="0" w:color="auto"/>
        <w:right w:val="none" w:sz="0" w:space="0" w:color="auto"/>
      </w:divBdr>
    </w:div>
    <w:div w:id="1254050519">
      <w:bodyDiv w:val="1"/>
      <w:marLeft w:val="0"/>
      <w:marRight w:val="0"/>
      <w:marTop w:val="0"/>
      <w:marBottom w:val="0"/>
      <w:divBdr>
        <w:top w:val="none" w:sz="0" w:space="0" w:color="auto"/>
        <w:left w:val="none" w:sz="0" w:space="0" w:color="auto"/>
        <w:bottom w:val="none" w:sz="0" w:space="0" w:color="auto"/>
        <w:right w:val="none" w:sz="0" w:space="0" w:color="auto"/>
      </w:divBdr>
    </w:div>
    <w:div w:id="1368263275">
      <w:bodyDiv w:val="1"/>
      <w:marLeft w:val="0"/>
      <w:marRight w:val="0"/>
      <w:marTop w:val="0"/>
      <w:marBottom w:val="0"/>
      <w:divBdr>
        <w:top w:val="none" w:sz="0" w:space="0" w:color="auto"/>
        <w:left w:val="none" w:sz="0" w:space="0" w:color="auto"/>
        <w:bottom w:val="none" w:sz="0" w:space="0" w:color="auto"/>
        <w:right w:val="none" w:sz="0" w:space="0" w:color="auto"/>
      </w:divBdr>
    </w:div>
    <w:div w:id="1446071461">
      <w:bodyDiv w:val="1"/>
      <w:marLeft w:val="0"/>
      <w:marRight w:val="0"/>
      <w:marTop w:val="0"/>
      <w:marBottom w:val="0"/>
      <w:divBdr>
        <w:top w:val="none" w:sz="0" w:space="0" w:color="auto"/>
        <w:left w:val="none" w:sz="0" w:space="0" w:color="auto"/>
        <w:bottom w:val="none" w:sz="0" w:space="0" w:color="auto"/>
        <w:right w:val="none" w:sz="0" w:space="0" w:color="auto"/>
      </w:divBdr>
    </w:div>
    <w:div w:id="1486433873">
      <w:bodyDiv w:val="1"/>
      <w:marLeft w:val="0"/>
      <w:marRight w:val="0"/>
      <w:marTop w:val="0"/>
      <w:marBottom w:val="0"/>
      <w:divBdr>
        <w:top w:val="none" w:sz="0" w:space="0" w:color="auto"/>
        <w:left w:val="none" w:sz="0" w:space="0" w:color="auto"/>
        <w:bottom w:val="none" w:sz="0" w:space="0" w:color="auto"/>
        <w:right w:val="none" w:sz="0" w:space="0" w:color="auto"/>
      </w:divBdr>
    </w:div>
    <w:div w:id="1554465316">
      <w:bodyDiv w:val="1"/>
      <w:marLeft w:val="0"/>
      <w:marRight w:val="0"/>
      <w:marTop w:val="0"/>
      <w:marBottom w:val="0"/>
      <w:divBdr>
        <w:top w:val="none" w:sz="0" w:space="0" w:color="auto"/>
        <w:left w:val="none" w:sz="0" w:space="0" w:color="auto"/>
        <w:bottom w:val="none" w:sz="0" w:space="0" w:color="auto"/>
        <w:right w:val="none" w:sz="0" w:space="0" w:color="auto"/>
      </w:divBdr>
    </w:div>
    <w:div w:id="1650474702">
      <w:bodyDiv w:val="1"/>
      <w:marLeft w:val="0"/>
      <w:marRight w:val="0"/>
      <w:marTop w:val="0"/>
      <w:marBottom w:val="0"/>
      <w:divBdr>
        <w:top w:val="none" w:sz="0" w:space="0" w:color="auto"/>
        <w:left w:val="none" w:sz="0" w:space="0" w:color="auto"/>
        <w:bottom w:val="none" w:sz="0" w:space="0" w:color="auto"/>
        <w:right w:val="none" w:sz="0" w:space="0" w:color="auto"/>
      </w:divBdr>
    </w:div>
    <w:div w:id="1686982710">
      <w:bodyDiv w:val="1"/>
      <w:marLeft w:val="0"/>
      <w:marRight w:val="0"/>
      <w:marTop w:val="0"/>
      <w:marBottom w:val="0"/>
      <w:divBdr>
        <w:top w:val="none" w:sz="0" w:space="0" w:color="auto"/>
        <w:left w:val="none" w:sz="0" w:space="0" w:color="auto"/>
        <w:bottom w:val="none" w:sz="0" w:space="0" w:color="auto"/>
        <w:right w:val="none" w:sz="0" w:space="0" w:color="auto"/>
      </w:divBdr>
    </w:div>
    <w:div w:id="1692074912">
      <w:bodyDiv w:val="1"/>
      <w:marLeft w:val="0"/>
      <w:marRight w:val="0"/>
      <w:marTop w:val="0"/>
      <w:marBottom w:val="0"/>
      <w:divBdr>
        <w:top w:val="none" w:sz="0" w:space="0" w:color="auto"/>
        <w:left w:val="none" w:sz="0" w:space="0" w:color="auto"/>
        <w:bottom w:val="none" w:sz="0" w:space="0" w:color="auto"/>
        <w:right w:val="none" w:sz="0" w:space="0" w:color="auto"/>
      </w:divBdr>
    </w:div>
    <w:div w:id="1709715592">
      <w:bodyDiv w:val="1"/>
      <w:marLeft w:val="0"/>
      <w:marRight w:val="0"/>
      <w:marTop w:val="0"/>
      <w:marBottom w:val="0"/>
      <w:divBdr>
        <w:top w:val="none" w:sz="0" w:space="0" w:color="auto"/>
        <w:left w:val="none" w:sz="0" w:space="0" w:color="auto"/>
        <w:bottom w:val="none" w:sz="0" w:space="0" w:color="auto"/>
        <w:right w:val="none" w:sz="0" w:space="0" w:color="auto"/>
      </w:divBdr>
    </w:div>
    <w:div w:id="1755933941">
      <w:bodyDiv w:val="1"/>
      <w:marLeft w:val="0"/>
      <w:marRight w:val="0"/>
      <w:marTop w:val="0"/>
      <w:marBottom w:val="0"/>
      <w:divBdr>
        <w:top w:val="none" w:sz="0" w:space="0" w:color="auto"/>
        <w:left w:val="none" w:sz="0" w:space="0" w:color="auto"/>
        <w:bottom w:val="none" w:sz="0" w:space="0" w:color="auto"/>
        <w:right w:val="none" w:sz="0" w:space="0" w:color="auto"/>
      </w:divBdr>
    </w:div>
    <w:div w:id="1771464777">
      <w:bodyDiv w:val="1"/>
      <w:marLeft w:val="0"/>
      <w:marRight w:val="0"/>
      <w:marTop w:val="0"/>
      <w:marBottom w:val="0"/>
      <w:divBdr>
        <w:top w:val="none" w:sz="0" w:space="0" w:color="auto"/>
        <w:left w:val="none" w:sz="0" w:space="0" w:color="auto"/>
        <w:bottom w:val="none" w:sz="0" w:space="0" w:color="auto"/>
        <w:right w:val="none" w:sz="0" w:space="0" w:color="auto"/>
      </w:divBdr>
    </w:div>
    <w:div w:id="1779987298">
      <w:bodyDiv w:val="1"/>
      <w:marLeft w:val="0"/>
      <w:marRight w:val="0"/>
      <w:marTop w:val="0"/>
      <w:marBottom w:val="0"/>
      <w:divBdr>
        <w:top w:val="none" w:sz="0" w:space="0" w:color="auto"/>
        <w:left w:val="none" w:sz="0" w:space="0" w:color="auto"/>
        <w:bottom w:val="none" w:sz="0" w:space="0" w:color="auto"/>
        <w:right w:val="none" w:sz="0" w:space="0" w:color="auto"/>
      </w:divBdr>
    </w:div>
    <w:div w:id="1998339430">
      <w:bodyDiv w:val="1"/>
      <w:marLeft w:val="0"/>
      <w:marRight w:val="0"/>
      <w:marTop w:val="0"/>
      <w:marBottom w:val="0"/>
      <w:divBdr>
        <w:top w:val="none" w:sz="0" w:space="0" w:color="auto"/>
        <w:left w:val="none" w:sz="0" w:space="0" w:color="auto"/>
        <w:bottom w:val="none" w:sz="0" w:space="0" w:color="auto"/>
        <w:right w:val="none" w:sz="0" w:space="0" w:color="auto"/>
      </w:divBdr>
    </w:div>
    <w:div w:id="202277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chart" Target="charts/chart3.xm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s://www.boi.org.il/he/NewsAndPublications/Pages/09-07-2019.aspx" TargetMode="External"/><Relationship Id="rId34"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image" Target="media/image3.emf"/><Relationship Id="rId25" Type="http://schemas.openxmlformats.org/officeDocument/2006/relationships/header" Target="header2.xml"/><Relationship Id="rId33" Type="http://schemas.openxmlformats.org/officeDocument/2006/relationships/customXml" Target="../customXml/item3.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chart" Target="charts/chart5.xml"/><Relationship Id="rId29" Type="http://schemas.openxmlformats.org/officeDocument/2006/relationships/footer" Target="foot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image" Target="media/image6.emf"/><Relationship Id="rId32"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5.emf"/><Relationship Id="rId28"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chart" Target="charts/chart4.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image" Target="media/image4.emf"/><Relationship Id="rId27" Type="http://schemas.openxmlformats.org/officeDocument/2006/relationships/footer" Target="footer5.xml"/><Relationship Id="rId30" Type="http://schemas.openxmlformats.org/officeDocument/2006/relationships/fontTable" Target="fontTable.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lla\Dropbox\&#1514;&#1512;&#1490;&#1493;&#1502;&#1497;&#1501;\&#1489;&#1504;&#1511;%20&#1497;&#1513;&#1512;&#1488;&#1500;\&#1489;&#1504;&#1511;%20&#1497;&#1513;&#1512;&#1488;&#1500;%202020\&#1495;&#1493;&#1489;&#1512;&#1514;1_en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lla\Dropbox\&#1514;&#1512;&#1490;&#1493;&#1502;&#1497;&#1501;\&#1489;&#1504;&#1511;%20&#1497;&#1513;&#1512;&#1488;&#1500;\&#1489;&#1504;&#1511;%20&#1497;&#1513;&#1512;&#1488;&#1500;%202020\&#1495;&#1493;&#1489;&#1512;&#1514;1_eng.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ella\Dropbox\&#1514;&#1512;&#1490;&#1493;&#1502;&#1497;&#1501;\&#1489;&#1504;&#1511;%20&#1497;&#1513;&#1512;&#1488;&#1500;\&#1489;&#1504;&#1511;%20&#1497;&#1513;&#1512;&#1488;&#1500;%202020\&#1495;&#1493;&#1489;&#1512;&#1514;1_eng.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ella\Dropbox\&#1514;&#1512;&#1490;&#1493;&#1502;&#1497;&#1501;\&#1489;&#1504;&#1511;%20&#1497;&#1513;&#1512;&#1488;&#1500;\&#1489;&#1504;&#1511;%20&#1497;&#1513;&#1512;&#1488;&#1500;%202020\&#1490;&#1512;&#1508;&#1497;&#1501;%20&#1492;&#1513;&#1493;&#1493;&#1488;&#1492;%20&#1508;&#1511;&#1497;&#1491;%20&#1497;&#1513;&#1497;&#1512;%20&#1502;&#1505;&#1500;&#1493;&#1500;%20&#1489;&#1505;&#1497;&#1505;&#1497;%20&#1493;&#1502;&#1493;&#1512;&#1495;&#1489;%202019%20(003)%20(003)_eng.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ella\Dropbox\&#1514;&#1512;&#1490;&#1493;&#1502;&#1497;&#1501;\&#1489;&#1504;&#1511;%20&#1497;&#1513;&#1512;&#1488;&#1500;\&#1489;&#1504;&#1511;%20&#1497;&#1513;&#1512;&#1488;&#1500;%202020\&#1490;&#1512;&#1508;&#1497;&#1501;%20&#1492;&#1513;&#1493;&#1493;&#1488;&#1492;%20&#1508;&#1511;&#1497;&#1491;%20&#1497;&#1513;&#1497;&#1512;%20&#1502;&#1505;&#1500;&#1493;&#1500;%20&#1489;&#1505;&#1497;&#1505;&#1497;%20&#1493;&#1502;&#1493;&#1512;&#1495;&#1489;%202019%20(003)%20(003)_e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6.6756488772236805E-2"/>
          <c:y val="9.1342772294308289E-2"/>
          <c:w val="0.90210910755830975"/>
          <c:h val="0.72072237239001846"/>
        </c:manualLayout>
      </c:layout>
      <c:barChart>
        <c:barDir val="col"/>
        <c:grouping val="stacked"/>
        <c:varyColors val="0"/>
        <c:ser>
          <c:idx val="0"/>
          <c:order val="0"/>
          <c:tx>
            <c:strRef>
              <c:f>'Figure 2'!$C$2</c:f>
              <c:strCache>
                <c:ptCount val="1"/>
                <c:pt idx="0">
                  <c:v>Current account transactions and information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'Figure 2'!$D$1:$L$1</c:f>
              <c:strCache>
                <c:ptCount val="9"/>
                <c:pt idx="0">
                  <c:v>2011</c:v>
                </c:pt>
                <c:pt idx="1">
                  <c:v>2012</c:v>
                </c:pt>
                <c:pt idx="2">
                  <c:v>2013</c:v>
                </c:pt>
                <c:pt idx="3">
                  <c:v>2014</c:v>
                </c:pt>
                <c:pt idx="4">
                  <c:v>2015</c:v>
                </c:pt>
                <c:pt idx="5">
                  <c:v>2016</c:v>
                </c:pt>
                <c:pt idx="6">
                  <c:v>2017</c:v>
                </c:pt>
                <c:pt idx="7">
                  <c:v>2018</c:v>
                </c:pt>
                <c:pt idx="8">
                  <c:v>2019</c:v>
                </c:pt>
              </c:strCache>
            </c:strRef>
          </c:cat>
          <c:val>
            <c:numRef>
              <c:f>'Figure 2'!$D$2:$L$2</c:f>
              <c:numCache>
                <c:formatCode>0.0</c:formatCode>
                <c:ptCount val="9"/>
                <c:pt idx="0">
                  <c:v>20.408195521271622</c:v>
                </c:pt>
                <c:pt idx="1">
                  <c:v>19.548928956215175</c:v>
                </c:pt>
                <c:pt idx="2">
                  <c:v>18.745937725828679</c:v>
                </c:pt>
                <c:pt idx="3">
                  <c:v>16.573592921281378</c:v>
                </c:pt>
                <c:pt idx="4">
                  <c:v>14.664464400665542</c:v>
                </c:pt>
                <c:pt idx="5">
                  <c:v>13.657166735952673</c:v>
                </c:pt>
                <c:pt idx="6">
                  <c:v>13.510176480825125</c:v>
                </c:pt>
                <c:pt idx="7">
                  <c:v>13.161199749132669</c:v>
                </c:pt>
                <c:pt idx="8">
                  <c:v>12.418095212213258</c:v>
                </c:pt>
              </c:numCache>
            </c:numRef>
          </c:val>
          <c:extLst>
            <c:ext xmlns:c16="http://schemas.microsoft.com/office/drawing/2014/chart" uri="{C3380CC4-5D6E-409C-BE32-E72D297353CC}">
              <c16:uniqueId val="{00000000-57A4-4D51-A2A3-3F6B0F1A198D}"/>
            </c:ext>
          </c:extLst>
        </c:ser>
        <c:ser>
          <c:idx val="6"/>
          <c:order val="1"/>
          <c:tx>
            <c:strRef>
              <c:f>'Figure 2'!$C$3</c:f>
              <c:strCache>
                <c:ptCount val="1"/>
                <c:pt idx="0">
                  <c:v>Credit cards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'Figure 2'!$D$1:$L$1</c:f>
              <c:strCache>
                <c:ptCount val="9"/>
                <c:pt idx="0">
                  <c:v>2011</c:v>
                </c:pt>
                <c:pt idx="1">
                  <c:v>2012</c:v>
                </c:pt>
                <c:pt idx="2">
                  <c:v>2013</c:v>
                </c:pt>
                <c:pt idx="3">
                  <c:v>2014</c:v>
                </c:pt>
                <c:pt idx="4">
                  <c:v>2015</c:v>
                </c:pt>
                <c:pt idx="5">
                  <c:v>2016</c:v>
                </c:pt>
                <c:pt idx="6">
                  <c:v>2017</c:v>
                </c:pt>
                <c:pt idx="7">
                  <c:v>2018</c:v>
                </c:pt>
                <c:pt idx="8">
                  <c:v>2019</c:v>
                </c:pt>
              </c:strCache>
            </c:strRef>
          </c:cat>
          <c:val>
            <c:numRef>
              <c:f>'Figure 2'!$D$3:$L$3</c:f>
              <c:numCache>
                <c:formatCode>0.0</c:formatCode>
                <c:ptCount val="9"/>
                <c:pt idx="0">
                  <c:v>12.016520727100913</c:v>
                </c:pt>
                <c:pt idx="1">
                  <c:v>12.477347117434903</c:v>
                </c:pt>
                <c:pt idx="2">
                  <c:v>13.106604441647271</c:v>
                </c:pt>
                <c:pt idx="3">
                  <c:v>13.564951622025324</c:v>
                </c:pt>
                <c:pt idx="4">
                  <c:v>12.476765910218731</c:v>
                </c:pt>
                <c:pt idx="5">
                  <c:v>12.778971430325889</c:v>
                </c:pt>
                <c:pt idx="6">
                  <c:v>13.142060308514468</c:v>
                </c:pt>
                <c:pt idx="7">
                  <c:v>13.905663557470975</c:v>
                </c:pt>
                <c:pt idx="8">
                  <c:v>14.524456978679956</c:v>
                </c:pt>
              </c:numCache>
            </c:numRef>
          </c:val>
          <c:extLst>
            <c:ext xmlns:c16="http://schemas.microsoft.com/office/drawing/2014/chart" uri="{C3380CC4-5D6E-409C-BE32-E72D297353CC}">
              <c16:uniqueId val="{00000001-57A4-4D51-A2A3-3F6B0F1A198D}"/>
            </c:ext>
          </c:extLst>
        </c:ser>
        <c:dLbls>
          <c:showLegendKey val="0"/>
          <c:showVal val="0"/>
          <c:showCatName val="0"/>
          <c:showSerName val="0"/>
          <c:showPercent val="0"/>
          <c:showBubbleSize val="0"/>
        </c:dLbls>
        <c:gapWidth val="75"/>
        <c:overlap val="100"/>
        <c:axId val="379753984"/>
        <c:axId val="379755520"/>
      </c:barChart>
      <c:lineChart>
        <c:grouping val="stacked"/>
        <c:varyColors val="0"/>
        <c:ser>
          <c:idx val="1"/>
          <c:order val="2"/>
          <c:tx>
            <c:strRef>
              <c:f>'Figure 2'!$C$4</c:f>
              <c:strCache>
                <c:ptCount val="1"/>
                <c:pt idx="0">
                  <c:v>Total current account and credit card activity</c:v>
                </c:pt>
              </c:strCache>
            </c:strRef>
          </c:tx>
          <c:dLbls>
            <c:dLbl>
              <c:idx val="0"/>
              <c:layout>
                <c:manualLayout>
                  <c:x val="-2.5822580560663451E-2"/>
                  <c:y val="-0.10466772639335578"/>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57A4-4D51-A2A3-3F6B0F1A198D}"/>
                </c:ext>
              </c:extLst>
            </c:dLbl>
            <c:dLbl>
              <c:idx val="1"/>
              <c:layout>
                <c:manualLayout>
                  <c:x val="-2.7002163651699225E-2"/>
                  <c:y val="-9.812107993543062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57A4-4D51-A2A3-3F6B0F1A198D}"/>
                </c:ext>
              </c:extLst>
            </c:dLbl>
            <c:dLbl>
              <c:idx val="2"/>
              <c:layout>
                <c:manualLayout>
                  <c:x val="-1.6227180527383367E-2"/>
                  <c:y val="-4.264392324093816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57A4-4D51-A2A3-3F6B0F1A198D}"/>
                </c:ext>
              </c:extLst>
            </c:dLbl>
            <c:dLbl>
              <c:idx val="3"/>
              <c:layout>
                <c:manualLayout>
                  <c:x val="-1.8931710615280595E-2"/>
                  <c:y val="-5.117270788912577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57A4-4D51-A2A3-3F6B0F1A198D}"/>
                </c:ext>
              </c:extLst>
            </c:dLbl>
            <c:dLbl>
              <c:idx val="4"/>
              <c:layout>
                <c:manualLayout>
                  <c:x val="-2.7045331908361853E-2"/>
                  <c:y val="-7.081290894976155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57A4-4D51-A2A3-3F6B0F1A198D}"/>
                </c:ext>
              </c:extLst>
            </c:dLbl>
            <c:dLbl>
              <c:idx val="5"/>
              <c:layout>
                <c:manualLayout>
                  <c:x val="-2.1225999444680194E-2"/>
                  <c:y val="-5.659827732801008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57A4-4D51-A2A3-3F6B0F1A198D}"/>
                </c:ext>
              </c:extLst>
            </c:dLbl>
            <c:dLbl>
              <c:idx val="6"/>
              <c:layout>
                <c:manualLayout>
                  <c:x val="1.3306719893546241E-3"/>
                  <c:y val="-4.694835680751176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57A4-4D51-A2A3-3F6B0F1A198D}"/>
                </c:ext>
              </c:extLst>
            </c:dLbl>
            <c:dLbl>
              <c:idx val="7"/>
              <c:layout>
                <c:manualLayout>
                  <c:x val="1.3306719893545265E-3"/>
                  <c:y val="-5.007824726134588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57A4-4D51-A2A3-3F6B0F1A198D}"/>
                </c:ext>
              </c:extLst>
            </c:dLbl>
            <c:dLbl>
              <c:idx val="9"/>
              <c:layout>
                <c:manualLayout>
                  <c:x val="6.6533599467731202E-3"/>
                  <c:y val="-4.38184663536776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7A4-4D51-A2A3-3F6B0F1A198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'Figure 2'!$D$1:$L$1</c:f>
              <c:strCache>
                <c:ptCount val="9"/>
                <c:pt idx="0">
                  <c:v>2011</c:v>
                </c:pt>
                <c:pt idx="1">
                  <c:v>2012</c:v>
                </c:pt>
                <c:pt idx="2">
                  <c:v>2013</c:v>
                </c:pt>
                <c:pt idx="3">
                  <c:v>2014</c:v>
                </c:pt>
                <c:pt idx="4">
                  <c:v>2015</c:v>
                </c:pt>
                <c:pt idx="5">
                  <c:v>2016</c:v>
                </c:pt>
                <c:pt idx="6">
                  <c:v>2017</c:v>
                </c:pt>
                <c:pt idx="7">
                  <c:v>2018</c:v>
                </c:pt>
                <c:pt idx="8">
                  <c:v>2019</c:v>
                </c:pt>
              </c:strCache>
            </c:strRef>
          </c:cat>
          <c:val>
            <c:numRef>
              <c:f>'Figure 2'!$D$4:$L$4</c:f>
              <c:numCache>
                <c:formatCode>0.0</c:formatCode>
                <c:ptCount val="9"/>
                <c:pt idx="0">
                  <c:v>32.424716248372533</c:v>
                </c:pt>
                <c:pt idx="1">
                  <c:v>32.026276073650081</c:v>
                </c:pt>
                <c:pt idx="2">
                  <c:v>31.852542167475949</c:v>
                </c:pt>
                <c:pt idx="3">
                  <c:v>30.138544543306701</c:v>
                </c:pt>
                <c:pt idx="4">
                  <c:v>27.141230310884275</c:v>
                </c:pt>
                <c:pt idx="5">
                  <c:v>26.43613816627856</c:v>
                </c:pt>
                <c:pt idx="6">
                  <c:v>26.652236789339593</c:v>
                </c:pt>
                <c:pt idx="7">
                  <c:v>27.066863306603643</c:v>
                </c:pt>
                <c:pt idx="8">
                  <c:v>26.942552190893213</c:v>
                </c:pt>
              </c:numCache>
            </c:numRef>
          </c:val>
          <c:smooth val="0"/>
          <c:extLst>
            <c:ext xmlns:c16="http://schemas.microsoft.com/office/drawing/2014/chart" uri="{C3380CC4-5D6E-409C-BE32-E72D297353CC}">
              <c16:uniqueId val="{0000000B-57A4-4D51-A2A3-3F6B0F1A198D}"/>
            </c:ext>
          </c:extLst>
        </c:ser>
        <c:dLbls>
          <c:showLegendKey val="0"/>
          <c:showVal val="0"/>
          <c:showCatName val="0"/>
          <c:showSerName val="0"/>
          <c:showPercent val="0"/>
          <c:showBubbleSize val="0"/>
        </c:dLbls>
        <c:marker val="1"/>
        <c:smooth val="0"/>
        <c:axId val="379753984"/>
        <c:axId val="379755520"/>
      </c:lineChart>
      <c:catAx>
        <c:axId val="379753984"/>
        <c:scaling>
          <c:orientation val="minMax"/>
        </c:scaling>
        <c:delete val="0"/>
        <c:axPos val="b"/>
        <c:numFmt formatCode="General" sourceLinked="1"/>
        <c:majorTickMark val="none"/>
        <c:minorTickMark val="none"/>
        <c:tickLblPos val="nextTo"/>
        <c:crossAx val="379755520"/>
        <c:crossesAt val="0"/>
        <c:auto val="1"/>
        <c:lblAlgn val="ctr"/>
        <c:lblOffset val="100"/>
        <c:noMultiLvlLbl val="0"/>
      </c:catAx>
      <c:valAx>
        <c:axId val="379755520"/>
        <c:scaling>
          <c:orientation val="minMax"/>
          <c:max val="35"/>
        </c:scaling>
        <c:delete val="0"/>
        <c:axPos val="l"/>
        <c:majorGridlines/>
        <c:numFmt formatCode="0" sourceLinked="0"/>
        <c:majorTickMark val="none"/>
        <c:minorTickMark val="none"/>
        <c:tickLblPos val="nextTo"/>
        <c:crossAx val="379753984"/>
        <c:crosses val="autoZero"/>
        <c:crossBetween val="between"/>
      </c:valAx>
    </c:plotArea>
    <c:legend>
      <c:legendPos val="b"/>
      <c:layout>
        <c:manualLayout>
          <c:xMode val="edge"/>
          <c:yMode val="edge"/>
          <c:x val="6.4033902455904984E-2"/>
          <c:y val="0.88157624722585348"/>
          <c:w val="0.9"/>
          <c:h val="0.11842375277414648"/>
        </c:manualLayout>
      </c:layout>
      <c:overlay val="0"/>
    </c:legend>
    <c:plotVisOnly val="1"/>
    <c:dispBlanksAs val="gap"/>
    <c:showDLblsOverMax val="0"/>
  </c:chart>
  <c:spPr>
    <a:noFill/>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54384593468849"/>
          <c:y val="4.8251316210667999E-2"/>
          <c:w val="0.82335831732373654"/>
          <c:h val="0.73662378268290229"/>
        </c:manualLayout>
      </c:layout>
      <c:lineChart>
        <c:grouping val="standard"/>
        <c:varyColors val="0"/>
        <c:ser>
          <c:idx val="0"/>
          <c:order val="0"/>
          <c:tx>
            <c:strRef>
              <c:f>'Figure 3'!$A$21</c:f>
              <c:strCache>
                <c:ptCount val="1"/>
                <c:pt idx="0">
                  <c:v>Ratio between cards / accounts</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t" anchorCtr="0">
                <a:spAutoFit/>
              </a:bodyPr>
              <a:lstStyle/>
              <a:p>
                <a:pPr algn="ctr">
                  <a:defRPr sz="10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'Figure 3'!$B$20:$J$20</c:f>
              <c:strCache>
                <c:ptCount val="9"/>
                <c:pt idx="0">
                  <c:v>2011</c:v>
                </c:pt>
                <c:pt idx="1">
                  <c:v>2012</c:v>
                </c:pt>
                <c:pt idx="2">
                  <c:v>2013</c:v>
                </c:pt>
                <c:pt idx="3">
                  <c:v>2014</c:v>
                </c:pt>
                <c:pt idx="4">
                  <c:v>2015</c:v>
                </c:pt>
                <c:pt idx="5">
                  <c:v>2016</c:v>
                </c:pt>
                <c:pt idx="6">
                  <c:v>2017</c:v>
                </c:pt>
                <c:pt idx="7">
                  <c:v>2018</c:v>
                </c:pt>
                <c:pt idx="8">
                  <c:v>2019</c:v>
                </c:pt>
              </c:strCache>
            </c:strRef>
          </c:cat>
          <c:val>
            <c:numRef>
              <c:f>'Figure 3'!$B$21:$J$21</c:f>
              <c:numCache>
                <c:formatCode>0.00</c:formatCode>
                <c:ptCount val="9"/>
                <c:pt idx="0">
                  <c:v>1.1771004975398709</c:v>
                </c:pt>
                <c:pt idx="1">
                  <c:v>1.2363329328312642</c:v>
                </c:pt>
                <c:pt idx="2">
                  <c:v>1.2903654200145478</c:v>
                </c:pt>
                <c:pt idx="3">
                  <c:v>1.3231995014306437</c:v>
                </c:pt>
                <c:pt idx="4">
                  <c:v>1.3716462322569467</c:v>
                </c:pt>
                <c:pt idx="5">
                  <c:v>1.5120271884217136</c:v>
                </c:pt>
                <c:pt idx="6">
                  <c:v>1.5362301481816911</c:v>
                </c:pt>
                <c:pt idx="7">
                  <c:v>1.6001414176101987</c:v>
                </c:pt>
                <c:pt idx="8">
                  <c:v>1.6268728367592129</c:v>
                </c:pt>
              </c:numCache>
            </c:numRef>
          </c:val>
          <c:smooth val="0"/>
          <c:extLst>
            <c:ext xmlns:c16="http://schemas.microsoft.com/office/drawing/2014/chart" uri="{C3380CC4-5D6E-409C-BE32-E72D297353CC}">
              <c16:uniqueId val="{00000001-9A29-4334-845E-E4A446700B85}"/>
            </c:ext>
          </c:extLst>
        </c:ser>
        <c:dLbls>
          <c:dLblPos val="t"/>
          <c:showLegendKey val="0"/>
          <c:showVal val="1"/>
          <c:showCatName val="0"/>
          <c:showSerName val="0"/>
          <c:showPercent val="0"/>
          <c:showBubbleSize val="0"/>
        </c:dLbls>
        <c:smooth val="0"/>
        <c:axId val="379814272"/>
        <c:axId val="379815808"/>
      </c:lineChart>
      <c:dateAx>
        <c:axId val="379814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a:softEdge rad="114300"/>
          </a:effectLst>
        </c:spPr>
        <c:txPr>
          <a:bodyPr rot="0" spcFirstLastPara="1" vertOverflow="ellipsis" wrap="square" anchor="b" anchorCtr="0"/>
          <a:lstStyle/>
          <a:p>
            <a:pPr>
              <a:defRPr sz="1100" b="1" i="0" u="none" strike="noStrike" kern="1200" baseline="0">
                <a:solidFill>
                  <a:schemeClr val="tx1">
                    <a:lumMod val="65000"/>
                    <a:lumOff val="35000"/>
                  </a:schemeClr>
                </a:solidFill>
                <a:latin typeface="+mn-lt"/>
                <a:ea typeface="+mn-ea"/>
                <a:cs typeface="+mn-cs"/>
              </a:defRPr>
            </a:pPr>
            <a:endParaRPr lang="en-US"/>
          </a:p>
        </c:txPr>
        <c:crossAx val="379815808"/>
        <c:crosses val="autoZero"/>
        <c:auto val="0"/>
        <c:lblOffset val="100"/>
        <c:baseTimeUnit val="days"/>
      </c:dateAx>
      <c:valAx>
        <c:axId val="379815808"/>
        <c:scaling>
          <c:orientation val="minMax"/>
          <c:max val="1.7000000000000002"/>
          <c:min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
                    <a:latin typeface="Times New Roman" panose="02020603050405020304" pitchFamily="18" charset="0"/>
                    <a:cs typeface="Times New Roman" panose="02020603050405020304" pitchFamily="18" charset="0"/>
                  </a:rPr>
                  <a:t>Ratio between cards and accounts</a:t>
                </a:r>
              </a:p>
            </c:rich>
          </c:tx>
          <c:layout>
            <c:manualLayout>
              <c:xMode val="edge"/>
              <c:yMode val="edge"/>
              <c:x val="2.3436848809638734E-2"/>
              <c:y val="0.21506319668486437"/>
            </c:manualLayout>
          </c:layout>
          <c:overlay val="0"/>
          <c:spPr>
            <a:noFill/>
            <a:ln>
              <a:noFill/>
            </a:ln>
            <a:effectLst/>
          </c:sp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379814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a:pPr>
            <a:endParaRPr lang="he-IL" sz="1200" b="0"/>
          </a:p>
        </c:rich>
      </c:tx>
      <c:layout>
        <c:manualLayout>
          <c:xMode val="edge"/>
          <c:yMode val="edge"/>
          <c:x val="0.13974468085106384"/>
          <c:y val="2.4464831804281346E-2"/>
        </c:manualLayout>
      </c:layout>
      <c:overlay val="1"/>
    </c:title>
    <c:autoTitleDeleted val="0"/>
    <c:view3D>
      <c:rotX val="30"/>
      <c:rotY val="360"/>
      <c:rAngAx val="0"/>
    </c:view3D>
    <c:floor>
      <c:thickness val="0"/>
    </c:floor>
    <c:sideWall>
      <c:thickness val="0"/>
    </c:sideWall>
    <c:backWall>
      <c:thickness val="0"/>
    </c:backWall>
    <c:plotArea>
      <c:layout>
        <c:manualLayout>
          <c:layoutTarget val="inner"/>
          <c:xMode val="edge"/>
          <c:yMode val="edge"/>
          <c:x val="0.11914893617021277"/>
          <c:y val="0.13619169431232264"/>
          <c:w val="0.78723404255319152"/>
          <c:h val="0.68170190655102125"/>
        </c:manualLayout>
      </c:layout>
      <c:pie3DChart>
        <c:varyColors val="1"/>
        <c:ser>
          <c:idx val="0"/>
          <c:order val="0"/>
          <c:dPt>
            <c:idx val="1"/>
            <c:bubble3D val="0"/>
            <c:spPr>
              <a:solidFill>
                <a:srgbClr val="15A74D"/>
              </a:solidFill>
            </c:spPr>
            <c:extLst>
              <c:ext xmlns:c16="http://schemas.microsoft.com/office/drawing/2014/chart" uri="{C3380CC4-5D6E-409C-BE32-E72D297353CC}">
                <c16:uniqueId val="{00000001-33AE-4BC8-AC7C-66D51939ECD9}"/>
              </c:ext>
            </c:extLst>
          </c:dPt>
          <c:dPt>
            <c:idx val="2"/>
            <c:bubble3D val="0"/>
            <c:spPr>
              <a:solidFill>
                <a:srgbClr val="FF1919"/>
              </a:solidFill>
            </c:spPr>
            <c:extLst>
              <c:ext xmlns:c16="http://schemas.microsoft.com/office/drawing/2014/chart" uri="{C3380CC4-5D6E-409C-BE32-E72D297353CC}">
                <c16:uniqueId val="{00000003-33AE-4BC8-AC7C-66D51939ECD9}"/>
              </c:ext>
            </c:extLst>
          </c:dPt>
          <c:dLbls>
            <c:dLbl>
              <c:idx val="0"/>
              <c:layout>
                <c:manualLayout>
                  <c:x val="-0.13030052493438321"/>
                  <c:y val="-0.17573308544765234"/>
                </c:manualLayout>
              </c:layout>
              <c:dLblPos val="bestFit"/>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4-33AE-4BC8-AC7C-66D51939ECD9}"/>
                </c:ext>
              </c:extLst>
            </c:dLbl>
            <c:dLbl>
              <c:idx val="1"/>
              <c:layout>
                <c:manualLayout>
                  <c:x val="-1.6303368328958893E-2"/>
                  <c:y val="-6.2352726742490525E-2"/>
                </c:manualLayout>
              </c:layout>
              <c:dLblPos val="bestFit"/>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33AE-4BC8-AC7C-66D51939ECD9}"/>
                </c:ext>
              </c:extLst>
            </c:dLbl>
            <c:dLbl>
              <c:idx val="2"/>
              <c:layout>
                <c:manualLayout>
                  <c:x val="0.1247095363079615"/>
                  <c:y val="8.9088655584718582E-2"/>
                </c:manualLayout>
              </c:layout>
              <c:dLblPos val="bestFit"/>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33AE-4BC8-AC7C-66D51939ECD9}"/>
                </c:ext>
              </c:extLst>
            </c:dLbl>
            <c:spPr>
              <a:noFill/>
              <a:ln>
                <a:noFill/>
              </a:ln>
              <a:effectLst/>
            </c:spPr>
            <c:txPr>
              <a:bodyPr/>
              <a:lstStyle/>
              <a:p>
                <a:pPr>
                  <a:defRPr sz="1200" b="1" baseline="0">
                    <a:latin typeface="David" panose="020E0502060401010101" pitchFamily="34" charset="-79"/>
                    <a:cs typeface="David" panose="020E0502060401010101" pitchFamily="34" charset="-79"/>
                  </a:defRPr>
                </a:pPr>
                <a:endParaRPr lang="en-US"/>
              </a:p>
            </c:txPr>
            <c:dLblPos val="inEnd"/>
            <c:showLegendKey val="0"/>
            <c:showVal val="1"/>
            <c:showCatName val="0"/>
            <c:showSerName val="0"/>
            <c:showPercent val="1"/>
            <c:showBubbleSize val="0"/>
            <c:showLeaderLines val="1"/>
            <c:extLst>
              <c:ext xmlns:c15="http://schemas.microsoft.com/office/drawing/2012/chart" uri="{CE6537A1-D6FC-4f65-9D91-7224C49458BB}"/>
            </c:extLst>
          </c:dLbls>
          <c:cat>
            <c:strRef>
              <c:f>'Figure 5'!$A$7:$A$9</c:f>
              <c:strCache>
                <c:ptCount val="3"/>
                <c:pt idx="0">
                  <c:v>Accounts that paid up to NIS 10 </c:v>
                </c:pt>
                <c:pt idx="1">
                  <c:v>Enrolled in tracks</c:v>
                </c:pt>
                <c:pt idx="2">
                  <c:v>Did not enroll in tracks</c:v>
                </c:pt>
              </c:strCache>
            </c:strRef>
          </c:cat>
          <c:val>
            <c:numRef>
              <c:f>'Figure 5'!$B$7:$B$9</c:f>
              <c:numCache>
                <c:formatCode>_ * #,##0_ ;_ * \-#,##0_ ;_ * "-"??_ ;_ @_ </c:formatCode>
                <c:ptCount val="3"/>
                <c:pt idx="0">
                  <c:v>4621.643</c:v>
                </c:pt>
                <c:pt idx="1">
                  <c:v>873.60900000000004</c:v>
                </c:pt>
                <c:pt idx="2">
                  <c:v>2048.2719999999999</c:v>
                </c:pt>
              </c:numCache>
            </c:numRef>
          </c:val>
          <c:extLst>
            <c:ext xmlns:c16="http://schemas.microsoft.com/office/drawing/2014/chart" uri="{C3380CC4-5D6E-409C-BE32-E72D297353CC}">
              <c16:uniqueId val="{00000005-33AE-4BC8-AC7C-66D51939ECD9}"/>
            </c:ext>
          </c:extLst>
        </c:ser>
        <c:dLbls>
          <c:showLegendKey val="0"/>
          <c:showVal val="0"/>
          <c:showCatName val="0"/>
          <c:showSerName val="0"/>
          <c:showPercent val="0"/>
          <c:showBubbleSize val="0"/>
          <c:showLeaderLines val="1"/>
        </c:dLbls>
      </c:pie3DChart>
    </c:plotArea>
    <c:legend>
      <c:legendPos val="b"/>
      <c:layout>
        <c:manualLayout>
          <c:xMode val="edge"/>
          <c:yMode val="edge"/>
          <c:x val="5.1768684354870149E-2"/>
          <c:y val="0.84087855859427807"/>
          <c:w val="0.9"/>
          <c:h val="0.10214375640222186"/>
        </c:manualLayout>
      </c:layout>
      <c:overlay val="0"/>
      <c:txPr>
        <a:bodyPr/>
        <a:lstStyle/>
        <a:p>
          <a:pPr>
            <a:defRPr sz="1100" baseline="0">
              <a:latin typeface="David" panose="020E0502060401010101" pitchFamily="34" charset="-79"/>
              <a:cs typeface="David" panose="020E0502060401010101" pitchFamily="34" charset="-79"/>
            </a:defRPr>
          </a:pPr>
          <a:endParaRPr lang="en-US"/>
        </a:p>
      </c:txPr>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3"/>
    </mc:Choice>
    <mc:Fallback>
      <c:style val="13"/>
    </mc:Fallback>
  </mc:AlternateContent>
  <c:chart>
    <c:autoTitleDeleted val="1"/>
    <c:plotArea>
      <c:layout>
        <c:manualLayout>
          <c:layoutTarget val="inner"/>
          <c:xMode val="edge"/>
          <c:yMode val="edge"/>
          <c:x val="7.1819277762693451E-2"/>
          <c:y val="4.6593790137934896E-2"/>
          <c:w val="0.85228592632817446"/>
          <c:h val="0.54791143128385544"/>
        </c:manualLayout>
      </c:layout>
      <c:barChart>
        <c:barDir val="col"/>
        <c:grouping val="clustered"/>
        <c:varyColors val="0"/>
        <c:ser>
          <c:idx val="0"/>
          <c:order val="0"/>
          <c:tx>
            <c:strRef>
              <c:f>'Figure 6'!$B$3</c:f>
              <c:strCache>
                <c:ptCount val="1"/>
                <c:pt idx="0">
                  <c:v>Teller-executed and customer-executed transaction fees *</c:v>
                </c:pt>
              </c:strCache>
            </c:strRef>
          </c:tx>
          <c:spPr>
            <a:solidFill>
              <a:schemeClr val="tx1">
                <a:lumMod val="50000"/>
                <a:lumOff val="50000"/>
              </a:schemeClr>
            </a:solidFill>
          </c:spPr>
          <c:invertIfNegative val="0"/>
          <c:dPt>
            <c:idx val="0"/>
            <c:invertIfNegative val="0"/>
            <c:bubble3D val="0"/>
            <c:spPr>
              <a:solidFill>
                <a:schemeClr val="accent1">
                  <a:lumMod val="75000"/>
                </a:schemeClr>
              </a:solidFill>
            </c:spPr>
            <c:extLst>
              <c:ext xmlns:c16="http://schemas.microsoft.com/office/drawing/2014/chart" uri="{C3380CC4-5D6E-409C-BE32-E72D297353CC}">
                <c16:uniqueId val="{00000001-9D76-4FF5-B2AB-72F2E7C97579}"/>
              </c:ext>
            </c:extLst>
          </c:dPt>
          <c:dPt>
            <c:idx val="1"/>
            <c:invertIfNegative val="0"/>
            <c:bubble3D val="0"/>
            <c:spPr>
              <a:solidFill>
                <a:srgbClr val="C00000"/>
              </a:solidFill>
            </c:spPr>
            <c:extLst>
              <c:ext xmlns:c16="http://schemas.microsoft.com/office/drawing/2014/chart" uri="{C3380CC4-5D6E-409C-BE32-E72D297353CC}">
                <c16:uniqueId val="{00000003-9D76-4FF5-B2AB-72F2E7C97579}"/>
              </c:ext>
            </c:extLst>
          </c:dPt>
          <c:dPt>
            <c:idx val="2"/>
            <c:invertIfNegative val="0"/>
            <c:bubble3D val="0"/>
            <c:spPr>
              <a:solidFill>
                <a:schemeClr val="accent3">
                  <a:lumMod val="50000"/>
                </a:schemeClr>
              </a:solidFill>
            </c:spPr>
            <c:extLst>
              <c:ext xmlns:c16="http://schemas.microsoft.com/office/drawing/2014/chart" uri="{C3380CC4-5D6E-409C-BE32-E72D297353CC}">
                <c16:uniqueId val="{00000005-9D76-4FF5-B2AB-72F2E7C97579}"/>
              </c:ext>
            </c:extLst>
          </c:dPt>
          <c:dPt>
            <c:idx val="3"/>
            <c:invertIfNegative val="0"/>
            <c:bubble3D val="0"/>
            <c:spPr>
              <a:solidFill>
                <a:srgbClr val="79B240"/>
              </a:solidFill>
            </c:spPr>
            <c:extLst>
              <c:ext xmlns:c16="http://schemas.microsoft.com/office/drawing/2014/chart" uri="{C3380CC4-5D6E-409C-BE32-E72D297353CC}">
                <c16:uniqueId val="{00000007-9D76-4FF5-B2AB-72F2E7C97579}"/>
              </c:ext>
            </c:extLst>
          </c:dPt>
          <c:dPt>
            <c:idx val="4"/>
            <c:invertIfNegative val="0"/>
            <c:bubble3D val="0"/>
            <c:spPr>
              <a:solidFill>
                <a:schemeClr val="accent6">
                  <a:lumMod val="75000"/>
                </a:schemeClr>
              </a:solidFill>
            </c:spPr>
            <c:extLst>
              <c:ext xmlns:c16="http://schemas.microsoft.com/office/drawing/2014/chart" uri="{C3380CC4-5D6E-409C-BE32-E72D297353CC}">
                <c16:uniqueId val="{00000009-9D76-4FF5-B2AB-72F2E7C97579}"/>
              </c:ext>
            </c:extLst>
          </c:dPt>
          <c:dPt>
            <c:idx val="5"/>
            <c:invertIfNegative val="0"/>
            <c:bubble3D val="0"/>
            <c:spPr>
              <a:solidFill>
                <a:srgbClr val="FFFF66"/>
              </a:solidFill>
            </c:spPr>
            <c:extLst>
              <c:ext xmlns:c16="http://schemas.microsoft.com/office/drawing/2014/chart" uri="{C3380CC4-5D6E-409C-BE32-E72D297353CC}">
                <c16:uniqueId val="{0000000B-9D76-4FF5-B2AB-72F2E7C97579}"/>
              </c:ext>
            </c:extLst>
          </c:dPt>
          <c:dPt>
            <c:idx val="6"/>
            <c:invertIfNegative val="0"/>
            <c:bubble3D val="0"/>
            <c:spPr>
              <a:solidFill>
                <a:schemeClr val="bg2">
                  <a:lumMod val="50000"/>
                </a:schemeClr>
              </a:solidFill>
            </c:spPr>
            <c:extLst>
              <c:ext xmlns:c16="http://schemas.microsoft.com/office/drawing/2014/chart" uri="{C3380CC4-5D6E-409C-BE32-E72D297353CC}">
                <c16:uniqueId val="{0000000D-9D76-4FF5-B2AB-72F2E7C97579}"/>
              </c:ext>
            </c:extLst>
          </c:dPt>
          <c:dPt>
            <c:idx val="7"/>
            <c:invertIfNegative val="0"/>
            <c:bubble3D val="0"/>
            <c:spPr>
              <a:solidFill>
                <a:srgbClr val="7C89AE"/>
              </a:solidFill>
            </c:spPr>
            <c:extLst>
              <c:ext xmlns:c16="http://schemas.microsoft.com/office/drawing/2014/chart" uri="{C3380CC4-5D6E-409C-BE32-E72D297353CC}">
                <c16:uniqueId val="{0000000F-9D76-4FF5-B2AB-72F2E7C97579}"/>
              </c:ext>
            </c:extLst>
          </c:dPt>
          <c:dPt>
            <c:idx val="8"/>
            <c:invertIfNegative val="0"/>
            <c:bubble3D val="0"/>
            <c:spPr>
              <a:solidFill>
                <a:schemeClr val="accent4">
                  <a:lumMod val="75000"/>
                </a:schemeClr>
              </a:solidFill>
            </c:spPr>
            <c:extLst>
              <c:ext xmlns:c16="http://schemas.microsoft.com/office/drawing/2014/chart" uri="{C3380CC4-5D6E-409C-BE32-E72D297353CC}">
                <c16:uniqueId val="{00000011-9D76-4FF5-B2AB-72F2E7C97579}"/>
              </c:ext>
            </c:extLst>
          </c:dPt>
          <c:dLbls>
            <c:dLbl>
              <c:idx val="10"/>
              <c:delete val="1"/>
              <c:extLst>
                <c:ext xmlns:c15="http://schemas.microsoft.com/office/drawing/2012/chart" uri="{CE6537A1-D6FC-4f65-9D91-7224C49458BB}"/>
                <c:ext xmlns:c16="http://schemas.microsoft.com/office/drawing/2014/chart" uri="{C3380CC4-5D6E-409C-BE32-E72D297353CC}">
                  <c16:uniqueId val="{00000012-9D76-4FF5-B2AB-72F2E7C97579}"/>
                </c:ext>
              </c:extLst>
            </c:dLbl>
            <c:spPr>
              <a:noFill/>
              <a:ln>
                <a:noFill/>
              </a:ln>
              <a:effectLst/>
            </c:spPr>
            <c:txPr>
              <a:bodyPr/>
              <a:lstStyle/>
              <a:p>
                <a:pPr>
                  <a:defRPr sz="1200" b="1"/>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'Figure 6'!$A$4:$A$13</c:f>
              <c:strCache>
                <c:ptCount val="10"/>
                <c:pt idx="0">
                  <c:v>Leumi</c:v>
                </c:pt>
                <c:pt idx="1">
                  <c:v>Hapoalim</c:v>
                </c:pt>
                <c:pt idx="2">
                  <c:v>Discount</c:v>
                </c:pt>
                <c:pt idx="3">
                  <c:v>Mercantile</c:v>
                </c:pt>
                <c:pt idx="4">
                  <c:v>Mizrahi</c:v>
                </c:pt>
                <c:pt idx="5">
                  <c:v>First International</c:v>
                </c:pt>
                <c:pt idx="6">
                  <c:v>Massad</c:v>
                </c:pt>
                <c:pt idx="7">
                  <c:v>Union</c:v>
                </c:pt>
                <c:pt idx="8">
                  <c:v>Yahav</c:v>
                </c:pt>
                <c:pt idx="9">
                  <c:v>Bank of Jerusalem</c:v>
                </c:pt>
              </c:strCache>
            </c:strRef>
          </c:cat>
          <c:val>
            <c:numRef>
              <c:f>'Figure 6'!$B$4:$B$13</c:f>
              <c:numCache>
                <c:formatCode>General</c:formatCode>
                <c:ptCount val="10"/>
                <c:pt idx="0">
                  <c:v>22</c:v>
                </c:pt>
                <c:pt idx="1">
                  <c:v>20</c:v>
                </c:pt>
                <c:pt idx="2">
                  <c:v>24.4</c:v>
                </c:pt>
                <c:pt idx="3">
                  <c:v>26.4</c:v>
                </c:pt>
                <c:pt idx="4">
                  <c:v>24.400000000000002</c:v>
                </c:pt>
                <c:pt idx="5">
                  <c:v>24.3</c:v>
                </c:pt>
                <c:pt idx="6">
                  <c:v>31.3</c:v>
                </c:pt>
                <c:pt idx="7">
                  <c:v>34.9</c:v>
                </c:pt>
                <c:pt idx="8">
                  <c:v>16</c:v>
                </c:pt>
                <c:pt idx="9">
                  <c:v>0</c:v>
                </c:pt>
              </c:numCache>
            </c:numRef>
          </c:val>
          <c:extLst>
            <c:ext xmlns:c16="http://schemas.microsoft.com/office/drawing/2014/chart" uri="{C3380CC4-5D6E-409C-BE32-E72D297353CC}">
              <c16:uniqueId val="{00000013-9D76-4FF5-B2AB-72F2E7C97579}"/>
            </c:ext>
          </c:extLst>
        </c:ser>
        <c:ser>
          <c:idx val="2"/>
          <c:order val="1"/>
          <c:tx>
            <c:strRef>
              <c:f>'Figure 6'!$C$3</c:f>
              <c:strCache>
                <c:ptCount val="1"/>
                <c:pt idx="0">
                  <c:v>Actual cost, no track ** </c:v>
                </c:pt>
              </c:strCache>
            </c:strRef>
          </c:tx>
          <c:spPr>
            <a:pattFill prst="dkDnDiag">
              <a:fgClr>
                <a:schemeClr val="tx1">
                  <a:lumMod val="50000"/>
                  <a:lumOff val="50000"/>
                </a:schemeClr>
              </a:fgClr>
              <a:bgClr>
                <a:schemeClr val="bg1"/>
              </a:bgClr>
            </a:pattFill>
          </c:spPr>
          <c:invertIfNegative val="0"/>
          <c:dPt>
            <c:idx val="0"/>
            <c:invertIfNegative val="0"/>
            <c:bubble3D val="0"/>
            <c:spPr>
              <a:pattFill prst="dkDnDiag">
                <a:fgClr>
                  <a:schemeClr val="accent1">
                    <a:lumMod val="40000"/>
                    <a:lumOff val="60000"/>
                  </a:schemeClr>
                </a:fgClr>
                <a:bgClr>
                  <a:schemeClr val="bg1"/>
                </a:bgClr>
              </a:pattFill>
            </c:spPr>
            <c:extLst>
              <c:ext xmlns:c16="http://schemas.microsoft.com/office/drawing/2014/chart" uri="{C3380CC4-5D6E-409C-BE32-E72D297353CC}">
                <c16:uniqueId val="{00000015-9D76-4FF5-B2AB-72F2E7C97579}"/>
              </c:ext>
            </c:extLst>
          </c:dPt>
          <c:dPt>
            <c:idx val="1"/>
            <c:invertIfNegative val="0"/>
            <c:bubble3D val="0"/>
            <c:spPr>
              <a:pattFill prst="dkDnDiag">
                <a:fgClr>
                  <a:schemeClr val="accent2">
                    <a:lumMod val="60000"/>
                    <a:lumOff val="40000"/>
                  </a:schemeClr>
                </a:fgClr>
                <a:bgClr>
                  <a:schemeClr val="bg1"/>
                </a:bgClr>
              </a:pattFill>
            </c:spPr>
            <c:extLst>
              <c:ext xmlns:c16="http://schemas.microsoft.com/office/drawing/2014/chart" uri="{C3380CC4-5D6E-409C-BE32-E72D297353CC}">
                <c16:uniqueId val="{00000017-9D76-4FF5-B2AB-72F2E7C97579}"/>
              </c:ext>
            </c:extLst>
          </c:dPt>
          <c:dPt>
            <c:idx val="2"/>
            <c:invertIfNegative val="0"/>
            <c:bubble3D val="0"/>
            <c:spPr>
              <a:pattFill prst="dkDnDiag">
                <a:fgClr>
                  <a:schemeClr val="accent3">
                    <a:lumMod val="75000"/>
                  </a:schemeClr>
                </a:fgClr>
                <a:bgClr>
                  <a:schemeClr val="bg1"/>
                </a:bgClr>
              </a:pattFill>
            </c:spPr>
            <c:extLst>
              <c:ext xmlns:c16="http://schemas.microsoft.com/office/drawing/2014/chart" uri="{C3380CC4-5D6E-409C-BE32-E72D297353CC}">
                <c16:uniqueId val="{00000019-9D76-4FF5-B2AB-72F2E7C97579}"/>
              </c:ext>
            </c:extLst>
          </c:dPt>
          <c:dPt>
            <c:idx val="3"/>
            <c:invertIfNegative val="0"/>
            <c:bubble3D val="0"/>
            <c:spPr>
              <a:pattFill prst="dkDnDiag">
                <a:fgClr>
                  <a:schemeClr val="accent3">
                    <a:lumMod val="60000"/>
                    <a:lumOff val="40000"/>
                  </a:schemeClr>
                </a:fgClr>
                <a:bgClr>
                  <a:schemeClr val="bg1"/>
                </a:bgClr>
              </a:pattFill>
            </c:spPr>
            <c:extLst>
              <c:ext xmlns:c16="http://schemas.microsoft.com/office/drawing/2014/chart" uri="{C3380CC4-5D6E-409C-BE32-E72D297353CC}">
                <c16:uniqueId val="{0000001B-9D76-4FF5-B2AB-72F2E7C97579}"/>
              </c:ext>
            </c:extLst>
          </c:dPt>
          <c:dPt>
            <c:idx val="4"/>
            <c:invertIfNegative val="0"/>
            <c:bubble3D val="0"/>
            <c:spPr>
              <a:pattFill prst="dkDnDiag">
                <a:fgClr>
                  <a:schemeClr val="accent6">
                    <a:lumMod val="75000"/>
                  </a:schemeClr>
                </a:fgClr>
                <a:bgClr>
                  <a:schemeClr val="bg1"/>
                </a:bgClr>
              </a:pattFill>
            </c:spPr>
            <c:extLst>
              <c:ext xmlns:c16="http://schemas.microsoft.com/office/drawing/2014/chart" uri="{C3380CC4-5D6E-409C-BE32-E72D297353CC}">
                <c16:uniqueId val="{0000001D-9D76-4FF5-B2AB-72F2E7C97579}"/>
              </c:ext>
            </c:extLst>
          </c:dPt>
          <c:dPt>
            <c:idx val="5"/>
            <c:invertIfNegative val="0"/>
            <c:bubble3D val="0"/>
            <c:spPr>
              <a:pattFill prst="dkDnDiag">
                <a:fgClr>
                  <a:schemeClr val="bg1">
                    <a:lumMod val="85000"/>
                  </a:schemeClr>
                </a:fgClr>
                <a:bgClr>
                  <a:srgbClr val="FFFF66"/>
                </a:bgClr>
              </a:pattFill>
            </c:spPr>
            <c:extLst>
              <c:ext xmlns:c16="http://schemas.microsoft.com/office/drawing/2014/chart" uri="{C3380CC4-5D6E-409C-BE32-E72D297353CC}">
                <c16:uniqueId val="{0000001F-9D76-4FF5-B2AB-72F2E7C97579}"/>
              </c:ext>
            </c:extLst>
          </c:dPt>
          <c:dPt>
            <c:idx val="6"/>
            <c:invertIfNegative val="0"/>
            <c:bubble3D val="0"/>
            <c:spPr>
              <a:pattFill prst="dkDnDiag">
                <a:fgClr>
                  <a:schemeClr val="bg2">
                    <a:lumMod val="50000"/>
                  </a:schemeClr>
                </a:fgClr>
                <a:bgClr>
                  <a:schemeClr val="bg1"/>
                </a:bgClr>
              </a:pattFill>
            </c:spPr>
            <c:extLst>
              <c:ext xmlns:c16="http://schemas.microsoft.com/office/drawing/2014/chart" uri="{C3380CC4-5D6E-409C-BE32-E72D297353CC}">
                <c16:uniqueId val="{00000021-9D76-4FF5-B2AB-72F2E7C97579}"/>
              </c:ext>
            </c:extLst>
          </c:dPt>
          <c:dPt>
            <c:idx val="7"/>
            <c:invertIfNegative val="0"/>
            <c:bubble3D val="0"/>
            <c:spPr>
              <a:pattFill prst="dkDnDiag">
                <a:fgClr>
                  <a:schemeClr val="accent1">
                    <a:lumMod val="40000"/>
                    <a:lumOff val="60000"/>
                  </a:schemeClr>
                </a:fgClr>
                <a:bgClr>
                  <a:schemeClr val="bg1"/>
                </a:bgClr>
              </a:pattFill>
            </c:spPr>
            <c:extLst>
              <c:ext xmlns:c16="http://schemas.microsoft.com/office/drawing/2014/chart" uri="{C3380CC4-5D6E-409C-BE32-E72D297353CC}">
                <c16:uniqueId val="{00000023-9D76-4FF5-B2AB-72F2E7C97579}"/>
              </c:ext>
            </c:extLst>
          </c:dPt>
          <c:dPt>
            <c:idx val="8"/>
            <c:invertIfNegative val="0"/>
            <c:bubble3D val="0"/>
            <c:spPr>
              <a:pattFill prst="dkDnDiag">
                <a:fgClr>
                  <a:schemeClr val="accent4">
                    <a:lumMod val="60000"/>
                    <a:lumOff val="40000"/>
                  </a:schemeClr>
                </a:fgClr>
                <a:bgClr>
                  <a:schemeClr val="bg1"/>
                </a:bgClr>
              </a:pattFill>
            </c:spPr>
            <c:extLst>
              <c:ext xmlns:c16="http://schemas.microsoft.com/office/drawing/2014/chart" uri="{C3380CC4-5D6E-409C-BE32-E72D297353CC}">
                <c16:uniqueId val="{00000025-9D76-4FF5-B2AB-72F2E7C97579}"/>
              </c:ext>
            </c:extLst>
          </c:dPt>
          <c:dLbls>
            <c:dLbl>
              <c:idx val="6"/>
              <c:layout>
                <c:manualLayout>
                  <c:x val="-3.1152830374958536E-3"/>
                  <c:y val="1.9267285302596648E-2"/>
                </c:manualLayout>
              </c:layout>
              <c:numFmt formatCode="#,##0" sourceLinked="0"/>
              <c:spPr/>
              <c:txPr>
                <a:bodyPr/>
                <a:lstStyle/>
                <a:p>
                  <a:pPr>
                    <a:defRPr sz="1200" b="1"/>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1-9D76-4FF5-B2AB-72F2E7C97579}"/>
                </c:ext>
              </c:extLst>
            </c:dLbl>
            <c:dLbl>
              <c:idx val="9"/>
              <c:layout>
                <c:manualLayout>
                  <c:x val="1.5576322077130759E-3"/>
                  <c:y val="-1.422227551244911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6-9D76-4FF5-B2AB-72F2E7C97579}"/>
                </c:ext>
              </c:extLst>
            </c:dLbl>
            <c:dLbl>
              <c:idx val="10"/>
              <c:delete val="1"/>
              <c:extLst>
                <c:ext xmlns:c15="http://schemas.microsoft.com/office/drawing/2012/chart" uri="{CE6537A1-D6FC-4f65-9D91-7224C49458BB}"/>
                <c:ext xmlns:c16="http://schemas.microsoft.com/office/drawing/2014/chart" uri="{C3380CC4-5D6E-409C-BE32-E72D297353CC}">
                  <c16:uniqueId val="{00000027-9D76-4FF5-B2AB-72F2E7C97579}"/>
                </c:ext>
              </c:extLst>
            </c:dLbl>
            <c:numFmt formatCode="#,##0.0" sourceLinked="0"/>
            <c:spPr>
              <a:noFill/>
              <a:ln>
                <a:noFill/>
              </a:ln>
              <a:effectLst/>
            </c:spPr>
            <c:txPr>
              <a:bodyPr/>
              <a:lstStyle/>
              <a:p>
                <a:pPr>
                  <a:defRPr sz="1200" b="1"/>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'Figure 6'!$A$4:$A$13</c:f>
              <c:strCache>
                <c:ptCount val="10"/>
                <c:pt idx="0">
                  <c:v>Leumi</c:v>
                </c:pt>
                <c:pt idx="1">
                  <c:v>Hapoalim</c:v>
                </c:pt>
                <c:pt idx="2">
                  <c:v>Discount</c:v>
                </c:pt>
                <c:pt idx="3">
                  <c:v>Mercantile</c:v>
                </c:pt>
                <c:pt idx="4">
                  <c:v>Mizrahi</c:v>
                </c:pt>
                <c:pt idx="5">
                  <c:v>First International</c:v>
                </c:pt>
                <c:pt idx="6">
                  <c:v>Massad</c:v>
                </c:pt>
                <c:pt idx="7">
                  <c:v>Union</c:v>
                </c:pt>
                <c:pt idx="8">
                  <c:v>Yahav</c:v>
                </c:pt>
                <c:pt idx="9">
                  <c:v>Bank of Jerusalem</c:v>
                </c:pt>
              </c:strCache>
            </c:strRef>
          </c:cat>
          <c:val>
            <c:numRef>
              <c:f>'Figure 6'!$C$4:$C$13</c:f>
              <c:numCache>
                <c:formatCode>0.0</c:formatCode>
                <c:ptCount val="10"/>
                <c:pt idx="0">
                  <c:v>15.272066434974647</c:v>
                </c:pt>
                <c:pt idx="1">
                  <c:v>16.249748676987878</c:v>
                </c:pt>
                <c:pt idx="2">
                  <c:v>10.876490748381038</c:v>
                </c:pt>
                <c:pt idx="3">
                  <c:v>19.848044251110274</c:v>
                </c:pt>
                <c:pt idx="4">
                  <c:v>16.249748676987878</c:v>
                </c:pt>
                <c:pt idx="5">
                  <c:v>11.175021877452796</c:v>
                </c:pt>
                <c:pt idx="6">
                  <c:v>4.4003715587938839</c:v>
                </c:pt>
                <c:pt idx="7">
                  <c:v>11.402435082601787</c:v>
                </c:pt>
                <c:pt idx="8">
                  <c:v>1.7365109453763936</c:v>
                </c:pt>
                <c:pt idx="9">
                  <c:v>0</c:v>
                </c:pt>
              </c:numCache>
            </c:numRef>
          </c:val>
          <c:extLst>
            <c:ext xmlns:c16="http://schemas.microsoft.com/office/drawing/2014/chart" uri="{C3380CC4-5D6E-409C-BE32-E72D297353CC}">
              <c16:uniqueId val="{00000028-9D76-4FF5-B2AB-72F2E7C97579}"/>
            </c:ext>
          </c:extLst>
        </c:ser>
        <c:ser>
          <c:idx val="1"/>
          <c:order val="2"/>
          <c:tx>
            <c:strRef>
              <c:f>'Figure 6'!$D$3</c:f>
              <c:strCache>
                <c:ptCount val="1"/>
                <c:pt idx="0">
                  <c:v>Cost of basic track *** </c:v>
                </c:pt>
              </c:strCache>
            </c:strRef>
          </c:tx>
          <c:spPr>
            <a:pattFill prst="pct60">
              <a:fgClr>
                <a:schemeClr val="tx1">
                  <a:lumMod val="50000"/>
                  <a:lumOff val="50000"/>
                </a:schemeClr>
              </a:fgClr>
              <a:bgClr>
                <a:schemeClr val="bg1"/>
              </a:bgClr>
            </a:pattFill>
            <a:ln>
              <a:solidFill>
                <a:schemeClr val="tx1">
                  <a:lumMod val="75000"/>
                  <a:lumOff val="25000"/>
                </a:schemeClr>
              </a:solidFill>
            </a:ln>
          </c:spPr>
          <c:invertIfNegative val="0"/>
          <c:dPt>
            <c:idx val="0"/>
            <c:invertIfNegative val="0"/>
            <c:bubble3D val="0"/>
            <c:spPr>
              <a:pattFill prst="pct60">
                <a:fgClr>
                  <a:schemeClr val="accent1">
                    <a:lumMod val="75000"/>
                  </a:schemeClr>
                </a:fgClr>
                <a:bgClr>
                  <a:schemeClr val="bg1"/>
                </a:bgClr>
              </a:pattFill>
              <a:ln>
                <a:solidFill>
                  <a:schemeClr val="tx1">
                    <a:lumMod val="75000"/>
                    <a:lumOff val="25000"/>
                  </a:schemeClr>
                </a:solidFill>
              </a:ln>
            </c:spPr>
            <c:extLst>
              <c:ext xmlns:c16="http://schemas.microsoft.com/office/drawing/2014/chart" uri="{C3380CC4-5D6E-409C-BE32-E72D297353CC}">
                <c16:uniqueId val="{0000002A-9D76-4FF5-B2AB-72F2E7C97579}"/>
              </c:ext>
            </c:extLst>
          </c:dPt>
          <c:dPt>
            <c:idx val="1"/>
            <c:invertIfNegative val="0"/>
            <c:bubble3D val="0"/>
            <c:spPr>
              <a:pattFill prst="pct60">
                <a:fgClr>
                  <a:srgbClr val="C00000"/>
                </a:fgClr>
                <a:bgClr>
                  <a:schemeClr val="bg1"/>
                </a:bgClr>
              </a:pattFill>
              <a:ln>
                <a:solidFill>
                  <a:schemeClr val="tx1">
                    <a:lumMod val="75000"/>
                    <a:lumOff val="25000"/>
                  </a:schemeClr>
                </a:solidFill>
              </a:ln>
            </c:spPr>
            <c:extLst>
              <c:ext xmlns:c16="http://schemas.microsoft.com/office/drawing/2014/chart" uri="{C3380CC4-5D6E-409C-BE32-E72D297353CC}">
                <c16:uniqueId val="{0000002C-9D76-4FF5-B2AB-72F2E7C97579}"/>
              </c:ext>
            </c:extLst>
          </c:dPt>
          <c:dPt>
            <c:idx val="2"/>
            <c:invertIfNegative val="0"/>
            <c:bubble3D val="0"/>
            <c:spPr>
              <a:pattFill prst="pct60">
                <a:fgClr>
                  <a:schemeClr val="accent3">
                    <a:lumMod val="50000"/>
                  </a:schemeClr>
                </a:fgClr>
                <a:bgClr>
                  <a:schemeClr val="bg1"/>
                </a:bgClr>
              </a:pattFill>
              <a:ln>
                <a:solidFill>
                  <a:schemeClr val="tx1">
                    <a:lumMod val="75000"/>
                    <a:lumOff val="25000"/>
                  </a:schemeClr>
                </a:solidFill>
              </a:ln>
            </c:spPr>
            <c:extLst>
              <c:ext xmlns:c16="http://schemas.microsoft.com/office/drawing/2014/chart" uri="{C3380CC4-5D6E-409C-BE32-E72D297353CC}">
                <c16:uniqueId val="{0000002E-9D76-4FF5-B2AB-72F2E7C97579}"/>
              </c:ext>
            </c:extLst>
          </c:dPt>
          <c:dPt>
            <c:idx val="3"/>
            <c:invertIfNegative val="0"/>
            <c:bubble3D val="0"/>
            <c:spPr>
              <a:pattFill prst="pct60">
                <a:fgClr>
                  <a:srgbClr val="79B240"/>
                </a:fgClr>
                <a:bgClr>
                  <a:schemeClr val="bg1"/>
                </a:bgClr>
              </a:pattFill>
              <a:ln>
                <a:solidFill>
                  <a:schemeClr val="tx1">
                    <a:lumMod val="75000"/>
                    <a:lumOff val="25000"/>
                  </a:schemeClr>
                </a:solidFill>
              </a:ln>
            </c:spPr>
            <c:extLst>
              <c:ext xmlns:c16="http://schemas.microsoft.com/office/drawing/2014/chart" uri="{C3380CC4-5D6E-409C-BE32-E72D297353CC}">
                <c16:uniqueId val="{00000030-9D76-4FF5-B2AB-72F2E7C97579}"/>
              </c:ext>
            </c:extLst>
          </c:dPt>
          <c:dPt>
            <c:idx val="4"/>
            <c:invertIfNegative val="0"/>
            <c:bubble3D val="0"/>
            <c:spPr>
              <a:pattFill prst="pct60">
                <a:fgClr>
                  <a:schemeClr val="accent6">
                    <a:lumMod val="75000"/>
                  </a:schemeClr>
                </a:fgClr>
                <a:bgClr>
                  <a:schemeClr val="bg1"/>
                </a:bgClr>
              </a:pattFill>
              <a:ln>
                <a:solidFill>
                  <a:schemeClr val="tx1">
                    <a:lumMod val="75000"/>
                    <a:lumOff val="25000"/>
                  </a:schemeClr>
                </a:solidFill>
              </a:ln>
            </c:spPr>
            <c:extLst>
              <c:ext xmlns:c16="http://schemas.microsoft.com/office/drawing/2014/chart" uri="{C3380CC4-5D6E-409C-BE32-E72D297353CC}">
                <c16:uniqueId val="{00000032-9D76-4FF5-B2AB-72F2E7C97579}"/>
              </c:ext>
            </c:extLst>
          </c:dPt>
          <c:dPt>
            <c:idx val="5"/>
            <c:invertIfNegative val="0"/>
            <c:bubble3D val="0"/>
            <c:spPr>
              <a:pattFill prst="pct60">
                <a:fgClr>
                  <a:schemeClr val="bg1">
                    <a:lumMod val="65000"/>
                  </a:schemeClr>
                </a:fgClr>
                <a:bgClr>
                  <a:srgbClr val="FFFF66"/>
                </a:bgClr>
              </a:pattFill>
              <a:ln>
                <a:solidFill>
                  <a:schemeClr val="tx1">
                    <a:lumMod val="75000"/>
                    <a:lumOff val="25000"/>
                  </a:schemeClr>
                </a:solidFill>
              </a:ln>
            </c:spPr>
            <c:extLst>
              <c:ext xmlns:c16="http://schemas.microsoft.com/office/drawing/2014/chart" uri="{C3380CC4-5D6E-409C-BE32-E72D297353CC}">
                <c16:uniqueId val="{00000034-9D76-4FF5-B2AB-72F2E7C97579}"/>
              </c:ext>
            </c:extLst>
          </c:dPt>
          <c:dPt>
            <c:idx val="6"/>
            <c:invertIfNegative val="0"/>
            <c:bubble3D val="0"/>
            <c:spPr>
              <a:pattFill prst="pct60">
                <a:fgClr>
                  <a:schemeClr val="bg2">
                    <a:lumMod val="75000"/>
                  </a:schemeClr>
                </a:fgClr>
                <a:bgClr>
                  <a:schemeClr val="bg1"/>
                </a:bgClr>
              </a:pattFill>
              <a:ln>
                <a:solidFill>
                  <a:schemeClr val="tx1">
                    <a:lumMod val="75000"/>
                    <a:lumOff val="25000"/>
                  </a:schemeClr>
                </a:solidFill>
              </a:ln>
            </c:spPr>
            <c:extLst>
              <c:ext xmlns:c16="http://schemas.microsoft.com/office/drawing/2014/chart" uri="{C3380CC4-5D6E-409C-BE32-E72D297353CC}">
                <c16:uniqueId val="{00000036-9D76-4FF5-B2AB-72F2E7C97579}"/>
              </c:ext>
            </c:extLst>
          </c:dPt>
          <c:dPt>
            <c:idx val="7"/>
            <c:invertIfNegative val="0"/>
            <c:bubble3D val="0"/>
            <c:spPr>
              <a:pattFill prst="pct60">
                <a:fgClr>
                  <a:srgbClr val="7C89AE"/>
                </a:fgClr>
                <a:bgClr>
                  <a:schemeClr val="bg1"/>
                </a:bgClr>
              </a:pattFill>
              <a:ln>
                <a:solidFill>
                  <a:schemeClr val="tx1">
                    <a:lumMod val="75000"/>
                    <a:lumOff val="25000"/>
                  </a:schemeClr>
                </a:solidFill>
              </a:ln>
            </c:spPr>
            <c:extLst>
              <c:ext xmlns:c16="http://schemas.microsoft.com/office/drawing/2014/chart" uri="{C3380CC4-5D6E-409C-BE32-E72D297353CC}">
                <c16:uniqueId val="{00000038-9D76-4FF5-B2AB-72F2E7C97579}"/>
              </c:ext>
            </c:extLst>
          </c:dPt>
          <c:dPt>
            <c:idx val="8"/>
            <c:invertIfNegative val="0"/>
            <c:bubble3D val="0"/>
            <c:spPr>
              <a:pattFill prst="pct60">
                <a:fgClr>
                  <a:schemeClr val="accent4">
                    <a:lumMod val="75000"/>
                  </a:schemeClr>
                </a:fgClr>
                <a:bgClr>
                  <a:schemeClr val="bg1"/>
                </a:bgClr>
              </a:pattFill>
              <a:ln>
                <a:solidFill>
                  <a:schemeClr val="tx1">
                    <a:lumMod val="75000"/>
                    <a:lumOff val="25000"/>
                  </a:schemeClr>
                </a:solidFill>
              </a:ln>
            </c:spPr>
            <c:extLst>
              <c:ext xmlns:c16="http://schemas.microsoft.com/office/drawing/2014/chart" uri="{C3380CC4-5D6E-409C-BE32-E72D297353CC}">
                <c16:uniqueId val="{0000003A-9D76-4FF5-B2AB-72F2E7C97579}"/>
              </c:ext>
            </c:extLst>
          </c:dPt>
          <c:dLbls>
            <c:dLbl>
              <c:idx val="6"/>
              <c:layout>
                <c:manualLayout>
                  <c:x val="1.5576322077130759E-3"/>
                  <c:y val="2.185791722733754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36-9D76-4FF5-B2AB-72F2E7C97579}"/>
                </c:ext>
              </c:extLst>
            </c:dLbl>
            <c:spPr>
              <a:noFill/>
              <a:ln>
                <a:noFill/>
              </a:ln>
              <a:effectLst/>
            </c:spPr>
            <c:txPr>
              <a:bodyPr/>
              <a:lstStyle/>
              <a:p>
                <a:pPr>
                  <a:defRPr sz="1200" b="1">
                    <a:solidFill>
                      <a:srgbClr val="FF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'Figure 6'!$A$4:$A$13</c:f>
              <c:strCache>
                <c:ptCount val="10"/>
                <c:pt idx="0">
                  <c:v>Leumi</c:v>
                </c:pt>
                <c:pt idx="1">
                  <c:v>Hapoalim</c:v>
                </c:pt>
                <c:pt idx="2">
                  <c:v>Discount</c:v>
                </c:pt>
                <c:pt idx="3">
                  <c:v>Mercantile</c:v>
                </c:pt>
                <c:pt idx="4">
                  <c:v>Mizrahi</c:v>
                </c:pt>
                <c:pt idx="5">
                  <c:v>First International</c:v>
                </c:pt>
                <c:pt idx="6">
                  <c:v>Massad</c:v>
                </c:pt>
                <c:pt idx="7">
                  <c:v>Union</c:v>
                </c:pt>
                <c:pt idx="8">
                  <c:v>Yahav</c:v>
                </c:pt>
                <c:pt idx="9">
                  <c:v>Bank of Jerusalem</c:v>
                </c:pt>
              </c:strCache>
            </c:strRef>
          </c:cat>
          <c:val>
            <c:numRef>
              <c:f>'Figure 6'!$D$4:$D$13</c:f>
              <c:numCache>
                <c:formatCode>General</c:formatCode>
                <c:ptCount val="10"/>
                <c:pt idx="0">
                  <c:v>10</c:v>
                </c:pt>
                <c:pt idx="1">
                  <c:v>10</c:v>
                </c:pt>
                <c:pt idx="2">
                  <c:v>9</c:v>
                </c:pt>
                <c:pt idx="3">
                  <c:v>8.5</c:v>
                </c:pt>
                <c:pt idx="4">
                  <c:v>10</c:v>
                </c:pt>
                <c:pt idx="5">
                  <c:v>9</c:v>
                </c:pt>
                <c:pt idx="6">
                  <c:v>10</c:v>
                </c:pt>
                <c:pt idx="7">
                  <c:v>10</c:v>
                </c:pt>
                <c:pt idx="8">
                  <c:v>10</c:v>
                </c:pt>
                <c:pt idx="9">
                  <c:v>6.5</c:v>
                </c:pt>
              </c:numCache>
            </c:numRef>
          </c:val>
          <c:extLst>
            <c:ext xmlns:c16="http://schemas.microsoft.com/office/drawing/2014/chart" uri="{C3380CC4-5D6E-409C-BE32-E72D297353CC}">
              <c16:uniqueId val="{0000003B-9D76-4FF5-B2AB-72F2E7C97579}"/>
            </c:ext>
          </c:extLst>
        </c:ser>
        <c:dLbls>
          <c:showLegendKey val="0"/>
          <c:showVal val="0"/>
          <c:showCatName val="0"/>
          <c:showSerName val="0"/>
          <c:showPercent val="0"/>
          <c:showBubbleSize val="0"/>
        </c:dLbls>
        <c:gapWidth val="150"/>
        <c:axId val="386549632"/>
        <c:axId val="386551168"/>
      </c:barChart>
      <c:catAx>
        <c:axId val="386549632"/>
        <c:scaling>
          <c:orientation val="minMax"/>
        </c:scaling>
        <c:delete val="0"/>
        <c:axPos val="b"/>
        <c:numFmt formatCode="General" sourceLinked="1"/>
        <c:majorTickMark val="none"/>
        <c:minorTickMark val="none"/>
        <c:tickLblPos val="nextTo"/>
        <c:txPr>
          <a:bodyPr/>
          <a:lstStyle/>
          <a:p>
            <a:pPr>
              <a:defRPr sz="1200" b="1"/>
            </a:pPr>
            <a:endParaRPr lang="en-US"/>
          </a:p>
        </c:txPr>
        <c:crossAx val="386551168"/>
        <c:crosses val="autoZero"/>
        <c:auto val="1"/>
        <c:lblAlgn val="ctr"/>
        <c:lblOffset val="100"/>
        <c:noMultiLvlLbl val="0"/>
      </c:catAx>
      <c:valAx>
        <c:axId val="386551168"/>
        <c:scaling>
          <c:orientation val="minMax"/>
          <c:max val="36"/>
        </c:scaling>
        <c:delete val="0"/>
        <c:axPos val="l"/>
        <c:majorGridlines>
          <c:spPr>
            <a:ln>
              <a:solidFill>
                <a:schemeClr val="lt1">
                  <a:shade val="50000"/>
                </a:schemeClr>
              </a:solidFill>
            </a:ln>
          </c:spPr>
        </c:majorGridlines>
        <c:numFmt formatCode="General" sourceLinked="1"/>
        <c:majorTickMark val="none"/>
        <c:minorTickMark val="none"/>
        <c:tickLblPos val="nextTo"/>
        <c:spPr>
          <a:ln>
            <a:noFill/>
          </a:ln>
        </c:spPr>
        <c:txPr>
          <a:bodyPr/>
          <a:lstStyle/>
          <a:p>
            <a:pPr>
              <a:defRPr sz="1200" b="1"/>
            </a:pPr>
            <a:endParaRPr lang="en-US"/>
          </a:p>
        </c:txPr>
        <c:crossAx val="386549632"/>
        <c:crosses val="autoZero"/>
        <c:crossBetween val="between"/>
        <c:majorUnit val="6"/>
      </c:valAx>
    </c:plotArea>
    <c:legend>
      <c:legendPos val="b"/>
      <c:legendEntry>
        <c:idx val="0"/>
        <c:txPr>
          <a:bodyPr/>
          <a:lstStyle/>
          <a:p>
            <a:pPr>
              <a:defRPr sz="1000" b="1"/>
            </a:pPr>
            <a:endParaRPr lang="en-US"/>
          </a:p>
        </c:txPr>
      </c:legendEntry>
      <c:legendEntry>
        <c:idx val="1"/>
        <c:txPr>
          <a:bodyPr/>
          <a:lstStyle/>
          <a:p>
            <a:pPr>
              <a:defRPr sz="1100" b="1"/>
            </a:pPr>
            <a:endParaRPr lang="en-US"/>
          </a:p>
        </c:txPr>
      </c:legendEntry>
      <c:legendEntry>
        <c:idx val="2"/>
        <c:txPr>
          <a:bodyPr/>
          <a:lstStyle/>
          <a:p>
            <a:pPr>
              <a:defRPr sz="1000" b="1" baseline="0">
                <a:latin typeface="Arial" panose="020B0604020202020204" pitchFamily="34" charset="0"/>
                <a:cs typeface="Arial" panose="020B0604020202020204" pitchFamily="34" charset="0"/>
              </a:defRPr>
            </a:pPr>
            <a:endParaRPr lang="en-US"/>
          </a:p>
        </c:txPr>
      </c:legendEntry>
      <c:layout>
        <c:manualLayout>
          <c:xMode val="edge"/>
          <c:yMode val="edge"/>
          <c:x val="2.3368775454792302E-2"/>
          <c:y val="0.91129893337800849"/>
          <c:w val="0.95477990768395349"/>
          <c:h val="8.563969397442342E-2"/>
        </c:manualLayout>
      </c:layout>
      <c:overlay val="0"/>
      <c:txPr>
        <a:bodyPr/>
        <a:lstStyle/>
        <a:p>
          <a:pPr>
            <a:defRPr sz="2000" b="1"/>
          </a:pPr>
          <a:endParaRPr lang="en-US"/>
        </a:p>
      </c:txPr>
    </c:legend>
    <c:plotVisOnly val="1"/>
    <c:dispBlanksAs val="gap"/>
    <c:showDLblsOverMax val="0"/>
  </c:chart>
  <c:spPr>
    <a:noFill/>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3"/>
    </mc:Choice>
    <mc:Fallback>
      <c:style val="13"/>
    </mc:Fallback>
  </mc:AlternateContent>
  <c:chart>
    <c:autoTitleDeleted val="1"/>
    <c:plotArea>
      <c:layout>
        <c:manualLayout>
          <c:layoutTarget val="inner"/>
          <c:xMode val="edge"/>
          <c:yMode val="edge"/>
          <c:x val="6.1776573340085537E-2"/>
          <c:y val="3.5826386804288762E-2"/>
          <c:w val="0.8843948415872257"/>
          <c:h val="0.66820606368485469"/>
        </c:manualLayout>
      </c:layout>
      <c:barChart>
        <c:barDir val="col"/>
        <c:grouping val="clustered"/>
        <c:varyColors val="0"/>
        <c:ser>
          <c:idx val="0"/>
          <c:order val="0"/>
          <c:tx>
            <c:strRef>
              <c:f>'Figure 7'!$B$3</c:f>
              <c:strCache>
                <c:ptCount val="1"/>
                <c:pt idx="0">
                  <c:v>Teller-executed and customer-executed transaction fees *</c:v>
                </c:pt>
              </c:strCache>
            </c:strRef>
          </c:tx>
          <c:spPr>
            <a:solidFill>
              <a:schemeClr val="tx1">
                <a:lumMod val="50000"/>
                <a:lumOff val="50000"/>
              </a:schemeClr>
            </a:solidFill>
          </c:spPr>
          <c:invertIfNegative val="0"/>
          <c:dPt>
            <c:idx val="0"/>
            <c:invertIfNegative val="0"/>
            <c:bubble3D val="0"/>
            <c:spPr>
              <a:solidFill>
                <a:schemeClr val="accent1">
                  <a:lumMod val="75000"/>
                </a:schemeClr>
              </a:solidFill>
            </c:spPr>
            <c:extLst>
              <c:ext xmlns:c16="http://schemas.microsoft.com/office/drawing/2014/chart" uri="{C3380CC4-5D6E-409C-BE32-E72D297353CC}">
                <c16:uniqueId val="{00000001-CAFA-46C3-8FAB-B2D02D9A8679}"/>
              </c:ext>
            </c:extLst>
          </c:dPt>
          <c:dPt>
            <c:idx val="1"/>
            <c:invertIfNegative val="0"/>
            <c:bubble3D val="0"/>
            <c:spPr>
              <a:solidFill>
                <a:srgbClr val="C00000"/>
              </a:solidFill>
            </c:spPr>
            <c:extLst>
              <c:ext xmlns:c16="http://schemas.microsoft.com/office/drawing/2014/chart" uri="{C3380CC4-5D6E-409C-BE32-E72D297353CC}">
                <c16:uniqueId val="{00000003-CAFA-46C3-8FAB-B2D02D9A8679}"/>
              </c:ext>
            </c:extLst>
          </c:dPt>
          <c:dPt>
            <c:idx val="2"/>
            <c:invertIfNegative val="0"/>
            <c:bubble3D val="0"/>
            <c:spPr>
              <a:solidFill>
                <a:schemeClr val="accent3">
                  <a:lumMod val="50000"/>
                </a:schemeClr>
              </a:solidFill>
            </c:spPr>
            <c:extLst>
              <c:ext xmlns:c16="http://schemas.microsoft.com/office/drawing/2014/chart" uri="{C3380CC4-5D6E-409C-BE32-E72D297353CC}">
                <c16:uniqueId val="{00000005-CAFA-46C3-8FAB-B2D02D9A8679}"/>
              </c:ext>
            </c:extLst>
          </c:dPt>
          <c:dPt>
            <c:idx val="3"/>
            <c:invertIfNegative val="0"/>
            <c:bubble3D val="0"/>
            <c:spPr>
              <a:solidFill>
                <a:srgbClr val="79B240"/>
              </a:solidFill>
            </c:spPr>
            <c:extLst>
              <c:ext xmlns:c16="http://schemas.microsoft.com/office/drawing/2014/chart" uri="{C3380CC4-5D6E-409C-BE32-E72D297353CC}">
                <c16:uniqueId val="{00000007-CAFA-46C3-8FAB-B2D02D9A8679}"/>
              </c:ext>
            </c:extLst>
          </c:dPt>
          <c:dPt>
            <c:idx val="4"/>
            <c:invertIfNegative val="0"/>
            <c:bubble3D val="0"/>
            <c:spPr>
              <a:solidFill>
                <a:schemeClr val="accent6">
                  <a:lumMod val="75000"/>
                </a:schemeClr>
              </a:solidFill>
            </c:spPr>
            <c:extLst>
              <c:ext xmlns:c16="http://schemas.microsoft.com/office/drawing/2014/chart" uri="{C3380CC4-5D6E-409C-BE32-E72D297353CC}">
                <c16:uniqueId val="{00000009-CAFA-46C3-8FAB-B2D02D9A8679}"/>
              </c:ext>
            </c:extLst>
          </c:dPt>
          <c:dPt>
            <c:idx val="5"/>
            <c:invertIfNegative val="0"/>
            <c:bubble3D val="0"/>
            <c:spPr>
              <a:solidFill>
                <a:srgbClr val="FFFF66"/>
              </a:solidFill>
            </c:spPr>
            <c:extLst>
              <c:ext xmlns:c16="http://schemas.microsoft.com/office/drawing/2014/chart" uri="{C3380CC4-5D6E-409C-BE32-E72D297353CC}">
                <c16:uniqueId val="{0000000B-CAFA-46C3-8FAB-B2D02D9A8679}"/>
              </c:ext>
            </c:extLst>
          </c:dPt>
          <c:dPt>
            <c:idx val="6"/>
            <c:invertIfNegative val="0"/>
            <c:bubble3D val="0"/>
            <c:spPr>
              <a:solidFill>
                <a:schemeClr val="bg2">
                  <a:lumMod val="50000"/>
                </a:schemeClr>
              </a:solidFill>
            </c:spPr>
            <c:extLst>
              <c:ext xmlns:c16="http://schemas.microsoft.com/office/drawing/2014/chart" uri="{C3380CC4-5D6E-409C-BE32-E72D297353CC}">
                <c16:uniqueId val="{0000000D-CAFA-46C3-8FAB-B2D02D9A8679}"/>
              </c:ext>
            </c:extLst>
          </c:dPt>
          <c:dPt>
            <c:idx val="7"/>
            <c:invertIfNegative val="0"/>
            <c:bubble3D val="0"/>
            <c:spPr>
              <a:solidFill>
                <a:srgbClr val="7C89AE"/>
              </a:solidFill>
            </c:spPr>
            <c:extLst>
              <c:ext xmlns:c16="http://schemas.microsoft.com/office/drawing/2014/chart" uri="{C3380CC4-5D6E-409C-BE32-E72D297353CC}">
                <c16:uniqueId val="{0000000F-CAFA-46C3-8FAB-B2D02D9A8679}"/>
              </c:ext>
            </c:extLst>
          </c:dPt>
          <c:dPt>
            <c:idx val="8"/>
            <c:invertIfNegative val="0"/>
            <c:bubble3D val="0"/>
            <c:spPr>
              <a:solidFill>
                <a:schemeClr val="accent4">
                  <a:lumMod val="75000"/>
                </a:schemeClr>
              </a:solidFill>
            </c:spPr>
            <c:extLst>
              <c:ext xmlns:c16="http://schemas.microsoft.com/office/drawing/2014/chart" uri="{C3380CC4-5D6E-409C-BE32-E72D297353CC}">
                <c16:uniqueId val="{00000011-CAFA-46C3-8FAB-B2D02D9A8679}"/>
              </c:ext>
            </c:extLst>
          </c:dPt>
          <c:dLbls>
            <c:dLbl>
              <c:idx val="10"/>
              <c:delete val="1"/>
              <c:extLst>
                <c:ext xmlns:c15="http://schemas.microsoft.com/office/drawing/2012/chart" uri="{CE6537A1-D6FC-4f65-9D91-7224C49458BB}"/>
                <c:ext xmlns:c16="http://schemas.microsoft.com/office/drawing/2014/chart" uri="{C3380CC4-5D6E-409C-BE32-E72D297353CC}">
                  <c16:uniqueId val="{00000012-CAFA-46C3-8FAB-B2D02D9A8679}"/>
                </c:ext>
              </c:extLst>
            </c:dLbl>
            <c:numFmt formatCode="#,##0" sourceLinked="0"/>
            <c:spPr>
              <a:noFill/>
              <a:ln>
                <a:noFill/>
              </a:ln>
              <a:effectLst/>
            </c:spPr>
            <c:txPr>
              <a:bodyPr/>
              <a:lstStyle/>
              <a:p>
                <a:pPr>
                  <a:defRPr sz="1200" b="1"/>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'Figure 7'!$A$4:$A$13</c:f>
              <c:strCache>
                <c:ptCount val="10"/>
                <c:pt idx="0">
                  <c:v>Leumi</c:v>
                </c:pt>
                <c:pt idx="1">
                  <c:v>Hapoalim</c:v>
                </c:pt>
                <c:pt idx="2">
                  <c:v>Discount</c:v>
                </c:pt>
                <c:pt idx="3">
                  <c:v>Mercantile</c:v>
                </c:pt>
                <c:pt idx="4">
                  <c:v>Mizrahi</c:v>
                </c:pt>
                <c:pt idx="5">
                  <c:v>First International</c:v>
                </c:pt>
                <c:pt idx="6">
                  <c:v>Massad</c:v>
                </c:pt>
                <c:pt idx="7">
                  <c:v>Union</c:v>
                </c:pt>
                <c:pt idx="8">
                  <c:v>Yahav</c:v>
                </c:pt>
                <c:pt idx="9">
                  <c:v>Jerusalem</c:v>
                </c:pt>
              </c:strCache>
            </c:strRef>
          </c:cat>
          <c:val>
            <c:numRef>
              <c:f>'Figure 7'!$B$4:$B$13</c:f>
              <c:numCache>
                <c:formatCode>0</c:formatCode>
                <c:ptCount val="10"/>
                <c:pt idx="0">
                  <c:v>137.5</c:v>
                </c:pt>
                <c:pt idx="1">
                  <c:v>132.5</c:v>
                </c:pt>
                <c:pt idx="2">
                  <c:v>151.5</c:v>
                </c:pt>
                <c:pt idx="3">
                  <c:v>164</c:v>
                </c:pt>
                <c:pt idx="4">
                  <c:v>156</c:v>
                </c:pt>
                <c:pt idx="5">
                  <c:v>153</c:v>
                </c:pt>
                <c:pt idx="6">
                  <c:v>188</c:v>
                </c:pt>
                <c:pt idx="7">
                  <c:v>204</c:v>
                </c:pt>
                <c:pt idx="8">
                  <c:v>100</c:v>
                </c:pt>
                <c:pt idx="9">
                  <c:v>0</c:v>
                </c:pt>
              </c:numCache>
            </c:numRef>
          </c:val>
          <c:extLst>
            <c:ext xmlns:c16="http://schemas.microsoft.com/office/drawing/2014/chart" uri="{C3380CC4-5D6E-409C-BE32-E72D297353CC}">
              <c16:uniqueId val="{00000013-CAFA-46C3-8FAB-B2D02D9A8679}"/>
            </c:ext>
          </c:extLst>
        </c:ser>
        <c:ser>
          <c:idx val="2"/>
          <c:order val="1"/>
          <c:tx>
            <c:strRef>
              <c:f>'Figure 7'!$D$3</c:f>
              <c:strCache>
                <c:ptCount val="1"/>
                <c:pt idx="0">
                  <c:v>Actual cost, no track ** </c:v>
                </c:pt>
              </c:strCache>
            </c:strRef>
          </c:tx>
          <c:spPr>
            <a:pattFill prst="dkDnDiag">
              <a:fgClr>
                <a:schemeClr val="tx1">
                  <a:lumMod val="50000"/>
                  <a:lumOff val="50000"/>
                </a:schemeClr>
              </a:fgClr>
              <a:bgClr>
                <a:schemeClr val="bg1"/>
              </a:bgClr>
            </a:pattFill>
          </c:spPr>
          <c:invertIfNegative val="0"/>
          <c:dPt>
            <c:idx val="0"/>
            <c:invertIfNegative val="0"/>
            <c:bubble3D val="0"/>
            <c:spPr>
              <a:pattFill prst="dkDnDiag">
                <a:fgClr>
                  <a:schemeClr val="accent1">
                    <a:lumMod val="40000"/>
                    <a:lumOff val="60000"/>
                  </a:schemeClr>
                </a:fgClr>
                <a:bgClr>
                  <a:schemeClr val="bg1"/>
                </a:bgClr>
              </a:pattFill>
            </c:spPr>
            <c:extLst>
              <c:ext xmlns:c16="http://schemas.microsoft.com/office/drawing/2014/chart" uri="{C3380CC4-5D6E-409C-BE32-E72D297353CC}">
                <c16:uniqueId val="{00000015-CAFA-46C3-8FAB-B2D02D9A8679}"/>
              </c:ext>
            </c:extLst>
          </c:dPt>
          <c:dPt>
            <c:idx val="1"/>
            <c:invertIfNegative val="0"/>
            <c:bubble3D val="0"/>
            <c:spPr>
              <a:pattFill prst="dkDnDiag">
                <a:fgClr>
                  <a:schemeClr val="accent2">
                    <a:lumMod val="60000"/>
                    <a:lumOff val="40000"/>
                  </a:schemeClr>
                </a:fgClr>
                <a:bgClr>
                  <a:schemeClr val="bg1"/>
                </a:bgClr>
              </a:pattFill>
            </c:spPr>
            <c:extLst>
              <c:ext xmlns:c16="http://schemas.microsoft.com/office/drawing/2014/chart" uri="{C3380CC4-5D6E-409C-BE32-E72D297353CC}">
                <c16:uniqueId val="{00000017-CAFA-46C3-8FAB-B2D02D9A8679}"/>
              </c:ext>
            </c:extLst>
          </c:dPt>
          <c:dPt>
            <c:idx val="2"/>
            <c:invertIfNegative val="0"/>
            <c:bubble3D val="0"/>
            <c:spPr>
              <a:pattFill prst="dkDnDiag">
                <a:fgClr>
                  <a:schemeClr val="accent3">
                    <a:lumMod val="75000"/>
                  </a:schemeClr>
                </a:fgClr>
                <a:bgClr>
                  <a:schemeClr val="bg1"/>
                </a:bgClr>
              </a:pattFill>
            </c:spPr>
            <c:extLst>
              <c:ext xmlns:c16="http://schemas.microsoft.com/office/drawing/2014/chart" uri="{C3380CC4-5D6E-409C-BE32-E72D297353CC}">
                <c16:uniqueId val="{00000019-CAFA-46C3-8FAB-B2D02D9A8679}"/>
              </c:ext>
            </c:extLst>
          </c:dPt>
          <c:dPt>
            <c:idx val="3"/>
            <c:invertIfNegative val="0"/>
            <c:bubble3D val="0"/>
            <c:spPr>
              <a:pattFill prst="dkDnDiag">
                <a:fgClr>
                  <a:schemeClr val="accent3">
                    <a:lumMod val="60000"/>
                    <a:lumOff val="40000"/>
                  </a:schemeClr>
                </a:fgClr>
                <a:bgClr>
                  <a:schemeClr val="bg1"/>
                </a:bgClr>
              </a:pattFill>
            </c:spPr>
            <c:extLst>
              <c:ext xmlns:c16="http://schemas.microsoft.com/office/drawing/2014/chart" uri="{C3380CC4-5D6E-409C-BE32-E72D297353CC}">
                <c16:uniqueId val="{0000001B-CAFA-46C3-8FAB-B2D02D9A8679}"/>
              </c:ext>
            </c:extLst>
          </c:dPt>
          <c:dPt>
            <c:idx val="4"/>
            <c:invertIfNegative val="0"/>
            <c:bubble3D val="0"/>
            <c:spPr>
              <a:pattFill prst="dkDnDiag">
                <a:fgClr>
                  <a:schemeClr val="accent6">
                    <a:lumMod val="75000"/>
                  </a:schemeClr>
                </a:fgClr>
                <a:bgClr>
                  <a:schemeClr val="bg1"/>
                </a:bgClr>
              </a:pattFill>
            </c:spPr>
            <c:extLst>
              <c:ext xmlns:c16="http://schemas.microsoft.com/office/drawing/2014/chart" uri="{C3380CC4-5D6E-409C-BE32-E72D297353CC}">
                <c16:uniqueId val="{0000001D-CAFA-46C3-8FAB-B2D02D9A8679}"/>
              </c:ext>
            </c:extLst>
          </c:dPt>
          <c:dPt>
            <c:idx val="5"/>
            <c:invertIfNegative val="0"/>
            <c:bubble3D val="0"/>
            <c:spPr>
              <a:pattFill prst="dkDnDiag">
                <a:fgClr>
                  <a:schemeClr val="bg1">
                    <a:lumMod val="85000"/>
                  </a:schemeClr>
                </a:fgClr>
                <a:bgClr>
                  <a:srgbClr val="FFFF66"/>
                </a:bgClr>
              </a:pattFill>
            </c:spPr>
            <c:extLst>
              <c:ext xmlns:c16="http://schemas.microsoft.com/office/drawing/2014/chart" uri="{C3380CC4-5D6E-409C-BE32-E72D297353CC}">
                <c16:uniqueId val="{0000001F-CAFA-46C3-8FAB-B2D02D9A8679}"/>
              </c:ext>
            </c:extLst>
          </c:dPt>
          <c:dPt>
            <c:idx val="6"/>
            <c:invertIfNegative val="0"/>
            <c:bubble3D val="0"/>
            <c:spPr>
              <a:pattFill prst="dkDnDiag">
                <a:fgClr>
                  <a:schemeClr val="bg2">
                    <a:lumMod val="50000"/>
                  </a:schemeClr>
                </a:fgClr>
                <a:bgClr>
                  <a:schemeClr val="bg1"/>
                </a:bgClr>
              </a:pattFill>
            </c:spPr>
            <c:extLst>
              <c:ext xmlns:c16="http://schemas.microsoft.com/office/drawing/2014/chart" uri="{C3380CC4-5D6E-409C-BE32-E72D297353CC}">
                <c16:uniqueId val="{00000021-CAFA-46C3-8FAB-B2D02D9A8679}"/>
              </c:ext>
            </c:extLst>
          </c:dPt>
          <c:dPt>
            <c:idx val="7"/>
            <c:invertIfNegative val="0"/>
            <c:bubble3D val="0"/>
            <c:spPr>
              <a:pattFill prst="dkDnDiag">
                <a:fgClr>
                  <a:schemeClr val="accent1">
                    <a:lumMod val="40000"/>
                    <a:lumOff val="60000"/>
                  </a:schemeClr>
                </a:fgClr>
                <a:bgClr>
                  <a:schemeClr val="bg1"/>
                </a:bgClr>
              </a:pattFill>
            </c:spPr>
            <c:extLst>
              <c:ext xmlns:c16="http://schemas.microsoft.com/office/drawing/2014/chart" uri="{C3380CC4-5D6E-409C-BE32-E72D297353CC}">
                <c16:uniqueId val="{00000023-CAFA-46C3-8FAB-B2D02D9A8679}"/>
              </c:ext>
            </c:extLst>
          </c:dPt>
          <c:dPt>
            <c:idx val="8"/>
            <c:invertIfNegative val="0"/>
            <c:bubble3D val="0"/>
            <c:spPr>
              <a:pattFill prst="dkDnDiag">
                <a:fgClr>
                  <a:schemeClr val="accent4">
                    <a:lumMod val="60000"/>
                    <a:lumOff val="40000"/>
                  </a:schemeClr>
                </a:fgClr>
                <a:bgClr>
                  <a:schemeClr val="bg1"/>
                </a:bgClr>
              </a:pattFill>
            </c:spPr>
            <c:extLst>
              <c:ext xmlns:c16="http://schemas.microsoft.com/office/drawing/2014/chart" uri="{C3380CC4-5D6E-409C-BE32-E72D297353CC}">
                <c16:uniqueId val="{00000025-CAFA-46C3-8FAB-B2D02D9A8679}"/>
              </c:ext>
            </c:extLst>
          </c:dPt>
          <c:dLbls>
            <c:dLbl>
              <c:idx val="6"/>
              <c:layout>
                <c:manualLayout>
                  <c:x val="1.8304682424080368E-3"/>
                  <c:y val="5.7347657303043536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1-CAFA-46C3-8FAB-B2D02D9A8679}"/>
                </c:ext>
              </c:extLst>
            </c:dLbl>
            <c:dLbl>
              <c:idx val="7"/>
              <c:layout>
                <c:manualLayout>
                  <c:x val="0"/>
                  <c:y val="7.2859724091125138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3-CAFA-46C3-8FAB-B2D02D9A8679}"/>
                </c:ext>
              </c:extLst>
            </c:dLbl>
            <c:dLbl>
              <c:idx val="9"/>
              <c:layout>
                <c:manualLayout>
                  <c:x val="0"/>
                  <c:y val="7.6356417148884257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6-CAFA-46C3-8FAB-B2D02D9A8679}"/>
                </c:ext>
              </c:extLst>
            </c:dLbl>
            <c:dLbl>
              <c:idx val="10"/>
              <c:delete val="1"/>
              <c:extLst>
                <c:ext xmlns:c15="http://schemas.microsoft.com/office/drawing/2012/chart" uri="{CE6537A1-D6FC-4f65-9D91-7224C49458BB}"/>
                <c:ext xmlns:c16="http://schemas.microsoft.com/office/drawing/2014/chart" uri="{C3380CC4-5D6E-409C-BE32-E72D297353CC}">
                  <c16:uniqueId val="{00000027-CAFA-46C3-8FAB-B2D02D9A8679}"/>
                </c:ext>
              </c:extLst>
            </c:dLbl>
            <c:numFmt formatCode="#,##0" sourceLinked="0"/>
            <c:spPr>
              <a:noFill/>
              <a:ln>
                <a:noFill/>
              </a:ln>
              <a:effectLst/>
            </c:spPr>
            <c:txPr>
              <a:bodyPr/>
              <a:lstStyle/>
              <a:p>
                <a:pPr>
                  <a:defRPr sz="1200" b="1"/>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'Figure 7'!$A$4:$A$13</c:f>
              <c:strCache>
                <c:ptCount val="10"/>
                <c:pt idx="0">
                  <c:v>Leumi</c:v>
                </c:pt>
                <c:pt idx="1">
                  <c:v>Hapoalim</c:v>
                </c:pt>
                <c:pt idx="2">
                  <c:v>Discount</c:v>
                </c:pt>
                <c:pt idx="3">
                  <c:v>Mercantile</c:v>
                </c:pt>
                <c:pt idx="4">
                  <c:v>Mizrahi</c:v>
                </c:pt>
                <c:pt idx="5">
                  <c:v>First International</c:v>
                </c:pt>
                <c:pt idx="6">
                  <c:v>Massad</c:v>
                </c:pt>
                <c:pt idx="7">
                  <c:v>Union</c:v>
                </c:pt>
                <c:pt idx="8">
                  <c:v>Yahav</c:v>
                </c:pt>
                <c:pt idx="9">
                  <c:v>Jerusalem</c:v>
                </c:pt>
              </c:strCache>
            </c:strRef>
          </c:cat>
          <c:val>
            <c:numRef>
              <c:f>'Figure 7'!$D$4:$D$13</c:f>
              <c:numCache>
                <c:formatCode>0.0</c:formatCode>
                <c:ptCount val="10"/>
                <c:pt idx="0">
                  <c:v>91.759026182460531</c:v>
                </c:pt>
                <c:pt idx="1">
                  <c:v>78.649479606644263</c:v>
                </c:pt>
                <c:pt idx="2">
                  <c:v>68.673930906254839</c:v>
                </c:pt>
                <c:pt idx="3">
                  <c:v>121.59652620497951</c:v>
                </c:pt>
                <c:pt idx="4">
                  <c:v>98.954980809486656</c:v>
                </c:pt>
                <c:pt idx="5">
                  <c:v>69.938724419356021</c:v>
                </c:pt>
                <c:pt idx="6">
                  <c:v>27.32408008330799</c:v>
                </c:pt>
                <c:pt idx="7">
                  <c:v>67.164552292292598</c:v>
                </c:pt>
                <c:pt idx="8">
                  <c:v>10.957619708356134</c:v>
                </c:pt>
                <c:pt idx="9">
                  <c:v>0</c:v>
                </c:pt>
              </c:numCache>
            </c:numRef>
          </c:val>
          <c:extLst>
            <c:ext xmlns:c16="http://schemas.microsoft.com/office/drawing/2014/chart" uri="{C3380CC4-5D6E-409C-BE32-E72D297353CC}">
              <c16:uniqueId val="{00000028-CAFA-46C3-8FAB-B2D02D9A8679}"/>
            </c:ext>
          </c:extLst>
        </c:ser>
        <c:ser>
          <c:idx val="1"/>
          <c:order val="2"/>
          <c:tx>
            <c:strRef>
              <c:f>'Figure 7'!$C$3</c:f>
              <c:strCache>
                <c:ptCount val="1"/>
                <c:pt idx="0">
                  <c:v>Cost of extended track *** </c:v>
                </c:pt>
              </c:strCache>
            </c:strRef>
          </c:tx>
          <c:spPr>
            <a:pattFill prst="pct60">
              <a:fgClr>
                <a:schemeClr val="tx1">
                  <a:lumMod val="50000"/>
                  <a:lumOff val="50000"/>
                </a:schemeClr>
              </a:fgClr>
              <a:bgClr>
                <a:schemeClr val="bg1"/>
              </a:bgClr>
            </a:pattFill>
            <a:ln>
              <a:solidFill>
                <a:schemeClr val="tx1">
                  <a:lumMod val="75000"/>
                  <a:lumOff val="25000"/>
                </a:schemeClr>
              </a:solidFill>
            </a:ln>
          </c:spPr>
          <c:invertIfNegative val="0"/>
          <c:dPt>
            <c:idx val="0"/>
            <c:invertIfNegative val="0"/>
            <c:bubble3D val="0"/>
            <c:spPr>
              <a:pattFill prst="pct60">
                <a:fgClr>
                  <a:schemeClr val="accent1">
                    <a:lumMod val="75000"/>
                  </a:schemeClr>
                </a:fgClr>
                <a:bgClr>
                  <a:schemeClr val="bg1"/>
                </a:bgClr>
              </a:pattFill>
              <a:ln>
                <a:solidFill>
                  <a:schemeClr val="tx1">
                    <a:lumMod val="75000"/>
                    <a:lumOff val="25000"/>
                  </a:schemeClr>
                </a:solidFill>
              </a:ln>
            </c:spPr>
            <c:extLst>
              <c:ext xmlns:c16="http://schemas.microsoft.com/office/drawing/2014/chart" uri="{C3380CC4-5D6E-409C-BE32-E72D297353CC}">
                <c16:uniqueId val="{0000002A-CAFA-46C3-8FAB-B2D02D9A8679}"/>
              </c:ext>
            </c:extLst>
          </c:dPt>
          <c:dPt>
            <c:idx val="1"/>
            <c:invertIfNegative val="0"/>
            <c:bubble3D val="0"/>
            <c:spPr>
              <a:pattFill prst="pct60">
                <a:fgClr>
                  <a:srgbClr val="C00000"/>
                </a:fgClr>
                <a:bgClr>
                  <a:schemeClr val="bg1"/>
                </a:bgClr>
              </a:pattFill>
              <a:ln>
                <a:solidFill>
                  <a:schemeClr val="tx1">
                    <a:lumMod val="75000"/>
                    <a:lumOff val="25000"/>
                  </a:schemeClr>
                </a:solidFill>
              </a:ln>
            </c:spPr>
            <c:extLst>
              <c:ext xmlns:c16="http://schemas.microsoft.com/office/drawing/2014/chart" uri="{C3380CC4-5D6E-409C-BE32-E72D297353CC}">
                <c16:uniqueId val="{0000002C-CAFA-46C3-8FAB-B2D02D9A8679}"/>
              </c:ext>
            </c:extLst>
          </c:dPt>
          <c:dPt>
            <c:idx val="2"/>
            <c:invertIfNegative val="0"/>
            <c:bubble3D val="0"/>
            <c:spPr>
              <a:pattFill prst="pct60">
                <a:fgClr>
                  <a:schemeClr val="accent3">
                    <a:lumMod val="50000"/>
                  </a:schemeClr>
                </a:fgClr>
                <a:bgClr>
                  <a:schemeClr val="bg1"/>
                </a:bgClr>
              </a:pattFill>
              <a:ln>
                <a:solidFill>
                  <a:schemeClr val="tx1">
                    <a:lumMod val="75000"/>
                    <a:lumOff val="25000"/>
                  </a:schemeClr>
                </a:solidFill>
              </a:ln>
            </c:spPr>
            <c:extLst>
              <c:ext xmlns:c16="http://schemas.microsoft.com/office/drawing/2014/chart" uri="{C3380CC4-5D6E-409C-BE32-E72D297353CC}">
                <c16:uniqueId val="{0000002E-CAFA-46C3-8FAB-B2D02D9A8679}"/>
              </c:ext>
            </c:extLst>
          </c:dPt>
          <c:dPt>
            <c:idx val="3"/>
            <c:invertIfNegative val="0"/>
            <c:bubble3D val="0"/>
            <c:spPr>
              <a:pattFill prst="pct60">
                <a:fgClr>
                  <a:srgbClr val="79B240"/>
                </a:fgClr>
                <a:bgClr>
                  <a:schemeClr val="bg1"/>
                </a:bgClr>
              </a:pattFill>
              <a:ln>
                <a:solidFill>
                  <a:schemeClr val="tx1">
                    <a:lumMod val="75000"/>
                    <a:lumOff val="25000"/>
                  </a:schemeClr>
                </a:solidFill>
              </a:ln>
            </c:spPr>
            <c:extLst>
              <c:ext xmlns:c16="http://schemas.microsoft.com/office/drawing/2014/chart" uri="{C3380CC4-5D6E-409C-BE32-E72D297353CC}">
                <c16:uniqueId val="{00000030-CAFA-46C3-8FAB-B2D02D9A8679}"/>
              </c:ext>
            </c:extLst>
          </c:dPt>
          <c:dPt>
            <c:idx val="4"/>
            <c:invertIfNegative val="0"/>
            <c:bubble3D val="0"/>
            <c:spPr>
              <a:pattFill prst="pct60">
                <a:fgClr>
                  <a:schemeClr val="accent6">
                    <a:lumMod val="75000"/>
                  </a:schemeClr>
                </a:fgClr>
                <a:bgClr>
                  <a:schemeClr val="bg1"/>
                </a:bgClr>
              </a:pattFill>
              <a:ln>
                <a:solidFill>
                  <a:schemeClr val="tx1">
                    <a:lumMod val="75000"/>
                    <a:lumOff val="25000"/>
                  </a:schemeClr>
                </a:solidFill>
              </a:ln>
            </c:spPr>
            <c:extLst>
              <c:ext xmlns:c16="http://schemas.microsoft.com/office/drawing/2014/chart" uri="{C3380CC4-5D6E-409C-BE32-E72D297353CC}">
                <c16:uniqueId val="{00000032-CAFA-46C3-8FAB-B2D02D9A8679}"/>
              </c:ext>
            </c:extLst>
          </c:dPt>
          <c:dPt>
            <c:idx val="5"/>
            <c:invertIfNegative val="0"/>
            <c:bubble3D val="0"/>
            <c:spPr>
              <a:pattFill prst="pct60">
                <a:fgClr>
                  <a:schemeClr val="bg1">
                    <a:lumMod val="65000"/>
                  </a:schemeClr>
                </a:fgClr>
                <a:bgClr>
                  <a:srgbClr val="FFFF66"/>
                </a:bgClr>
              </a:pattFill>
              <a:ln>
                <a:solidFill>
                  <a:schemeClr val="tx1">
                    <a:lumMod val="75000"/>
                    <a:lumOff val="25000"/>
                  </a:schemeClr>
                </a:solidFill>
              </a:ln>
            </c:spPr>
            <c:extLst>
              <c:ext xmlns:c16="http://schemas.microsoft.com/office/drawing/2014/chart" uri="{C3380CC4-5D6E-409C-BE32-E72D297353CC}">
                <c16:uniqueId val="{00000034-CAFA-46C3-8FAB-B2D02D9A8679}"/>
              </c:ext>
            </c:extLst>
          </c:dPt>
          <c:dPt>
            <c:idx val="6"/>
            <c:invertIfNegative val="0"/>
            <c:bubble3D val="0"/>
            <c:spPr>
              <a:pattFill prst="pct60">
                <a:fgClr>
                  <a:schemeClr val="bg2">
                    <a:lumMod val="75000"/>
                  </a:schemeClr>
                </a:fgClr>
                <a:bgClr>
                  <a:schemeClr val="bg1"/>
                </a:bgClr>
              </a:pattFill>
              <a:ln>
                <a:solidFill>
                  <a:schemeClr val="tx1">
                    <a:lumMod val="75000"/>
                    <a:lumOff val="25000"/>
                  </a:schemeClr>
                </a:solidFill>
              </a:ln>
            </c:spPr>
            <c:extLst>
              <c:ext xmlns:c16="http://schemas.microsoft.com/office/drawing/2014/chart" uri="{C3380CC4-5D6E-409C-BE32-E72D297353CC}">
                <c16:uniqueId val="{00000036-CAFA-46C3-8FAB-B2D02D9A8679}"/>
              </c:ext>
            </c:extLst>
          </c:dPt>
          <c:dPt>
            <c:idx val="7"/>
            <c:invertIfNegative val="0"/>
            <c:bubble3D val="0"/>
            <c:spPr>
              <a:pattFill prst="pct60">
                <a:fgClr>
                  <a:srgbClr val="7C89AE"/>
                </a:fgClr>
                <a:bgClr>
                  <a:schemeClr val="bg1"/>
                </a:bgClr>
              </a:pattFill>
              <a:ln>
                <a:solidFill>
                  <a:schemeClr val="tx1">
                    <a:lumMod val="75000"/>
                    <a:lumOff val="25000"/>
                  </a:schemeClr>
                </a:solidFill>
              </a:ln>
            </c:spPr>
            <c:extLst>
              <c:ext xmlns:c16="http://schemas.microsoft.com/office/drawing/2014/chart" uri="{C3380CC4-5D6E-409C-BE32-E72D297353CC}">
                <c16:uniqueId val="{00000038-CAFA-46C3-8FAB-B2D02D9A8679}"/>
              </c:ext>
            </c:extLst>
          </c:dPt>
          <c:dPt>
            <c:idx val="8"/>
            <c:invertIfNegative val="0"/>
            <c:bubble3D val="0"/>
            <c:spPr>
              <a:pattFill prst="pct60">
                <a:fgClr>
                  <a:schemeClr val="accent4">
                    <a:lumMod val="75000"/>
                  </a:schemeClr>
                </a:fgClr>
                <a:bgClr>
                  <a:schemeClr val="bg1"/>
                </a:bgClr>
              </a:pattFill>
              <a:ln>
                <a:solidFill>
                  <a:schemeClr val="tx1">
                    <a:lumMod val="75000"/>
                    <a:lumOff val="25000"/>
                  </a:schemeClr>
                </a:solidFill>
              </a:ln>
            </c:spPr>
            <c:extLst>
              <c:ext xmlns:c16="http://schemas.microsoft.com/office/drawing/2014/chart" uri="{C3380CC4-5D6E-409C-BE32-E72D297353CC}">
                <c16:uniqueId val="{0000003A-CAFA-46C3-8FAB-B2D02D9A8679}"/>
              </c:ext>
            </c:extLst>
          </c:dPt>
          <c:dLbls>
            <c:dLbl>
              <c:idx val="7"/>
              <c:layout>
                <c:manualLayout>
                  <c:x val="4.672896623139227E-3"/>
                  <c:y val="1.092895861366877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38-CAFA-46C3-8FAB-B2D02D9A8679}"/>
                </c:ext>
              </c:extLst>
            </c:dLbl>
            <c:spPr>
              <a:noFill/>
              <a:ln>
                <a:noFill/>
              </a:ln>
              <a:effectLst/>
            </c:spPr>
            <c:txPr>
              <a:bodyPr/>
              <a:lstStyle/>
              <a:p>
                <a:pPr>
                  <a:defRPr sz="1200" b="1">
                    <a:solidFill>
                      <a:srgbClr val="FF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'Figure 7'!$A$4:$A$13</c:f>
              <c:strCache>
                <c:ptCount val="10"/>
                <c:pt idx="0">
                  <c:v>Leumi</c:v>
                </c:pt>
                <c:pt idx="1">
                  <c:v>Hapoalim</c:v>
                </c:pt>
                <c:pt idx="2">
                  <c:v>Discount</c:v>
                </c:pt>
                <c:pt idx="3">
                  <c:v>Mercantile</c:v>
                </c:pt>
                <c:pt idx="4">
                  <c:v>Mizrahi</c:v>
                </c:pt>
                <c:pt idx="5">
                  <c:v>First International</c:v>
                </c:pt>
                <c:pt idx="6">
                  <c:v>Massad</c:v>
                </c:pt>
                <c:pt idx="7">
                  <c:v>Union</c:v>
                </c:pt>
                <c:pt idx="8">
                  <c:v>Yahav</c:v>
                </c:pt>
                <c:pt idx="9">
                  <c:v>Jerusalem</c:v>
                </c:pt>
              </c:strCache>
            </c:strRef>
          </c:cat>
          <c:val>
            <c:numRef>
              <c:f>'Figure 7'!$C$4:$C$13</c:f>
              <c:numCache>
                <c:formatCode>General</c:formatCode>
                <c:ptCount val="10"/>
                <c:pt idx="0">
                  <c:v>20</c:v>
                </c:pt>
                <c:pt idx="1">
                  <c:v>22</c:v>
                </c:pt>
                <c:pt idx="2">
                  <c:v>25</c:v>
                </c:pt>
                <c:pt idx="3">
                  <c:v>26.5</c:v>
                </c:pt>
                <c:pt idx="4">
                  <c:v>29</c:v>
                </c:pt>
                <c:pt idx="5">
                  <c:v>26</c:v>
                </c:pt>
                <c:pt idx="6">
                  <c:v>30</c:v>
                </c:pt>
                <c:pt idx="7">
                  <c:v>24</c:v>
                </c:pt>
                <c:pt idx="8">
                  <c:v>20</c:v>
                </c:pt>
                <c:pt idx="9">
                  <c:v>6.5</c:v>
                </c:pt>
              </c:numCache>
            </c:numRef>
          </c:val>
          <c:extLst>
            <c:ext xmlns:c16="http://schemas.microsoft.com/office/drawing/2014/chart" uri="{C3380CC4-5D6E-409C-BE32-E72D297353CC}">
              <c16:uniqueId val="{0000003B-CAFA-46C3-8FAB-B2D02D9A8679}"/>
            </c:ext>
          </c:extLst>
        </c:ser>
        <c:dLbls>
          <c:showLegendKey val="0"/>
          <c:showVal val="0"/>
          <c:showCatName val="0"/>
          <c:showSerName val="0"/>
          <c:showPercent val="0"/>
          <c:showBubbleSize val="0"/>
        </c:dLbls>
        <c:gapWidth val="150"/>
        <c:axId val="297987072"/>
        <c:axId val="299344640"/>
      </c:barChart>
      <c:catAx>
        <c:axId val="297987072"/>
        <c:scaling>
          <c:orientation val="minMax"/>
        </c:scaling>
        <c:delete val="0"/>
        <c:axPos val="b"/>
        <c:numFmt formatCode="General" sourceLinked="0"/>
        <c:majorTickMark val="none"/>
        <c:minorTickMark val="none"/>
        <c:tickLblPos val="nextTo"/>
        <c:txPr>
          <a:bodyPr/>
          <a:lstStyle/>
          <a:p>
            <a:pPr>
              <a:defRPr sz="800" b="1">
                <a:latin typeface="Times New Roman" panose="02020603050405020304" pitchFamily="18" charset="0"/>
                <a:cs typeface="Times New Roman" panose="02020603050405020304" pitchFamily="18" charset="0"/>
              </a:defRPr>
            </a:pPr>
            <a:endParaRPr lang="en-US"/>
          </a:p>
        </c:txPr>
        <c:crossAx val="299344640"/>
        <c:crosses val="autoZero"/>
        <c:auto val="1"/>
        <c:lblAlgn val="ctr"/>
        <c:lblOffset val="100"/>
        <c:noMultiLvlLbl val="0"/>
      </c:catAx>
      <c:valAx>
        <c:axId val="299344640"/>
        <c:scaling>
          <c:orientation val="minMax"/>
          <c:max val="210"/>
          <c:min val="0"/>
        </c:scaling>
        <c:delete val="0"/>
        <c:axPos val="l"/>
        <c:majorGridlines>
          <c:spPr>
            <a:ln>
              <a:solidFill>
                <a:schemeClr val="bg1">
                  <a:lumMod val="75000"/>
                </a:schemeClr>
              </a:solidFill>
            </a:ln>
          </c:spPr>
        </c:majorGridlines>
        <c:numFmt formatCode="0" sourceLinked="1"/>
        <c:majorTickMark val="none"/>
        <c:minorTickMark val="none"/>
        <c:tickLblPos val="nextTo"/>
        <c:spPr>
          <a:ln>
            <a:noFill/>
          </a:ln>
        </c:spPr>
        <c:txPr>
          <a:bodyPr/>
          <a:lstStyle/>
          <a:p>
            <a:pPr>
              <a:defRPr sz="1200" b="1"/>
            </a:pPr>
            <a:endParaRPr lang="en-US"/>
          </a:p>
        </c:txPr>
        <c:crossAx val="297987072"/>
        <c:crosses val="autoZero"/>
        <c:crossBetween val="between"/>
        <c:majorUnit val="50"/>
      </c:valAx>
    </c:plotArea>
    <c:legend>
      <c:legendPos val="b"/>
      <c:legendEntry>
        <c:idx val="0"/>
        <c:txPr>
          <a:bodyPr/>
          <a:lstStyle/>
          <a:p>
            <a:pPr>
              <a:defRPr sz="900" b="1" baseline="0">
                <a:latin typeface="Arial" panose="020B0604020202020204" pitchFamily="34" charset="0"/>
                <a:cs typeface="Arial" panose="020B0604020202020204" pitchFamily="34" charset="0"/>
              </a:defRPr>
            </a:pPr>
            <a:endParaRPr lang="en-US"/>
          </a:p>
        </c:txPr>
      </c:legendEntry>
      <c:legendEntry>
        <c:idx val="1"/>
        <c:txPr>
          <a:bodyPr/>
          <a:lstStyle/>
          <a:p>
            <a:pPr>
              <a:defRPr sz="900" b="1" baseline="0">
                <a:latin typeface="Arial" panose="020B0604020202020204" pitchFamily="34" charset="0"/>
                <a:cs typeface="Arial" panose="020B0604020202020204" pitchFamily="34" charset="0"/>
              </a:defRPr>
            </a:pPr>
            <a:endParaRPr lang="en-US"/>
          </a:p>
        </c:txPr>
      </c:legendEntry>
      <c:legendEntry>
        <c:idx val="2"/>
        <c:txPr>
          <a:bodyPr/>
          <a:lstStyle/>
          <a:p>
            <a:pPr>
              <a:defRPr sz="900" b="1" baseline="0">
                <a:latin typeface="Arial" panose="020B0604020202020204" pitchFamily="34" charset="0"/>
                <a:cs typeface="Arial" panose="020B0604020202020204" pitchFamily="34" charset="0"/>
              </a:defRPr>
            </a:pPr>
            <a:endParaRPr lang="en-US"/>
          </a:p>
        </c:txPr>
      </c:legendEntry>
      <c:layout>
        <c:manualLayout>
          <c:xMode val="edge"/>
          <c:yMode val="edge"/>
          <c:x val="5.0566615452921774E-3"/>
          <c:y val="0.90440098213529763"/>
          <c:w val="0.98639139733933023"/>
          <c:h val="9.2732044858029106E-2"/>
        </c:manualLayout>
      </c:layout>
      <c:overlay val="0"/>
      <c:txPr>
        <a:bodyPr/>
        <a:lstStyle/>
        <a:p>
          <a:pPr>
            <a:defRPr sz="900" b="1" baseline="0">
              <a:latin typeface="Arial" panose="020B0604020202020204" pitchFamily="34" charset="0"/>
              <a:cs typeface="Arial" panose="020B0604020202020204" pitchFamily="34" charset="0"/>
            </a:defRPr>
          </a:pPr>
          <a:endParaRPr lang="en-US"/>
        </a:p>
      </c:txPr>
    </c:legend>
    <c:plotVisOnly val="1"/>
    <c:dispBlanksAs val="gap"/>
    <c:showDLblsOverMax val="0"/>
  </c:chart>
  <c:spPr>
    <a:noFill/>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0.86095</cdr:y>
    </cdr:from>
    <cdr:to>
      <cdr:x>1</cdr:x>
      <cdr:y>0.97716</cdr:y>
    </cdr:to>
    <cdr:sp macro="" textlink="">
      <cdr:nvSpPr>
        <cdr:cNvPr id="2" name="TextBox 1"/>
        <cdr:cNvSpPr txBox="1"/>
      </cdr:nvSpPr>
      <cdr:spPr>
        <a:xfrm xmlns:a="http://schemas.openxmlformats.org/drawingml/2006/main">
          <a:off x="0" y="3231014"/>
          <a:ext cx="4476750" cy="436111"/>
        </a:xfrm>
        <a:prstGeom xmlns:a="http://schemas.openxmlformats.org/drawingml/2006/main" prst="rect">
          <a:avLst/>
        </a:prstGeom>
      </cdr:spPr>
      <cdr:txBody>
        <a:bodyPr xmlns:a="http://schemas.openxmlformats.org/drawingml/2006/main" vertOverflow="clip" wrap="none" rtlCol="1"/>
        <a:lstStyle xmlns:a="http://schemas.openxmlformats.org/drawingml/2006/main"/>
        <a:p xmlns:a="http://schemas.openxmlformats.org/drawingml/2006/main">
          <a:pPr algn="r" rtl="1"/>
          <a:endParaRPr lang="he-IL" sz="900"/>
        </a:p>
      </cdr:txBody>
    </cdr:sp>
  </cdr:relSizeAnchor>
  <cdr:relSizeAnchor xmlns:cdr="http://schemas.openxmlformats.org/drawingml/2006/chartDrawing">
    <cdr:from>
      <cdr:x>0.02615</cdr:x>
      <cdr:y>0.05092</cdr:y>
    </cdr:from>
    <cdr:to>
      <cdr:x>0.23041</cdr:x>
      <cdr:y>0.35385</cdr:y>
    </cdr:to>
    <cdr:sp macro="" textlink="">
      <cdr:nvSpPr>
        <cdr:cNvPr id="3" name="TextBox 2"/>
        <cdr:cNvSpPr txBox="1"/>
      </cdr:nvSpPr>
      <cdr:spPr>
        <a:xfrm xmlns:a="http://schemas.openxmlformats.org/drawingml/2006/main">
          <a:off x="134253" y="189154"/>
          <a:ext cx="1048666" cy="1125296"/>
        </a:xfrm>
        <a:prstGeom xmlns:a="http://schemas.openxmlformats.org/drawingml/2006/main" prst="rect">
          <a:avLst/>
        </a:prstGeom>
      </cdr:spPr>
      <cdr:txBody>
        <a:bodyPr xmlns:a="http://schemas.openxmlformats.org/drawingml/2006/main" vertOverflow="clip" horzOverflow="clip" wrap="square" rtlCol="1"/>
        <a:lstStyle xmlns:a="http://schemas.openxmlformats.org/drawingml/2006/main"/>
        <a:p xmlns:a="http://schemas.openxmlformats.org/drawingml/2006/main">
          <a:pPr algn="ctr"/>
          <a:r>
            <a:rPr lang="en" sz="1200" b="1">
              <a:latin typeface="David" panose="020E0502060401010101" pitchFamily="34" charset="-79"/>
              <a:cs typeface="David" panose="020E0502060401010101" pitchFamily="34" charset="-79"/>
            </a:rPr>
            <a:t>These customers are offered to consider enrolling in the tracks</a:t>
          </a:r>
        </a:p>
      </cdr:txBody>
    </cdr:sp>
  </cdr:relSizeAnchor>
</c:userShapes>
</file>

<file path=word/drawings/drawing2.xml><?xml version="1.0" encoding="utf-8"?>
<c:userShapes xmlns:c="http://schemas.openxmlformats.org/drawingml/2006/chart">
  <cdr:relSizeAnchor xmlns:cdr="http://schemas.openxmlformats.org/drawingml/2006/chartDrawing">
    <cdr:from>
      <cdr:x>0.00624</cdr:x>
      <cdr:y>0.18409</cdr:y>
    </cdr:from>
    <cdr:to>
      <cdr:x>0.03286</cdr:x>
      <cdr:y>0.35075</cdr:y>
    </cdr:to>
    <cdr:sp macro="" textlink="">
      <cdr:nvSpPr>
        <cdr:cNvPr id="3" name="TextBox 4"/>
        <cdr:cNvSpPr txBox="1"/>
      </cdr:nvSpPr>
      <cdr:spPr>
        <a:xfrm xmlns:a="http://schemas.openxmlformats.org/drawingml/2006/main" rot="5400000">
          <a:off x="-163459" y="865832"/>
          <a:ext cx="596876" cy="183828"/>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1"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r" rtl="1"/>
          <a:r>
            <a:rPr lang="en" sz="1100" b="1"/>
            <a:t>NIS</a:t>
          </a:r>
        </a:p>
      </cdr:txBody>
    </cdr:sp>
  </cdr:relSizeAnchor>
  <cdr:relSizeAnchor xmlns:cdr="http://schemas.openxmlformats.org/drawingml/2006/chartDrawing">
    <cdr:from>
      <cdr:x>0.88878</cdr:x>
      <cdr:y>0.79698</cdr:y>
    </cdr:from>
    <cdr:to>
      <cdr:x>0.92051</cdr:x>
      <cdr:y>0.94137</cdr:y>
    </cdr:to>
    <cdr:sp macro="" textlink="">
      <cdr:nvSpPr>
        <cdr:cNvPr id="5" name="TextBox 1"/>
        <cdr:cNvSpPr txBox="1"/>
      </cdr:nvSpPr>
      <cdr:spPr>
        <a:xfrm xmlns:a="http://schemas.openxmlformats.org/drawingml/2006/main">
          <a:off x="8804275" y="2679700"/>
          <a:ext cx="314325" cy="485493"/>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rtlCol="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he-IL" sz="2800" b="1"/>
        </a:p>
      </cdr:txBody>
    </cdr:sp>
  </cdr:relSizeAnchor>
</c:userShapes>
</file>

<file path=word/drawings/drawing3.xml><?xml version="1.0" encoding="utf-8"?>
<c:userShapes xmlns:c="http://schemas.openxmlformats.org/drawingml/2006/chart">
  <cdr:relSizeAnchor xmlns:cdr="http://schemas.openxmlformats.org/drawingml/2006/chartDrawing">
    <cdr:from>
      <cdr:x>0.91868</cdr:x>
      <cdr:y>0.79764</cdr:y>
    </cdr:from>
    <cdr:to>
      <cdr:x>0.94817</cdr:x>
      <cdr:y>0.88802</cdr:y>
    </cdr:to>
    <cdr:sp macro="" textlink="">
      <cdr:nvSpPr>
        <cdr:cNvPr id="5" name="TextBox 4"/>
        <cdr:cNvSpPr txBox="1"/>
      </cdr:nvSpPr>
      <cdr:spPr>
        <a:xfrm xmlns:a="http://schemas.openxmlformats.org/drawingml/2006/main">
          <a:off x="9791700" y="3867151"/>
          <a:ext cx="314325" cy="43814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rtlCol="1"/>
        <a:lstStyle xmlns:a="http://schemas.openxmlformats.org/drawingml/2006/main"/>
        <a:p xmlns:a="http://schemas.openxmlformats.org/drawingml/2006/main">
          <a:endParaRPr lang="he-IL" sz="2800" b="1"/>
        </a:p>
      </cdr:txBody>
    </cdr:sp>
  </cdr:relSizeAnchor>
</c:userShape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E9343D4987C6478DC1BE6EDC107D2A" ma:contentTypeVersion="2" ma:contentTypeDescription="Create a new document." ma:contentTypeScope="" ma:versionID="dc66967819e61477bbb22baefbd46658">
  <xsd:schema xmlns:xsd="http://www.w3.org/2001/XMLSchema" xmlns:xs="http://www.w3.org/2001/XMLSchema" xmlns:p="http://schemas.microsoft.com/office/2006/metadata/properties" xmlns:ns1="http://schemas.microsoft.com/sharepoint/v3" targetNamespace="http://schemas.microsoft.com/office/2006/metadata/properties" ma:root="true" ma:fieldsID="ea2d015b092b9b034dac7bb82bea7adc"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eWaveListOrderVa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WaveListOrderValue" ma:index="10" nillable="true" ma:displayName="סידור" ma:decimals="2" ma:internalName="eWaveListOrderValue"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documentManagement>
</p:properties>
</file>

<file path=customXml/itemProps1.xml><?xml version="1.0" encoding="utf-8"?>
<ds:datastoreItem xmlns:ds="http://schemas.openxmlformats.org/officeDocument/2006/customXml" ds:itemID="{D609A80C-565B-40FA-AC6B-F40BC667F549}"/>
</file>

<file path=customXml/itemProps2.xml><?xml version="1.0" encoding="utf-8"?>
<ds:datastoreItem xmlns:ds="http://schemas.openxmlformats.org/officeDocument/2006/customXml" ds:itemID="{98C85EED-4136-4D7D-98AB-69C7987E9954}"/>
</file>

<file path=customXml/itemProps3.xml><?xml version="1.0" encoding="utf-8"?>
<ds:datastoreItem xmlns:ds="http://schemas.openxmlformats.org/officeDocument/2006/customXml" ds:itemID="{49192E7C-DF19-430E-99BA-D3DBDFBB09A5}"/>
</file>

<file path=customXml/itemProps4.xml><?xml version="1.0" encoding="utf-8"?>
<ds:datastoreItem xmlns:ds="http://schemas.openxmlformats.org/officeDocument/2006/customXml" ds:itemID="{7B677DC6-BF24-448A-BD00-6427CFD72A96}"/>
</file>

<file path=docProps/app.xml><?xml version="1.0" encoding="utf-8"?>
<Properties xmlns="http://schemas.openxmlformats.org/officeDocument/2006/extended-properties" xmlns:vt="http://schemas.openxmlformats.org/officeDocument/2006/docPropsVTypes">
  <Template>Normal.dotm</Template>
  <TotalTime>34</TotalTime>
  <Pages>19</Pages>
  <Words>3626</Words>
  <Characters>20669</Characters>
  <Application>Microsoft Office Word</Application>
  <DocSecurity>0</DocSecurity>
  <Lines>172</Lines>
  <Paragraphs>48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ירושלים, ‏ל' כסלו תשס"ז</vt:lpstr>
      <vt:lpstr>ירושלים, ‏ל' כסלו תשס"ז</vt:lpstr>
    </vt:vector>
  </TitlesOfParts>
  <Company>Bank Of Israel</Company>
  <LinksUpToDate>false</LinksUpToDate>
  <CharactersWithSpaces>24247</CharactersWithSpaces>
  <SharedDoc>false</SharedDoc>
  <HLinks>
    <vt:vector size="6" baseType="variant">
      <vt:variant>
        <vt:i4>8060963</vt:i4>
      </vt:variant>
      <vt:variant>
        <vt:i4>0</vt:i4>
      </vt:variant>
      <vt:variant>
        <vt:i4>0</vt:i4>
      </vt:variant>
      <vt:variant>
        <vt:i4>5</vt:i4>
      </vt:variant>
      <vt:variant>
        <vt:lpwstr>http://www.boi.org.il/he/consumerinformation/pages/Default.aspx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ירושלים, ‏ל' כסלו תשס"ז</dc:title>
  <dc:creator>דורית מרקוביץ</dc:creator>
  <cp:lastModifiedBy>מאיר דוביצקי</cp:lastModifiedBy>
  <cp:revision>15</cp:revision>
  <cp:lastPrinted>2020-07-22T10:23:00Z</cp:lastPrinted>
  <dcterms:created xsi:type="dcterms:W3CDTF">2020-09-06T08:29:00Z</dcterms:created>
  <dcterms:modified xsi:type="dcterms:W3CDTF">2020-09-07T12:15:00Z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1">
    <vt:lpwstr>16LM2311</vt:lpwstr>
  </property>
  <property fmtid="{D5CDD505-2E9C-101B-9397-08002B2CF9AE}" pid="3" name="CDP2">
    <vt:lpwstr>ש</vt:lpwstr>
  </property>
  <property fmtid="{D5CDD505-2E9C-101B-9397-08002B2CF9AE}" pid="4" name="ContentTypeId">
    <vt:lpwstr>0x010100BEE9343D4987C6478DC1BE6EDC107D2A</vt:lpwstr>
  </property>
</Properties>
</file>