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A40F24" w:rsidRDefault="002235F5" w:rsidP="00A3549C">
      <w:pPr>
        <w:bidi w:val="0"/>
        <w:jc w:val="center"/>
        <w:rPr>
          <w:rFonts w:asciiTheme="majorBidi" w:hAnsiTheme="majorBidi" w:cstheme="majorBidi"/>
          <w:rtl/>
        </w:rPr>
      </w:pPr>
      <w:r w:rsidRPr="00A40F24">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A40F24" w:rsidRDefault="00892A46" w:rsidP="00A3549C">
      <w:pPr>
        <w:pStyle w:val="regpar"/>
        <w:spacing w:line="300" w:lineRule="atLeast"/>
        <w:ind w:firstLine="0"/>
        <w:jc w:val="center"/>
        <w:rPr>
          <w:rFonts w:asciiTheme="majorBidi" w:hAnsiTheme="majorBidi" w:cstheme="majorBidi"/>
          <w:b/>
          <w:bCs/>
        </w:rPr>
      </w:pPr>
      <w:r w:rsidRPr="00A40F24">
        <w:rPr>
          <w:rFonts w:asciiTheme="majorBidi" w:hAnsiTheme="majorBidi" w:cstheme="majorBidi"/>
          <w:b/>
          <w:bCs/>
        </w:rPr>
        <w:t>BANK OF ISRAEL</w:t>
      </w:r>
    </w:p>
    <w:p w:rsidR="00892A46" w:rsidRPr="00A40F24" w:rsidRDefault="00892A46" w:rsidP="00A3549C">
      <w:pPr>
        <w:pStyle w:val="regpar"/>
        <w:spacing w:line="300" w:lineRule="atLeast"/>
        <w:ind w:firstLine="0"/>
        <w:jc w:val="center"/>
        <w:rPr>
          <w:rFonts w:asciiTheme="majorBidi" w:hAnsiTheme="majorBidi" w:cstheme="majorBidi"/>
        </w:rPr>
      </w:pPr>
      <w:r w:rsidRPr="00A40F24">
        <w:rPr>
          <w:rFonts w:asciiTheme="majorBidi" w:hAnsiTheme="majorBidi" w:cstheme="majorBidi"/>
        </w:rPr>
        <w:t>Office of the Spokesperson and Economic Information</w:t>
      </w:r>
    </w:p>
    <w:p w:rsidR="00B533D5" w:rsidRPr="00A40F24" w:rsidRDefault="007926C7" w:rsidP="00A3549C">
      <w:pPr>
        <w:bidi w:val="0"/>
        <w:jc w:val="both"/>
        <w:rPr>
          <w:rFonts w:asciiTheme="majorBidi" w:hAnsiTheme="majorBidi" w:cstheme="majorBidi"/>
          <w:rtl/>
        </w:rPr>
      </w:pPr>
      <w:r w:rsidRPr="00A40F24">
        <w:rPr>
          <w:rFonts w:asciiTheme="majorBidi" w:hAnsiTheme="majorBidi" w:cstheme="majorBidi"/>
        </w:rPr>
        <w:br/>
      </w:r>
    </w:p>
    <w:p w:rsidR="007926C7" w:rsidRPr="00A40F24" w:rsidRDefault="00B27078" w:rsidP="004C099D">
      <w:pPr>
        <w:bidi w:val="0"/>
        <w:jc w:val="right"/>
        <w:rPr>
          <w:rFonts w:asciiTheme="majorBidi" w:hAnsiTheme="majorBidi" w:cstheme="majorBidi"/>
        </w:rPr>
      </w:pPr>
      <w:bookmarkStart w:id="0" w:name="_GoBack"/>
      <w:r w:rsidRPr="00936D26">
        <w:rPr>
          <w:rFonts w:asciiTheme="majorBidi" w:hAnsiTheme="majorBidi" w:cstheme="majorBidi"/>
        </w:rPr>
        <w:t>August 20, 2023</w:t>
      </w:r>
    </w:p>
    <w:bookmarkEnd w:id="0"/>
    <w:p w:rsidR="007926C7" w:rsidRPr="00A40F24" w:rsidRDefault="007926C7" w:rsidP="00A3549C">
      <w:pPr>
        <w:bidi w:val="0"/>
        <w:jc w:val="both"/>
        <w:rPr>
          <w:rFonts w:asciiTheme="majorBidi" w:hAnsiTheme="majorBidi" w:cstheme="majorBidi"/>
        </w:rPr>
      </w:pPr>
    </w:p>
    <w:p w:rsidR="00892A46" w:rsidRPr="00A40F24" w:rsidRDefault="00892A46" w:rsidP="00A3549C">
      <w:pPr>
        <w:bidi w:val="0"/>
        <w:jc w:val="both"/>
        <w:rPr>
          <w:rFonts w:asciiTheme="majorBidi" w:hAnsiTheme="majorBidi" w:cstheme="majorBidi"/>
        </w:rPr>
      </w:pPr>
      <w:r w:rsidRPr="00A40F24">
        <w:rPr>
          <w:rFonts w:asciiTheme="majorBidi" w:hAnsiTheme="majorBidi" w:cstheme="majorBidi"/>
        </w:rPr>
        <w:t>Press Release:</w:t>
      </w:r>
    </w:p>
    <w:p w:rsidR="00892A46" w:rsidRPr="00A40F24" w:rsidRDefault="00892A46" w:rsidP="00A3549C">
      <w:pPr>
        <w:tabs>
          <w:tab w:val="center" w:pos="4156"/>
          <w:tab w:val="right" w:pos="8312"/>
        </w:tabs>
        <w:bidi w:val="0"/>
        <w:jc w:val="both"/>
        <w:rPr>
          <w:rFonts w:asciiTheme="majorBidi" w:hAnsiTheme="majorBidi" w:cstheme="majorBidi"/>
        </w:rPr>
      </w:pPr>
    </w:p>
    <w:p w:rsidR="001F02A9" w:rsidRPr="00655ECF" w:rsidRDefault="001F02A9" w:rsidP="008F4B7C">
      <w:pPr>
        <w:bidi w:val="0"/>
        <w:jc w:val="center"/>
        <w:rPr>
          <w:rFonts w:asciiTheme="majorBidi" w:hAnsiTheme="majorBidi" w:cstheme="majorBidi"/>
          <w:b/>
          <w:bCs/>
          <w:sz w:val="32"/>
          <w:szCs w:val="32"/>
        </w:rPr>
      </w:pPr>
      <w:r w:rsidRPr="00655ECF">
        <w:rPr>
          <w:rFonts w:asciiTheme="majorBidi" w:hAnsiTheme="majorBidi" w:cstheme="majorBidi"/>
          <w:b/>
          <w:bCs/>
          <w:sz w:val="32"/>
          <w:szCs w:val="32"/>
        </w:rPr>
        <w:t xml:space="preserve">Bank of Israel research: Characteristics of </w:t>
      </w:r>
      <w:r w:rsidR="00060747">
        <w:rPr>
          <w:rFonts w:asciiTheme="majorBidi" w:hAnsiTheme="majorBidi" w:cstheme="majorBidi"/>
          <w:b/>
          <w:bCs/>
          <w:sz w:val="32"/>
          <w:szCs w:val="32"/>
        </w:rPr>
        <w:t>first-</w:t>
      </w:r>
      <w:r w:rsidRPr="00655ECF">
        <w:rPr>
          <w:rFonts w:asciiTheme="majorBidi" w:hAnsiTheme="majorBidi" w:cstheme="majorBidi"/>
          <w:b/>
          <w:bCs/>
          <w:sz w:val="32"/>
          <w:szCs w:val="32"/>
        </w:rPr>
        <w:t xml:space="preserve">buyers and the </w:t>
      </w:r>
      <w:r w:rsidR="008F4B7C">
        <w:rPr>
          <w:rFonts w:asciiTheme="majorBidi" w:hAnsiTheme="majorBidi" w:cstheme="majorBidi"/>
          <w:b/>
          <w:bCs/>
          <w:sz w:val="32"/>
          <w:szCs w:val="32"/>
        </w:rPr>
        <w:t xml:space="preserve">changes </w:t>
      </w:r>
      <w:r w:rsidRPr="00655ECF">
        <w:rPr>
          <w:rFonts w:asciiTheme="majorBidi" w:hAnsiTheme="majorBidi" w:cstheme="majorBidi"/>
          <w:b/>
          <w:bCs/>
          <w:sz w:val="32"/>
          <w:szCs w:val="32"/>
        </w:rPr>
        <w:t>that occurred in the probability of buying a first home in 2016–19</w:t>
      </w:r>
      <w:r w:rsidR="008F4B7C">
        <w:rPr>
          <w:rFonts w:asciiTheme="majorBidi" w:hAnsiTheme="majorBidi" w:cstheme="majorBidi"/>
          <w:b/>
          <w:bCs/>
          <w:sz w:val="32"/>
          <w:szCs w:val="32"/>
        </w:rPr>
        <w:t xml:space="preserve"> </w:t>
      </w:r>
      <w:r w:rsidRPr="00655ECF">
        <w:rPr>
          <w:rFonts w:asciiTheme="majorBidi" w:hAnsiTheme="majorBidi" w:cstheme="majorBidi"/>
          <w:b/>
          <w:bCs/>
          <w:sz w:val="32"/>
          <w:szCs w:val="32"/>
        </w:rPr>
        <w:t>compared to 2012–15</w:t>
      </w:r>
    </w:p>
    <w:p w:rsidR="00C06B06" w:rsidRPr="00A40F24" w:rsidRDefault="00C06B06" w:rsidP="00C06B06">
      <w:pPr>
        <w:bidi w:val="0"/>
        <w:jc w:val="center"/>
        <w:rPr>
          <w:rFonts w:asciiTheme="majorBidi" w:hAnsiTheme="majorBidi" w:cstheme="majorBidi"/>
          <w:b/>
          <w:bCs/>
        </w:rPr>
      </w:pPr>
    </w:p>
    <w:p w:rsidR="00A962CF" w:rsidRPr="008756A4" w:rsidRDefault="001F02A9" w:rsidP="00A945A1">
      <w:pPr>
        <w:pStyle w:val="aa"/>
        <w:numPr>
          <w:ilvl w:val="0"/>
          <w:numId w:val="7"/>
        </w:numPr>
        <w:ind w:left="360"/>
        <w:jc w:val="both"/>
        <w:rPr>
          <w:rFonts w:asciiTheme="majorBidi" w:hAnsiTheme="majorBidi" w:cstheme="majorBidi"/>
          <w:b/>
          <w:bCs/>
        </w:rPr>
      </w:pPr>
      <w:r w:rsidRPr="008756A4">
        <w:rPr>
          <w:rFonts w:asciiTheme="majorBidi" w:hAnsiTheme="majorBidi" w:cstheme="majorBidi"/>
          <w:b/>
          <w:bCs/>
        </w:rPr>
        <w:t xml:space="preserve">The research indicates </w:t>
      </w:r>
      <w:r w:rsidR="00AA25D9" w:rsidRPr="008756A4">
        <w:rPr>
          <w:rFonts w:asciiTheme="majorBidi" w:hAnsiTheme="majorBidi" w:cstheme="majorBidi"/>
          <w:b/>
          <w:bCs/>
        </w:rPr>
        <w:t xml:space="preserve">that when maintaining a high level of </w:t>
      </w:r>
      <w:r w:rsidR="00E26D64" w:rsidRPr="008756A4">
        <w:rPr>
          <w:rFonts w:asciiTheme="majorBidi" w:hAnsiTheme="majorBidi" w:cstheme="majorBidi"/>
          <w:b/>
          <w:bCs/>
        </w:rPr>
        <w:t xml:space="preserve">construction </w:t>
      </w:r>
      <w:r w:rsidR="00AA25D9" w:rsidRPr="008756A4">
        <w:rPr>
          <w:rFonts w:asciiTheme="majorBidi" w:hAnsiTheme="majorBidi" w:cstheme="majorBidi"/>
          <w:b/>
          <w:bCs/>
        </w:rPr>
        <w:t xml:space="preserve">supply over time, the </w:t>
      </w:r>
      <w:r w:rsidR="00E153A9" w:rsidRPr="008756A4">
        <w:rPr>
          <w:rFonts w:asciiTheme="majorBidi" w:hAnsiTheme="majorBidi" w:cstheme="majorBidi"/>
          <w:b/>
          <w:bCs/>
        </w:rPr>
        <w:t xml:space="preserve">affordability </w:t>
      </w:r>
      <w:r w:rsidR="00AA25D9" w:rsidRPr="008756A4">
        <w:rPr>
          <w:rFonts w:asciiTheme="majorBidi" w:hAnsiTheme="majorBidi" w:cstheme="majorBidi"/>
          <w:b/>
          <w:bCs/>
        </w:rPr>
        <w:t xml:space="preserve">of housing, for the overall population, can be improved. When supply is high, it is possible to offer subsidized programs designated for specific populations while maintaining the proportion of purchases of the rest of the population—those that are eligible for </w:t>
      </w:r>
      <w:r w:rsidR="00E153A9" w:rsidRPr="008756A4">
        <w:rPr>
          <w:rFonts w:asciiTheme="majorBidi" w:hAnsiTheme="majorBidi" w:cstheme="majorBidi"/>
          <w:b/>
          <w:bCs/>
        </w:rPr>
        <w:t xml:space="preserve">a </w:t>
      </w:r>
      <w:r w:rsidR="00AA25D9" w:rsidRPr="008756A4">
        <w:rPr>
          <w:rFonts w:asciiTheme="majorBidi" w:hAnsiTheme="majorBidi" w:cstheme="majorBidi"/>
          <w:b/>
          <w:bCs/>
        </w:rPr>
        <w:t xml:space="preserve">subsidy </w:t>
      </w:r>
      <w:r w:rsidR="00E153A9" w:rsidRPr="008756A4">
        <w:rPr>
          <w:rFonts w:asciiTheme="majorBidi" w:hAnsiTheme="majorBidi" w:cstheme="majorBidi"/>
          <w:b/>
          <w:bCs/>
        </w:rPr>
        <w:t xml:space="preserve">but </w:t>
      </w:r>
      <w:r w:rsidR="00AA25D9" w:rsidRPr="008756A4">
        <w:rPr>
          <w:rFonts w:asciiTheme="majorBidi" w:hAnsiTheme="majorBidi" w:cstheme="majorBidi"/>
          <w:b/>
          <w:bCs/>
        </w:rPr>
        <w:t>did not win in lotteries, and those that are not eligible.</w:t>
      </w:r>
    </w:p>
    <w:p w:rsidR="00FD6F41" w:rsidRPr="008756A4" w:rsidRDefault="00FD6F41" w:rsidP="00A945A1">
      <w:pPr>
        <w:bidi w:val="0"/>
        <w:jc w:val="both"/>
        <w:rPr>
          <w:rFonts w:asciiTheme="majorBidi" w:hAnsiTheme="majorBidi" w:cstheme="majorBidi"/>
          <w:b/>
          <w:bCs/>
        </w:rPr>
      </w:pPr>
    </w:p>
    <w:p w:rsidR="00FD6F41" w:rsidRPr="008756A4" w:rsidRDefault="00FD6F41" w:rsidP="00A945A1">
      <w:pPr>
        <w:pStyle w:val="aa"/>
        <w:numPr>
          <w:ilvl w:val="0"/>
          <w:numId w:val="7"/>
        </w:numPr>
        <w:ind w:left="360"/>
        <w:jc w:val="both"/>
        <w:rPr>
          <w:rFonts w:asciiTheme="majorBidi" w:hAnsiTheme="majorBidi" w:cstheme="majorBidi"/>
          <w:b/>
          <w:bCs/>
        </w:rPr>
      </w:pPr>
      <w:r w:rsidRPr="008756A4">
        <w:rPr>
          <w:rFonts w:asciiTheme="majorBidi" w:hAnsiTheme="majorBidi" w:cstheme="majorBidi"/>
          <w:b/>
          <w:bCs/>
        </w:rPr>
        <w:t xml:space="preserve">Between the years 2012–15 and 2016–19, the share of households that purchased a first home increased. The probability of purchasing a home among households that did not buy a home within the framework of the Buyer’s Price program, whether because they did not win the lotteries or because they did not apply for them, </w:t>
      </w:r>
      <w:r w:rsidR="00B7287B" w:rsidRPr="008756A4">
        <w:rPr>
          <w:rFonts w:asciiTheme="majorBidi" w:hAnsiTheme="majorBidi" w:cstheme="majorBidi"/>
          <w:b/>
          <w:bCs/>
        </w:rPr>
        <w:t>remained stable relative to the years 2012–15</w:t>
      </w:r>
      <w:r w:rsidR="00877AFC" w:rsidRPr="008756A4">
        <w:rPr>
          <w:rFonts w:asciiTheme="majorBidi" w:hAnsiTheme="majorBidi" w:cstheme="majorBidi"/>
          <w:b/>
          <w:bCs/>
        </w:rPr>
        <w:t xml:space="preserve">. It may be concluded from this that the expansion of </w:t>
      </w:r>
      <w:r w:rsidR="00CF30AC" w:rsidRPr="008756A4">
        <w:rPr>
          <w:rFonts w:asciiTheme="majorBidi" w:hAnsiTheme="majorBidi" w:cstheme="majorBidi"/>
          <w:b/>
          <w:bCs/>
        </w:rPr>
        <w:t xml:space="preserve">construction </w:t>
      </w:r>
      <w:r w:rsidR="00877AFC" w:rsidRPr="008756A4">
        <w:rPr>
          <w:rFonts w:asciiTheme="majorBidi" w:hAnsiTheme="majorBidi" w:cstheme="majorBidi"/>
          <w:b/>
          <w:bCs/>
        </w:rPr>
        <w:t xml:space="preserve">supply that occurred in the years 2016–19 was significant enough that despite the designation of a </w:t>
      </w:r>
      <w:r w:rsidR="00FF38F0" w:rsidRPr="008756A4">
        <w:rPr>
          <w:rFonts w:asciiTheme="majorBidi" w:hAnsiTheme="majorBidi" w:cstheme="majorBidi"/>
          <w:b/>
          <w:bCs/>
        </w:rPr>
        <w:t>notable</w:t>
      </w:r>
      <w:r w:rsidR="00877AFC" w:rsidRPr="008756A4">
        <w:rPr>
          <w:rFonts w:asciiTheme="majorBidi" w:hAnsiTheme="majorBidi" w:cstheme="majorBidi"/>
          <w:b/>
          <w:bCs/>
        </w:rPr>
        <w:t xml:space="preserve"> portion of the construction for the program </w:t>
      </w:r>
      <w:r w:rsidR="00FF38F0" w:rsidRPr="008756A4">
        <w:rPr>
          <w:rFonts w:asciiTheme="majorBidi" w:hAnsiTheme="majorBidi" w:cstheme="majorBidi"/>
          <w:b/>
          <w:bCs/>
        </w:rPr>
        <w:t>exclusively</w:t>
      </w:r>
      <w:r w:rsidR="00877AFC" w:rsidRPr="008756A4">
        <w:rPr>
          <w:rFonts w:asciiTheme="majorBidi" w:hAnsiTheme="majorBidi" w:cstheme="majorBidi"/>
          <w:b/>
          <w:bCs/>
        </w:rPr>
        <w:t xml:space="preserve">, the </w:t>
      </w:r>
      <w:r w:rsidR="00FF38F0" w:rsidRPr="008756A4">
        <w:rPr>
          <w:rFonts w:asciiTheme="majorBidi" w:hAnsiTheme="majorBidi" w:cstheme="majorBidi"/>
          <w:b/>
          <w:bCs/>
        </w:rPr>
        <w:t>probability</w:t>
      </w:r>
      <w:r w:rsidR="00877AFC" w:rsidRPr="008756A4">
        <w:rPr>
          <w:rFonts w:asciiTheme="majorBidi" w:hAnsiTheme="majorBidi" w:cstheme="majorBidi"/>
          <w:b/>
          <w:bCs/>
        </w:rPr>
        <w:t xml:space="preserve"> of </w:t>
      </w:r>
      <w:r w:rsidR="00FF38F0" w:rsidRPr="008756A4">
        <w:rPr>
          <w:rFonts w:asciiTheme="majorBidi" w:hAnsiTheme="majorBidi" w:cstheme="majorBidi"/>
          <w:b/>
          <w:bCs/>
        </w:rPr>
        <w:t>families</w:t>
      </w:r>
      <w:r w:rsidR="00877AFC" w:rsidRPr="008756A4">
        <w:rPr>
          <w:rFonts w:asciiTheme="majorBidi" w:hAnsiTheme="majorBidi" w:cstheme="majorBidi"/>
          <w:b/>
          <w:bCs/>
        </w:rPr>
        <w:t xml:space="preserve"> that </w:t>
      </w:r>
      <w:r w:rsidR="00FF38F0" w:rsidRPr="008756A4">
        <w:rPr>
          <w:rFonts w:asciiTheme="majorBidi" w:hAnsiTheme="majorBidi" w:cstheme="majorBidi"/>
          <w:b/>
          <w:bCs/>
        </w:rPr>
        <w:t>did</w:t>
      </w:r>
      <w:r w:rsidR="00877AFC" w:rsidRPr="008756A4">
        <w:rPr>
          <w:rFonts w:asciiTheme="majorBidi" w:hAnsiTheme="majorBidi" w:cstheme="majorBidi"/>
          <w:b/>
          <w:bCs/>
        </w:rPr>
        <w:t xml:space="preserve"> not win the lotteries was maintained.</w:t>
      </w:r>
    </w:p>
    <w:p w:rsidR="00AD2F60" w:rsidRPr="008756A4" w:rsidRDefault="00AD2F60" w:rsidP="00A945A1">
      <w:pPr>
        <w:bidi w:val="0"/>
        <w:jc w:val="both"/>
        <w:rPr>
          <w:rFonts w:asciiTheme="majorBidi" w:hAnsiTheme="majorBidi" w:cstheme="majorBidi"/>
          <w:b/>
          <w:bCs/>
        </w:rPr>
      </w:pPr>
    </w:p>
    <w:p w:rsidR="00AD2F60" w:rsidRPr="008756A4" w:rsidRDefault="00AD2F60" w:rsidP="00060747">
      <w:pPr>
        <w:pStyle w:val="aa"/>
        <w:numPr>
          <w:ilvl w:val="0"/>
          <w:numId w:val="7"/>
        </w:numPr>
        <w:ind w:left="360"/>
        <w:jc w:val="both"/>
        <w:rPr>
          <w:rFonts w:asciiTheme="majorBidi" w:hAnsiTheme="majorBidi" w:cstheme="majorBidi"/>
          <w:b/>
          <w:bCs/>
        </w:rPr>
      </w:pPr>
      <w:r w:rsidRPr="008756A4">
        <w:rPr>
          <w:rFonts w:asciiTheme="majorBidi" w:hAnsiTheme="majorBidi" w:cstheme="majorBidi"/>
          <w:b/>
          <w:bCs/>
        </w:rPr>
        <w:t>The probability of buying a home increased between the years 2012–15</w:t>
      </w:r>
      <w:r w:rsidR="003200CB" w:rsidRPr="008756A4">
        <w:rPr>
          <w:rFonts w:asciiTheme="majorBidi" w:hAnsiTheme="majorBidi" w:cstheme="majorBidi"/>
          <w:b/>
          <w:bCs/>
        </w:rPr>
        <w:t xml:space="preserve"> and 2016–19 in all income quintiles, but the probability </w:t>
      </w:r>
      <w:r w:rsidR="008B6826" w:rsidRPr="008756A4">
        <w:rPr>
          <w:rFonts w:asciiTheme="majorBidi" w:hAnsiTheme="majorBidi" w:cstheme="majorBidi"/>
          <w:b/>
          <w:bCs/>
        </w:rPr>
        <w:t xml:space="preserve">in </w:t>
      </w:r>
      <w:r w:rsidR="003200CB" w:rsidRPr="008756A4">
        <w:rPr>
          <w:rFonts w:asciiTheme="majorBidi" w:hAnsiTheme="majorBidi" w:cstheme="majorBidi"/>
          <w:b/>
          <w:bCs/>
        </w:rPr>
        <w:t>the upper quintiles increase</w:t>
      </w:r>
      <w:r w:rsidR="008B6826" w:rsidRPr="008756A4">
        <w:rPr>
          <w:rFonts w:asciiTheme="majorBidi" w:hAnsiTheme="majorBidi" w:cstheme="majorBidi"/>
          <w:b/>
          <w:bCs/>
        </w:rPr>
        <w:t>d</w:t>
      </w:r>
      <w:r w:rsidR="003200CB" w:rsidRPr="008756A4">
        <w:rPr>
          <w:rFonts w:asciiTheme="majorBidi" w:hAnsiTheme="majorBidi" w:cstheme="majorBidi"/>
          <w:b/>
          <w:bCs/>
        </w:rPr>
        <w:t xml:space="preserve"> more. Therefore, the gap in the probability of buying a home between the upper quintile and the other quintiles, particularly</w:t>
      </w:r>
      <w:r w:rsidR="008B6826" w:rsidRPr="008756A4">
        <w:rPr>
          <w:rFonts w:asciiTheme="majorBidi" w:hAnsiTheme="majorBidi" w:cstheme="majorBidi"/>
          <w:b/>
          <w:bCs/>
        </w:rPr>
        <w:t xml:space="preserve"> the bottom one, widened.</w:t>
      </w:r>
    </w:p>
    <w:p w:rsidR="003200CB" w:rsidRPr="008756A4" w:rsidRDefault="003200CB" w:rsidP="00A945A1">
      <w:pPr>
        <w:bidi w:val="0"/>
        <w:jc w:val="both"/>
        <w:rPr>
          <w:rFonts w:asciiTheme="majorBidi" w:hAnsiTheme="majorBidi" w:cstheme="majorBidi"/>
          <w:b/>
          <w:bCs/>
        </w:rPr>
      </w:pPr>
    </w:p>
    <w:p w:rsidR="003200CB" w:rsidRPr="008756A4" w:rsidRDefault="003200CB" w:rsidP="00060747">
      <w:pPr>
        <w:pStyle w:val="aa"/>
        <w:numPr>
          <w:ilvl w:val="0"/>
          <w:numId w:val="7"/>
        </w:numPr>
        <w:ind w:left="360"/>
        <w:jc w:val="both"/>
        <w:rPr>
          <w:rFonts w:asciiTheme="majorBidi" w:hAnsiTheme="majorBidi" w:cstheme="majorBidi"/>
          <w:b/>
          <w:bCs/>
        </w:rPr>
      </w:pPr>
      <w:r w:rsidRPr="008756A4">
        <w:rPr>
          <w:rFonts w:asciiTheme="majorBidi" w:hAnsiTheme="majorBidi" w:cstheme="majorBidi"/>
          <w:b/>
          <w:bCs/>
        </w:rPr>
        <w:t xml:space="preserve">The Buyer’s Price program, </w:t>
      </w:r>
      <w:r w:rsidRPr="00AD7F5D">
        <w:rPr>
          <w:rFonts w:asciiTheme="majorBidi" w:hAnsiTheme="majorBidi" w:cstheme="majorBidi"/>
          <w:b/>
          <w:bCs/>
        </w:rPr>
        <w:t>which was operated</w:t>
      </w:r>
      <w:r w:rsidRPr="008756A4">
        <w:rPr>
          <w:rFonts w:asciiTheme="majorBidi" w:hAnsiTheme="majorBidi" w:cstheme="majorBidi"/>
          <w:b/>
          <w:bCs/>
        </w:rPr>
        <w:t xml:space="preserve"> in 2016–</w:t>
      </w:r>
      <w:r w:rsidR="00A945A1" w:rsidRPr="008756A4">
        <w:rPr>
          <w:rFonts w:asciiTheme="majorBidi" w:hAnsiTheme="majorBidi" w:cstheme="majorBidi"/>
          <w:b/>
          <w:bCs/>
        </w:rPr>
        <w:t>1</w:t>
      </w:r>
      <w:r w:rsidRPr="008756A4">
        <w:rPr>
          <w:rFonts w:asciiTheme="majorBidi" w:hAnsiTheme="majorBidi" w:cstheme="majorBidi"/>
          <w:b/>
          <w:bCs/>
        </w:rPr>
        <w:t>9</w:t>
      </w:r>
      <w:r w:rsidR="005A5959" w:rsidRPr="008756A4">
        <w:rPr>
          <w:rFonts w:asciiTheme="majorBidi" w:hAnsiTheme="majorBidi" w:cstheme="majorBidi"/>
          <w:b/>
          <w:bCs/>
        </w:rPr>
        <w:t>, enabled those who were eligible</w:t>
      </w:r>
      <w:r w:rsidR="00A945A1" w:rsidRPr="008756A4">
        <w:rPr>
          <w:rFonts w:asciiTheme="majorBidi" w:hAnsiTheme="majorBidi" w:cstheme="majorBidi"/>
          <w:b/>
          <w:bCs/>
        </w:rPr>
        <w:t>,</w:t>
      </w:r>
      <w:r w:rsidR="005A5959" w:rsidRPr="008756A4">
        <w:rPr>
          <w:rFonts w:asciiTheme="majorBidi" w:hAnsiTheme="majorBidi" w:cstheme="majorBidi"/>
          <w:b/>
          <w:bCs/>
        </w:rPr>
        <w:t xml:space="preserve"> to participate in lotteries, with the winners bein</w:t>
      </w:r>
      <w:r w:rsidR="00060747">
        <w:rPr>
          <w:rFonts w:asciiTheme="majorBidi" w:hAnsiTheme="majorBidi" w:cstheme="majorBidi"/>
          <w:b/>
          <w:bCs/>
        </w:rPr>
        <w:t>g</w:t>
      </w:r>
      <w:r w:rsidR="005A5959" w:rsidRPr="008756A4">
        <w:rPr>
          <w:rFonts w:asciiTheme="majorBidi" w:hAnsiTheme="majorBidi" w:cstheme="majorBidi"/>
          <w:b/>
          <w:bCs/>
        </w:rPr>
        <w:t xml:space="preserve"> granted a discount on the price of the home they bought. The percentage of married people and the percentage of families with children among the “Buyer’s Price” buyers was high compared to buyers in the </w:t>
      </w:r>
      <w:r w:rsidR="00BE5BBB">
        <w:rPr>
          <w:rFonts w:asciiTheme="majorBidi" w:hAnsiTheme="majorBidi" w:cstheme="majorBidi"/>
          <w:b/>
          <w:bCs/>
        </w:rPr>
        <w:t>open</w:t>
      </w:r>
      <w:r w:rsidR="005A5959" w:rsidRPr="008756A4">
        <w:rPr>
          <w:rFonts w:asciiTheme="majorBidi" w:hAnsiTheme="majorBidi" w:cstheme="majorBidi"/>
          <w:b/>
          <w:bCs/>
        </w:rPr>
        <w:t xml:space="preserve"> market, in accordance with the terms of eligibility.</w:t>
      </w:r>
    </w:p>
    <w:p w:rsidR="00E6349C" w:rsidRPr="008756A4" w:rsidRDefault="00E6349C" w:rsidP="00A945A1">
      <w:pPr>
        <w:bidi w:val="0"/>
        <w:jc w:val="both"/>
        <w:rPr>
          <w:rFonts w:asciiTheme="majorBidi" w:hAnsiTheme="majorBidi" w:cstheme="majorBidi"/>
          <w:b/>
          <w:bCs/>
        </w:rPr>
      </w:pPr>
    </w:p>
    <w:p w:rsidR="00AA25D9" w:rsidRPr="008756A4" w:rsidRDefault="00E6349C" w:rsidP="00A945A1">
      <w:pPr>
        <w:pStyle w:val="aa"/>
        <w:numPr>
          <w:ilvl w:val="0"/>
          <w:numId w:val="7"/>
        </w:numPr>
        <w:ind w:left="360"/>
        <w:jc w:val="both"/>
        <w:rPr>
          <w:rFonts w:asciiTheme="majorBidi" w:hAnsiTheme="majorBidi" w:cstheme="majorBidi"/>
          <w:b/>
          <w:bCs/>
        </w:rPr>
      </w:pPr>
      <w:r w:rsidRPr="008756A4">
        <w:rPr>
          <w:rFonts w:asciiTheme="majorBidi" w:hAnsiTheme="majorBidi" w:cstheme="majorBidi"/>
          <w:b/>
          <w:bCs/>
        </w:rPr>
        <w:t xml:space="preserve">A comparison of the average household income among “Buyer’s Price” buyers with that of buyers in the </w:t>
      </w:r>
      <w:r w:rsidR="00BE5BBB">
        <w:rPr>
          <w:rFonts w:asciiTheme="majorBidi" w:hAnsiTheme="majorBidi" w:cstheme="majorBidi"/>
          <w:b/>
          <w:bCs/>
        </w:rPr>
        <w:t>open</w:t>
      </w:r>
      <w:r w:rsidRPr="008756A4">
        <w:rPr>
          <w:rFonts w:asciiTheme="majorBidi" w:hAnsiTheme="majorBidi" w:cstheme="majorBidi"/>
          <w:b/>
          <w:bCs/>
        </w:rPr>
        <w:t xml:space="preserve"> market, among married people, does not show a </w:t>
      </w:r>
      <w:r w:rsidR="00323E65" w:rsidRPr="008756A4">
        <w:rPr>
          <w:rFonts w:asciiTheme="majorBidi" w:hAnsiTheme="majorBidi" w:cstheme="majorBidi"/>
          <w:b/>
          <w:bCs/>
        </w:rPr>
        <w:t xml:space="preserve">substantial </w:t>
      </w:r>
      <w:r w:rsidRPr="008756A4">
        <w:rPr>
          <w:rFonts w:asciiTheme="majorBidi" w:hAnsiTheme="majorBidi" w:cstheme="majorBidi"/>
          <w:b/>
          <w:bCs/>
        </w:rPr>
        <w:t>difference.</w:t>
      </w:r>
    </w:p>
    <w:p w:rsidR="00323E65" w:rsidRPr="00C010F3" w:rsidRDefault="00323E65" w:rsidP="00C010F3">
      <w:pPr>
        <w:bidi w:val="0"/>
        <w:jc w:val="both"/>
        <w:rPr>
          <w:rFonts w:asciiTheme="majorBidi" w:hAnsiTheme="majorBidi" w:cstheme="majorBidi"/>
        </w:rPr>
      </w:pPr>
    </w:p>
    <w:p w:rsidR="00323E65" w:rsidRPr="00C010F3" w:rsidRDefault="00323E65" w:rsidP="00845ED9">
      <w:pPr>
        <w:bidi w:val="0"/>
        <w:jc w:val="both"/>
        <w:rPr>
          <w:rFonts w:asciiTheme="majorBidi" w:hAnsiTheme="majorBidi" w:cstheme="majorBidi"/>
        </w:rPr>
      </w:pPr>
      <w:r w:rsidRPr="00C010F3">
        <w:rPr>
          <w:rFonts w:asciiTheme="majorBidi" w:hAnsiTheme="majorBidi" w:cstheme="majorBidi"/>
        </w:rPr>
        <w:t xml:space="preserve">Due to the continued increase </w:t>
      </w:r>
      <w:r w:rsidRPr="00AD7F5D">
        <w:rPr>
          <w:rFonts w:asciiTheme="majorBidi" w:hAnsiTheme="majorBidi" w:cstheme="majorBidi"/>
        </w:rPr>
        <w:t>in housing prices in 2008–15, the affordability of owner-occupied housing became one</w:t>
      </w:r>
      <w:r w:rsidRPr="00C010F3">
        <w:rPr>
          <w:rFonts w:asciiTheme="majorBidi" w:hAnsiTheme="majorBidi" w:cstheme="majorBidi"/>
        </w:rPr>
        <w:t xml:space="preserve"> of the main goals of the government. As such, the </w:t>
      </w:r>
      <w:r w:rsidRPr="00C010F3">
        <w:rPr>
          <w:rFonts w:asciiTheme="majorBidi" w:hAnsiTheme="majorBidi" w:cstheme="majorBidi"/>
        </w:rPr>
        <w:lastRenderedPageBreak/>
        <w:t xml:space="preserve">government and its institutions took a series of steps to expand the </w:t>
      </w:r>
      <w:r w:rsidR="00FF38F0" w:rsidRPr="00C010F3">
        <w:rPr>
          <w:rFonts w:asciiTheme="majorBidi" w:hAnsiTheme="majorBidi" w:cstheme="majorBidi"/>
        </w:rPr>
        <w:t>supply</w:t>
      </w:r>
      <w:r w:rsidR="00FF38F0">
        <w:rPr>
          <w:rFonts w:asciiTheme="majorBidi" w:hAnsiTheme="majorBidi" w:cstheme="majorBidi"/>
        </w:rPr>
        <w:t xml:space="preserve"> of ho</w:t>
      </w:r>
      <w:r w:rsidRPr="00C010F3">
        <w:rPr>
          <w:rFonts w:asciiTheme="majorBidi" w:hAnsiTheme="majorBidi" w:cstheme="majorBidi"/>
        </w:rPr>
        <w:t xml:space="preserve">using and to reduce the price for buyers. Alongside the marked increase in the scope of construction, a main step that the </w:t>
      </w:r>
      <w:r w:rsidR="00FF38F0" w:rsidRPr="00C010F3">
        <w:rPr>
          <w:rFonts w:asciiTheme="majorBidi" w:hAnsiTheme="majorBidi" w:cstheme="majorBidi"/>
        </w:rPr>
        <w:t>government</w:t>
      </w:r>
      <w:r w:rsidRPr="00C010F3">
        <w:rPr>
          <w:rFonts w:asciiTheme="majorBidi" w:hAnsiTheme="majorBidi" w:cstheme="majorBidi"/>
        </w:rPr>
        <w:t xml:space="preserve"> took to reduce the price </w:t>
      </w:r>
      <w:r w:rsidR="00FF38F0">
        <w:rPr>
          <w:rFonts w:asciiTheme="majorBidi" w:hAnsiTheme="majorBidi" w:cstheme="majorBidi"/>
        </w:rPr>
        <w:t xml:space="preserve">directly </w:t>
      </w:r>
      <w:r w:rsidRPr="00C010F3">
        <w:rPr>
          <w:rFonts w:asciiTheme="majorBidi" w:hAnsiTheme="majorBidi" w:cstheme="majorBidi"/>
        </w:rPr>
        <w:t xml:space="preserve">was operating the “Buyer’s Price” program at the end of 2015 with the goal of assisting </w:t>
      </w:r>
      <w:r w:rsidR="00FF38F0" w:rsidRPr="00C010F3">
        <w:rPr>
          <w:rFonts w:asciiTheme="majorBidi" w:hAnsiTheme="majorBidi" w:cstheme="majorBidi"/>
        </w:rPr>
        <w:t>households</w:t>
      </w:r>
      <w:r w:rsidR="00FF38F0">
        <w:rPr>
          <w:rFonts w:asciiTheme="majorBidi" w:hAnsiTheme="majorBidi" w:cstheme="majorBidi"/>
        </w:rPr>
        <w:t xml:space="preserve"> that do not own a home to p</w:t>
      </w:r>
      <w:r w:rsidRPr="00C010F3">
        <w:rPr>
          <w:rFonts w:asciiTheme="majorBidi" w:hAnsiTheme="majorBidi" w:cstheme="majorBidi"/>
        </w:rPr>
        <w:t>urch</w:t>
      </w:r>
      <w:r w:rsidR="00FF38F0">
        <w:rPr>
          <w:rFonts w:asciiTheme="majorBidi" w:hAnsiTheme="majorBidi" w:cstheme="majorBidi"/>
        </w:rPr>
        <w:t>ase</w:t>
      </w:r>
      <w:r w:rsidRPr="00C010F3">
        <w:rPr>
          <w:rFonts w:asciiTheme="majorBidi" w:hAnsiTheme="majorBidi" w:cstheme="majorBidi"/>
        </w:rPr>
        <w:t xml:space="preserve"> one. Within the </w:t>
      </w:r>
      <w:r w:rsidR="00FF38F0" w:rsidRPr="00C010F3">
        <w:rPr>
          <w:rFonts w:asciiTheme="majorBidi" w:hAnsiTheme="majorBidi" w:cstheme="majorBidi"/>
        </w:rPr>
        <w:t>framework</w:t>
      </w:r>
      <w:r w:rsidRPr="00C010F3">
        <w:rPr>
          <w:rFonts w:asciiTheme="majorBidi" w:hAnsiTheme="majorBidi" w:cstheme="majorBidi"/>
        </w:rPr>
        <w:t xml:space="preserve"> of this program, the State </w:t>
      </w:r>
      <w:r w:rsidR="00FF38F0" w:rsidRPr="00C010F3">
        <w:rPr>
          <w:rFonts w:asciiTheme="majorBidi" w:hAnsiTheme="majorBidi" w:cstheme="majorBidi"/>
        </w:rPr>
        <w:t>marketed</w:t>
      </w:r>
      <w:r w:rsidR="00FF38F0">
        <w:rPr>
          <w:rFonts w:asciiTheme="majorBidi" w:hAnsiTheme="majorBidi" w:cstheme="majorBidi"/>
        </w:rPr>
        <w:t xml:space="preserve"> lands at a subsi</w:t>
      </w:r>
      <w:r w:rsidRPr="00C010F3">
        <w:rPr>
          <w:rFonts w:asciiTheme="majorBidi" w:hAnsiTheme="majorBidi" w:cstheme="majorBidi"/>
        </w:rPr>
        <w:t>di</w:t>
      </w:r>
      <w:r w:rsidR="00FF38F0">
        <w:rPr>
          <w:rFonts w:asciiTheme="majorBidi" w:hAnsiTheme="majorBidi" w:cstheme="majorBidi"/>
        </w:rPr>
        <w:t>z</w:t>
      </w:r>
      <w:r w:rsidRPr="00C010F3">
        <w:rPr>
          <w:rFonts w:asciiTheme="majorBidi" w:hAnsiTheme="majorBidi" w:cstheme="majorBidi"/>
        </w:rPr>
        <w:t>ed price to the entrepreneur offer</w:t>
      </w:r>
      <w:r w:rsidR="00845ED9">
        <w:rPr>
          <w:rFonts w:asciiTheme="majorBidi" w:hAnsiTheme="majorBidi" w:cstheme="majorBidi"/>
        </w:rPr>
        <w:t xml:space="preserve">ing </w:t>
      </w:r>
      <w:r w:rsidRPr="00C010F3">
        <w:rPr>
          <w:rFonts w:asciiTheme="majorBidi" w:hAnsiTheme="majorBidi" w:cstheme="majorBidi"/>
        </w:rPr>
        <w:t>the lowest final home price, and the eligibi</w:t>
      </w:r>
      <w:r w:rsidR="00FF38F0">
        <w:rPr>
          <w:rFonts w:asciiTheme="majorBidi" w:hAnsiTheme="majorBidi" w:cstheme="majorBidi"/>
        </w:rPr>
        <w:t>lity</w:t>
      </w:r>
      <w:r w:rsidR="00845ED9">
        <w:rPr>
          <w:rFonts w:asciiTheme="majorBidi" w:hAnsiTheme="majorBidi" w:cstheme="majorBidi"/>
        </w:rPr>
        <w:t>,</w:t>
      </w:r>
      <w:r w:rsidR="00FF38F0">
        <w:rPr>
          <w:rFonts w:asciiTheme="majorBidi" w:hAnsiTheme="majorBidi" w:cstheme="majorBidi"/>
        </w:rPr>
        <w:t xml:space="preserve"> </w:t>
      </w:r>
      <w:r w:rsidR="00845ED9">
        <w:rPr>
          <w:rFonts w:asciiTheme="majorBidi" w:hAnsiTheme="majorBidi" w:cstheme="majorBidi"/>
        </w:rPr>
        <w:t xml:space="preserve">which was limited </w:t>
      </w:r>
      <w:r w:rsidRPr="00C010F3">
        <w:rPr>
          <w:rFonts w:asciiTheme="majorBidi" w:hAnsiTheme="majorBidi" w:cstheme="majorBidi"/>
        </w:rPr>
        <w:t>in quantity</w:t>
      </w:r>
      <w:r w:rsidR="00845ED9">
        <w:rPr>
          <w:rFonts w:asciiTheme="majorBidi" w:hAnsiTheme="majorBidi" w:cstheme="majorBidi"/>
        </w:rPr>
        <w:t>,</w:t>
      </w:r>
      <w:r w:rsidRPr="00C010F3">
        <w:rPr>
          <w:rFonts w:asciiTheme="majorBidi" w:hAnsiTheme="majorBidi" w:cstheme="majorBidi"/>
        </w:rPr>
        <w:t xml:space="preserve"> to buy </w:t>
      </w:r>
      <w:r w:rsidR="00FF38F0" w:rsidRPr="00C010F3">
        <w:rPr>
          <w:rFonts w:asciiTheme="majorBidi" w:hAnsiTheme="majorBidi" w:cstheme="majorBidi"/>
        </w:rPr>
        <w:t>such</w:t>
      </w:r>
      <w:r w:rsidRPr="00C010F3">
        <w:rPr>
          <w:rFonts w:asciiTheme="majorBidi" w:hAnsiTheme="majorBidi" w:cstheme="majorBidi"/>
        </w:rPr>
        <w:t xml:space="preserve"> a </w:t>
      </w:r>
      <w:r w:rsidR="00FF38F0" w:rsidRPr="00C010F3">
        <w:rPr>
          <w:rFonts w:asciiTheme="majorBidi" w:hAnsiTheme="majorBidi" w:cstheme="majorBidi"/>
        </w:rPr>
        <w:t>home</w:t>
      </w:r>
      <w:r w:rsidRPr="00C010F3">
        <w:rPr>
          <w:rFonts w:asciiTheme="majorBidi" w:hAnsiTheme="majorBidi" w:cstheme="majorBidi"/>
        </w:rPr>
        <w:t xml:space="preserve"> was granted </w:t>
      </w:r>
      <w:r w:rsidR="00845ED9">
        <w:rPr>
          <w:rFonts w:asciiTheme="majorBidi" w:hAnsiTheme="majorBidi" w:cstheme="majorBidi"/>
        </w:rPr>
        <w:t xml:space="preserve">through </w:t>
      </w:r>
      <w:r w:rsidRPr="00C010F3">
        <w:rPr>
          <w:rFonts w:asciiTheme="majorBidi" w:hAnsiTheme="majorBidi" w:cstheme="majorBidi"/>
        </w:rPr>
        <w:t xml:space="preserve">a lottery among the </w:t>
      </w:r>
      <w:r w:rsidR="00FF38F0" w:rsidRPr="00C010F3">
        <w:rPr>
          <w:rFonts w:asciiTheme="majorBidi" w:hAnsiTheme="majorBidi" w:cstheme="majorBidi"/>
        </w:rPr>
        <w:t>eligible</w:t>
      </w:r>
      <w:r w:rsidRPr="00C010F3">
        <w:rPr>
          <w:rFonts w:asciiTheme="majorBidi" w:hAnsiTheme="majorBidi" w:cstheme="majorBidi"/>
        </w:rPr>
        <w:t xml:space="preserve"> </w:t>
      </w:r>
      <w:r w:rsidR="00FF38F0" w:rsidRPr="00C010F3">
        <w:rPr>
          <w:rFonts w:asciiTheme="majorBidi" w:hAnsiTheme="majorBidi" w:cstheme="majorBidi"/>
        </w:rPr>
        <w:t>population</w:t>
      </w:r>
      <w:r w:rsidRPr="00C010F3">
        <w:rPr>
          <w:rFonts w:asciiTheme="majorBidi" w:hAnsiTheme="majorBidi" w:cstheme="majorBidi"/>
        </w:rPr>
        <w:t>.</w:t>
      </w:r>
    </w:p>
    <w:p w:rsidR="00323E65" w:rsidRPr="00C010F3" w:rsidRDefault="00323E65" w:rsidP="00C010F3">
      <w:pPr>
        <w:bidi w:val="0"/>
        <w:jc w:val="both"/>
        <w:rPr>
          <w:rFonts w:asciiTheme="majorBidi" w:hAnsiTheme="majorBidi" w:cstheme="majorBidi"/>
        </w:rPr>
      </w:pPr>
    </w:p>
    <w:p w:rsidR="00F02041" w:rsidRPr="00C010F3" w:rsidRDefault="00323E65" w:rsidP="00C33772">
      <w:pPr>
        <w:bidi w:val="0"/>
        <w:jc w:val="both"/>
        <w:rPr>
          <w:rFonts w:asciiTheme="majorBidi" w:hAnsiTheme="majorBidi" w:cstheme="majorBidi"/>
        </w:rPr>
      </w:pPr>
      <w:r w:rsidRPr="00C010F3">
        <w:rPr>
          <w:rFonts w:asciiTheme="majorBidi" w:hAnsiTheme="majorBidi" w:cstheme="majorBidi"/>
        </w:rPr>
        <w:t xml:space="preserve">Research </w:t>
      </w:r>
      <w:r w:rsidR="00FF38F0" w:rsidRPr="00C010F3">
        <w:rPr>
          <w:rFonts w:asciiTheme="majorBidi" w:hAnsiTheme="majorBidi" w:cstheme="majorBidi"/>
        </w:rPr>
        <w:t>conducted</w:t>
      </w:r>
      <w:r w:rsidRPr="00C010F3">
        <w:rPr>
          <w:rFonts w:asciiTheme="majorBidi" w:hAnsiTheme="majorBidi" w:cstheme="majorBidi"/>
        </w:rPr>
        <w:t xml:space="preserve"> by Dr. Darin </w:t>
      </w:r>
      <w:r w:rsidR="00C33772">
        <w:rPr>
          <w:rFonts w:asciiTheme="majorBidi" w:hAnsiTheme="majorBidi" w:cstheme="majorBidi"/>
        </w:rPr>
        <w:t>Va</w:t>
      </w:r>
      <w:r w:rsidRPr="00C010F3">
        <w:rPr>
          <w:rFonts w:asciiTheme="majorBidi" w:hAnsiTheme="majorBidi" w:cstheme="majorBidi"/>
        </w:rPr>
        <w:t xml:space="preserve">isman of the Bank of Israel Research Department examined the effect of the </w:t>
      </w:r>
      <w:r w:rsidR="00FF38F0" w:rsidRPr="00C010F3">
        <w:rPr>
          <w:rFonts w:asciiTheme="majorBidi" w:hAnsiTheme="majorBidi" w:cstheme="majorBidi"/>
        </w:rPr>
        <w:t>government’s</w:t>
      </w:r>
      <w:r w:rsidRPr="00C010F3">
        <w:rPr>
          <w:rFonts w:asciiTheme="majorBidi" w:hAnsiTheme="majorBidi" w:cstheme="majorBidi"/>
        </w:rPr>
        <w:t xml:space="preserve"> </w:t>
      </w:r>
      <w:r w:rsidR="00FF38F0" w:rsidRPr="00C010F3">
        <w:rPr>
          <w:rFonts w:asciiTheme="majorBidi" w:hAnsiTheme="majorBidi" w:cstheme="majorBidi"/>
        </w:rPr>
        <w:t>policy</w:t>
      </w:r>
      <w:r w:rsidRPr="00C010F3">
        <w:rPr>
          <w:rFonts w:asciiTheme="majorBidi" w:hAnsiTheme="majorBidi" w:cstheme="majorBidi"/>
        </w:rPr>
        <w:t xml:space="preserve"> in the construction area</w:t>
      </w:r>
      <w:r w:rsidR="005B585F" w:rsidRPr="00C010F3">
        <w:rPr>
          <w:rFonts w:asciiTheme="majorBidi" w:hAnsiTheme="majorBidi" w:cstheme="majorBidi"/>
        </w:rPr>
        <w:t xml:space="preserve"> and the subsidy of the homes for </w:t>
      </w:r>
      <w:r w:rsidR="00FF38F0" w:rsidRPr="00C010F3">
        <w:rPr>
          <w:rFonts w:asciiTheme="majorBidi" w:hAnsiTheme="majorBidi" w:cstheme="majorBidi"/>
        </w:rPr>
        <w:t>households</w:t>
      </w:r>
      <w:r w:rsidR="005B585F" w:rsidRPr="00C010F3">
        <w:rPr>
          <w:rFonts w:asciiTheme="majorBidi" w:hAnsiTheme="majorBidi" w:cstheme="majorBidi"/>
        </w:rPr>
        <w:t xml:space="preserve"> that previously did not own a home. In the first part of the research, the socioeconomic </w:t>
      </w:r>
      <w:r w:rsidR="00FF38F0" w:rsidRPr="00C010F3">
        <w:rPr>
          <w:rFonts w:asciiTheme="majorBidi" w:hAnsiTheme="majorBidi" w:cstheme="majorBidi"/>
        </w:rPr>
        <w:t>characteristics</w:t>
      </w:r>
      <w:r w:rsidR="005B585F" w:rsidRPr="00C010F3">
        <w:rPr>
          <w:rFonts w:asciiTheme="majorBidi" w:hAnsiTheme="majorBidi" w:cstheme="majorBidi"/>
        </w:rPr>
        <w:t xml:space="preserve"> —such as age, family status, and income—of first home buyers in 2016–19 compared to the years 2015–15</w:t>
      </w:r>
      <w:r w:rsidR="002B343A">
        <w:rPr>
          <w:rFonts w:asciiTheme="majorBidi" w:hAnsiTheme="majorBidi" w:cstheme="majorBidi"/>
        </w:rPr>
        <w:t xml:space="preserve"> were examined</w:t>
      </w:r>
      <w:r w:rsidR="005B585F" w:rsidRPr="00C010F3">
        <w:rPr>
          <w:rFonts w:asciiTheme="majorBidi" w:hAnsiTheme="majorBidi" w:cstheme="majorBidi"/>
        </w:rPr>
        <w:t>,</w:t>
      </w:r>
      <w:r w:rsidR="002B343A">
        <w:rPr>
          <w:rFonts w:asciiTheme="majorBidi" w:hAnsiTheme="majorBidi" w:cstheme="majorBidi"/>
        </w:rPr>
        <w:t xml:space="preserve"> </w:t>
      </w:r>
      <w:r w:rsidR="005B585F" w:rsidRPr="00C010F3">
        <w:rPr>
          <w:rFonts w:asciiTheme="majorBidi" w:hAnsiTheme="majorBidi" w:cstheme="majorBidi"/>
        </w:rPr>
        <w:t>as well as the characteristics of the homes that were purchased.</w:t>
      </w:r>
      <w:r w:rsidR="00D16B9F" w:rsidRPr="00C010F3">
        <w:rPr>
          <w:rFonts w:asciiTheme="majorBidi" w:hAnsiTheme="majorBidi" w:cstheme="majorBidi"/>
        </w:rPr>
        <w:t xml:space="preserve"> For the years 2016–19, a distinction was made between </w:t>
      </w:r>
      <w:r w:rsidR="003D4C55" w:rsidRPr="00C010F3">
        <w:rPr>
          <w:rFonts w:asciiTheme="majorBidi" w:hAnsiTheme="majorBidi" w:cstheme="majorBidi"/>
        </w:rPr>
        <w:t xml:space="preserve">first </w:t>
      </w:r>
      <w:r w:rsidR="00D16B9F" w:rsidRPr="00C010F3">
        <w:rPr>
          <w:rFonts w:asciiTheme="majorBidi" w:hAnsiTheme="majorBidi" w:cstheme="majorBidi"/>
        </w:rPr>
        <w:t xml:space="preserve">home </w:t>
      </w:r>
      <w:r w:rsidR="003D4C55" w:rsidRPr="00C010F3">
        <w:rPr>
          <w:rFonts w:asciiTheme="majorBidi" w:hAnsiTheme="majorBidi" w:cstheme="majorBidi"/>
        </w:rPr>
        <w:t>b</w:t>
      </w:r>
      <w:r w:rsidR="00D16B9F" w:rsidRPr="00C010F3">
        <w:rPr>
          <w:rFonts w:asciiTheme="majorBidi" w:hAnsiTheme="majorBidi" w:cstheme="majorBidi"/>
        </w:rPr>
        <w:t xml:space="preserve">uyers </w:t>
      </w:r>
      <w:r w:rsidR="003D4C55" w:rsidRPr="00C010F3">
        <w:rPr>
          <w:rFonts w:asciiTheme="majorBidi" w:hAnsiTheme="majorBidi" w:cstheme="majorBidi"/>
        </w:rPr>
        <w:t xml:space="preserve">within the framework of the “Buyers’ Price” program and buyers on the “open market”. The second part of the research examined the </w:t>
      </w:r>
      <w:r w:rsidR="002B343A">
        <w:rPr>
          <w:rFonts w:asciiTheme="majorBidi" w:hAnsiTheme="majorBidi" w:cstheme="majorBidi"/>
        </w:rPr>
        <w:t xml:space="preserve">changes </w:t>
      </w:r>
      <w:r w:rsidR="003D4C55" w:rsidRPr="00C010F3">
        <w:rPr>
          <w:rFonts w:asciiTheme="majorBidi" w:hAnsiTheme="majorBidi" w:cstheme="majorBidi"/>
        </w:rPr>
        <w:t>that occurred in the probability of households from various</w:t>
      </w:r>
      <w:r w:rsidR="00BC1CEB" w:rsidRPr="00C010F3">
        <w:rPr>
          <w:rFonts w:asciiTheme="majorBidi" w:hAnsiTheme="majorBidi" w:cstheme="majorBidi"/>
        </w:rPr>
        <w:t xml:space="preserve"> groups to purchase a first home in 2016–19 compared with 2012–15.</w:t>
      </w:r>
    </w:p>
    <w:p w:rsidR="00F02041" w:rsidRPr="00C010F3" w:rsidRDefault="00F02041" w:rsidP="00C010F3">
      <w:pPr>
        <w:bidi w:val="0"/>
        <w:jc w:val="both"/>
        <w:rPr>
          <w:rFonts w:asciiTheme="majorBidi" w:hAnsiTheme="majorBidi" w:cstheme="majorBidi"/>
        </w:rPr>
      </w:pPr>
    </w:p>
    <w:p w:rsidR="00F02041" w:rsidRPr="00C010F3" w:rsidRDefault="00F02041" w:rsidP="00C010F3">
      <w:pPr>
        <w:bidi w:val="0"/>
        <w:jc w:val="both"/>
        <w:rPr>
          <w:rFonts w:asciiTheme="majorBidi" w:hAnsiTheme="majorBidi" w:cstheme="majorBidi"/>
        </w:rPr>
      </w:pPr>
      <w:r w:rsidRPr="00C010F3">
        <w:rPr>
          <w:rFonts w:asciiTheme="majorBidi" w:hAnsiTheme="majorBidi" w:cstheme="majorBidi"/>
        </w:rPr>
        <w:t xml:space="preserve">The analysis was made possible due to a unique database, which permits examining, for the first time, the characteristics of </w:t>
      </w:r>
      <w:r w:rsidR="00FF38F0" w:rsidRPr="00C010F3">
        <w:rPr>
          <w:rFonts w:asciiTheme="majorBidi" w:hAnsiTheme="majorBidi" w:cstheme="majorBidi"/>
        </w:rPr>
        <w:t>home</w:t>
      </w:r>
      <w:r w:rsidRPr="00C010F3">
        <w:rPr>
          <w:rFonts w:asciiTheme="majorBidi" w:hAnsiTheme="majorBidi" w:cstheme="majorBidi"/>
        </w:rPr>
        <w:t xml:space="preserve"> buyers within the framework of the Buyer’s Price</w:t>
      </w:r>
      <w:r w:rsidR="002B343A">
        <w:rPr>
          <w:rFonts w:asciiTheme="majorBidi" w:hAnsiTheme="majorBidi" w:cstheme="majorBidi"/>
        </w:rPr>
        <w:t xml:space="preserve"> program,</w:t>
      </w:r>
      <w:r w:rsidRPr="00C010F3">
        <w:rPr>
          <w:rFonts w:asciiTheme="majorBidi" w:hAnsiTheme="majorBidi" w:cstheme="majorBidi"/>
        </w:rPr>
        <w:t xml:space="preserve"> based on a representative sample of the population of employees in Israel.</w:t>
      </w:r>
    </w:p>
    <w:p w:rsidR="00F02041" w:rsidRPr="00C010F3" w:rsidRDefault="00F02041" w:rsidP="00C010F3">
      <w:pPr>
        <w:bidi w:val="0"/>
        <w:jc w:val="both"/>
        <w:rPr>
          <w:rFonts w:asciiTheme="majorBidi" w:hAnsiTheme="majorBidi" w:cstheme="majorBidi"/>
        </w:rPr>
      </w:pPr>
    </w:p>
    <w:p w:rsidR="00323E65" w:rsidRPr="00C010F3" w:rsidRDefault="00F02041" w:rsidP="00FF38F0">
      <w:pPr>
        <w:bidi w:val="0"/>
        <w:jc w:val="both"/>
        <w:rPr>
          <w:rFonts w:asciiTheme="majorBidi" w:hAnsiTheme="majorBidi" w:cstheme="majorBidi"/>
        </w:rPr>
      </w:pPr>
      <w:r w:rsidRPr="00C010F3">
        <w:rPr>
          <w:rFonts w:asciiTheme="majorBidi" w:hAnsiTheme="majorBidi" w:cstheme="majorBidi"/>
        </w:rPr>
        <w:t xml:space="preserve">In the research, it was found that buyers on the open market in 2016–19 were similar in their </w:t>
      </w:r>
      <w:r w:rsidR="00FF38F0" w:rsidRPr="00C010F3">
        <w:rPr>
          <w:rFonts w:asciiTheme="majorBidi" w:hAnsiTheme="majorBidi" w:cstheme="majorBidi"/>
        </w:rPr>
        <w:t>characteristics</w:t>
      </w:r>
      <w:r w:rsidRPr="00C010F3">
        <w:rPr>
          <w:rFonts w:asciiTheme="majorBidi" w:hAnsiTheme="majorBidi" w:cstheme="majorBidi"/>
        </w:rPr>
        <w:t xml:space="preserve"> to buyers in 2012–2015 (Table 1). However, the </w:t>
      </w:r>
      <w:r w:rsidR="00FF38F0" w:rsidRPr="00C010F3">
        <w:rPr>
          <w:rFonts w:asciiTheme="majorBidi" w:hAnsiTheme="majorBidi" w:cstheme="majorBidi"/>
        </w:rPr>
        <w:t>characteristics</w:t>
      </w:r>
      <w:r w:rsidRPr="00C010F3">
        <w:rPr>
          <w:rFonts w:asciiTheme="majorBidi" w:hAnsiTheme="majorBidi" w:cstheme="majorBidi"/>
        </w:rPr>
        <w:t xml:space="preserve"> of </w:t>
      </w:r>
      <w:r w:rsidR="00FF38F0" w:rsidRPr="00C010F3">
        <w:rPr>
          <w:rFonts w:asciiTheme="majorBidi" w:hAnsiTheme="majorBidi" w:cstheme="majorBidi"/>
        </w:rPr>
        <w:t>buyers</w:t>
      </w:r>
      <w:r w:rsidRPr="00C010F3">
        <w:rPr>
          <w:rFonts w:asciiTheme="majorBidi" w:hAnsiTheme="majorBidi" w:cstheme="majorBidi"/>
        </w:rPr>
        <w:t xml:space="preserve"> within the framework of </w:t>
      </w:r>
      <w:r w:rsidR="005D1356">
        <w:rPr>
          <w:rFonts w:asciiTheme="majorBidi" w:hAnsiTheme="majorBidi" w:cstheme="majorBidi"/>
        </w:rPr>
        <w:t xml:space="preserve">the </w:t>
      </w:r>
      <w:r w:rsidRPr="00C010F3">
        <w:rPr>
          <w:rFonts w:asciiTheme="majorBidi" w:hAnsiTheme="majorBidi" w:cstheme="majorBidi"/>
        </w:rPr>
        <w:t xml:space="preserve">“Buyer’s Price” </w:t>
      </w:r>
      <w:r w:rsidR="005D1356">
        <w:rPr>
          <w:rFonts w:asciiTheme="majorBidi" w:hAnsiTheme="majorBidi" w:cstheme="majorBidi"/>
        </w:rPr>
        <w:t xml:space="preserve">program </w:t>
      </w:r>
      <w:r w:rsidRPr="00C010F3">
        <w:rPr>
          <w:rFonts w:asciiTheme="majorBidi" w:hAnsiTheme="majorBidi" w:cstheme="majorBidi"/>
        </w:rPr>
        <w:t xml:space="preserve">were somewhat different </w:t>
      </w:r>
      <w:r w:rsidR="00FF38F0" w:rsidRPr="00C010F3">
        <w:rPr>
          <w:rFonts w:asciiTheme="majorBidi" w:hAnsiTheme="majorBidi" w:cstheme="majorBidi"/>
        </w:rPr>
        <w:t>from</w:t>
      </w:r>
      <w:r w:rsidRPr="00C010F3">
        <w:rPr>
          <w:rFonts w:asciiTheme="majorBidi" w:hAnsiTheme="majorBidi" w:cstheme="majorBidi"/>
        </w:rPr>
        <w:t xml:space="preserve"> those who </w:t>
      </w:r>
      <w:r w:rsidR="00FF38F0" w:rsidRPr="00C010F3">
        <w:rPr>
          <w:rFonts w:asciiTheme="majorBidi" w:hAnsiTheme="majorBidi" w:cstheme="majorBidi"/>
        </w:rPr>
        <w:t>purchase</w:t>
      </w:r>
      <w:r w:rsidR="005D1356">
        <w:rPr>
          <w:rFonts w:asciiTheme="majorBidi" w:hAnsiTheme="majorBidi" w:cstheme="majorBidi"/>
        </w:rPr>
        <w:t>d</w:t>
      </w:r>
      <w:r w:rsidRPr="00C010F3">
        <w:rPr>
          <w:rFonts w:asciiTheme="majorBidi" w:hAnsiTheme="majorBidi" w:cstheme="majorBidi"/>
        </w:rPr>
        <w:t xml:space="preserve"> a home for the </w:t>
      </w:r>
      <w:r w:rsidR="00FF38F0" w:rsidRPr="00C010F3">
        <w:rPr>
          <w:rFonts w:asciiTheme="majorBidi" w:hAnsiTheme="majorBidi" w:cstheme="majorBidi"/>
        </w:rPr>
        <w:t>first time</w:t>
      </w:r>
      <w:r w:rsidRPr="00C010F3">
        <w:rPr>
          <w:rFonts w:asciiTheme="majorBidi" w:hAnsiTheme="majorBidi" w:cstheme="majorBidi"/>
        </w:rPr>
        <w:t xml:space="preserve"> on the open market: the percentage of married couples and families with children among them was higher relative to the </w:t>
      </w:r>
      <w:r w:rsidR="00FF38F0" w:rsidRPr="00C010F3">
        <w:rPr>
          <w:rFonts w:asciiTheme="majorBidi" w:hAnsiTheme="majorBidi" w:cstheme="majorBidi"/>
        </w:rPr>
        <w:t>purchase</w:t>
      </w:r>
      <w:r w:rsidR="005D1356">
        <w:rPr>
          <w:rFonts w:asciiTheme="majorBidi" w:hAnsiTheme="majorBidi" w:cstheme="majorBidi"/>
        </w:rPr>
        <w:t>r</w:t>
      </w:r>
      <w:r w:rsidR="00FF38F0" w:rsidRPr="00C010F3">
        <w:rPr>
          <w:rFonts w:asciiTheme="majorBidi" w:hAnsiTheme="majorBidi" w:cstheme="majorBidi"/>
        </w:rPr>
        <w:t>s</w:t>
      </w:r>
      <w:r w:rsidRPr="00C010F3">
        <w:rPr>
          <w:rFonts w:asciiTheme="majorBidi" w:hAnsiTheme="majorBidi" w:cstheme="majorBidi"/>
        </w:rPr>
        <w:t xml:space="preserve"> in the open market. When focusing just on </w:t>
      </w:r>
      <w:r w:rsidR="00FF38F0">
        <w:rPr>
          <w:rFonts w:asciiTheme="majorBidi" w:hAnsiTheme="majorBidi" w:cstheme="majorBidi"/>
        </w:rPr>
        <w:t>married households (that is, with</w:t>
      </w:r>
      <w:r w:rsidRPr="00C010F3">
        <w:rPr>
          <w:rFonts w:asciiTheme="majorBidi" w:hAnsiTheme="majorBidi" w:cstheme="majorBidi"/>
        </w:rPr>
        <w:t xml:space="preserve"> </w:t>
      </w:r>
      <w:r w:rsidR="00FF38F0" w:rsidRPr="00C010F3">
        <w:rPr>
          <w:rFonts w:asciiTheme="majorBidi" w:hAnsiTheme="majorBidi" w:cstheme="majorBidi"/>
        </w:rPr>
        <w:t>two</w:t>
      </w:r>
      <w:r w:rsidRPr="00C010F3">
        <w:rPr>
          <w:rFonts w:asciiTheme="majorBidi" w:hAnsiTheme="majorBidi" w:cstheme="majorBidi"/>
        </w:rPr>
        <w:t xml:space="preserve"> potential earners), it was found that the average income of the buyers in the Buyer’s Price program was similar to that of purchasers on the open market.</w:t>
      </w:r>
    </w:p>
    <w:p w:rsidR="006437E3" w:rsidRPr="00A40F24" w:rsidRDefault="006437E3" w:rsidP="006437E3">
      <w:pPr>
        <w:bidi w:val="0"/>
        <w:rPr>
          <w:rFonts w:asciiTheme="majorBidi" w:hAnsiTheme="majorBidi" w:cstheme="majorBidi"/>
          <w:b/>
          <w:bCs/>
        </w:rPr>
      </w:pPr>
    </w:p>
    <w:p w:rsidR="00BE5BBB" w:rsidRDefault="00BE5BBB">
      <w:pPr>
        <w:bidi w:val="0"/>
        <w:rPr>
          <w:rFonts w:asciiTheme="majorBidi" w:hAnsiTheme="majorBidi" w:cstheme="majorBidi"/>
          <w:b/>
          <w:bCs/>
        </w:rPr>
      </w:pPr>
    </w:p>
    <w:p w:rsidR="006437E3" w:rsidRPr="00A40F24" w:rsidRDefault="006437E3">
      <w:pPr>
        <w:bidi w:val="0"/>
        <w:rPr>
          <w:rFonts w:asciiTheme="majorBidi" w:hAnsiTheme="majorBidi" w:cstheme="majorBidi"/>
          <w:b/>
          <w:bCs/>
        </w:rPr>
      </w:pPr>
      <w:r w:rsidRPr="00A40F24">
        <w:rPr>
          <w:rFonts w:asciiTheme="majorBidi" w:hAnsiTheme="majorBidi" w:cstheme="majorBidi"/>
          <w:b/>
          <w:bCs/>
        </w:rPr>
        <w:t>Table 1</w:t>
      </w:r>
    </w:p>
    <w:p w:rsidR="006437E3" w:rsidRPr="00A40F24" w:rsidRDefault="006437E3" w:rsidP="00BE5BBB">
      <w:pPr>
        <w:bidi w:val="0"/>
        <w:rPr>
          <w:rFonts w:asciiTheme="majorBidi" w:hAnsiTheme="majorBidi" w:cstheme="majorBidi"/>
          <w:b/>
          <w:bCs/>
        </w:rPr>
      </w:pPr>
      <w:r w:rsidRPr="00A40F24">
        <w:rPr>
          <w:rFonts w:asciiTheme="majorBidi" w:hAnsiTheme="majorBidi" w:cstheme="majorBidi"/>
          <w:b/>
          <w:bCs/>
        </w:rPr>
        <w:t>Characteristics of first home buyers and the potential</w:t>
      </w:r>
      <w:r w:rsidR="00BE5BBB">
        <w:rPr>
          <w:rFonts w:asciiTheme="majorBidi" w:hAnsiTheme="majorBidi" w:cstheme="majorBidi"/>
          <w:b/>
          <w:bCs/>
        </w:rPr>
        <w:t xml:space="preserve"> buyers</w:t>
      </w:r>
      <w:r w:rsidR="00807C45">
        <w:rPr>
          <w:rStyle w:val="ad"/>
          <w:rFonts w:asciiTheme="majorBidi" w:hAnsiTheme="majorBidi" w:cstheme="majorBidi"/>
          <w:b/>
          <w:bCs/>
        </w:rPr>
        <w:footnoteReference w:id="1"/>
      </w:r>
      <w:r w:rsidR="00BE5BBB">
        <w:rPr>
          <w:rFonts w:asciiTheme="majorBidi" w:hAnsiTheme="majorBidi" w:cstheme="majorBidi"/>
          <w:b/>
          <w:bCs/>
        </w:rPr>
        <w:t>,</w:t>
      </w:r>
      <w:r w:rsidRPr="00A40F24">
        <w:rPr>
          <w:rFonts w:asciiTheme="majorBidi" w:hAnsiTheme="majorBidi" w:cstheme="majorBidi"/>
          <w:b/>
          <w:bCs/>
        </w:rPr>
        <w:t xml:space="preserve"> </w:t>
      </w:r>
      <w:r w:rsidR="00BE5BBB">
        <w:rPr>
          <w:rFonts w:asciiTheme="majorBidi" w:hAnsiTheme="majorBidi" w:cstheme="majorBidi"/>
          <w:b/>
          <w:bCs/>
        </w:rPr>
        <w:t>among</w:t>
      </w:r>
      <w:r w:rsidR="00BE5BBB" w:rsidRPr="00A40F24">
        <w:rPr>
          <w:rFonts w:asciiTheme="majorBidi" w:hAnsiTheme="majorBidi" w:cstheme="majorBidi"/>
          <w:b/>
          <w:bCs/>
        </w:rPr>
        <w:t xml:space="preserve"> </w:t>
      </w:r>
      <w:r w:rsidRPr="00A40F24">
        <w:rPr>
          <w:rFonts w:asciiTheme="majorBidi" w:hAnsiTheme="majorBidi" w:cstheme="majorBidi"/>
          <w:b/>
          <w:bCs/>
        </w:rPr>
        <w:t>married-couple</w:t>
      </w:r>
      <w:r w:rsidR="004937DA">
        <w:rPr>
          <w:rStyle w:val="ad"/>
          <w:rFonts w:asciiTheme="majorBidi" w:hAnsiTheme="majorBidi" w:cstheme="majorBidi"/>
          <w:b/>
          <w:bCs/>
        </w:rPr>
        <w:footnoteReference w:id="2"/>
      </w:r>
      <w:r w:rsidRPr="00A40F24">
        <w:rPr>
          <w:rFonts w:asciiTheme="majorBidi" w:hAnsiTheme="majorBidi" w:cstheme="majorBidi"/>
          <w:b/>
          <w:bCs/>
        </w:rPr>
        <w:t xml:space="preserve"> exclusively</w:t>
      </w:r>
    </w:p>
    <w:tbl>
      <w:tblPr>
        <w:tblStyle w:val="ae"/>
        <w:tblW w:w="9985" w:type="dxa"/>
        <w:tblInd w:w="-847" w:type="dxa"/>
        <w:tblLayout w:type="fixed"/>
        <w:tblLook w:val="04A0" w:firstRow="1" w:lastRow="0" w:firstColumn="1" w:lastColumn="0" w:noHBand="0" w:noVBand="1"/>
        <w:tblCaption w:val="לוח 1: מאפייני רוכשי הדירה לראשונה ופוטנציאל הרוכשים  זוגות בלבד "/>
        <w:tblDescription w:val="בלוח מוצגים שיעור משפחות עם ילדים, הכנסה נטו ממוצעת למשק בית וגיל ממוצע עבור רוכשים בשוק החופשי, רוכשים במחיר למשתכן ופוטנציאל הרוכשים. הנתונים מוצגים עבור שתי תקופות: 2012-2015 ו-2016-2019"/>
      </w:tblPr>
      <w:tblGrid>
        <w:gridCol w:w="805"/>
        <w:gridCol w:w="990"/>
        <w:gridCol w:w="1145"/>
        <w:gridCol w:w="990"/>
        <w:gridCol w:w="911"/>
        <w:gridCol w:w="1184"/>
        <w:gridCol w:w="11"/>
        <w:gridCol w:w="1014"/>
        <w:gridCol w:w="851"/>
        <w:gridCol w:w="1094"/>
        <w:gridCol w:w="990"/>
      </w:tblGrid>
      <w:tr w:rsidR="006437E3" w:rsidRPr="00A40F24" w:rsidTr="00A40F24">
        <w:trPr>
          <w:tblHeader/>
        </w:trPr>
        <w:tc>
          <w:tcPr>
            <w:tcW w:w="805" w:type="dxa"/>
          </w:tcPr>
          <w:p w:rsidR="006437E3" w:rsidRPr="00A40F24" w:rsidRDefault="006437E3" w:rsidP="00A40F24">
            <w:pPr>
              <w:bidi w:val="0"/>
              <w:spacing w:after="80" w:line="360" w:lineRule="auto"/>
              <w:rPr>
                <w:rFonts w:asciiTheme="majorBidi" w:hAnsiTheme="majorBidi" w:cstheme="majorBidi"/>
                <w:rtl/>
              </w:rPr>
            </w:pPr>
          </w:p>
        </w:tc>
        <w:tc>
          <w:tcPr>
            <w:tcW w:w="3125" w:type="dxa"/>
            <w:gridSpan w:val="3"/>
          </w:tcPr>
          <w:p w:rsidR="006437E3" w:rsidRPr="00A40F24" w:rsidRDefault="006437E3" w:rsidP="00A40F24">
            <w:pPr>
              <w:pStyle w:val="3"/>
              <w:bidi w:val="0"/>
              <w:jc w:val="center"/>
              <w:outlineLvl w:val="2"/>
              <w:rPr>
                <w:rFonts w:asciiTheme="majorBidi" w:hAnsiTheme="majorBidi" w:cstheme="majorBidi"/>
                <w:sz w:val="24"/>
                <w:szCs w:val="24"/>
                <w:rtl/>
              </w:rPr>
            </w:pPr>
            <w:r w:rsidRPr="00A40F24">
              <w:rPr>
                <w:rFonts w:asciiTheme="majorBidi" w:hAnsiTheme="majorBidi" w:cstheme="majorBidi"/>
                <w:sz w:val="24"/>
                <w:szCs w:val="24"/>
              </w:rPr>
              <w:t>Share of families with children (percent)</w:t>
            </w:r>
          </w:p>
        </w:tc>
        <w:tc>
          <w:tcPr>
            <w:tcW w:w="3120" w:type="dxa"/>
            <w:gridSpan w:val="4"/>
          </w:tcPr>
          <w:p w:rsidR="00BE5BBB" w:rsidRPr="00AD7F5D" w:rsidRDefault="006437E3" w:rsidP="00AD7F5D">
            <w:pPr>
              <w:pStyle w:val="3"/>
              <w:bidi w:val="0"/>
              <w:jc w:val="center"/>
              <w:outlineLvl w:val="2"/>
              <w:rPr>
                <w:rFonts w:asciiTheme="majorBidi" w:hAnsiTheme="majorBidi" w:cstheme="majorBidi"/>
                <w:sz w:val="22"/>
                <w:szCs w:val="22"/>
              </w:rPr>
            </w:pPr>
            <w:r w:rsidRPr="00AD7F5D">
              <w:rPr>
                <w:rFonts w:asciiTheme="majorBidi" w:hAnsiTheme="majorBidi" w:cstheme="majorBidi"/>
                <w:sz w:val="22"/>
                <w:szCs w:val="22"/>
              </w:rPr>
              <w:t>Average net annual household income</w:t>
            </w:r>
            <w:r w:rsidR="00C30ABC" w:rsidRPr="00AD7F5D">
              <w:rPr>
                <w:rStyle w:val="ad"/>
                <w:rFonts w:asciiTheme="majorBidi" w:hAnsiTheme="majorBidi" w:cstheme="majorBidi"/>
                <w:sz w:val="22"/>
                <w:szCs w:val="22"/>
              </w:rPr>
              <w:footnoteReference w:id="3"/>
            </w:r>
            <w:r w:rsidR="00BE5BBB" w:rsidRPr="00AD7F5D">
              <w:rPr>
                <w:rFonts w:asciiTheme="majorBidi" w:hAnsiTheme="majorBidi" w:cstheme="majorBidi"/>
                <w:sz w:val="22"/>
                <w:szCs w:val="22"/>
              </w:rPr>
              <w:t xml:space="preserve"> </w:t>
            </w:r>
            <w:r w:rsidR="00BE5BBB" w:rsidRPr="00AD7F5D">
              <w:rPr>
                <w:sz w:val="22"/>
                <w:szCs w:val="22"/>
              </w:rPr>
              <w:t>(NIS thousand)</w:t>
            </w:r>
          </w:p>
        </w:tc>
        <w:tc>
          <w:tcPr>
            <w:tcW w:w="2935" w:type="dxa"/>
            <w:gridSpan w:val="3"/>
          </w:tcPr>
          <w:p w:rsidR="006437E3" w:rsidRPr="00A40F24" w:rsidRDefault="006437E3" w:rsidP="00A40F24">
            <w:pPr>
              <w:pStyle w:val="3"/>
              <w:bidi w:val="0"/>
              <w:jc w:val="center"/>
              <w:outlineLvl w:val="2"/>
              <w:rPr>
                <w:rFonts w:asciiTheme="majorBidi" w:hAnsiTheme="majorBidi" w:cstheme="majorBidi"/>
                <w:sz w:val="24"/>
                <w:szCs w:val="24"/>
              </w:rPr>
            </w:pPr>
            <w:r w:rsidRPr="00A40F24">
              <w:rPr>
                <w:rFonts w:asciiTheme="majorBidi" w:hAnsiTheme="majorBidi" w:cstheme="majorBidi"/>
                <w:sz w:val="24"/>
                <w:szCs w:val="24"/>
              </w:rPr>
              <w:t>Average age</w:t>
            </w:r>
          </w:p>
        </w:tc>
      </w:tr>
      <w:tr w:rsidR="00A40F24" w:rsidRPr="00A40F24" w:rsidTr="00A40F24">
        <w:tc>
          <w:tcPr>
            <w:tcW w:w="805" w:type="dxa"/>
          </w:tcPr>
          <w:p w:rsidR="00A40F24" w:rsidRPr="00A40F24" w:rsidRDefault="00A40F24" w:rsidP="00A40F24">
            <w:pPr>
              <w:bidi w:val="0"/>
              <w:spacing w:after="80" w:line="360" w:lineRule="auto"/>
              <w:rPr>
                <w:rFonts w:asciiTheme="majorBidi" w:hAnsiTheme="majorBidi" w:cstheme="majorBidi"/>
                <w:rtl/>
              </w:rPr>
            </w:pPr>
          </w:p>
        </w:tc>
        <w:tc>
          <w:tcPr>
            <w:tcW w:w="990"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on the </w:t>
            </w:r>
            <w:r w:rsidR="00BE5BBB">
              <w:rPr>
                <w:rFonts w:asciiTheme="majorBidi" w:hAnsiTheme="majorBidi" w:cstheme="majorBidi"/>
                <w:sz w:val="20"/>
                <w:szCs w:val="20"/>
              </w:rPr>
              <w:t>open</w:t>
            </w:r>
            <w:r w:rsidRPr="00A40F24">
              <w:rPr>
                <w:rFonts w:asciiTheme="majorBidi" w:hAnsiTheme="majorBidi" w:cstheme="majorBidi"/>
                <w:sz w:val="20"/>
                <w:szCs w:val="20"/>
              </w:rPr>
              <w:t xml:space="preserve"> market</w:t>
            </w:r>
          </w:p>
        </w:tc>
        <w:tc>
          <w:tcPr>
            <w:tcW w:w="1145"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within the framework of </w:t>
            </w:r>
            <w:r>
              <w:rPr>
                <w:rFonts w:asciiTheme="majorBidi" w:hAnsiTheme="majorBidi" w:cstheme="majorBidi"/>
                <w:sz w:val="20"/>
                <w:szCs w:val="20"/>
              </w:rPr>
              <w:t xml:space="preserve"> </w:t>
            </w:r>
            <w:r w:rsidR="00FF38F0">
              <w:rPr>
                <w:rFonts w:asciiTheme="majorBidi" w:hAnsiTheme="majorBidi" w:cstheme="majorBidi"/>
                <w:sz w:val="20"/>
                <w:szCs w:val="20"/>
              </w:rPr>
              <w:t>the</w:t>
            </w:r>
            <w:r w:rsidR="00FF38F0" w:rsidRPr="00A40F24">
              <w:rPr>
                <w:rFonts w:asciiTheme="majorBidi" w:hAnsiTheme="majorBidi" w:cstheme="majorBidi"/>
                <w:sz w:val="20"/>
                <w:szCs w:val="20"/>
              </w:rPr>
              <w:t xml:space="preserve"> “Buyer’s</w:t>
            </w:r>
            <w:r w:rsidRPr="00A40F24">
              <w:rPr>
                <w:rFonts w:asciiTheme="majorBidi" w:hAnsiTheme="majorBidi" w:cstheme="majorBidi"/>
                <w:sz w:val="20"/>
                <w:szCs w:val="20"/>
              </w:rPr>
              <w:t xml:space="preserve"> Price” program</w:t>
            </w:r>
          </w:p>
        </w:tc>
        <w:tc>
          <w:tcPr>
            <w:tcW w:w="990"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The potential of first buyers</w:t>
            </w:r>
          </w:p>
        </w:tc>
        <w:tc>
          <w:tcPr>
            <w:tcW w:w="911"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on the </w:t>
            </w:r>
            <w:r w:rsidR="00BE5BBB">
              <w:rPr>
                <w:rFonts w:asciiTheme="majorBidi" w:hAnsiTheme="majorBidi" w:cstheme="majorBidi"/>
                <w:sz w:val="20"/>
                <w:szCs w:val="20"/>
              </w:rPr>
              <w:t>open</w:t>
            </w:r>
            <w:r w:rsidRPr="00A40F24">
              <w:rPr>
                <w:rFonts w:asciiTheme="majorBidi" w:hAnsiTheme="majorBidi" w:cstheme="majorBidi"/>
                <w:sz w:val="20"/>
                <w:szCs w:val="20"/>
              </w:rPr>
              <w:t xml:space="preserve"> market</w:t>
            </w:r>
          </w:p>
        </w:tc>
        <w:tc>
          <w:tcPr>
            <w:tcW w:w="1184"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within the framework of </w:t>
            </w:r>
            <w:r>
              <w:rPr>
                <w:rFonts w:asciiTheme="majorBidi" w:hAnsiTheme="majorBidi" w:cstheme="majorBidi"/>
                <w:sz w:val="20"/>
                <w:szCs w:val="20"/>
              </w:rPr>
              <w:t xml:space="preserve">the </w:t>
            </w:r>
            <w:r w:rsidRPr="00A40F24">
              <w:rPr>
                <w:rFonts w:asciiTheme="majorBidi" w:hAnsiTheme="majorBidi" w:cstheme="majorBidi"/>
                <w:sz w:val="20"/>
                <w:szCs w:val="20"/>
              </w:rPr>
              <w:t>“Buyer’s Price” program</w:t>
            </w:r>
          </w:p>
        </w:tc>
        <w:tc>
          <w:tcPr>
            <w:tcW w:w="1025" w:type="dxa"/>
            <w:gridSpan w:val="2"/>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The potential of first buyers</w:t>
            </w:r>
          </w:p>
        </w:tc>
        <w:tc>
          <w:tcPr>
            <w:tcW w:w="851"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on the </w:t>
            </w:r>
            <w:r w:rsidR="00BE5BBB">
              <w:rPr>
                <w:rFonts w:asciiTheme="majorBidi" w:hAnsiTheme="majorBidi" w:cstheme="majorBidi"/>
                <w:sz w:val="20"/>
                <w:szCs w:val="20"/>
              </w:rPr>
              <w:t>open</w:t>
            </w:r>
            <w:r w:rsidRPr="00A40F24">
              <w:rPr>
                <w:rFonts w:asciiTheme="majorBidi" w:hAnsiTheme="majorBidi" w:cstheme="majorBidi"/>
                <w:sz w:val="20"/>
                <w:szCs w:val="20"/>
              </w:rPr>
              <w:t xml:space="preserve"> market</w:t>
            </w:r>
          </w:p>
        </w:tc>
        <w:tc>
          <w:tcPr>
            <w:tcW w:w="1094"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 xml:space="preserve">Bought within </w:t>
            </w:r>
            <w:r>
              <w:rPr>
                <w:rFonts w:asciiTheme="majorBidi" w:hAnsiTheme="majorBidi" w:cstheme="majorBidi"/>
                <w:sz w:val="20"/>
                <w:szCs w:val="20"/>
              </w:rPr>
              <w:t xml:space="preserve">the framework </w:t>
            </w:r>
            <w:r w:rsidRPr="00A40F24">
              <w:rPr>
                <w:rFonts w:asciiTheme="majorBidi" w:hAnsiTheme="majorBidi" w:cstheme="majorBidi"/>
                <w:sz w:val="20"/>
                <w:szCs w:val="20"/>
              </w:rPr>
              <w:t xml:space="preserve">of </w:t>
            </w:r>
            <w:r>
              <w:rPr>
                <w:rFonts w:asciiTheme="majorBidi" w:hAnsiTheme="majorBidi" w:cstheme="majorBidi"/>
                <w:sz w:val="20"/>
                <w:szCs w:val="20"/>
              </w:rPr>
              <w:t xml:space="preserve">the </w:t>
            </w:r>
            <w:r w:rsidRPr="00A40F24">
              <w:rPr>
                <w:rFonts w:asciiTheme="majorBidi" w:hAnsiTheme="majorBidi" w:cstheme="majorBidi"/>
                <w:sz w:val="20"/>
                <w:szCs w:val="20"/>
              </w:rPr>
              <w:t>“Buyer’s Price” program</w:t>
            </w:r>
          </w:p>
        </w:tc>
        <w:tc>
          <w:tcPr>
            <w:tcW w:w="990" w:type="dxa"/>
          </w:tcPr>
          <w:p w:rsidR="00A40F24" w:rsidRPr="00A40F24" w:rsidRDefault="00A40F24" w:rsidP="00A40F24">
            <w:pPr>
              <w:bidi w:val="0"/>
              <w:spacing w:after="80"/>
              <w:jc w:val="center"/>
              <w:rPr>
                <w:rFonts w:asciiTheme="majorBidi" w:hAnsiTheme="majorBidi" w:cstheme="majorBidi"/>
                <w:sz w:val="20"/>
                <w:szCs w:val="20"/>
                <w:rtl/>
              </w:rPr>
            </w:pPr>
            <w:r w:rsidRPr="00A40F24">
              <w:rPr>
                <w:rFonts w:asciiTheme="majorBidi" w:hAnsiTheme="majorBidi" w:cstheme="majorBidi"/>
                <w:sz w:val="20"/>
                <w:szCs w:val="20"/>
              </w:rPr>
              <w:t>The potential of first buyers</w:t>
            </w:r>
          </w:p>
        </w:tc>
      </w:tr>
      <w:tr w:rsidR="00A40F24" w:rsidRPr="00A40F24" w:rsidTr="00AD7F5D">
        <w:tc>
          <w:tcPr>
            <w:tcW w:w="805" w:type="dxa"/>
          </w:tcPr>
          <w:p w:rsidR="00A40F24" w:rsidRPr="00AD7F5D" w:rsidRDefault="00A40F24" w:rsidP="00A40F24">
            <w:pPr>
              <w:bidi w:val="0"/>
              <w:spacing w:after="80" w:line="360" w:lineRule="auto"/>
              <w:rPr>
                <w:rFonts w:asciiTheme="majorBidi" w:hAnsiTheme="majorBidi" w:cstheme="majorBidi"/>
                <w:sz w:val="22"/>
                <w:szCs w:val="22"/>
                <w:rtl/>
              </w:rPr>
            </w:pPr>
            <w:r w:rsidRPr="00AD7F5D">
              <w:rPr>
                <w:rFonts w:asciiTheme="majorBidi" w:hAnsiTheme="majorBidi" w:cstheme="majorBidi"/>
                <w:sz w:val="22"/>
                <w:szCs w:val="22"/>
                <w:rtl/>
              </w:rPr>
              <w:t>2012-2015</w:t>
            </w: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65</w:t>
            </w:r>
          </w:p>
        </w:tc>
        <w:tc>
          <w:tcPr>
            <w:tcW w:w="1145" w:type="dxa"/>
          </w:tcPr>
          <w:p w:rsidR="00A40F24" w:rsidRPr="00AD7F5D" w:rsidRDefault="00A40F24" w:rsidP="00A40F24">
            <w:pPr>
              <w:bidi w:val="0"/>
              <w:spacing w:after="80" w:line="360" w:lineRule="auto"/>
              <w:jc w:val="center"/>
              <w:rPr>
                <w:rFonts w:asciiTheme="majorBidi" w:hAnsiTheme="majorBidi" w:cstheme="majorBidi"/>
                <w:sz w:val="22"/>
                <w:szCs w:val="22"/>
                <w:rtl/>
              </w:rPr>
            </w:pP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77</w:t>
            </w:r>
          </w:p>
        </w:tc>
        <w:tc>
          <w:tcPr>
            <w:tcW w:w="911" w:type="dxa"/>
          </w:tcPr>
          <w:p w:rsidR="00A40F24" w:rsidRPr="00AD7F5D" w:rsidRDefault="00A40F24" w:rsidP="00BE5BBB">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163</w:t>
            </w:r>
            <w:r w:rsidR="00BE5BBB">
              <w:rPr>
                <w:rFonts w:asciiTheme="majorBidi" w:hAnsiTheme="majorBidi" w:cstheme="majorBidi"/>
                <w:sz w:val="22"/>
                <w:szCs w:val="22"/>
              </w:rPr>
              <w:t>.</w:t>
            </w:r>
            <w:r w:rsidRPr="00AD7F5D">
              <w:rPr>
                <w:rFonts w:asciiTheme="majorBidi" w:hAnsiTheme="majorBidi" w:cstheme="majorBidi"/>
                <w:sz w:val="22"/>
                <w:szCs w:val="22"/>
                <w:rtl/>
              </w:rPr>
              <w:t>5</w:t>
            </w:r>
          </w:p>
        </w:tc>
        <w:tc>
          <w:tcPr>
            <w:tcW w:w="1195" w:type="dxa"/>
            <w:gridSpan w:val="2"/>
          </w:tcPr>
          <w:p w:rsidR="00A40F24" w:rsidRPr="00AD7F5D" w:rsidRDefault="00A40F24" w:rsidP="00A40F24">
            <w:pPr>
              <w:bidi w:val="0"/>
              <w:spacing w:after="80" w:line="360" w:lineRule="auto"/>
              <w:jc w:val="center"/>
              <w:rPr>
                <w:rFonts w:asciiTheme="majorBidi" w:hAnsiTheme="majorBidi" w:cstheme="majorBidi"/>
                <w:sz w:val="22"/>
                <w:szCs w:val="22"/>
                <w:rtl/>
              </w:rPr>
            </w:pPr>
          </w:p>
        </w:tc>
        <w:tc>
          <w:tcPr>
            <w:tcW w:w="1014" w:type="dxa"/>
          </w:tcPr>
          <w:p w:rsidR="00A40F24" w:rsidRPr="00AD7F5D" w:rsidRDefault="00A40F24" w:rsidP="00BE5BBB">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106</w:t>
            </w:r>
            <w:r w:rsidR="00BE5BBB">
              <w:rPr>
                <w:rFonts w:asciiTheme="majorBidi" w:hAnsiTheme="majorBidi" w:cstheme="majorBidi"/>
                <w:sz w:val="22"/>
                <w:szCs w:val="22"/>
              </w:rPr>
              <w:t>.</w:t>
            </w:r>
            <w:r w:rsidRPr="00AD7F5D">
              <w:rPr>
                <w:rFonts w:asciiTheme="majorBidi" w:hAnsiTheme="majorBidi" w:cstheme="majorBidi"/>
                <w:sz w:val="22"/>
                <w:szCs w:val="22"/>
                <w:rtl/>
              </w:rPr>
              <w:t>0</w:t>
            </w:r>
          </w:p>
        </w:tc>
        <w:tc>
          <w:tcPr>
            <w:tcW w:w="851"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30.4</w:t>
            </w:r>
          </w:p>
        </w:tc>
        <w:tc>
          <w:tcPr>
            <w:tcW w:w="1094" w:type="dxa"/>
          </w:tcPr>
          <w:p w:rsidR="00A40F24" w:rsidRPr="00AD7F5D" w:rsidRDefault="00A40F24" w:rsidP="00A40F24">
            <w:pPr>
              <w:bidi w:val="0"/>
              <w:spacing w:after="80" w:line="360" w:lineRule="auto"/>
              <w:jc w:val="center"/>
              <w:rPr>
                <w:rFonts w:asciiTheme="majorBidi" w:hAnsiTheme="majorBidi" w:cstheme="majorBidi"/>
                <w:sz w:val="22"/>
                <w:szCs w:val="22"/>
                <w:rtl/>
              </w:rPr>
            </w:pP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33.4</w:t>
            </w:r>
          </w:p>
        </w:tc>
      </w:tr>
      <w:tr w:rsidR="00A40F24" w:rsidRPr="00A40F24" w:rsidTr="00AD7F5D">
        <w:tc>
          <w:tcPr>
            <w:tcW w:w="805" w:type="dxa"/>
          </w:tcPr>
          <w:p w:rsidR="00A40F24" w:rsidRPr="00AD7F5D" w:rsidRDefault="00A40F24" w:rsidP="00A40F24">
            <w:pPr>
              <w:bidi w:val="0"/>
              <w:spacing w:after="80" w:line="360" w:lineRule="auto"/>
              <w:rPr>
                <w:rFonts w:asciiTheme="majorBidi" w:hAnsiTheme="majorBidi" w:cstheme="majorBidi"/>
                <w:sz w:val="22"/>
                <w:szCs w:val="22"/>
                <w:rtl/>
              </w:rPr>
            </w:pPr>
            <w:r w:rsidRPr="00AD7F5D">
              <w:rPr>
                <w:rFonts w:asciiTheme="majorBidi" w:hAnsiTheme="majorBidi" w:cstheme="majorBidi"/>
                <w:sz w:val="22"/>
                <w:szCs w:val="22"/>
                <w:rtl/>
              </w:rPr>
              <w:lastRenderedPageBreak/>
              <w:t>2016-2019</w:t>
            </w: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68</w:t>
            </w:r>
          </w:p>
        </w:tc>
        <w:tc>
          <w:tcPr>
            <w:tcW w:w="1145"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77</w:t>
            </w: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77</w:t>
            </w:r>
          </w:p>
        </w:tc>
        <w:tc>
          <w:tcPr>
            <w:tcW w:w="911" w:type="dxa"/>
          </w:tcPr>
          <w:p w:rsidR="00A40F24" w:rsidRPr="00AD7F5D" w:rsidRDefault="00A40F24" w:rsidP="00BE5BBB">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177</w:t>
            </w:r>
            <w:r w:rsidR="00BE5BBB">
              <w:rPr>
                <w:rFonts w:asciiTheme="majorBidi" w:hAnsiTheme="majorBidi" w:cstheme="majorBidi"/>
                <w:sz w:val="22"/>
                <w:szCs w:val="22"/>
              </w:rPr>
              <w:t>.</w:t>
            </w:r>
            <w:r w:rsidRPr="00AD7F5D">
              <w:rPr>
                <w:rFonts w:asciiTheme="majorBidi" w:hAnsiTheme="majorBidi" w:cstheme="majorBidi"/>
                <w:sz w:val="22"/>
                <w:szCs w:val="22"/>
                <w:rtl/>
              </w:rPr>
              <w:t>8</w:t>
            </w:r>
          </w:p>
        </w:tc>
        <w:tc>
          <w:tcPr>
            <w:tcW w:w="1195" w:type="dxa"/>
            <w:gridSpan w:val="2"/>
          </w:tcPr>
          <w:p w:rsidR="00A40F24" w:rsidRPr="00AD7F5D" w:rsidRDefault="00BE5BBB" w:rsidP="00BE5BBB">
            <w:pPr>
              <w:bidi w:val="0"/>
              <w:spacing w:after="80" w:line="360" w:lineRule="auto"/>
              <w:jc w:val="center"/>
              <w:rPr>
                <w:rFonts w:asciiTheme="majorBidi" w:hAnsiTheme="majorBidi" w:cstheme="majorBidi"/>
                <w:sz w:val="22"/>
                <w:szCs w:val="22"/>
                <w:rtl/>
              </w:rPr>
            </w:pPr>
            <w:r>
              <w:rPr>
                <w:rFonts w:asciiTheme="majorBidi" w:hAnsiTheme="majorBidi" w:cstheme="majorBidi"/>
                <w:sz w:val="22"/>
                <w:szCs w:val="22"/>
              </w:rPr>
              <w:t>189.0</w:t>
            </w:r>
          </w:p>
        </w:tc>
        <w:tc>
          <w:tcPr>
            <w:tcW w:w="1014" w:type="dxa"/>
          </w:tcPr>
          <w:p w:rsidR="00A40F24" w:rsidRPr="00AD7F5D" w:rsidRDefault="00A40F24" w:rsidP="00BE5BBB">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118</w:t>
            </w:r>
            <w:r w:rsidR="00BE5BBB">
              <w:rPr>
                <w:rFonts w:asciiTheme="majorBidi" w:hAnsiTheme="majorBidi" w:cstheme="majorBidi"/>
                <w:sz w:val="22"/>
                <w:szCs w:val="22"/>
              </w:rPr>
              <w:t>.6</w:t>
            </w:r>
          </w:p>
        </w:tc>
        <w:tc>
          <w:tcPr>
            <w:tcW w:w="851"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30.4</w:t>
            </w:r>
          </w:p>
        </w:tc>
        <w:tc>
          <w:tcPr>
            <w:tcW w:w="1094"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31.2</w:t>
            </w:r>
          </w:p>
        </w:tc>
        <w:tc>
          <w:tcPr>
            <w:tcW w:w="990" w:type="dxa"/>
          </w:tcPr>
          <w:p w:rsidR="00A40F24" w:rsidRPr="00AD7F5D" w:rsidRDefault="00A40F24" w:rsidP="00A40F24">
            <w:pPr>
              <w:bidi w:val="0"/>
              <w:spacing w:after="80" w:line="360" w:lineRule="auto"/>
              <w:jc w:val="center"/>
              <w:rPr>
                <w:rFonts w:asciiTheme="majorBidi" w:hAnsiTheme="majorBidi" w:cstheme="majorBidi"/>
                <w:sz w:val="22"/>
                <w:szCs w:val="22"/>
                <w:rtl/>
              </w:rPr>
            </w:pPr>
            <w:r w:rsidRPr="00AD7F5D">
              <w:rPr>
                <w:rFonts w:asciiTheme="majorBidi" w:hAnsiTheme="majorBidi" w:cstheme="majorBidi"/>
                <w:sz w:val="22"/>
                <w:szCs w:val="22"/>
                <w:rtl/>
              </w:rPr>
              <w:t>33.2</w:t>
            </w:r>
          </w:p>
        </w:tc>
      </w:tr>
    </w:tbl>
    <w:p w:rsidR="006437E3" w:rsidRDefault="006437E3" w:rsidP="006437E3">
      <w:pPr>
        <w:bidi w:val="0"/>
        <w:rPr>
          <w:rFonts w:asciiTheme="majorBidi" w:hAnsiTheme="majorBidi" w:cstheme="majorBidi"/>
          <w:b/>
          <w:bCs/>
        </w:rPr>
      </w:pPr>
    </w:p>
    <w:p w:rsidR="00821DF0" w:rsidRDefault="00821DF0" w:rsidP="00821DF0">
      <w:pPr>
        <w:bidi w:val="0"/>
        <w:rPr>
          <w:rFonts w:asciiTheme="majorBidi" w:hAnsiTheme="majorBidi" w:cstheme="majorBidi"/>
          <w:b/>
          <w:bCs/>
        </w:rPr>
      </w:pPr>
    </w:p>
    <w:p w:rsidR="00821DF0" w:rsidRDefault="00821DF0" w:rsidP="00664BBF">
      <w:pPr>
        <w:bidi w:val="0"/>
        <w:jc w:val="both"/>
        <w:rPr>
          <w:rFonts w:asciiTheme="majorBidi" w:hAnsiTheme="majorBidi" w:cstheme="majorBidi"/>
          <w:b/>
          <w:bCs/>
        </w:rPr>
      </w:pPr>
      <w:r w:rsidRPr="00C010F3">
        <w:rPr>
          <w:rFonts w:asciiTheme="majorBidi" w:hAnsiTheme="majorBidi" w:cstheme="majorBidi"/>
        </w:rPr>
        <w:t xml:space="preserve">The results of the analysis indicate that in 21016–19 the </w:t>
      </w:r>
      <w:r w:rsidR="00FF38F0" w:rsidRPr="00C010F3">
        <w:rPr>
          <w:rFonts w:asciiTheme="majorBidi" w:hAnsiTheme="majorBidi" w:cstheme="majorBidi"/>
        </w:rPr>
        <w:t>probability</w:t>
      </w:r>
      <w:r w:rsidRPr="00C010F3">
        <w:rPr>
          <w:rFonts w:asciiTheme="majorBidi" w:hAnsiTheme="majorBidi" w:cstheme="majorBidi"/>
        </w:rPr>
        <w:t xml:space="preserve"> of young families, particularly those with children</w:t>
      </w:r>
      <w:r w:rsidR="00350FD3">
        <w:rPr>
          <w:rFonts w:asciiTheme="majorBidi" w:hAnsiTheme="majorBidi" w:cstheme="majorBidi"/>
        </w:rPr>
        <w:t xml:space="preserve">, </w:t>
      </w:r>
      <w:r w:rsidRPr="00C010F3">
        <w:rPr>
          <w:rFonts w:asciiTheme="majorBidi" w:hAnsiTheme="majorBidi" w:cstheme="majorBidi"/>
        </w:rPr>
        <w:t xml:space="preserve">to buy a first home increased, </w:t>
      </w:r>
      <w:r w:rsidR="001B5503" w:rsidRPr="00C010F3">
        <w:rPr>
          <w:rFonts w:asciiTheme="majorBidi" w:hAnsiTheme="majorBidi" w:cstheme="majorBidi"/>
        </w:rPr>
        <w:t xml:space="preserve">among other reasons due to these families’ eligibility to buy a home within the </w:t>
      </w:r>
      <w:r w:rsidR="00FF38F0" w:rsidRPr="00C010F3">
        <w:rPr>
          <w:rFonts w:asciiTheme="majorBidi" w:hAnsiTheme="majorBidi" w:cstheme="majorBidi"/>
        </w:rPr>
        <w:t>framework</w:t>
      </w:r>
      <w:r w:rsidR="001B5503" w:rsidRPr="00C010F3">
        <w:rPr>
          <w:rFonts w:asciiTheme="majorBidi" w:hAnsiTheme="majorBidi" w:cstheme="majorBidi"/>
        </w:rPr>
        <w:t xml:space="preserve"> of the “Buyer’s Price” program. In addition, it was found that the probability to purchase a first home increased among all income </w:t>
      </w:r>
      <w:r w:rsidR="00FF38F0" w:rsidRPr="00C010F3">
        <w:rPr>
          <w:rFonts w:asciiTheme="majorBidi" w:hAnsiTheme="majorBidi" w:cstheme="majorBidi"/>
        </w:rPr>
        <w:t>quintiles</w:t>
      </w:r>
      <w:r w:rsidR="001B5503" w:rsidRPr="00C010F3">
        <w:rPr>
          <w:rFonts w:asciiTheme="majorBidi" w:hAnsiTheme="majorBidi" w:cstheme="majorBidi"/>
        </w:rPr>
        <w:t xml:space="preserve"> (</w:t>
      </w:r>
      <w:r w:rsidR="00FF38F0" w:rsidRPr="00C010F3">
        <w:rPr>
          <w:rFonts w:asciiTheme="majorBidi" w:hAnsiTheme="majorBidi" w:cstheme="majorBidi"/>
        </w:rPr>
        <w:t>Figure</w:t>
      </w:r>
      <w:r w:rsidR="001B5503" w:rsidRPr="00C010F3">
        <w:rPr>
          <w:rFonts w:asciiTheme="majorBidi" w:hAnsiTheme="majorBidi" w:cstheme="majorBidi"/>
        </w:rPr>
        <w:t xml:space="preserve"> 1).</w:t>
      </w:r>
      <w:r w:rsidR="00FF38F0">
        <w:rPr>
          <w:rFonts w:asciiTheme="majorBidi" w:hAnsiTheme="majorBidi" w:cstheme="majorBidi"/>
        </w:rPr>
        <w:t xml:space="preserve"> H</w:t>
      </w:r>
      <w:r w:rsidR="00FF38F0" w:rsidRPr="00C010F3">
        <w:rPr>
          <w:rFonts w:asciiTheme="majorBidi" w:hAnsiTheme="majorBidi" w:cstheme="majorBidi"/>
        </w:rPr>
        <w:t>owever</w:t>
      </w:r>
      <w:r w:rsidR="001B5503" w:rsidRPr="00C010F3">
        <w:rPr>
          <w:rFonts w:asciiTheme="majorBidi" w:hAnsiTheme="majorBidi" w:cstheme="majorBidi"/>
        </w:rPr>
        <w:t xml:space="preserve">, </w:t>
      </w:r>
      <w:r w:rsidR="00FF38F0" w:rsidRPr="00C010F3">
        <w:rPr>
          <w:rFonts w:asciiTheme="majorBidi" w:hAnsiTheme="majorBidi" w:cstheme="majorBidi"/>
        </w:rPr>
        <w:t>the</w:t>
      </w:r>
      <w:r w:rsidR="001B5503" w:rsidRPr="00C010F3">
        <w:rPr>
          <w:rFonts w:asciiTheme="majorBidi" w:hAnsiTheme="majorBidi" w:cstheme="majorBidi"/>
        </w:rPr>
        <w:t xml:space="preserve"> probab</w:t>
      </w:r>
      <w:r w:rsidR="00FF38F0">
        <w:rPr>
          <w:rFonts w:asciiTheme="majorBidi" w:hAnsiTheme="majorBidi" w:cstheme="majorBidi"/>
        </w:rPr>
        <w:t xml:space="preserve">ility </w:t>
      </w:r>
      <w:r w:rsidR="001B5503" w:rsidRPr="00C010F3">
        <w:rPr>
          <w:rFonts w:asciiTheme="majorBidi" w:hAnsiTheme="majorBidi" w:cstheme="majorBidi"/>
        </w:rPr>
        <w:t xml:space="preserve">of the higher </w:t>
      </w:r>
      <w:r w:rsidR="00FF38F0" w:rsidRPr="00C010F3">
        <w:rPr>
          <w:rFonts w:asciiTheme="majorBidi" w:hAnsiTheme="majorBidi" w:cstheme="majorBidi"/>
        </w:rPr>
        <w:t>quintiles</w:t>
      </w:r>
      <w:r w:rsidR="001B5503" w:rsidRPr="00C010F3">
        <w:rPr>
          <w:rFonts w:asciiTheme="majorBidi" w:hAnsiTheme="majorBidi" w:cstheme="majorBidi"/>
        </w:rPr>
        <w:t xml:space="preserve"> </w:t>
      </w:r>
      <w:r w:rsidR="00FF38F0" w:rsidRPr="00C010F3">
        <w:rPr>
          <w:rFonts w:asciiTheme="majorBidi" w:hAnsiTheme="majorBidi" w:cstheme="majorBidi"/>
        </w:rPr>
        <w:t>increased</w:t>
      </w:r>
      <w:r w:rsidR="001B5503" w:rsidRPr="00C010F3">
        <w:rPr>
          <w:rFonts w:asciiTheme="majorBidi" w:hAnsiTheme="majorBidi" w:cstheme="majorBidi"/>
        </w:rPr>
        <w:t xml:space="preserve"> more, so that the </w:t>
      </w:r>
      <w:r w:rsidR="00FF38F0" w:rsidRPr="00C010F3">
        <w:rPr>
          <w:rFonts w:asciiTheme="majorBidi" w:hAnsiTheme="majorBidi" w:cstheme="majorBidi"/>
        </w:rPr>
        <w:t>gap</w:t>
      </w:r>
      <w:r w:rsidR="001B5503" w:rsidRPr="00C010F3">
        <w:rPr>
          <w:rFonts w:asciiTheme="majorBidi" w:hAnsiTheme="majorBidi" w:cstheme="majorBidi"/>
        </w:rPr>
        <w:t xml:space="preserve"> in the probability of purchasing a </w:t>
      </w:r>
      <w:r w:rsidR="00FF38F0" w:rsidRPr="00C010F3">
        <w:rPr>
          <w:rFonts w:asciiTheme="majorBidi" w:hAnsiTheme="majorBidi" w:cstheme="majorBidi"/>
        </w:rPr>
        <w:t>home</w:t>
      </w:r>
      <w:r w:rsidR="001B5503" w:rsidRPr="00C010F3">
        <w:rPr>
          <w:rFonts w:asciiTheme="majorBidi" w:hAnsiTheme="majorBidi" w:cstheme="majorBidi"/>
        </w:rPr>
        <w:t xml:space="preserve"> </w:t>
      </w:r>
      <w:r w:rsidR="00FF38F0" w:rsidRPr="00C010F3">
        <w:rPr>
          <w:rFonts w:asciiTheme="majorBidi" w:hAnsiTheme="majorBidi" w:cstheme="majorBidi"/>
        </w:rPr>
        <w:t>between</w:t>
      </w:r>
      <w:r w:rsidR="00FF38F0">
        <w:rPr>
          <w:rFonts w:asciiTheme="majorBidi" w:hAnsiTheme="majorBidi" w:cstheme="majorBidi"/>
        </w:rPr>
        <w:t xml:space="preserve"> th</w:t>
      </w:r>
      <w:r w:rsidR="001B5503" w:rsidRPr="00C010F3">
        <w:rPr>
          <w:rFonts w:asciiTheme="majorBidi" w:hAnsiTheme="majorBidi" w:cstheme="majorBidi"/>
        </w:rPr>
        <w:t xml:space="preserve">e upper quintile and the other </w:t>
      </w:r>
      <w:r w:rsidR="00FF38F0" w:rsidRPr="00C010F3">
        <w:rPr>
          <w:rFonts w:asciiTheme="majorBidi" w:hAnsiTheme="majorBidi" w:cstheme="majorBidi"/>
        </w:rPr>
        <w:t>quintiles</w:t>
      </w:r>
      <w:r w:rsidR="001B5503" w:rsidRPr="00C010F3">
        <w:rPr>
          <w:rFonts w:asciiTheme="majorBidi" w:hAnsiTheme="majorBidi" w:cstheme="majorBidi"/>
        </w:rPr>
        <w:t xml:space="preserve">, and in </w:t>
      </w:r>
      <w:r w:rsidR="00FF38F0" w:rsidRPr="00C010F3">
        <w:rPr>
          <w:rFonts w:asciiTheme="majorBidi" w:hAnsiTheme="majorBidi" w:cstheme="majorBidi"/>
        </w:rPr>
        <w:t>particular</w:t>
      </w:r>
      <w:r w:rsidR="001B5503" w:rsidRPr="00C010F3">
        <w:rPr>
          <w:rFonts w:asciiTheme="majorBidi" w:hAnsiTheme="majorBidi" w:cstheme="majorBidi"/>
        </w:rPr>
        <w:t xml:space="preserve"> the lowest one</w:t>
      </w:r>
      <w:r w:rsidR="00350FD3">
        <w:rPr>
          <w:rFonts w:asciiTheme="majorBidi" w:hAnsiTheme="majorBidi" w:cstheme="majorBidi"/>
        </w:rPr>
        <w:t xml:space="preserve">, </w:t>
      </w:r>
      <w:r w:rsidR="00350FD3" w:rsidRPr="00C010F3">
        <w:rPr>
          <w:rFonts w:asciiTheme="majorBidi" w:hAnsiTheme="majorBidi" w:cstheme="majorBidi"/>
        </w:rPr>
        <w:t>widened</w:t>
      </w:r>
      <w:r w:rsidR="001B5503" w:rsidRPr="00C010F3">
        <w:rPr>
          <w:rFonts w:asciiTheme="majorBidi" w:hAnsiTheme="majorBidi" w:cstheme="majorBidi"/>
        </w:rPr>
        <w:t xml:space="preserve">. When </w:t>
      </w:r>
      <w:r w:rsidR="00FF38F0">
        <w:rPr>
          <w:rFonts w:asciiTheme="majorBidi" w:hAnsiTheme="majorBidi" w:cstheme="majorBidi"/>
        </w:rPr>
        <w:t>focusing solely on househo</w:t>
      </w:r>
      <w:r w:rsidR="001B5503" w:rsidRPr="00C010F3">
        <w:rPr>
          <w:rFonts w:asciiTheme="majorBidi" w:hAnsiTheme="majorBidi" w:cstheme="majorBidi"/>
        </w:rPr>
        <w:t xml:space="preserve">lds that </w:t>
      </w:r>
      <w:r w:rsidR="00FF38F0">
        <w:rPr>
          <w:rFonts w:asciiTheme="majorBidi" w:hAnsiTheme="majorBidi" w:cstheme="majorBidi"/>
        </w:rPr>
        <w:t>d</w:t>
      </w:r>
      <w:r w:rsidR="001B5503" w:rsidRPr="00C010F3">
        <w:rPr>
          <w:rFonts w:asciiTheme="majorBidi" w:hAnsiTheme="majorBidi" w:cstheme="majorBidi"/>
        </w:rPr>
        <w:t xml:space="preserve">id not </w:t>
      </w:r>
      <w:r w:rsidR="00FF38F0" w:rsidRPr="00C010F3">
        <w:rPr>
          <w:rFonts w:asciiTheme="majorBidi" w:hAnsiTheme="majorBidi" w:cstheme="majorBidi"/>
        </w:rPr>
        <w:t>purchase</w:t>
      </w:r>
      <w:r w:rsidR="001B5503" w:rsidRPr="00C010F3">
        <w:rPr>
          <w:rFonts w:asciiTheme="majorBidi" w:hAnsiTheme="majorBidi" w:cstheme="majorBidi"/>
        </w:rPr>
        <w:t xml:space="preserve"> a home </w:t>
      </w:r>
      <w:r w:rsidR="00FF38F0" w:rsidRPr="00C010F3">
        <w:rPr>
          <w:rFonts w:asciiTheme="majorBidi" w:hAnsiTheme="majorBidi" w:cstheme="majorBidi"/>
        </w:rPr>
        <w:t>within</w:t>
      </w:r>
      <w:r w:rsidR="001B5503" w:rsidRPr="00C010F3">
        <w:rPr>
          <w:rFonts w:asciiTheme="majorBidi" w:hAnsiTheme="majorBidi" w:cstheme="majorBidi"/>
        </w:rPr>
        <w:t xml:space="preserve"> the </w:t>
      </w:r>
      <w:r w:rsidR="00FF38F0" w:rsidRPr="00C010F3">
        <w:rPr>
          <w:rFonts w:asciiTheme="majorBidi" w:hAnsiTheme="majorBidi" w:cstheme="majorBidi"/>
        </w:rPr>
        <w:t>framework</w:t>
      </w:r>
      <w:r w:rsidR="001B5503" w:rsidRPr="00C010F3">
        <w:rPr>
          <w:rFonts w:asciiTheme="majorBidi" w:hAnsiTheme="majorBidi" w:cstheme="majorBidi"/>
        </w:rPr>
        <w:t xml:space="preserve"> of the Buyers Price program in 2016–19, whether because </w:t>
      </w:r>
      <w:r w:rsidR="00FF38F0">
        <w:rPr>
          <w:rFonts w:asciiTheme="majorBidi" w:hAnsiTheme="majorBidi" w:cstheme="majorBidi"/>
        </w:rPr>
        <w:t>the</w:t>
      </w:r>
      <w:r w:rsidR="001B5503" w:rsidRPr="00C010F3">
        <w:rPr>
          <w:rFonts w:asciiTheme="majorBidi" w:hAnsiTheme="majorBidi" w:cstheme="majorBidi"/>
        </w:rPr>
        <w:t>y</w:t>
      </w:r>
      <w:r w:rsidR="00FF38F0">
        <w:rPr>
          <w:rFonts w:asciiTheme="majorBidi" w:hAnsiTheme="majorBidi" w:cstheme="majorBidi"/>
        </w:rPr>
        <w:t xml:space="preserve"> did no</w:t>
      </w:r>
      <w:r w:rsidR="000311AA">
        <w:rPr>
          <w:rFonts w:asciiTheme="majorBidi" w:hAnsiTheme="majorBidi" w:cstheme="majorBidi"/>
        </w:rPr>
        <w:t>t</w:t>
      </w:r>
      <w:r w:rsidR="00FF38F0">
        <w:rPr>
          <w:rFonts w:asciiTheme="majorBidi" w:hAnsiTheme="majorBidi" w:cstheme="majorBidi"/>
        </w:rPr>
        <w:t xml:space="preserve"> </w:t>
      </w:r>
      <w:r w:rsidR="001B5503" w:rsidRPr="00C010F3">
        <w:rPr>
          <w:rFonts w:asciiTheme="majorBidi" w:hAnsiTheme="majorBidi" w:cstheme="majorBidi"/>
        </w:rPr>
        <w:t xml:space="preserve">win </w:t>
      </w:r>
      <w:r w:rsidR="00FF38F0">
        <w:rPr>
          <w:rFonts w:asciiTheme="majorBidi" w:hAnsiTheme="majorBidi" w:cstheme="majorBidi"/>
        </w:rPr>
        <w:t xml:space="preserve">the </w:t>
      </w:r>
      <w:r w:rsidR="00FF38F0" w:rsidRPr="00C010F3">
        <w:rPr>
          <w:rFonts w:asciiTheme="majorBidi" w:hAnsiTheme="majorBidi" w:cstheme="majorBidi"/>
        </w:rPr>
        <w:t>lottery</w:t>
      </w:r>
      <w:r w:rsidR="001B5503" w:rsidRPr="00C010F3">
        <w:rPr>
          <w:rFonts w:asciiTheme="majorBidi" w:hAnsiTheme="majorBidi" w:cstheme="majorBidi"/>
        </w:rPr>
        <w:t xml:space="preserve"> or </w:t>
      </w:r>
      <w:r w:rsidR="00FF38F0" w:rsidRPr="00C010F3">
        <w:rPr>
          <w:rFonts w:asciiTheme="majorBidi" w:hAnsiTheme="majorBidi" w:cstheme="majorBidi"/>
        </w:rPr>
        <w:t>because</w:t>
      </w:r>
      <w:r w:rsidR="001B5503" w:rsidRPr="00C010F3">
        <w:rPr>
          <w:rFonts w:asciiTheme="majorBidi" w:hAnsiTheme="majorBidi" w:cstheme="majorBidi"/>
        </w:rPr>
        <w:t xml:space="preserve"> they </w:t>
      </w:r>
      <w:r w:rsidR="00FF38F0" w:rsidRPr="00C010F3">
        <w:rPr>
          <w:rFonts w:asciiTheme="majorBidi" w:hAnsiTheme="majorBidi" w:cstheme="majorBidi"/>
        </w:rPr>
        <w:t>did</w:t>
      </w:r>
      <w:r w:rsidR="001B5503" w:rsidRPr="00C010F3">
        <w:rPr>
          <w:rFonts w:asciiTheme="majorBidi" w:hAnsiTheme="majorBidi" w:cstheme="majorBidi"/>
        </w:rPr>
        <w:t xml:space="preserve"> not enter it, it was found that the probability to </w:t>
      </w:r>
      <w:r w:rsidR="00FF38F0" w:rsidRPr="00C010F3">
        <w:rPr>
          <w:rFonts w:asciiTheme="majorBidi" w:hAnsiTheme="majorBidi" w:cstheme="majorBidi"/>
        </w:rPr>
        <w:t>purchase</w:t>
      </w:r>
      <w:r w:rsidR="001B5503" w:rsidRPr="00C010F3">
        <w:rPr>
          <w:rFonts w:asciiTheme="majorBidi" w:hAnsiTheme="majorBidi" w:cstheme="majorBidi"/>
        </w:rPr>
        <w:t xml:space="preserve"> a </w:t>
      </w:r>
      <w:r w:rsidR="00FF38F0" w:rsidRPr="00C010F3">
        <w:rPr>
          <w:rFonts w:asciiTheme="majorBidi" w:hAnsiTheme="majorBidi" w:cstheme="majorBidi"/>
        </w:rPr>
        <w:t>home</w:t>
      </w:r>
      <w:r w:rsidR="001B5503" w:rsidRPr="00C010F3">
        <w:rPr>
          <w:rFonts w:asciiTheme="majorBidi" w:hAnsiTheme="majorBidi" w:cstheme="majorBidi"/>
        </w:rPr>
        <w:t xml:space="preserve"> </w:t>
      </w:r>
      <w:r w:rsidR="00FF38F0" w:rsidRPr="00C010F3">
        <w:rPr>
          <w:rFonts w:asciiTheme="majorBidi" w:hAnsiTheme="majorBidi" w:cstheme="majorBidi"/>
        </w:rPr>
        <w:t>remained</w:t>
      </w:r>
      <w:r w:rsidR="001B5503" w:rsidRPr="00C010F3">
        <w:rPr>
          <w:rFonts w:asciiTheme="majorBidi" w:hAnsiTheme="majorBidi" w:cstheme="majorBidi"/>
        </w:rPr>
        <w:t xml:space="preserve"> </w:t>
      </w:r>
      <w:r w:rsidR="00FF38F0" w:rsidRPr="00C010F3">
        <w:rPr>
          <w:rFonts w:asciiTheme="majorBidi" w:hAnsiTheme="majorBidi" w:cstheme="majorBidi"/>
        </w:rPr>
        <w:t>stable</w:t>
      </w:r>
      <w:r w:rsidR="001B5503" w:rsidRPr="00C010F3">
        <w:rPr>
          <w:rFonts w:asciiTheme="majorBidi" w:hAnsiTheme="majorBidi" w:cstheme="majorBidi"/>
        </w:rPr>
        <w:t xml:space="preserve"> </w:t>
      </w:r>
      <w:r w:rsidR="00FF38F0" w:rsidRPr="00C010F3">
        <w:rPr>
          <w:rFonts w:asciiTheme="majorBidi" w:hAnsiTheme="majorBidi" w:cstheme="majorBidi"/>
        </w:rPr>
        <w:t>relative</w:t>
      </w:r>
      <w:r w:rsidR="001B5503" w:rsidRPr="00C010F3">
        <w:rPr>
          <w:rFonts w:asciiTheme="majorBidi" w:hAnsiTheme="majorBidi" w:cstheme="majorBidi"/>
        </w:rPr>
        <w:t xml:space="preserve"> to the </w:t>
      </w:r>
      <w:r w:rsidR="00FF38F0" w:rsidRPr="00C010F3">
        <w:rPr>
          <w:rFonts w:asciiTheme="majorBidi" w:hAnsiTheme="majorBidi" w:cstheme="majorBidi"/>
        </w:rPr>
        <w:t>years</w:t>
      </w:r>
      <w:r w:rsidR="00752B4E">
        <w:rPr>
          <w:rFonts w:asciiTheme="majorBidi" w:hAnsiTheme="majorBidi" w:cstheme="majorBidi"/>
        </w:rPr>
        <w:t xml:space="preserve"> 2012–15.</w:t>
      </w:r>
      <w:r w:rsidR="001B5503" w:rsidRPr="00C010F3">
        <w:rPr>
          <w:rFonts w:asciiTheme="majorBidi" w:hAnsiTheme="majorBidi" w:cstheme="majorBidi"/>
        </w:rPr>
        <w:t xml:space="preserve"> Moreover, the </w:t>
      </w:r>
      <w:r w:rsidR="00FF38F0" w:rsidRPr="00C010F3">
        <w:rPr>
          <w:rFonts w:asciiTheme="majorBidi" w:hAnsiTheme="majorBidi" w:cstheme="majorBidi"/>
        </w:rPr>
        <w:t>probability</w:t>
      </w:r>
      <w:r w:rsidR="001B5503" w:rsidRPr="00C010F3">
        <w:rPr>
          <w:rFonts w:asciiTheme="majorBidi" w:hAnsiTheme="majorBidi" w:cstheme="majorBidi"/>
        </w:rPr>
        <w:t xml:space="preserve"> of these </w:t>
      </w:r>
      <w:r w:rsidR="00FF38F0" w:rsidRPr="00C010F3">
        <w:rPr>
          <w:rFonts w:asciiTheme="majorBidi" w:hAnsiTheme="majorBidi" w:cstheme="majorBidi"/>
        </w:rPr>
        <w:t>households</w:t>
      </w:r>
      <w:r w:rsidR="00FF38F0">
        <w:rPr>
          <w:rFonts w:asciiTheme="majorBidi" w:hAnsiTheme="majorBidi" w:cstheme="majorBidi"/>
        </w:rPr>
        <w:t xml:space="preserve"> to purchase </w:t>
      </w:r>
      <w:r w:rsidR="001B5503" w:rsidRPr="00C010F3">
        <w:rPr>
          <w:rFonts w:asciiTheme="majorBidi" w:hAnsiTheme="majorBidi" w:cstheme="majorBidi"/>
        </w:rPr>
        <w:t xml:space="preserve">a home on the </w:t>
      </w:r>
      <w:r w:rsidR="00BE5BBB">
        <w:rPr>
          <w:rFonts w:asciiTheme="majorBidi" w:hAnsiTheme="majorBidi" w:cstheme="majorBidi"/>
        </w:rPr>
        <w:t>open</w:t>
      </w:r>
      <w:r w:rsidR="001B5503" w:rsidRPr="00C010F3">
        <w:rPr>
          <w:rFonts w:asciiTheme="majorBidi" w:hAnsiTheme="majorBidi" w:cstheme="majorBidi"/>
        </w:rPr>
        <w:t xml:space="preserve"> market in the periphery increased </w:t>
      </w:r>
      <w:r w:rsidR="00026714" w:rsidRPr="00C010F3">
        <w:rPr>
          <w:rFonts w:asciiTheme="majorBidi" w:hAnsiTheme="majorBidi" w:cstheme="majorBidi"/>
        </w:rPr>
        <w:t xml:space="preserve">even </w:t>
      </w:r>
      <w:r w:rsidR="001B5503" w:rsidRPr="00C010F3">
        <w:rPr>
          <w:rFonts w:asciiTheme="majorBidi" w:hAnsiTheme="majorBidi" w:cstheme="majorBidi"/>
        </w:rPr>
        <w:t xml:space="preserve">for the </w:t>
      </w:r>
      <w:r w:rsidR="00FF38F0" w:rsidRPr="00C010F3">
        <w:rPr>
          <w:rFonts w:asciiTheme="majorBidi" w:hAnsiTheme="majorBidi" w:cstheme="majorBidi"/>
        </w:rPr>
        <w:t>lower</w:t>
      </w:r>
      <w:r w:rsidR="001B5503" w:rsidRPr="00C010F3">
        <w:rPr>
          <w:rFonts w:asciiTheme="majorBidi" w:hAnsiTheme="majorBidi" w:cstheme="majorBidi"/>
        </w:rPr>
        <w:t xml:space="preserve"> income </w:t>
      </w:r>
      <w:r w:rsidR="00FF38F0" w:rsidRPr="00C010F3">
        <w:rPr>
          <w:rFonts w:asciiTheme="majorBidi" w:hAnsiTheme="majorBidi" w:cstheme="majorBidi"/>
        </w:rPr>
        <w:t>quintiles</w:t>
      </w:r>
      <w:r w:rsidR="001B5503" w:rsidRPr="00C010F3">
        <w:rPr>
          <w:rFonts w:asciiTheme="majorBidi" w:hAnsiTheme="majorBidi" w:cstheme="majorBidi"/>
        </w:rPr>
        <w:t xml:space="preserve">. It may be </w:t>
      </w:r>
      <w:r w:rsidR="00FF38F0" w:rsidRPr="00C010F3">
        <w:rPr>
          <w:rFonts w:asciiTheme="majorBidi" w:hAnsiTheme="majorBidi" w:cstheme="majorBidi"/>
        </w:rPr>
        <w:t>concluded</w:t>
      </w:r>
      <w:r w:rsidR="001B5503" w:rsidRPr="00C010F3">
        <w:rPr>
          <w:rFonts w:asciiTheme="majorBidi" w:hAnsiTheme="majorBidi" w:cstheme="majorBidi"/>
        </w:rPr>
        <w:t xml:space="preserve"> from this that the </w:t>
      </w:r>
      <w:r w:rsidR="00FF38F0" w:rsidRPr="00C010F3">
        <w:rPr>
          <w:rFonts w:asciiTheme="majorBidi" w:hAnsiTheme="majorBidi" w:cstheme="majorBidi"/>
        </w:rPr>
        <w:t>expansion</w:t>
      </w:r>
      <w:r w:rsidR="001B5503" w:rsidRPr="00C010F3">
        <w:rPr>
          <w:rFonts w:asciiTheme="majorBidi" w:hAnsiTheme="majorBidi" w:cstheme="majorBidi"/>
        </w:rPr>
        <w:t xml:space="preserve"> of </w:t>
      </w:r>
      <w:r w:rsidR="00FF38F0" w:rsidRPr="00C010F3">
        <w:rPr>
          <w:rFonts w:asciiTheme="majorBidi" w:hAnsiTheme="majorBidi" w:cstheme="majorBidi"/>
        </w:rPr>
        <w:t>supply</w:t>
      </w:r>
      <w:r w:rsidR="001B5503" w:rsidRPr="00C010F3">
        <w:rPr>
          <w:rFonts w:asciiTheme="majorBidi" w:hAnsiTheme="majorBidi" w:cstheme="majorBidi"/>
        </w:rPr>
        <w:t xml:space="preserve"> that occurred in 2016–19 was substantial </w:t>
      </w:r>
      <w:r w:rsidR="00FF38F0" w:rsidRPr="00C010F3">
        <w:rPr>
          <w:rFonts w:asciiTheme="majorBidi" w:hAnsiTheme="majorBidi" w:cstheme="majorBidi"/>
        </w:rPr>
        <w:t>compared</w:t>
      </w:r>
      <w:r w:rsidR="001B5503" w:rsidRPr="00C010F3">
        <w:rPr>
          <w:rFonts w:asciiTheme="majorBidi" w:hAnsiTheme="majorBidi" w:cstheme="majorBidi"/>
        </w:rPr>
        <w:t xml:space="preserve"> </w:t>
      </w:r>
      <w:r w:rsidR="00FF38F0">
        <w:rPr>
          <w:rFonts w:asciiTheme="majorBidi" w:hAnsiTheme="majorBidi" w:cstheme="majorBidi"/>
        </w:rPr>
        <w:t>to the years 2012–15, a</w:t>
      </w:r>
      <w:r w:rsidR="001B5503" w:rsidRPr="00C010F3">
        <w:rPr>
          <w:rFonts w:asciiTheme="majorBidi" w:hAnsiTheme="majorBidi" w:cstheme="majorBidi"/>
        </w:rPr>
        <w:t>n</w:t>
      </w:r>
      <w:r w:rsidR="00FF38F0">
        <w:rPr>
          <w:rFonts w:asciiTheme="majorBidi" w:hAnsiTheme="majorBidi" w:cstheme="majorBidi"/>
        </w:rPr>
        <w:t>d</w:t>
      </w:r>
      <w:r w:rsidR="001B5503" w:rsidRPr="00C010F3">
        <w:rPr>
          <w:rFonts w:asciiTheme="majorBidi" w:hAnsiTheme="majorBidi" w:cstheme="majorBidi"/>
        </w:rPr>
        <w:t xml:space="preserve"> therefore the </w:t>
      </w:r>
      <w:r w:rsidR="00FF38F0" w:rsidRPr="00C010F3">
        <w:rPr>
          <w:rFonts w:asciiTheme="majorBidi" w:hAnsiTheme="majorBidi" w:cstheme="majorBidi"/>
        </w:rPr>
        <w:t>probability</w:t>
      </w:r>
      <w:r w:rsidR="001B5503" w:rsidRPr="00C010F3">
        <w:rPr>
          <w:rFonts w:asciiTheme="majorBidi" w:hAnsiTheme="majorBidi" w:cstheme="majorBidi"/>
        </w:rPr>
        <w:t xml:space="preserve"> of one who </w:t>
      </w:r>
      <w:r w:rsidR="00FF38F0" w:rsidRPr="00C010F3">
        <w:rPr>
          <w:rFonts w:asciiTheme="majorBidi" w:hAnsiTheme="majorBidi" w:cstheme="majorBidi"/>
        </w:rPr>
        <w:t>did</w:t>
      </w:r>
      <w:r w:rsidR="001B5503" w:rsidRPr="00C010F3">
        <w:rPr>
          <w:rFonts w:asciiTheme="majorBidi" w:hAnsiTheme="majorBidi" w:cstheme="majorBidi"/>
        </w:rPr>
        <w:t xml:space="preserve"> not win in the “Buyers Price” </w:t>
      </w:r>
      <w:r w:rsidR="00FF38F0" w:rsidRPr="00C010F3">
        <w:rPr>
          <w:rFonts w:asciiTheme="majorBidi" w:hAnsiTheme="majorBidi" w:cstheme="majorBidi"/>
        </w:rPr>
        <w:t>lotteries</w:t>
      </w:r>
      <w:r w:rsidR="001B5503" w:rsidRPr="00C010F3">
        <w:rPr>
          <w:rFonts w:asciiTheme="majorBidi" w:hAnsiTheme="majorBidi" w:cstheme="majorBidi"/>
        </w:rPr>
        <w:t xml:space="preserve"> to </w:t>
      </w:r>
      <w:r w:rsidR="00FF38F0" w:rsidRPr="00C010F3">
        <w:rPr>
          <w:rFonts w:asciiTheme="majorBidi" w:hAnsiTheme="majorBidi" w:cstheme="majorBidi"/>
        </w:rPr>
        <w:t>purchase</w:t>
      </w:r>
      <w:r w:rsidR="001B5503" w:rsidRPr="00C010F3">
        <w:rPr>
          <w:rFonts w:asciiTheme="majorBidi" w:hAnsiTheme="majorBidi" w:cstheme="majorBidi"/>
        </w:rPr>
        <w:t xml:space="preserve"> a home was not adversely impacted. </w:t>
      </w:r>
      <w:r w:rsidR="00FF38F0" w:rsidRPr="00C55227">
        <w:rPr>
          <w:rFonts w:asciiTheme="majorBidi" w:hAnsiTheme="majorBidi" w:cstheme="majorBidi"/>
          <w:b/>
          <w:bCs/>
        </w:rPr>
        <w:t>Thus,</w:t>
      </w:r>
      <w:r w:rsidR="001B5503" w:rsidRPr="00C55227">
        <w:rPr>
          <w:rFonts w:asciiTheme="majorBidi" w:hAnsiTheme="majorBidi" w:cstheme="majorBidi"/>
          <w:b/>
          <w:bCs/>
        </w:rPr>
        <w:t xml:space="preserve"> it may be concluded that maintaining a high level of </w:t>
      </w:r>
      <w:r w:rsidR="00FF38F0" w:rsidRPr="00C55227">
        <w:rPr>
          <w:rFonts w:asciiTheme="majorBidi" w:hAnsiTheme="majorBidi" w:cstheme="majorBidi"/>
          <w:b/>
          <w:bCs/>
        </w:rPr>
        <w:t>construction</w:t>
      </w:r>
      <w:r w:rsidR="001B5503" w:rsidRPr="00C55227">
        <w:rPr>
          <w:rFonts w:asciiTheme="majorBidi" w:hAnsiTheme="majorBidi" w:cstheme="majorBidi"/>
          <w:b/>
          <w:bCs/>
        </w:rPr>
        <w:t xml:space="preserve"> </w:t>
      </w:r>
      <w:r w:rsidR="00FF38F0" w:rsidRPr="00C55227">
        <w:rPr>
          <w:rFonts w:asciiTheme="majorBidi" w:hAnsiTheme="majorBidi" w:cstheme="majorBidi"/>
          <w:b/>
          <w:bCs/>
        </w:rPr>
        <w:t>supply</w:t>
      </w:r>
      <w:r w:rsidR="001B5503" w:rsidRPr="00C55227">
        <w:rPr>
          <w:rFonts w:asciiTheme="majorBidi" w:hAnsiTheme="majorBidi" w:cstheme="majorBidi"/>
          <w:b/>
          <w:bCs/>
        </w:rPr>
        <w:t xml:space="preserve">, as was the case, for example, in the </w:t>
      </w:r>
      <w:r w:rsidR="00FF38F0" w:rsidRPr="00C55227">
        <w:rPr>
          <w:rFonts w:asciiTheme="majorBidi" w:hAnsiTheme="majorBidi" w:cstheme="majorBidi"/>
          <w:b/>
          <w:bCs/>
        </w:rPr>
        <w:t>years</w:t>
      </w:r>
      <w:r w:rsidR="001B5503" w:rsidRPr="00C55227">
        <w:rPr>
          <w:rFonts w:asciiTheme="majorBidi" w:hAnsiTheme="majorBidi" w:cstheme="majorBidi"/>
          <w:b/>
          <w:bCs/>
        </w:rPr>
        <w:t xml:space="preserve"> 2021–22</w:t>
      </w:r>
      <w:r w:rsidR="00FF38F0" w:rsidRPr="00C55227">
        <w:rPr>
          <w:rFonts w:asciiTheme="majorBidi" w:hAnsiTheme="majorBidi" w:cstheme="majorBidi"/>
          <w:b/>
          <w:bCs/>
        </w:rPr>
        <w:t xml:space="preserve">, </w:t>
      </w:r>
      <w:r w:rsidR="001B5503" w:rsidRPr="00C55227">
        <w:rPr>
          <w:rFonts w:asciiTheme="majorBidi" w:hAnsiTheme="majorBidi" w:cstheme="majorBidi"/>
          <w:b/>
          <w:bCs/>
        </w:rPr>
        <w:t xml:space="preserve">is </w:t>
      </w:r>
      <w:r w:rsidR="00FF38F0" w:rsidRPr="00C55227">
        <w:rPr>
          <w:rFonts w:asciiTheme="majorBidi" w:hAnsiTheme="majorBidi" w:cstheme="majorBidi"/>
          <w:b/>
          <w:bCs/>
        </w:rPr>
        <w:t>important</w:t>
      </w:r>
      <w:r w:rsidR="001B5503" w:rsidRPr="00C55227">
        <w:rPr>
          <w:rFonts w:asciiTheme="majorBidi" w:hAnsiTheme="majorBidi" w:cstheme="majorBidi"/>
          <w:b/>
          <w:bCs/>
        </w:rPr>
        <w:t xml:space="preserve"> for there to be housing affordability for the overall </w:t>
      </w:r>
      <w:r w:rsidR="00FF38F0" w:rsidRPr="00C55227">
        <w:rPr>
          <w:rFonts w:asciiTheme="majorBidi" w:hAnsiTheme="majorBidi" w:cstheme="majorBidi"/>
          <w:b/>
          <w:bCs/>
        </w:rPr>
        <w:t>population</w:t>
      </w:r>
      <w:r w:rsidR="001B5503" w:rsidRPr="00C55227">
        <w:rPr>
          <w:rFonts w:asciiTheme="majorBidi" w:hAnsiTheme="majorBidi" w:cstheme="majorBidi"/>
          <w:b/>
          <w:bCs/>
        </w:rPr>
        <w:t xml:space="preserve">: </w:t>
      </w:r>
      <w:r w:rsidR="00FF38F0" w:rsidRPr="00C55227">
        <w:rPr>
          <w:rFonts w:asciiTheme="majorBidi" w:hAnsiTheme="majorBidi" w:cstheme="majorBidi"/>
          <w:b/>
          <w:bCs/>
        </w:rPr>
        <w:t>those</w:t>
      </w:r>
      <w:r w:rsidR="001B5503" w:rsidRPr="00C55227">
        <w:rPr>
          <w:rFonts w:asciiTheme="majorBidi" w:hAnsiTheme="majorBidi" w:cstheme="majorBidi"/>
          <w:b/>
          <w:bCs/>
        </w:rPr>
        <w:t xml:space="preserve"> who are </w:t>
      </w:r>
      <w:r w:rsidR="00FF38F0" w:rsidRPr="00C55227">
        <w:rPr>
          <w:rFonts w:asciiTheme="majorBidi" w:hAnsiTheme="majorBidi" w:cstheme="majorBidi"/>
          <w:b/>
          <w:bCs/>
        </w:rPr>
        <w:t>eligible</w:t>
      </w:r>
      <w:r w:rsidR="001B5503" w:rsidRPr="00C55227">
        <w:rPr>
          <w:rFonts w:asciiTheme="majorBidi" w:hAnsiTheme="majorBidi" w:cstheme="majorBidi"/>
          <w:b/>
          <w:bCs/>
        </w:rPr>
        <w:t xml:space="preserve"> </w:t>
      </w:r>
      <w:r w:rsidR="00FF38F0" w:rsidRPr="00C55227">
        <w:rPr>
          <w:rFonts w:asciiTheme="majorBidi" w:hAnsiTheme="majorBidi" w:cstheme="majorBidi"/>
          <w:b/>
          <w:bCs/>
        </w:rPr>
        <w:t>for</w:t>
      </w:r>
      <w:r w:rsidR="001B5503" w:rsidRPr="00C55227">
        <w:rPr>
          <w:rFonts w:asciiTheme="majorBidi" w:hAnsiTheme="majorBidi" w:cstheme="majorBidi"/>
          <w:b/>
          <w:bCs/>
        </w:rPr>
        <w:t xml:space="preserve"> </w:t>
      </w:r>
      <w:r w:rsidR="00FF38F0" w:rsidRPr="00C55227">
        <w:rPr>
          <w:rFonts w:asciiTheme="majorBidi" w:hAnsiTheme="majorBidi" w:cstheme="majorBidi"/>
          <w:b/>
          <w:bCs/>
        </w:rPr>
        <w:t>the</w:t>
      </w:r>
      <w:r w:rsidR="001B5503" w:rsidRPr="00C55227">
        <w:rPr>
          <w:rFonts w:asciiTheme="majorBidi" w:hAnsiTheme="majorBidi" w:cstheme="majorBidi"/>
          <w:b/>
          <w:bCs/>
        </w:rPr>
        <w:t xml:space="preserve"> subsidy and those who are not, or did </w:t>
      </w:r>
      <w:r w:rsidR="00FF38F0" w:rsidRPr="00C55227">
        <w:rPr>
          <w:rFonts w:asciiTheme="majorBidi" w:hAnsiTheme="majorBidi" w:cstheme="majorBidi"/>
          <w:b/>
          <w:bCs/>
        </w:rPr>
        <w:t>not</w:t>
      </w:r>
      <w:r w:rsidR="001B5503" w:rsidRPr="00C55227">
        <w:rPr>
          <w:rFonts w:asciiTheme="majorBidi" w:hAnsiTheme="majorBidi" w:cstheme="majorBidi"/>
          <w:b/>
          <w:bCs/>
        </w:rPr>
        <w:t xml:space="preserve"> </w:t>
      </w:r>
      <w:r w:rsidR="00664BBF">
        <w:rPr>
          <w:rFonts w:asciiTheme="majorBidi" w:hAnsiTheme="majorBidi" w:cstheme="majorBidi"/>
          <w:b/>
          <w:bCs/>
        </w:rPr>
        <w:t>win</w:t>
      </w:r>
      <w:r w:rsidR="001B5503" w:rsidRPr="00C55227">
        <w:rPr>
          <w:rFonts w:asciiTheme="majorBidi" w:hAnsiTheme="majorBidi" w:cstheme="majorBidi"/>
          <w:b/>
          <w:bCs/>
        </w:rPr>
        <w:t xml:space="preserve"> in the lotteries.</w:t>
      </w:r>
    </w:p>
    <w:p w:rsidR="0008346E" w:rsidRDefault="0008346E" w:rsidP="0008346E">
      <w:pPr>
        <w:bidi w:val="0"/>
        <w:jc w:val="both"/>
        <w:rPr>
          <w:rFonts w:asciiTheme="majorBidi" w:hAnsiTheme="majorBidi" w:cstheme="majorBidi"/>
          <w:b/>
          <w:bCs/>
        </w:rPr>
      </w:pPr>
    </w:p>
    <w:p w:rsidR="0008346E" w:rsidRDefault="0008346E" w:rsidP="0008346E">
      <w:pPr>
        <w:bidi w:val="0"/>
        <w:jc w:val="both"/>
        <w:rPr>
          <w:rFonts w:asciiTheme="majorBidi" w:hAnsiTheme="majorBidi" w:cstheme="majorBidi"/>
          <w:b/>
          <w:bCs/>
        </w:rPr>
      </w:pPr>
      <w:r>
        <w:rPr>
          <w:rFonts w:asciiTheme="majorBidi" w:hAnsiTheme="majorBidi" w:cstheme="majorBidi"/>
          <w:b/>
          <w:bCs/>
        </w:rPr>
        <w:t>Figure 1</w:t>
      </w:r>
    </w:p>
    <w:p w:rsidR="0008346E" w:rsidRDefault="0008346E" w:rsidP="0008346E">
      <w:pPr>
        <w:bidi w:val="0"/>
        <w:jc w:val="both"/>
        <w:rPr>
          <w:rFonts w:asciiTheme="majorBidi" w:hAnsiTheme="majorBidi" w:cstheme="majorBidi"/>
          <w:b/>
          <w:bCs/>
        </w:rPr>
      </w:pPr>
      <w:r>
        <w:rPr>
          <w:rFonts w:asciiTheme="majorBidi" w:hAnsiTheme="majorBidi" w:cstheme="majorBidi"/>
          <w:b/>
          <w:bCs/>
        </w:rPr>
        <w:t>The estimated probability of those not owning a home</w:t>
      </w:r>
      <w:r w:rsidR="00EC7015" w:rsidRPr="00EC7015">
        <w:rPr>
          <w:rFonts w:asciiTheme="majorBidi" w:hAnsiTheme="majorBidi" w:cstheme="majorBidi"/>
          <w:b/>
          <w:bCs/>
          <w:vertAlign w:val="superscript"/>
        </w:rPr>
        <w:t>1</w:t>
      </w:r>
      <w:r w:rsidRPr="00EC7015">
        <w:rPr>
          <w:rFonts w:asciiTheme="majorBidi" w:hAnsiTheme="majorBidi" w:cstheme="majorBidi"/>
          <w:b/>
          <w:bCs/>
          <w:vertAlign w:val="superscript"/>
        </w:rPr>
        <w:t xml:space="preserve"> </w:t>
      </w:r>
      <w:r>
        <w:rPr>
          <w:rFonts w:asciiTheme="majorBidi" w:hAnsiTheme="majorBidi" w:cstheme="majorBidi"/>
          <w:b/>
          <w:bCs/>
        </w:rPr>
        <w:t>to purchase a home in 2016–19 and in 2012–15, by income quintiles</w:t>
      </w:r>
      <w:r w:rsidR="00EC7015" w:rsidRPr="00EC7015">
        <w:rPr>
          <w:rFonts w:asciiTheme="majorBidi" w:hAnsiTheme="majorBidi" w:cstheme="majorBidi"/>
          <w:b/>
          <w:bCs/>
          <w:vertAlign w:val="superscript"/>
        </w:rPr>
        <w:t>2</w:t>
      </w:r>
    </w:p>
    <w:p w:rsidR="0008346E" w:rsidRDefault="000311AA" w:rsidP="0008346E">
      <w:pPr>
        <w:bidi w:val="0"/>
        <w:jc w:val="both"/>
        <w:rPr>
          <w:rFonts w:asciiTheme="majorBidi" w:hAnsiTheme="majorBidi" w:cstheme="majorBidi"/>
        </w:rPr>
      </w:pPr>
      <w:r>
        <w:rPr>
          <w:rFonts w:asciiTheme="majorBidi" w:hAnsiTheme="majorBidi" w:cstheme="majorBidi"/>
          <w:noProof/>
        </w:rPr>
        <w:drawing>
          <wp:inline distT="0" distB="0" distL="0" distR="0" wp14:anchorId="07736724">
            <wp:extent cx="4137098" cy="364402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96" cy="3649568"/>
                    </a:xfrm>
                    <a:prstGeom prst="rect">
                      <a:avLst/>
                    </a:prstGeom>
                    <a:noFill/>
                  </pic:spPr>
                </pic:pic>
              </a:graphicData>
            </a:graphic>
          </wp:inline>
        </w:drawing>
      </w:r>
    </w:p>
    <w:p w:rsidR="00EC7015" w:rsidRDefault="00EC7015" w:rsidP="00EC7015">
      <w:pPr>
        <w:bidi w:val="0"/>
        <w:jc w:val="both"/>
        <w:rPr>
          <w:rFonts w:asciiTheme="majorBidi" w:hAnsiTheme="majorBidi" w:cstheme="majorBidi"/>
        </w:rPr>
      </w:pPr>
      <w:r w:rsidRPr="00EC7015">
        <w:rPr>
          <w:rFonts w:asciiTheme="majorBidi" w:hAnsiTheme="majorBidi" w:cstheme="majorBidi"/>
        </w:rPr>
        <w:t>1. Those not owning a home</w:t>
      </w:r>
      <w:r w:rsidRPr="00EC7015">
        <w:rPr>
          <w:rFonts w:asciiTheme="majorBidi" w:hAnsiTheme="majorBidi" w:cstheme="majorBidi"/>
          <w:vertAlign w:val="superscript"/>
        </w:rPr>
        <w:t xml:space="preserve"> </w:t>
      </w:r>
      <w:r w:rsidRPr="00EC7015">
        <w:rPr>
          <w:rFonts w:asciiTheme="majorBidi" w:hAnsiTheme="majorBidi" w:cstheme="majorBidi"/>
        </w:rPr>
        <w:t xml:space="preserve">are households that do not </w:t>
      </w:r>
      <w:r w:rsidR="00845236" w:rsidRPr="00EC7015">
        <w:rPr>
          <w:rFonts w:asciiTheme="majorBidi" w:hAnsiTheme="majorBidi" w:cstheme="majorBidi"/>
        </w:rPr>
        <w:t>own,</w:t>
      </w:r>
      <w:r w:rsidRPr="00EC7015">
        <w:rPr>
          <w:rFonts w:asciiTheme="majorBidi" w:hAnsiTheme="majorBidi" w:cstheme="majorBidi"/>
        </w:rPr>
        <w:t xml:space="preserve"> and did not own, a home.</w:t>
      </w:r>
    </w:p>
    <w:p w:rsidR="00EC7015" w:rsidRDefault="00EC7015" w:rsidP="00EC7015">
      <w:pPr>
        <w:bidi w:val="0"/>
        <w:jc w:val="both"/>
        <w:rPr>
          <w:rFonts w:asciiTheme="majorBidi" w:hAnsiTheme="majorBidi" w:cstheme="majorBidi"/>
        </w:rPr>
      </w:pPr>
      <w:r>
        <w:rPr>
          <w:rFonts w:asciiTheme="majorBidi" w:hAnsiTheme="majorBidi" w:cstheme="majorBidi"/>
        </w:rPr>
        <w:t>2. Income quintiles were calculated based on the income distribution in the sample.</w:t>
      </w:r>
    </w:p>
    <w:p w:rsidR="000311AA" w:rsidRPr="00EC7015" w:rsidRDefault="000311AA" w:rsidP="00936D26">
      <w:pPr>
        <w:bidi w:val="0"/>
        <w:jc w:val="both"/>
        <w:rPr>
          <w:rFonts w:asciiTheme="majorBidi" w:hAnsiTheme="majorBidi" w:cstheme="majorBidi"/>
        </w:rPr>
      </w:pPr>
    </w:p>
    <w:sectPr w:rsidR="000311AA" w:rsidRPr="00EC7015"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F96C59" w:rsidRDefault="00B96022" w:rsidP="00F96C59">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 w:id="1">
    <w:p w:rsidR="00807C45" w:rsidRDefault="00807C45" w:rsidP="00807C45">
      <w:pPr>
        <w:pStyle w:val="ab"/>
      </w:pPr>
      <w:r>
        <w:rPr>
          <w:rStyle w:val="ad"/>
        </w:rPr>
        <w:footnoteRef/>
      </w:r>
      <w:r>
        <w:t xml:space="preserve"> Potential of purchasers includes all those that until that year had never owned a home; the research population includes employees up to age 40.</w:t>
      </w:r>
    </w:p>
  </w:footnote>
  <w:footnote w:id="2">
    <w:p w:rsidR="004937DA" w:rsidRDefault="004937DA" w:rsidP="004937DA">
      <w:pPr>
        <w:pStyle w:val="ab"/>
      </w:pPr>
      <w:r>
        <w:rPr>
          <w:rStyle w:val="ad"/>
        </w:rPr>
        <w:footnoteRef/>
      </w:r>
      <w:r>
        <w:t xml:space="preserve"> Married couples are couples living together and managing a shared household.</w:t>
      </w:r>
    </w:p>
  </w:footnote>
  <w:footnote w:id="3">
    <w:p w:rsidR="00C30ABC" w:rsidRDefault="00C30ABC" w:rsidP="00C30ABC">
      <w:pPr>
        <w:pStyle w:val="ab"/>
      </w:pPr>
      <w:r>
        <w:rPr>
          <w:rStyle w:val="ad"/>
        </w:rPr>
        <w:footnoteRef/>
      </w:r>
      <w:r>
        <w:t xml:space="preserve"> The data on income refers to net income of households from work as an employee, in 2018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26E4"/>
    <w:multiLevelType w:val="hybridMultilevel"/>
    <w:tmpl w:val="6D04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26714"/>
    <w:rsid w:val="000311AA"/>
    <w:rsid w:val="00033569"/>
    <w:rsid w:val="00051247"/>
    <w:rsid w:val="000526A0"/>
    <w:rsid w:val="0005726E"/>
    <w:rsid w:val="00060747"/>
    <w:rsid w:val="00065D9C"/>
    <w:rsid w:val="0008346E"/>
    <w:rsid w:val="000A520E"/>
    <w:rsid w:val="000C710C"/>
    <w:rsid w:val="000D4E65"/>
    <w:rsid w:val="000D57D1"/>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B5503"/>
    <w:rsid w:val="001C1BC1"/>
    <w:rsid w:val="001C388F"/>
    <w:rsid w:val="001C71E8"/>
    <w:rsid w:val="001D381C"/>
    <w:rsid w:val="001F02A9"/>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343A"/>
    <w:rsid w:val="002B48CC"/>
    <w:rsid w:val="002C6A25"/>
    <w:rsid w:val="002F4149"/>
    <w:rsid w:val="002F7EEF"/>
    <w:rsid w:val="0030279B"/>
    <w:rsid w:val="003129D6"/>
    <w:rsid w:val="003136EE"/>
    <w:rsid w:val="003200CB"/>
    <w:rsid w:val="00321832"/>
    <w:rsid w:val="00322C28"/>
    <w:rsid w:val="00323E65"/>
    <w:rsid w:val="003276ED"/>
    <w:rsid w:val="003365E0"/>
    <w:rsid w:val="00344E60"/>
    <w:rsid w:val="00350FD3"/>
    <w:rsid w:val="00360B5C"/>
    <w:rsid w:val="00364AF8"/>
    <w:rsid w:val="00364C08"/>
    <w:rsid w:val="00371527"/>
    <w:rsid w:val="003727EE"/>
    <w:rsid w:val="003772AF"/>
    <w:rsid w:val="00385CB3"/>
    <w:rsid w:val="00387840"/>
    <w:rsid w:val="0039059D"/>
    <w:rsid w:val="00390CA5"/>
    <w:rsid w:val="003A1AC9"/>
    <w:rsid w:val="003A335C"/>
    <w:rsid w:val="003A3813"/>
    <w:rsid w:val="003A386A"/>
    <w:rsid w:val="003B4DD7"/>
    <w:rsid w:val="003B715F"/>
    <w:rsid w:val="003B7DC3"/>
    <w:rsid w:val="003C7815"/>
    <w:rsid w:val="003D4C55"/>
    <w:rsid w:val="003D6F31"/>
    <w:rsid w:val="003D7860"/>
    <w:rsid w:val="003D7BF1"/>
    <w:rsid w:val="003E3F4C"/>
    <w:rsid w:val="003F745D"/>
    <w:rsid w:val="00401395"/>
    <w:rsid w:val="004033B8"/>
    <w:rsid w:val="00403D99"/>
    <w:rsid w:val="00411BA4"/>
    <w:rsid w:val="00412846"/>
    <w:rsid w:val="00413339"/>
    <w:rsid w:val="004147FC"/>
    <w:rsid w:val="00422D12"/>
    <w:rsid w:val="0042309E"/>
    <w:rsid w:val="00430365"/>
    <w:rsid w:val="004309C6"/>
    <w:rsid w:val="00443044"/>
    <w:rsid w:val="00445B15"/>
    <w:rsid w:val="00447E5A"/>
    <w:rsid w:val="0046455D"/>
    <w:rsid w:val="0046672E"/>
    <w:rsid w:val="00473EA5"/>
    <w:rsid w:val="00474107"/>
    <w:rsid w:val="00482E08"/>
    <w:rsid w:val="00492391"/>
    <w:rsid w:val="004937DA"/>
    <w:rsid w:val="00496DF7"/>
    <w:rsid w:val="004A20A5"/>
    <w:rsid w:val="004C099D"/>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029F"/>
    <w:rsid w:val="005A2991"/>
    <w:rsid w:val="005A5959"/>
    <w:rsid w:val="005B585F"/>
    <w:rsid w:val="005D0AF8"/>
    <w:rsid w:val="005D1356"/>
    <w:rsid w:val="005F0EB3"/>
    <w:rsid w:val="005F3A83"/>
    <w:rsid w:val="005F3E47"/>
    <w:rsid w:val="0060215A"/>
    <w:rsid w:val="0061692C"/>
    <w:rsid w:val="006216F9"/>
    <w:rsid w:val="00621BB5"/>
    <w:rsid w:val="0062658F"/>
    <w:rsid w:val="00640EEA"/>
    <w:rsid w:val="006437E3"/>
    <w:rsid w:val="0064482B"/>
    <w:rsid w:val="00652D53"/>
    <w:rsid w:val="00655ECF"/>
    <w:rsid w:val="00662FB1"/>
    <w:rsid w:val="00664BBF"/>
    <w:rsid w:val="0067516F"/>
    <w:rsid w:val="006832D0"/>
    <w:rsid w:val="00694841"/>
    <w:rsid w:val="006A36CC"/>
    <w:rsid w:val="006A66C5"/>
    <w:rsid w:val="006B029C"/>
    <w:rsid w:val="006B4683"/>
    <w:rsid w:val="006B5BA9"/>
    <w:rsid w:val="006B679C"/>
    <w:rsid w:val="006C714C"/>
    <w:rsid w:val="006D3582"/>
    <w:rsid w:val="006D7651"/>
    <w:rsid w:val="006E1B6A"/>
    <w:rsid w:val="006F3CF9"/>
    <w:rsid w:val="0070010B"/>
    <w:rsid w:val="0070029F"/>
    <w:rsid w:val="00701734"/>
    <w:rsid w:val="00712C40"/>
    <w:rsid w:val="00721560"/>
    <w:rsid w:val="00726036"/>
    <w:rsid w:val="0074341E"/>
    <w:rsid w:val="00751F08"/>
    <w:rsid w:val="00752B4E"/>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07C45"/>
    <w:rsid w:val="0081026B"/>
    <w:rsid w:val="00821DF0"/>
    <w:rsid w:val="00830099"/>
    <w:rsid w:val="008403F1"/>
    <w:rsid w:val="00842057"/>
    <w:rsid w:val="00842BAF"/>
    <w:rsid w:val="00845236"/>
    <w:rsid w:val="00845ED9"/>
    <w:rsid w:val="0086005B"/>
    <w:rsid w:val="00864C55"/>
    <w:rsid w:val="0086637C"/>
    <w:rsid w:val="008756A4"/>
    <w:rsid w:val="00877AFC"/>
    <w:rsid w:val="00884167"/>
    <w:rsid w:val="008914B1"/>
    <w:rsid w:val="00892A46"/>
    <w:rsid w:val="008A7212"/>
    <w:rsid w:val="008B2431"/>
    <w:rsid w:val="008B257A"/>
    <w:rsid w:val="008B6826"/>
    <w:rsid w:val="008C082F"/>
    <w:rsid w:val="008C366C"/>
    <w:rsid w:val="008D390B"/>
    <w:rsid w:val="008D6FB6"/>
    <w:rsid w:val="008E38F1"/>
    <w:rsid w:val="008E4D8E"/>
    <w:rsid w:val="008F17A3"/>
    <w:rsid w:val="008F1FCF"/>
    <w:rsid w:val="008F4B7C"/>
    <w:rsid w:val="00900453"/>
    <w:rsid w:val="00904100"/>
    <w:rsid w:val="0090462E"/>
    <w:rsid w:val="00905463"/>
    <w:rsid w:val="0091307F"/>
    <w:rsid w:val="00933EF4"/>
    <w:rsid w:val="0093574D"/>
    <w:rsid w:val="00936D26"/>
    <w:rsid w:val="00954BFE"/>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0F24"/>
    <w:rsid w:val="00A44A88"/>
    <w:rsid w:val="00A72122"/>
    <w:rsid w:val="00A74752"/>
    <w:rsid w:val="00A749E1"/>
    <w:rsid w:val="00A81B6C"/>
    <w:rsid w:val="00A821F5"/>
    <w:rsid w:val="00A945A1"/>
    <w:rsid w:val="00A94775"/>
    <w:rsid w:val="00A962CF"/>
    <w:rsid w:val="00AA25D9"/>
    <w:rsid w:val="00AB75B4"/>
    <w:rsid w:val="00AC74EC"/>
    <w:rsid w:val="00AD2F60"/>
    <w:rsid w:val="00AD7CC8"/>
    <w:rsid w:val="00AD7F5D"/>
    <w:rsid w:val="00AE6E25"/>
    <w:rsid w:val="00AF35E5"/>
    <w:rsid w:val="00AF6B3A"/>
    <w:rsid w:val="00B054AD"/>
    <w:rsid w:val="00B108AE"/>
    <w:rsid w:val="00B13C9D"/>
    <w:rsid w:val="00B2426C"/>
    <w:rsid w:val="00B27078"/>
    <w:rsid w:val="00B40E49"/>
    <w:rsid w:val="00B533D5"/>
    <w:rsid w:val="00B54F09"/>
    <w:rsid w:val="00B71972"/>
    <w:rsid w:val="00B7287B"/>
    <w:rsid w:val="00B84789"/>
    <w:rsid w:val="00B85769"/>
    <w:rsid w:val="00B87F00"/>
    <w:rsid w:val="00B9176B"/>
    <w:rsid w:val="00B96022"/>
    <w:rsid w:val="00BC113A"/>
    <w:rsid w:val="00BC1CEB"/>
    <w:rsid w:val="00BC71FF"/>
    <w:rsid w:val="00BD0FFD"/>
    <w:rsid w:val="00BE27B4"/>
    <w:rsid w:val="00BE4CAF"/>
    <w:rsid w:val="00BE52BF"/>
    <w:rsid w:val="00BE5BBB"/>
    <w:rsid w:val="00C00BB8"/>
    <w:rsid w:val="00C010F3"/>
    <w:rsid w:val="00C02233"/>
    <w:rsid w:val="00C05BED"/>
    <w:rsid w:val="00C06B06"/>
    <w:rsid w:val="00C106C2"/>
    <w:rsid w:val="00C15121"/>
    <w:rsid w:val="00C171FF"/>
    <w:rsid w:val="00C21009"/>
    <w:rsid w:val="00C21363"/>
    <w:rsid w:val="00C2294B"/>
    <w:rsid w:val="00C30ABC"/>
    <w:rsid w:val="00C33772"/>
    <w:rsid w:val="00C37129"/>
    <w:rsid w:val="00C47A56"/>
    <w:rsid w:val="00C52224"/>
    <w:rsid w:val="00C52FC2"/>
    <w:rsid w:val="00C55227"/>
    <w:rsid w:val="00C5755A"/>
    <w:rsid w:val="00C67CE0"/>
    <w:rsid w:val="00C74F11"/>
    <w:rsid w:val="00C7643D"/>
    <w:rsid w:val="00C76E10"/>
    <w:rsid w:val="00CB5D78"/>
    <w:rsid w:val="00CC58F8"/>
    <w:rsid w:val="00CD0A35"/>
    <w:rsid w:val="00CD5F91"/>
    <w:rsid w:val="00CD6927"/>
    <w:rsid w:val="00CE0B40"/>
    <w:rsid w:val="00CF30AC"/>
    <w:rsid w:val="00D02567"/>
    <w:rsid w:val="00D040A2"/>
    <w:rsid w:val="00D114C9"/>
    <w:rsid w:val="00D13C47"/>
    <w:rsid w:val="00D16B9F"/>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53A9"/>
    <w:rsid w:val="00E16FFB"/>
    <w:rsid w:val="00E2493A"/>
    <w:rsid w:val="00E26D64"/>
    <w:rsid w:val="00E369B9"/>
    <w:rsid w:val="00E4365F"/>
    <w:rsid w:val="00E50F50"/>
    <w:rsid w:val="00E51E99"/>
    <w:rsid w:val="00E6349C"/>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C7015"/>
    <w:rsid w:val="00ED5226"/>
    <w:rsid w:val="00EE2AA0"/>
    <w:rsid w:val="00EE3596"/>
    <w:rsid w:val="00EF1554"/>
    <w:rsid w:val="00EF1AC2"/>
    <w:rsid w:val="00F02041"/>
    <w:rsid w:val="00F033FC"/>
    <w:rsid w:val="00F15E93"/>
    <w:rsid w:val="00F45181"/>
    <w:rsid w:val="00F45972"/>
    <w:rsid w:val="00F53236"/>
    <w:rsid w:val="00F56917"/>
    <w:rsid w:val="00F576F6"/>
    <w:rsid w:val="00F67482"/>
    <w:rsid w:val="00F806F6"/>
    <w:rsid w:val="00F96C59"/>
    <w:rsid w:val="00FA13BA"/>
    <w:rsid w:val="00FA4548"/>
    <w:rsid w:val="00FC2A67"/>
    <w:rsid w:val="00FD6F41"/>
    <w:rsid w:val="00FD76D8"/>
    <w:rsid w:val="00FF38F0"/>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table" w:styleId="ae">
    <w:name w:val="Table Grid"/>
    <w:basedOn w:val="a1"/>
    <w:rsid w:val="006437E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59391">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BE0A-CB54-42E8-A39C-D2471DCE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6208</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7446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2023-08-20T09:01:00Z</dcterms:created>
  <dcterms:modified xsi:type="dcterms:W3CDTF">2023-08-20T09:02:00Z</dcterms:modified>
</cp:coreProperties>
</file>