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AC" w:rsidRPr="000627AC" w:rsidRDefault="000627AC" w:rsidP="00D54B7D">
      <w:pPr>
        <w:shd w:val="clear" w:color="auto" w:fill="FFFFFF"/>
        <w:spacing w:after="150" w:line="360" w:lineRule="auto"/>
        <w:jc w:val="both"/>
        <w:rPr>
          <w:rFonts w:cstheme="minorHAnsi"/>
          <w:b/>
          <w:bCs/>
          <w:sz w:val="24"/>
          <w:szCs w:val="24"/>
          <w:rtl/>
        </w:rPr>
      </w:pPr>
    </w:p>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0627AC" w:rsidRPr="000627AC" w:rsidTr="00F14361">
        <w:tc>
          <w:tcPr>
            <w:tcW w:w="3343" w:type="dxa"/>
            <w:tcBorders>
              <w:top w:val="nil"/>
              <w:left w:val="nil"/>
              <w:bottom w:val="nil"/>
              <w:right w:val="nil"/>
            </w:tcBorders>
            <w:vAlign w:val="center"/>
          </w:tcPr>
          <w:p w:rsidR="000627AC" w:rsidRPr="000627AC" w:rsidRDefault="000627AC" w:rsidP="000627AC">
            <w:pPr>
              <w:spacing w:after="200" w:line="360" w:lineRule="auto"/>
              <w:jc w:val="both"/>
              <w:rPr>
                <w:rFonts w:cstheme="minorHAnsi"/>
                <w:b/>
                <w:bCs/>
                <w:sz w:val="24"/>
                <w:szCs w:val="24"/>
              </w:rPr>
            </w:pPr>
            <w:r w:rsidRPr="000627AC">
              <w:rPr>
                <w:rFonts w:cstheme="minorHAnsi"/>
                <w:b/>
                <w:bCs/>
                <w:sz w:val="24"/>
                <w:szCs w:val="24"/>
                <w:rtl/>
              </w:rPr>
              <w:t>בנק ישראל</w:t>
            </w:r>
          </w:p>
          <w:p w:rsidR="000627AC" w:rsidRPr="000627AC" w:rsidRDefault="000627AC" w:rsidP="000627AC">
            <w:pPr>
              <w:spacing w:after="200" w:line="360" w:lineRule="auto"/>
              <w:jc w:val="both"/>
              <w:rPr>
                <w:rFonts w:cstheme="minorHAnsi"/>
                <w:sz w:val="24"/>
                <w:szCs w:val="24"/>
              </w:rPr>
            </w:pPr>
            <w:r w:rsidRPr="000627AC">
              <w:rPr>
                <w:rFonts w:cstheme="minorHAnsi"/>
                <w:sz w:val="24"/>
                <w:szCs w:val="24"/>
                <w:rtl/>
              </w:rPr>
              <w:t>דוברות והסברה כלכלית</w:t>
            </w:r>
          </w:p>
        </w:tc>
        <w:tc>
          <w:tcPr>
            <w:tcW w:w="2596" w:type="dxa"/>
            <w:tcBorders>
              <w:top w:val="nil"/>
              <w:left w:val="nil"/>
              <w:bottom w:val="nil"/>
              <w:right w:val="nil"/>
            </w:tcBorders>
            <w:shd w:val="clear" w:color="auto" w:fill="FFFFFF"/>
          </w:tcPr>
          <w:p w:rsidR="000627AC" w:rsidRPr="000627AC" w:rsidRDefault="000627AC" w:rsidP="000627AC">
            <w:pPr>
              <w:spacing w:after="200" w:line="360" w:lineRule="auto"/>
              <w:jc w:val="both"/>
              <w:rPr>
                <w:rFonts w:cstheme="minorHAnsi"/>
                <w:sz w:val="24"/>
                <w:szCs w:val="24"/>
              </w:rPr>
            </w:pPr>
            <w:r w:rsidRPr="000627AC">
              <w:rPr>
                <w:rFonts w:cstheme="minorHAnsi"/>
                <w:noProof/>
                <w:sz w:val="24"/>
                <w:szCs w:val="24"/>
              </w:rPr>
              <w:drawing>
                <wp:inline distT="0" distB="0" distL="0" distR="0" wp14:anchorId="592E9345" wp14:editId="6AD49D99">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rsidR="000627AC" w:rsidRPr="000627AC" w:rsidRDefault="000627AC" w:rsidP="000627AC">
            <w:pPr>
              <w:spacing w:after="200" w:line="360" w:lineRule="auto"/>
              <w:jc w:val="both"/>
              <w:rPr>
                <w:rFonts w:cstheme="minorHAnsi"/>
                <w:sz w:val="24"/>
                <w:szCs w:val="24"/>
              </w:rPr>
            </w:pPr>
            <w:r w:rsidRPr="000627AC">
              <w:rPr>
                <w:rFonts w:cstheme="minorHAnsi"/>
                <w:sz w:val="24"/>
                <w:szCs w:val="24"/>
                <w:rtl/>
              </w:rPr>
              <w:t>‏ירושלים‏, כ"ט באדר ב' , תשפ"ד</w:t>
            </w:r>
          </w:p>
          <w:p w:rsidR="000627AC" w:rsidRPr="000627AC" w:rsidRDefault="000627AC" w:rsidP="000627AC">
            <w:pPr>
              <w:spacing w:after="200" w:line="360" w:lineRule="auto"/>
              <w:jc w:val="both"/>
              <w:rPr>
                <w:rFonts w:cstheme="minorHAnsi"/>
                <w:sz w:val="24"/>
                <w:szCs w:val="24"/>
              </w:rPr>
            </w:pPr>
            <w:r w:rsidRPr="000627AC">
              <w:rPr>
                <w:rFonts w:cstheme="minorHAnsi"/>
                <w:sz w:val="24"/>
                <w:szCs w:val="24"/>
                <w:rtl/>
              </w:rPr>
              <w:t>‏08 באפריל 2024</w:t>
            </w:r>
          </w:p>
        </w:tc>
      </w:tr>
    </w:tbl>
    <w:p w:rsidR="000627AC" w:rsidRPr="000627AC" w:rsidRDefault="000627AC" w:rsidP="000627AC">
      <w:pPr>
        <w:pStyle w:val="aa"/>
        <w:shd w:val="clear" w:color="auto" w:fill="FFFFFF"/>
        <w:spacing w:after="150" w:line="360" w:lineRule="auto"/>
        <w:ind w:left="360"/>
        <w:jc w:val="both"/>
        <w:rPr>
          <w:rFonts w:cstheme="minorHAnsi"/>
          <w:b/>
          <w:bCs/>
          <w:sz w:val="24"/>
          <w:szCs w:val="24"/>
          <w:rtl/>
        </w:rPr>
      </w:pPr>
      <w:r w:rsidRPr="000627AC">
        <w:rPr>
          <w:rFonts w:cstheme="minorHAnsi"/>
          <w:b/>
          <w:bCs/>
          <w:sz w:val="24"/>
          <w:szCs w:val="24"/>
          <w:rtl/>
        </w:rPr>
        <w:t>הודעה לעיתונות:</w:t>
      </w:r>
    </w:p>
    <w:p w:rsidR="000627AC" w:rsidRPr="000627AC" w:rsidRDefault="000627AC" w:rsidP="000627AC">
      <w:pPr>
        <w:pStyle w:val="aa"/>
        <w:spacing w:after="150" w:line="360" w:lineRule="auto"/>
        <w:ind w:left="360"/>
        <w:jc w:val="center"/>
        <w:rPr>
          <w:rFonts w:cstheme="minorHAnsi"/>
          <w:b/>
          <w:bCs/>
          <w:sz w:val="24"/>
          <w:szCs w:val="24"/>
          <w:rtl/>
        </w:rPr>
      </w:pPr>
      <w:r w:rsidRPr="000627AC">
        <w:rPr>
          <w:rFonts w:cstheme="minorHAnsi"/>
          <w:b/>
          <w:bCs/>
          <w:sz w:val="28"/>
          <w:szCs w:val="28"/>
          <w:rtl/>
        </w:rPr>
        <w:t>הוועדה המוניטרית החליטה ב-08/04/2024  להותיר את הריבית ללא שינוי ברמה של 4.5%</w:t>
      </w:r>
    </w:p>
    <w:p w:rsidR="000627AC" w:rsidRPr="00621583" w:rsidRDefault="000627AC" w:rsidP="000627AC">
      <w:pPr>
        <w:pStyle w:val="aa"/>
        <w:shd w:val="clear" w:color="auto" w:fill="FFFFFF"/>
        <w:spacing w:after="150" w:line="360" w:lineRule="auto"/>
        <w:ind w:left="360"/>
        <w:jc w:val="both"/>
        <w:rPr>
          <w:rFonts w:cstheme="minorHAnsi"/>
          <w:b/>
          <w:bCs/>
          <w:sz w:val="24"/>
          <w:szCs w:val="24"/>
        </w:rPr>
      </w:pPr>
    </w:p>
    <w:p w:rsidR="00F92CF7" w:rsidRPr="00621583" w:rsidRDefault="00F92CF7" w:rsidP="00F92CF7">
      <w:pPr>
        <w:numPr>
          <w:ilvl w:val="0"/>
          <w:numId w:val="7"/>
        </w:numPr>
        <w:spacing w:after="120" w:line="360" w:lineRule="auto"/>
        <w:jc w:val="both"/>
        <w:rPr>
          <w:rFonts w:cstheme="minorHAnsi"/>
          <w:b/>
          <w:bCs/>
          <w:sz w:val="24"/>
          <w:szCs w:val="24"/>
        </w:rPr>
      </w:pPr>
      <w:r w:rsidRPr="00621583">
        <w:rPr>
          <w:rFonts w:cstheme="minorHAnsi"/>
          <w:b/>
          <w:bCs/>
          <w:sz w:val="24"/>
          <w:szCs w:val="24"/>
          <w:rtl/>
        </w:rPr>
        <w:t>הפעילות הכלכלית ושוק העבודה מוסיפים להתאושש באופן הדרגתי. לצד זאת, מידת אי-הוודאות הגיאופוליטית התגברה, ומשתקפת ברמה גבוהה יחסית של פרמיית הסיכון של המשק.</w:t>
      </w:r>
    </w:p>
    <w:p w:rsidR="00F92CF7" w:rsidRPr="00621583" w:rsidRDefault="00F92CF7" w:rsidP="00F92CF7">
      <w:pPr>
        <w:numPr>
          <w:ilvl w:val="0"/>
          <w:numId w:val="7"/>
        </w:numPr>
        <w:spacing w:after="120" w:line="360" w:lineRule="auto"/>
        <w:jc w:val="both"/>
        <w:rPr>
          <w:rFonts w:cstheme="minorHAnsi"/>
          <w:b/>
          <w:bCs/>
          <w:sz w:val="24"/>
          <w:szCs w:val="24"/>
        </w:rPr>
      </w:pPr>
      <w:r w:rsidRPr="00621583">
        <w:rPr>
          <w:rFonts w:cstheme="minorHAnsi"/>
          <w:b/>
          <w:bCs/>
          <w:sz w:val="24"/>
          <w:szCs w:val="24"/>
          <w:rtl/>
        </w:rPr>
        <w:t xml:space="preserve">האינפלציה ב-12 החודשים האחרונים התמתנה ונמצאת בתוך תחום היעד. הציפיות לאינפלציה מהמקורות השונים לשנה הקרובה עלו ונמצאות בסביבת הגבול העליון. מאז החלטת המדיניות הקודמת השקל נחלש מול הדולר בכ-2.7%, מול האירו בכ-2.6% ובמונחי השער הנומינלי האפקטיבי בכ-2.3%. </w:t>
      </w:r>
    </w:p>
    <w:p w:rsidR="00F92CF7" w:rsidRPr="00621583" w:rsidRDefault="00F92CF7" w:rsidP="00F92CF7">
      <w:pPr>
        <w:numPr>
          <w:ilvl w:val="0"/>
          <w:numId w:val="7"/>
        </w:numPr>
        <w:spacing w:after="120" w:line="360" w:lineRule="auto"/>
        <w:jc w:val="both"/>
        <w:rPr>
          <w:rFonts w:cstheme="minorHAnsi"/>
          <w:b/>
          <w:bCs/>
          <w:sz w:val="24"/>
          <w:szCs w:val="24"/>
        </w:rPr>
      </w:pPr>
      <w:r w:rsidRPr="00621583">
        <w:rPr>
          <w:rFonts w:cstheme="minorHAnsi"/>
          <w:b/>
          <w:bCs/>
          <w:sz w:val="24"/>
          <w:szCs w:val="24"/>
          <w:rtl/>
        </w:rPr>
        <w:t>התוצר התכווץ ברביע האחרון של שנת 2023 ב-5.6% ביחס לרביע השלישי ובסיכום השנה צמח התוצר בקצב של 2% זאת בהתאמה לתחזית חטיבת המחקר מינואר 2024. חטיבת המחקר מעריכה כי התוצר יצמח בשנת 2024 ב-2%, ובשנת 2025 ב-5%. לנוכח המלחמה התחזית מאופיינת ברמה גבוהה של אי ודאות.</w:t>
      </w:r>
    </w:p>
    <w:p w:rsidR="00F92CF7" w:rsidRPr="00621583" w:rsidRDefault="00F92CF7" w:rsidP="00F92CF7">
      <w:pPr>
        <w:numPr>
          <w:ilvl w:val="0"/>
          <w:numId w:val="7"/>
        </w:numPr>
        <w:spacing w:after="120" w:line="360" w:lineRule="auto"/>
        <w:jc w:val="both"/>
        <w:rPr>
          <w:rFonts w:cstheme="minorHAnsi"/>
          <w:b/>
          <w:bCs/>
          <w:sz w:val="24"/>
          <w:szCs w:val="24"/>
        </w:rPr>
      </w:pPr>
      <w:r w:rsidRPr="00621583">
        <w:rPr>
          <w:rFonts w:cstheme="minorHAnsi"/>
          <w:b/>
          <w:bCs/>
          <w:sz w:val="24"/>
          <w:szCs w:val="24"/>
          <w:rtl/>
        </w:rPr>
        <w:t>בשוק הדיור חלה עליה במחירי הדירות בחודשיים האחרונים.</w:t>
      </w:r>
      <w:r w:rsidRPr="00621583">
        <w:rPr>
          <w:rFonts w:cstheme="minorHAnsi"/>
          <w:sz w:val="24"/>
          <w:szCs w:val="24"/>
          <w:rtl/>
        </w:rPr>
        <w:t xml:space="preserve"> </w:t>
      </w:r>
      <w:r w:rsidRPr="00621583">
        <w:rPr>
          <w:rFonts w:cstheme="minorHAnsi"/>
          <w:b/>
          <w:bCs/>
          <w:sz w:val="24"/>
          <w:szCs w:val="24"/>
          <w:rtl/>
        </w:rPr>
        <w:t>סעיף הדיור במדד המחירים לצרכן ירד ב-0.3% וקצב העלייה השנתי המשיך להתמתן והגיע ל-2.6%. המגבלות וקשיי הפעילות בענף נוכח המלחמה התמתנו אך עדיין משמעותיים.</w:t>
      </w:r>
    </w:p>
    <w:p w:rsidR="00F92CF7" w:rsidRPr="00621583" w:rsidRDefault="00F92CF7" w:rsidP="00F92CF7">
      <w:pPr>
        <w:numPr>
          <w:ilvl w:val="0"/>
          <w:numId w:val="7"/>
        </w:numPr>
        <w:spacing w:after="120" w:line="360" w:lineRule="auto"/>
        <w:jc w:val="both"/>
        <w:rPr>
          <w:rFonts w:cstheme="minorHAnsi"/>
          <w:b/>
          <w:bCs/>
          <w:sz w:val="24"/>
          <w:szCs w:val="24"/>
        </w:rPr>
      </w:pPr>
      <w:r w:rsidRPr="00621583">
        <w:rPr>
          <w:rFonts w:cstheme="minorHAnsi"/>
          <w:b/>
          <w:bCs/>
          <w:sz w:val="24"/>
          <w:szCs w:val="24"/>
          <w:rtl/>
        </w:rPr>
        <w:t xml:space="preserve">קצב הפעילות של הכלכלה הגלובלית הפתיע לטובה בארה"ב ומנגד, בגוש האירו החולשה הכלכלית נמשכת. האינפלציה התמתנה בחלק ניכר מהמדינות, אך עדיין שוהה מעל יעדי הבנקים המרכזיים. עפ"י הערכות השוק אלו צפויים למתן את תוואי הורדות הריבית. </w:t>
      </w:r>
    </w:p>
    <w:p w:rsidR="00F92CF7" w:rsidRPr="00621583" w:rsidRDefault="00F92CF7" w:rsidP="00F92CF7">
      <w:pPr>
        <w:spacing w:after="120" w:line="360" w:lineRule="auto"/>
        <w:jc w:val="both"/>
        <w:rPr>
          <w:rFonts w:cstheme="minorHAnsi"/>
          <w:b/>
          <w:bCs/>
          <w:sz w:val="24"/>
          <w:szCs w:val="24"/>
          <w:rtl/>
        </w:rPr>
      </w:pPr>
    </w:p>
    <w:p w:rsidR="00F92CF7" w:rsidRPr="00621583" w:rsidRDefault="00F92CF7" w:rsidP="00F92CF7">
      <w:pPr>
        <w:spacing w:after="120" w:line="360" w:lineRule="auto"/>
        <w:jc w:val="both"/>
        <w:rPr>
          <w:rFonts w:cstheme="minorHAnsi"/>
          <w:b/>
          <w:bCs/>
          <w:sz w:val="24"/>
          <w:szCs w:val="24"/>
          <w:rtl/>
        </w:rPr>
      </w:pPr>
      <w:r w:rsidRPr="00621583">
        <w:rPr>
          <w:rFonts w:cstheme="minorHAnsi"/>
          <w:b/>
          <w:bCs/>
          <w:sz w:val="24"/>
          <w:szCs w:val="24"/>
          <w:rtl/>
        </w:rPr>
        <w:t>על רקע המלחמה, מדיניות הוועדה המוניטרית מתמקדת בייצוב השווקים והפחתת אי הוודאות, לצד יציבות מחירים ותמיכה בפעילות הכלכלית. תוואי הריבית ייקבע בהתאם להמשך התכנסות האינפלציה ליעדה, המשך היציבות בשווקים הפיננסיים, הפעילות הכלכלית והמדיניות הפיסקלית.</w:t>
      </w:r>
    </w:p>
    <w:p w:rsidR="00F92CF7" w:rsidRPr="00621583" w:rsidRDefault="00F92CF7" w:rsidP="00F92CF7">
      <w:pPr>
        <w:spacing w:after="120" w:line="360" w:lineRule="auto"/>
        <w:jc w:val="both"/>
        <w:rPr>
          <w:rFonts w:cstheme="minorHAnsi"/>
          <w:b/>
          <w:bCs/>
          <w:sz w:val="24"/>
          <w:szCs w:val="24"/>
          <w:rtl/>
        </w:rPr>
      </w:pP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 xml:space="preserve">מדינת ישראל מצויה במלחמה מאז ה-7.10.23. מעבר להשפעות </w:t>
      </w:r>
      <w:proofErr w:type="spellStart"/>
      <w:r w:rsidRPr="00621583">
        <w:rPr>
          <w:rFonts w:cstheme="minorHAnsi"/>
          <w:sz w:val="24"/>
          <w:szCs w:val="24"/>
          <w:rtl/>
        </w:rPr>
        <w:t>הבטחוניות</w:t>
      </w:r>
      <w:proofErr w:type="spellEnd"/>
      <w:r w:rsidRPr="00621583">
        <w:rPr>
          <w:rFonts w:cstheme="minorHAnsi"/>
          <w:sz w:val="24"/>
          <w:szCs w:val="24"/>
          <w:rtl/>
        </w:rPr>
        <w:t xml:space="preserve">, למלחמה ישנן השלכות כלכליות, הן על הפעילות הריאלית והן על השווקים הפיננסיים. האינדיקטורים לפעילות הכלכלית מוסיפים להצביע על שיפור הדרגתי </w:t>
      </w:r>
      <w:r w:rsidRPr="00621583">
        <w:rPr>
          <w:rFonts w:cstheme="minorHAnsi"/>
          <w:sz w:val="24"/>
          <w:szCs w:val="24"/>
          <w:rtl/>
        </w:rPr>
        <w:lastRenderedPageBreak/>
        <w:t xml:space="preserve">בפעילות, זאת לאחר התכווצות משמעותית בפעילות העסקית עם פרוץ המלחמה. מידת אי-הוודאות הגיאופוליטית התגברה ומשתקפת ברמה גבוהה יחסית של פרמיית הסיכון של המשק.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מדד המחירים לצרכן של חודש פברואר 2024 עלה בדומה לציפיות ב-0.4%. האינפלציה בשנים-עשר החודשים האחרונים הוסיפה להתמתן, מצויה בתוך תחום היעד ועומדת על 2.5% (</w:t>
      </w:r>
      <w:r w:rsidRPr="00621583">
        <w:rPr>
          <w:rFonts w:cstheme="minorHAnsi"/>
          <w:b/>
          <w:bCs/>
          <w:sz w:val="24"/>
          <w:szCs w:val="24"/>
          <w:rtl/>
        </w:rPr>
        <w:t>איור</w:t>
      </w:r>
      <w:r w:rsidRPr="00621583">
        <w:rPr>
          <w:rFonts w:cstheme="minorHAnsi"/>
          <w:sz w:val="24"/>
          <w:szCs w:val="24"/>
          <w:rtl/>
        </w:rPr>
        <w:t xml:space="preserve"> </w:t>
      </w:r>
      <w:r w:rsidRPr="00621583">
        <w:rPr>
          <w:rFonts w:cstheme="minorHAnsi"/>
          <w:b/>
          <w:bCs/>
          <w:sz w:val="24"/>
          <w:szCs w:val="24"/>
        </w:rPr>
        <w:t>1</w:t>
      </w:r>
      <w:r w:rsidRPr="00621583">
        <w:rPr>
          <w:rFonts w:cstheme="minorHAnsi"/>
          <w:sz w:val="24"/>
          <w:szCs w:val="24"/>
          <w:rtl/>
        </w:rPr>
        <w:t xml:space="preserve">). בניכוי אנרגיה </w:t>
      </w:r>
      <w:proofErr w:type="spellStart"/>
      <w:r w:rsidRPr="00621583">
        <w:rPr>
          <w:rFonts w:cstheme="minorHAnsi"/>
          <w:sz w:val="24"/>
          <w:szCs w:val="24"/>
          <w:rtl/>
        </w:rPr>
        <w:t>ופו"י</w:t>
      </w:r>
      <w:proofErr w:type="spellEnd"/>
      <w:r w:rsidRPr="00621583">
        <w:rPr>
          <w:rFonts w:cstheme="minorHAnsi"/>
          <w:sz w:val="24"/>
          <w:szCs w:val="24"/>
          <w:rtl/>
        </w:rPr>
        <w:t xml:space="preserve"> התמתנה האינפלציה ועומדת על 2.2% (</w:t>
      </w:r>
      <w:r w:rsidRPr="00621583">
        <w:rPr>
          <w:rFonts w:cstheme="minorHAnsi"/>
          <w:b/>
          <w:bCs/>
          <w:sz w:val="24"/>
          <w:szCs w:val="24"/>
          <w:rtl/>
        </w:rPr>
        <w:t>איור 2</w:t>
      </w:r>
      <w:r w:rsidRPr="00621583">
        <w:rPr>
          <w:rFonts w:cstheme="minorHAnsi"/>
          <w:sz w:val="24"/>
          <w:szCs w:val="24"/>
          <w:rtl/>
        </w:rPr>
        <w:t>). קצב העלייה השנתי של הרכיבים הסחירים במדד עלה ל-1.8%. קצב העלייה השנתי של הרכיבים הלא-סחירים במדד, הכוללים בעיקר</w:t>
      </w:r>
      <w:r w:rsidRPr="00621583">
        <w:rPr>
          <w:rFonts w:cstheme="minorHAnsi"/>
          <w:sz w:val="24"/>
          <w:szCs w:val="24"/>
        </w:rPr>
        <w:t xml:space="preserve"> </w:t>
      </w:r>
      <w:r w:rsidRPr="00621583">
        <w:rPr>
          <w:rFonts w:cstheme="minorHAnsi"/>
          <w:sz w:val="24"/>
          <w:szCs w:val="24"/>
          <w:rtl/>
        </w:rPr>
        <w:t>את</w:t>
      </w:r>
      <w:r w:rsidRPr="00621583">
        <w:rPr>
          <w:rFonts w:cstheme="minorHAnsi"/>
          <w:sz w:val="24"/>
          <w:szCs w:val="24"/>
        </w:rPr>
        <w:t xml:space="preserve"> </w:t>
      </w:r>
      <w:r w:rsidRPr="00621583">
        <w:rPr>
          <w:rFonts w:cstheme="minorHAnsi"/>
          <w:sz w:val="24"/>
          <w:szCs w:val="24"/>
          <w:rtl/>
        </w:rPr>
        <w:t>שירותי</w:t>
      </w:r>
      <w:r w:rsidRPr="00621583">
        <w:rPr>
          <w:rFonts w:cstheme="minorHAnsi"/>
          <w:sz w:val="24"/>
          <w:szCs w:val="24"/>
        </w:rPr>
        <w:t xml:space="preserve"> </w:t>
      </w:r>
      <w:r w:rsidRPr="00621583">
        <w:rPr>
          <w:rFonts w:cstheme="minorHAnsi"/>
          <w:sz w:val="24"/>
          <w:szCs w:val="24"/>
          <w:rtl/>
        </w:rPr>
        <w:t>הדיור וענפי</w:t>
      </w:r>
      <w:r w:rsidRPr="00621583">
        <w:rPr>
          <w:rFonts w:cstheme="minorHAnsi"/>
          <w:sz w:val="24"/>
          <w:szCs w:val="24"/>
        </w:rPr>
        <w:t xml:space="preserve"> </w:t>
      </w:r>
      <w:r w:rsidRPr="00621583">
        <w:rPr>
          <w:rFonts w:cstheme="minorHAnsi"/>
          <w:sz w:val="24"/>
          <w:szCs w:val="24"/>
          <w:rtl/>
        </w:rPr>
        <w:t>השירותים עומד על 3% (</w:t>
      </w:r>
      <w:r w:rsidRPr="00621583">
        <w:rPr>
          <w:rFonts w:cstheme="minorHAnsi"/>
          <w:b/>
          <w:bCs/>
          <w:sz w:val="24"/>
          <w:szCs w:val="24"/>
          <w:rtl/>
        </w:rPr>
        <w:t>איור 4</w:t>
      </w:r>
      <w:r w:rsidRPr="00621583">
        <w:rPr>
          <w:rFonts w:cstheme="minorHAnsi"/>
          <w:sz w:val="24"/>
          <w:szCs w:val="24"/>
          <w:rtl/>
        </w:rPr>
        <w:t>). הציפיות לאינפלציה מהמקורות השונים לשנה הקרובה עלו ונמצאות בסביבת הגבול העליון (</w:t>
      </w:r>
      <w:r w:rsidRPr="00621583">
        <w:rPr>
          <w:rFonts w:cstheme="minorHAnsi"/>
          <w:b/>
          <w:bCs/>
          <w:sz w:val="24"/>
          <w:szCs w:val="24"/>
          <w:rtl/>
        </w:rPr>
        <w:t>איור 6</w:t>
      </w:r>
      <w:r w:rsidRPr="00621583">
        <w:rPr>
          <w:rFonts w:cstheme="minorHAnsi"/>
          <w:sz w:val="24"/>
          <w:szCs w:val="24"/>
          <w:rtl/>
        </w:rPr>
        <w:t>). הציפיות לשנה השנייה ואילך מצויות בתוך תחום היעד ובחלקו העליון ומגלמות בתוכן גם את העלאות המסים הצפויות (</w:t>
      </w:r>
      <w:r w:rsidRPr="00621583">
        <w:rPr>
          <w:rFonts w:cstheme="minorHAnsi"/>
          <w:b/>
          <w:bCs/>
          <w:sz w:val="24"/>
          <w:szCs w:val="24"/>
          <w:rtl/>
        </w:rPr>
        <w:t>איור 7</w:t>
      </w:r>
      <w:r w:rsidRPr="00621583">
        <w:rPr>
          <w:rFonts w:cstheme="minorHAnsi"/>
          <w:sz w:val="24"/>
          <w:szCs w:val="24"/>
          <w:rtl/>
        </w:rPr>
        <w:t>). הוועדה מעריכה כי קיימים מספר סיכונים להאצה אפשרית באינפלציה: התפתחות המלחמה והשפעתה על הפעילות במשק, פיחות בשקל, המגבלות על הפעילות בענף הבנייה, ההתפתחויות הפיסקליות ומחירי הנפט בעולם.</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 xml:space="preserve">מאז החלטת המדיניות המוניטרית הקודמת השקל נחלש מול הדולר בכ-2.7%, מול האירו בכ-2.6% ובמונחי השער הנומינלי האפקטיבי </w:t>
      </w:r>
      <w:proofErr w:type="spellStart"/>
      <w:r w:rsidRPr="00621583">
        <w:rPr>
          <w:rFonts w:cstheme="minorHAnsi"/>
          <w:sz w:val="24"/>
          <w:szCs w:val="24"/>
          <w:rtl/>
        </w:rPr>
        <w:t>בכ</w:t>
      </w:r>
      <w:proofErr w:type="spellEnd"/>
      <w:r w:rsidRPr="00621583">
        <w:rPr>
          <w:rFonts w:cstheme="minorHAnsi"/>
          <w:sz w:val="24"/>
          <w:szCs w:val="24"/>
          <w:rtl/>
        </w:rPr>
        <w:t>-</w:t>
      </w:r>
      <w:r w:rsidRPr="00621583">
        <w:rPr>
          <w:rFonts w:cstheme="minorHAnsi"/>
          <w:sz w:val="24"/>
          <w:szCs w:val="24"/>
        </w:rPr>
        <w:t>2.3%</w:t>
      </w:r>
      <w:r w:rsidRPr="00621583">
        <w:rPr>
          <w:rFonts w:cstheme="minorHAnsi"/>
          <w:sz w:val="24"/>
          <w:szCs w:val="24"/>
          <w:rtl/>
        </w:rPr>
        <w:t xml:space="preserve"> (</w:t>
      </w:r>
      <w:r w:rsidRPr="00621583">
        <w:rPr>
          <w:rFonts w:cstheme="minorHAnsi"/>
          <w:b/>
          <w:bCs/>
          <w:sz w:val="24"/>
          <w:szCs w:val="24"/>
          <w:rtl/>
        </w:rPr>
        <w:t>איור</w:t>
      </w:r>
      <w:r w:rsidRPr="00621583">
        <w:rPr>
          <w:rFonts w:cstheme="minorHAnsi"/>
          <w:sz w:val="24"/>
          <w:szCs w:val="24"/>
          <w:rtl/>
        </w:rPr>
        <w:t xml:space="preserve"> </w:t>
      </w:r>
      <w:r w:rsidRPr="00621583">
        <w:rPr>
          <w:rFonts w:cstheme="minorHAnsi"/>
          <w:b/>
          <w:bCs/>
          <w:sz w:val="24"/>
          <w:szCs w:val="24"/>
        </w:rPr>
        <w:t>8</w:t>
      </w:r>
      <w:r w:rsidRPr="00621583">
        <w:rPr>
          <w:rFonts w:cstheme="minorHAnsi"/>
          <w:sz w:val="24"/>
          <w:szCs w:val="24"/>
          <w:rtl/>
        </w:rPr>
        <w:t xml:space="preserve">).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חטיבת המחקר עדכנה את התחזית המקרו-כלכלית שלה המבוססת על ההנחה שהמלחמה תתרכז בעיקר בחזית הדרומית ותימשך עד לסוף 2024 בעצימות הולכת ופוחתת. עבור 2025 ההנחה היא שלא יהיו השפעות לחימה ישירות נוספות. מטבע הדברים, התחזית מאופיינת ברמה גבוהה במיוחד של אי ודאות, בין היתר בנוגע למשך ואופי המלחמה וכן בנוגע להתפתחותה לזירות נוספות. על פי התחזית, ובדומה לתחזית הקודמת, התוצר צפוי לצמוח בשיעור של 2% בשנת 2024, ובשיעור של 5% בשנת 2025 (</w:t>
      </w:r>
      <w:r w:rsidRPr="00621583">
        <w:rPr>
          <w:rFonts w:cstheme="minorHAnsi"/>
          <w:b/>
          <w:bCs/>
          <w:sz w:val="24"/>
          <w:szCs w:val="24"/>
          <w:rtl/>
        </w:rPr>
        <w:t>איור 14</w:t>
      </w:r>
      <w:r w:rsidRPr="00621583">
        <w:rPr>
          <w:rFonts w:cstheme="minorHAnsi"/>
          <w:sz w:val="24"/>
          <w:szCs w:val="24"/>
          <w:rtl/>
        </w:rPr>
        <w:t>). בשנים 2024 ו-2025 שיעור האבטלה הרחבה</w:t>
      </w:r>
      <w:r w:rsidRPr="00621583">
        <w:rPr>
          <w:rFonts w:cstheme="minorHAnsi"/>
          <w:sz w:val="24"/>
          <w:szCs w:val="24"/>
          <w:vertAlign w:val="superscript"/>
          <w:rtl/>
        </w:rPr>
        <w:footnoteReference w:id="1"/>
      </w:r>
      <w:r w:rsidRPr="00621583">
        <w:rPr>
          <w:rFonts w:cstheme="minorHAnsi"/>
          <w:sz w:val="24"/>
          <w:szCs w:val="24"/>
          <w:rtl/>
        </w:rPr>
        <w:t xml:space="preserve"> בגילי העבודה העיקריים (25-64) צפוי לעמוד בממוצע על 3.7% ו-3.3% בהתאמה. האינפלציה השנתית במהלך שנת 2024 צפויה לעמוד על 2.7% ובמהלך 2025 על 2.3%. להערכת החטיבה, הגרעון בתקציב הממשלה יגדל לעומת התחזית הקודמת, וצפוי להסתכם ב-6.6% תוצר בשנת 2024 וב-4.6% בשנת 2025. יחס החוב לתוצר צפוי לעמוד על כ-67 אחוזי תוצר בסוף 2024 ולהישאר ברמה דומה גם ב-2025.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 xml:space="preserve">האינדיקטורים לפעילות הכלכלית ומצב התעסוקה מצביעים על המשך התאוששות הדרגתית לאחר הירידה החדה שהתרחשה עם פרוץ המלחמה, אך שוררת שונות רבה בין ענפי המשק. התרחבות הפעילות נבעה בעיקר מהתאוששות הביקוש. מגבלת ההיצע עודנה גבוהה במספר ענפים. </w:t>
      </w:r>
    </w:p>
    <w:p w:rsidR="00F92CF7" w:rsidRPr="00621583" w:rsidRDefault="00F92CF7" w:rsidP="00F92CF7">
      <w:pPr>
        <w:spacing w:after="120" w:line="360" w:lineRule="auto"/>
        <w:jc w:val="both"/>
        <w:rPr>
          <w:rFonts w:cstheme="minorHAnsi"/>
          <w:sz w:val="24"/>
          <w:szCs w:val="24"/>
        </w:rPr>
      </w:pPr>
      <w:r w:rsidRPr="00621583">
        <w:rPr>
          <w:rFonts w:cstheme="minorHAnsi"/>
          <w:sz w:val="24"/>
          <w:szCs w:val="24"/>
          <w:rtl/>
        </w:rPr>
        <w:t xml:space="preserve">רמת הפעילות הנמדדת על בסיס האינדיקטורים המהירים לרביע הראשון של שנת 2024 משקפת התאוששות נאה, אך רמת הפעילות נמוכה מזו ששררה ערב המלחמה. המאזן המצרפי של סקר המגמות בעסקים של </w:t>
      </w:r>
      <w:proofErr w:type="spellStart"/>
      <w:r w:rsidRPr="00621583">
        <w:rPr>
          <w:rFonts w:cstheme="minorHAnsi"/>
          <w:sz w:val="24"/>
          <w:szCs w:val="24"/>
          <w:rtl/>
        </w:rPr>
        <w:t>הלמ"ס</w:t>
      </w:r>
      <w:proofErr w:type="spellEnd"/>
      <w:r w:rsidRPr="00621583">
        <w:rPr>
          <w:rFonts w:cstheme="minorHAnsi"/>
          <w:sz w:val="24"/>
          <w:szCs w:val="24"/>
          <w:rtl/>
        </w:rPr>
        <w:t xml:space="preserve"> לחודש מרץ מוסיף להצביע על התאוששות והערכותיהם של העסקים ביחס למצבם מצויים באזור המעיד על התרחבות, אך ברמה נמוכה לעומת ערב המלחמה (</w:t>
      </w:r>
      <w:r w:rsidRPr="00621583">
        <w:rPr>
          <w:rFonts w:cstheme="minorHAnsi"/>
          <w:b/>
          <w:bCs/>
          <w:sz w:val="24"/>
          <w:szCs w:val="24"/>
          <w:rtl/>
        </w:rPr>
        <w:t>איור 15</w:t>
      </w:r>
      <w:r w:rsidRPr="00621583">
        <w:rPr>
          <w:rFonts w:cstheme="minorHAnsi"/>
          <w:sz w:val="24"/>
          <w:szCs w:val="24"/>
          <w:rtl/>
        </w:rPr>
        <w:t xml:space="preserve">). בנוסף, ישנה התמתנות בשיעור החברות בענפי השירותים והתעשייה </w:t>
      </w:r>
      <w:r w:rsidRPr="00621583">
        <w:rPr>
          <w:rFonts w:cstheme="minorHAnsi"/>
          <w:sz w:val="24"/>
          <w:szCs w:val="24"/>
          <w:rtl/>
        </w:rPr>
        <w:lastRenderedPageBreak/>
        <w:t>שדיווחו על מגבלה מתונה או חמורה להגדלת הפעילות עקב מחסור בציוד וחומרי גלם, אך הרמה נותרה גבוהה בהשוואה לטרום המלחמה. בענף הבינוי ישנה התרחבות בנתוני הקצה בהיקף מגבלת הציוד, והרמה גם היא עודנה גבוהה (</w:t>
      </w:r>
      <w:r w:rsidRPr="00621583">
        <w:rPr>
          <w:rFonts w:cstheme="minorHAnsi"/>
          <w:b/>
          <w:bCs/>
          <w:sz w:val="24"/>
          <w:szCs w:val="24"/>
          <w:rtl/>
        </w:rPr>
        <w:t xml:space="preserve">איור </w:t>
      </w:r>
      <w:r w:rsidRPr="00621583">
        <w:rPr>
          <w:rFonts w:cstheme="minorHAnsi"/>
          <w:b/>
          <w:bCs/>
          <w:sz w:val="24"/>
          <w:szCs w:val="24"/>
        </w:rPr>
        <w:t>19</w:t>
      </w:r>
      <w:r w:rsidRPr="00621583">
        <w:rPr>
          <w:rFonts w:cstheme="minorHAnsi"/>
          <w:b/>
          <w:bCs/>
          <w:sz w:val="24"/>
          <w:szCs w:val="24"/>
          <w:rtl/>
        </w:rPr>
        <w:t>)</w:t>
      </w:r>
      <w:r w:rsidRPr="00621583">
        <w:rPr>
          <w:rFonts w:cstheme="minorHAnsi"/>
          <w:sz w:val="24"/>
          <w:szCs w:val="24"/>
          <w:rtl/>
        </w:rPr>
        <w:t>. עפ"י הסקר מגבלת הרחבת הפעילות עקב קושי בגיוס עובדים (מתונה או חמורה) נותרה ברמה גבוהה מטרום המלחמה במרבית הענפים.</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בחודש מרץ נמשכה ההתאוששות בהיקף הרכישות בכרטיסי אשראי וסך הרכישות מוסיף לשהות ברמה גבוהה מעט מהרמה הממוצעת טרם המלחמה. עם זאת, קיימת שונות בין ענפי המשק. המדד המשולב לחודש פברואר עלה בכ-0.5%, ביטוי נוסף להתאוששות ההדרגתית של המשק. נתוני סחר חוץ מצביעים על עלייה ביצוא ויבוא הסחורות וביצוא השירותים (</w:t>
      </w:r>
      <w:r w:rsidRPr="00621583">
        <w:rPr>
          <w:rFonts w:cstheme="minorHAnsi"/>
          <w:b/>
          <w:bCs/>
          <w:sz w:val="24"/>
          <w:szCs w:val="24"/>
          <w:rtl/>
        </w:rPr>
        <w:t>איורים 21-22</w:t>
      </w:r>
      <w:r w:rsidRPr="00621583">
        <w:rPr>
          <w:rFonts w:cstheme="minorHAnsi"/>
          <w:sz w:val="24"/>
          <w:szCs w:val="24"/>
          <w:rtl/>
        </w:rPr>
        <w:t>). יצוא השירותים</w:t>
      </w:r>
      <w:r w:rsidRPr="00621583">
        <w:rPr>
          <w:rFonts w:cstheme="minorHAnsi"/>
          <w:b/>
          <w:bCs/>
          <w:sz w:val="24"/>
          <w:szCs w:val="24"/>
          <w:rtl/>
        </w:rPr>
        <w:t xml:space="preserve"> </w:t>
      </w:r>
      <w:r w:rsidRPr="00621583">
        <w:rPr>
          <w:rFonts w:cstheme="minorHAnsi"/>
          <w:sz w:val="24"/>
          <w:szCs w:val="24"/>
          <w:rtl/>
        </w:rPr>
        <w:t xml:space="preserve">(ללא חברות הזנק) עלה בחודש ינואר לאחר </w:t>
      </w:r>
      <w:bookmarkStart w:id="0" w:name="_GoBack"/>
      <w:r w:rsidRPr="00621583">
        <w:rPr>
          <w:rFonts w:cstheme="minorHAnsi"/>
          <w:sz w:val="24"/>
          <w:szCs w:val="24"/>
          <w:rtl/>
        </w:rPr>
        <w:t xml:space="preserve">מגמת </w:t>
      </w:r>
      <w:bookmarkEnd w:id="0"/>
      <w:r w:rsidRPr="00621583">
        <w:rPr>
          <w:rFonts w:cstheme="minorHAnsi"/>
          <w:sz w:val="24"/>
          <w:szCs w:val="24"/>
          <w:rtl/>
        </w:rPr>
        <w:t>ירידה שהחלה מתחילת המלחמה. העלייה בנתוני הקצה הובלה על ידי יצוא השירותים העסקיים ובפרט שירותי ההיי-טק.</w:t>
      </w:r>
      <w:r w:rsidRPr="00621583" w:rsidDel="00F24B5F">
        <w:rPr>
          <w:rFonts w:cstheme="minorHAnsi"/>
          <w:sz w:val="24"/>
          <w:szCs w:val="24"/>
          <w:rtl/>
        </w:rPr>
        <w:t xml:space="preserve"> </w:t>
      </w:r>
      <w:r w:rsidRPr="00621583">
        <w:rPr>
          <w:rFonts w:cstheme="minorHAnsi"/>
          <w:sz w:val="24"/>
          <w:szCs w:val="24"/>
          <w:rtl/>
        </w:rPr>
        <w:t xml:space="preserve">הגרעון המצטבר ב-12 החודשים האחרונים הוסיף לעלות בפברואר והסתכם ב-5.6 אחוזי תוצר. גביית המסים בחודש פברואר 2024 הייתה נמוכה רק בכ-0.5% (במונחים ריאליים) ביחס לתקופה המקבילה אשתקד והתקרבה לקו המגמה הרב שנתית. </w:t>
      </w:r>
    </w:p>
    <w:p w:rsidR="00F92CF7" w:rsidRPr="00621583" w:rsidRDefault="00F92CF7" w:rsidP="00F92CF7">
      <w:pPr>
        <w:spacing w:after="120" w:line="360" w:lineRule="auto"/>
        <w:jc w:val="both"/>
        <w:rPr>
          <w:rFonts w:cstheme="minorHAnsi"/>
          <w:sz w:val="24"/>
          <w:szCs w:val="24"/>
        </w:rPr>
      </w:pPr>
      <w:r w:rsidRPr="00621583">
        <w:rPr>
          <w:rFonts w:cstheme="minorHAnsi"/>
          <w:sz w:val="24"/>
          <w:szCs w:val="24"/>
          <w:rtl/>
        </w:rPr>
        <w:t>שוק העבודה ממשיך להתאושש על רקע גידול בביקוש לעובדים ולצד הקלה במגבלת היצע העבודה עקב צמצום המילואים. בחודש פברואר שיעור התעסוקה נותר יציב, ברמה נמוכה מטרום המלחמה ושיעור התעסוקה בניכוי הנעדרים זמנית מסיבות כלכליות המשיך במגמת העלייה. שיעור האבטלה הרחבה</w:t>
      </w:r>
      <w:r w:rsidRPr="00621583">
        <w:rPr>
          <w:rFonts w:cstheme="minorHAnsi"/>
          <w:sz w:val="24"/>
          <w:szCs w:val="24"/>
          <w:vertAlign w:val="superscript"/>
          <w:rtl/>
        </w:rPr>
        <w:t>1</w:t>
      </w:r>
      <w:r w:rsidRPr="00621583">
        <w:rPr>
          <w:rFonts w:cstheme="minorHAnsi"/>
          <w:sz w:val="24"/>
          <w:szCs w:val="24"/>
          <w:rtl/>
        </w:rPr>
        <w:t>, הוסיף להתמתן בפברואר, ועומד על 4.4%, בהשוואה ל-4.8% בינואר. שיעור ההיעדרות מעבודה מסיבות שאינן כלכליות התמתן גם הוא ומשקף כעת כמעט אך ורק משרתי מילואים (1.5%). תשומת העבודה (סך שעות העבודה בפועל) המשיכה במגמת העלייה ובחודש פברואר הייתה נמוכה בהשוואה לממוצע בשנת 2023 (טרם המלחמה). שיעור המשרות הפנויות בפברואר ירד במעט לאחר העלייה החדה בינואר (</w:t>
      </w:r>
      <w:r w:rsidRPr="00621583">
        <w:rPr>
          <w:rFonts w:cstheme="minorHAnsi"/>
          <w:b/>
          <w:bCs/>
          <w:sz w:val="24"/>
          <w:szCs w:val="24"/>
          <w:rtl/>
        </w:rPr>
        <w:t>איור 23</w:t>
      </w:r>
      <w:r w:rsidRPr="00621583">
        <w:rPr>
          <w:rFonts w:cstheme="minorHAnsi"/>
          <w:sz w:val="24"/>
          <w:szCs w:val="24"/>
          <w:rtl/>
        </w:rPr>
        <w:t xml:space="preserve">). עפ"י אומדני הבזק של </w:t>
      </w:r>
      <w:proofErr w:type="spellStart"/>
      <w:r w:rsidRPr="00621583">
        <w:rPr>
          <w:rFonts w:cstheme="minorHAnsi"/>
          <w:sz w:val="24"/>
          <w:szCs w:val="24"/>
          <w:rtl/>
        </w:rPr>
        <w:t>הלמ"ס</w:t>
      </w:r>
      <w:proofErr w:type="spellEnd"/>
      <w:r w:rsidRPr="00621583">
        <w:rPr>
          <w:rFonts w:cstheme="minorHAnsi"/>
          <w:sz w:val="24"/>
          <w:szCs w:val="24"/>
          <w:rtl/>
        </w:rPr>
        <w:t xml:space="preserve"> השכר הממוצע למשרת שכיר במשק בחודש פברואר הוסיף לעלות, ובשלושת החודשים האחרונים, הקצב השנתי של עליית השכר הנומינלי עומד על 8.3% (שלושה חודשים אחרונים מול המקבילה אשתקד). קצב זה עדיין מושפע משינוי הרכב המועסקים עקב ההוצאה לחל"ת בחודשים הקודמים ומתוספות שכר חד-פעמיות ששולמו בינואר 2023. ואולם, השפעת שינוי הרכב המועסקים על השכר התפוגגה בחודשים ינואר ופברואר ורמת השכר הנומינלי עקבית עם הרמה החזויה על פי קצב העלייה מלפני המלחמה. נתוני הקצה מצביעים גם על התכנסות השכר הריאלי לקצב המגמה של 2015-2019, טרם הקורונה (</w:t>
      </w:r>
      <w:r w:rsidRPr="00621583">
        <w:rPr>
          <w:rFonts w:cstheme="minorHAnsi"/>
          <w:b/>
          <w:bCs/>
          <w:sz w:val="24"/>
          <w:szCs w:val="24"/>
          <w:rtl/>
        </w:rPr>
        <w:t xml:space="preserve">איור </w:t>
      </w:r>
      <w:r w:rsidRPr="00621583">
        <w:rPr>
          <w:rFonts w:cstheme="minorHAnsi"/>
          <w:b/>
          <w:bCs/>
          <w:sz w:val="24"/>
          <w:szCs w:val="24"/>
        </w:rPr>
        <w:t>24</w:t>
      </w:r>
      <w:r w:rsidRPr="00621583">
        <w:rPr>
          <w:rFonts w:cstheme="minorHAnsi"/>
          <w:sz w:val="24"/>
          <w:szCs w:val="24"/>
          <w:rtl/>
        </w:rPr>
        <w:t>).</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בשוק הדיור חלה עליה במחירי הדירות בחודשיים האחרונים, לצד המשך התמתנות שכר הדירה. על אף מגבלות ההיצע בענף הבניה והירידה החדה בהשקעה בבניה למגורים, התחלות הבניה ברביע הרביעי של 2023 ירדו אמנם אך הוסיפו לשהות ברמה גבוהה יחסית בהשוואה ארוכת טווח וגמר הבניה הגיע לרמת שיא. בחודשים דצמבר 2023-ינואר 2024 מדד מחירי הדירות עלה ב-1.2% ומחירי הדירות החדשות עלו ב-0.4%. עם זאת, בשנים-עשר החודשים האחרונים ירדו מחירי הדירות במצטבר ב-0.6% (</w:t>
      </w:r>
      <w:r w:rsidRPr="00621583">
        <w:rPr>
          <w:rFonts w:cstheme="minorHAnsi"/>
          <w:b/>
          <w:bCs/>
          <w:sz w:val="24"/>
          <w:szCs w:val="24"/>
          <w:rtl/>
        </w:rPr>
        <w:t xml:space="preserve">איור </w:t>
      </w:r>
      <w:r w:rsidRPr="00621583">
        <w:rPr>
          <w:rFonts w:cstheme="minorHAnsi"/>
          <w:b/>
          <w:bCs/>
          <w:sz w:val="24"/>
          <w:szCs w:val="24"/>
        </w:rPr>
        <w:t>1</w:t>
      </w:r>
      <w:r w:rsidRPr="00621583">
        <w:rPr>
          <w:rFonts w:cstheme="minorHAnsi"/>
          <w:b/>
          <w:bCs/>
          <w:sz w:val="24"/>
          <w:szCs w:val="24"/>
          <w:rtl/>
        </w:rPr>
        <w:t>1</w:t>
      </w:r>
      <w:r w:rsidRPr="00621583">
        <w:rPr>
          <w:rFonts w:cstheme="minorHAnsi"/>
          <w:sz w:val="24"/>
          <w:szCs w:val="24"/>
          <w:rtl/>
        </w:rPr>
        <w:t>). היקף העסקאות בחודש ינואר עלה לעומת החודש המקביל אשתקד; בחודש מרץ ניטלו משכנתאות בסך כ-6.2 מיליארדי ש"ח, גבוה בהשוואה לחודשים האחרונים (</w:t>
      </w:r>
      <w:r w:rsidRPr="00621583">
        <w:rPr>
          <w:rFonts w:cstheme="minorHAnsi"/>
          <w:b/>
          <w:bCs/>
          <w:sz w:val="24"/>
          <w:szCs w:val="24"/>
          <w:rtl/>
        </w:rPr>
        <w:t>איור 12</w:t>
      </w:r>
      <w:r w:rsidRPr="00621583">
        <w:rPr>
          <w:rFonts w:cstheme="minorHAnsi"/>
          <w:sz w:val="24"/>
          <w:szCs w:val="24"/>
          <w:rtl/>
        </w:rPr>
        <w:t xml:space="preserve">). סעיף הדיור במדד המחירים לצרכן ירד ב-0.3% וקצב העלייה השנתי המשיך להתמתן והגיע ל-2.6%. לצד אלו, </w:t>
      </w:r>
      <w:r w:rsidRPr="00621583">
        <w:rPr>
          <w:rFonts w:cstheme="minorHAnsi"/>
          <w:sz w:val="24"/>
          <w:szCs w:val="24"/>
          <w:rtl/>
        </w:rPr>
        <w:lastRenderedPageBreak/>
        <w:t xml:space="preserve">הפעילות בענף הבניה מתאוששת בהדרגה אך הענף עדיין אינו פועל במלוא הפוטנציאל. מגבלות ההיצע בענף הבניה והצורך בפתרונות דיור למפונים עלולים להקשות על התמתנות מחירי הדיור והשכירות בהמשך.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בשוק ההון, מדדי המניות המקומיים עלו בתקופה הנסקרת. עם זאת, ביצועי החסר המצטברים של שוק המניות המקומי ביחס לעולם מתחילת 2023 עדיין משמעותיים (</w:t>
      </w:r>
      <w:r w:rsidRPr="00621583">
        <w:rPr>
          <w:rFonts w:cstheme="minorHAnsi"/>
          <w:b/>
          <w:bCs/>
          <w:sz w:val="24"/>
          <w:szCs w:val="24"/>
          <w:rtl/>
        </w:rPr>
        <w:t>איור 36</w:t>
      </w:r>
      <w:r w:rsidRPr="00621583">
        <w:rPr>
          <w:rFonts w:cstheme="minorHAnsi"/>
          <w:sz w:val="24"/>
          <w:szCs w:val="24"/>
          <w:rtl/>
        </w:rPr>
        <w:t xml:space="preserve">). תשואות איגרות החוב הממשלתיות הארוכות עלו בתקופה הנסקרת, מעט יותר מהמגמה העולמית, ומרווחי איגרות החוב </w:t>
      </w:r>
      <w:proofErr w:type="spellStart"/>
      <w:r w:rsidRPr="00621583">
        <w:rPr>
          <w:rFonts w:cstheme="minorHAnsi"/>
          <w:sz w:val="24"/>
          <w:szCs w:val="24"/>
          <w:rtl/>
        </w:rPr>
        <w:t>הקונצרניות</w:t>
      </w:r>
      <w:proofErr w:type="spellEnd"/>
      <w:r w:rsidRPr="00621583">
        <w:rPr>
          <w:rFonts w:cstheme="minorHAnsi"/>
          <w:sz w:val="24"/>
          <w:szCs w:val="24"/>
          <w:rtl/>
        </w:rPr>
        <w:t xml:space="preserve"> שהתרחבו עם פרוץ המלחמה ירדו ונמצאים מתחת לרמתם ערב המלחמה (</w:t>
      </w:r>
      <w:r w:rsidRPr="00621583">
        <w:rPr>
          <w:rFonts w:cstheme="minorHAnsi"/>
          <w:b/>
          <w:bCs/>
          <w:sz w:val="24"/>
          <w:szCs w:val="24"/>
          <w:rtl/>
        </w:rPr>
        <w:t xml:space="preserve">איור </w:t>
      </w:r>
      <w:r w:rsidRPr="00621583">
        <w:rPr>
          <w:rFonts w:cstheme="minorHAnsi"/>
          <w:b/>
          <w:bCs/>
          <w:sz w:val="24"/>
          <w:szCs w:val="24"/>
        </w:rPr>
        <w:t>10</w:t>
      </w:r>
      <w:r w:rsidRPr="00621583">
        <w:rPr>
          <w:rFonts w:cstheme="minorHAnsi"/>
          <w:sz w:val="24"/>
          <w:szCs w:val="24"/>
          <w:rtl/>
        </w:rPr>
        <w:t xml:space="preserve">).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 xml:space="preserve">חברת דירוג האשראי הבינלאומית </w:t>
      </w:r>
      <w:proofErr w:type="spellStart"/>
      <w:r w:rsidRPr="00621583">
        <w:rPr>
          <w:rFonts w:cstheme="minorHAnsi"/>
          <w:sz w:val="24"/>
          <w:szCs w:val="24"/>
          <w:rtl/>
        </w:rPr>
        <w:t>פיץ</w:t>
      </w:r>
      <w:proofErr w:type="spellEnd"/>
      <w:r w:rsidRPr="00621583">
        <w:rPr>
          <w:rFonts w:cstheme="minorHAnsi"/>
          <w:sz w:val="24"/>
          <w:szCs w:val="24"/>
          <w:rtl/>
        </w:rPr>
        <w:t xml:space="preserve">' הותירה את דירוג האשראי של ישראל ברמה של </w:t>
      </w:r>
      <w:r w:rsidRPr="00621583">
        <w:rPr>
          <w:rFonts w:cstheme="minorHAnsi"/>
          <w:sz w:val="24"/>
          <w:szCs w:val="24"/>
        </w:rPr>
        <w:t>A</w:t>
      </w:r>
      <w:r w:rsidRPr="00621583">
        <w:rPr>
          <w:rFonts w:cstheme="minorHAnsi"/>
          <w:sz w:val="24"/>
          <w:szCs w:val="24"/>
          <w:rtl/>
        </w:rPr>
        <w:t>+ אולם שינתה את תחזית הדירוג מיציבה לשלילית. התחזית השלילית, כפי שנימקה סוכנות הדירוג, נובעת בעיקר מחוסר הוודאות בנוגע להתרחבות המלחמה לזירה הצפונית, מועד סיום הלחימה בעזה והשינוי במדיניות הפיסקלית. פרמיית הסיכון של ישראל, כפי שהיא נמדדת באמצעות פרמיית ה-</w:t>
      </w:r>
      <w:r w:rsidRPr="00621583">
        <w:rPr>
          <w:rFonts w:cstheme="minorHAnsi"/>
          <w:sz w:val="24"/>
          <w:szCs w:val="24"/>
        </w:rPr>
        <w:t>CDS</w:t>
      </w:r>
      <w:r w:rsidRPr="00621583">
        <w:rPr>
          <w:rFonts w:cstheme="minorHAnsi"/>
          <w:sz w:val="24"/>
          <w:szCs w:val="24"/>
          <w:rtl/>
        </w:rPr>
        <w:t xml:space="preserve">, שוהה ברמה גבוהה ועלתה בימים האחרונים על רקע המתיחות הגיאופוליטית. המרווח בין איגרות החוב הממשלתיות הנקובות בדולרים </w:t>
      </w:r>
      <w:proofErr w:type="spellStart"/>
      <w:r w:rsidRPr="00621583">
        <w:rPr>
          <w:rFonts w:cstheme="minorHAnsi"/>
          <w:sz w:val="24"/>
          <w:szCs w:val="24"/>
          <w:rtl/>
        </w:rPr>
        <w:t>והאג"ח</w:t>
      </w:r>
      <w:proofErr w:type="spellEnd"/>
      <w:r w:rsidRPr="00621583">
        <w:rPr>
          <w:rFonts w:cstheme="minorHAnsi"/>
          <w:sz w:val="24"/>
          <w:szCs w:val="24"/>
          <w:rtl/>
        </w:rPr>
        <w:t xml:space="preserve"> הממשלתיות של ארה"ב נותר ללא שינוי, וברמה גבוהה. בשוק האשראי, נמשכת מגמת ההאטה ומדדי הסיכון בכלל מגזרי הפעילות עלו, אך רמתם אינה חריגה בהסתכלות ארוכת טווח. עפ"י סקר המגמות של </w:t>
      </w:r>
      <w:proofErr w:type="spellStart"/>
      <w:r w:rsidRPr="00621583">
        <w:rPr>
          <w:rFonts w:cstheme="minorHAnsi"/>
          <w:sz w:val="24"/>
          <w:szCs w:val="24"/>
          <w:rtl/>
        </w:rPr>
        <w:t>הלמ"ס</w:t>
      </w:r>
      <w:proofErr w:type="spellEnd"/>
      <w:r w:rsidRPr="00621583">
        <w:rPr>
          <w:rFonts w:cstheme="minorHAnsi"/>
          <w:sz w:val="24"/>
          <w:szCs w:val="24"/>
          <w:rtl/>
        </w:rPr>
        <w:t xml:space="preserve"> לחודש מרץ 2024 המשיך להתמתן הקושי בהשגת אשראי בקרב עסקים גדולים ובינוניים ונרשמה עלייה </w:t>
      </w:r>
      <w:proofErr w:type="spellStart"/>
      <w:r w:rsidRPr="00621583">
        <w:rPr>
          <w:rFonts w:cstheme="minorHAnsi"/>
          <w:sz w:val="24"/>
          <w:szCs w:val="24"/>
          <w:rtl/>
        </w:rPr>
        <w:t>מסויימת</w:t>
      </w:r>
      <w:proofErr w:type="spellEnd"/>
      <w:r w:rsidRPr="00621583">
        <w:rPr>
          <w:rFonts w:cstheme="minorHAnsi"/>
          <w:sz w:val="24"/>
          <w:szCs w:val="24"/>
          <w:rtl/>
        </w:rPr>
        <w:t xml:space="preserve"> בקצה בקרב עסקים קטנים לאחר ירידה בחודשים האחרונים (</w:t>
      </w:r>
      <w:r w:rsidRPr="00621583">
        <w:rPr>
          <w:rFonts w:cstheme="minorHAnsi"/>
          <w:b/>
          <w:bCs/>
          <w:sz w:val="24"/>
          <w:szCs w:val="24"/>
          <w:rtl/>
        </w:rPr>
        <w:t xml:space="preserve">איור </w:t>
      </w:r>
      <w:r w:rsidRPr="00621583">
        <w:rPr>
          <w:rFonts w:cstheme="minorHAnsi"/>
          <w:b/>
          <w:bCs/>
          <w:sz w:val="24"/>
          <w:szCs w:val="24"/>
        </w:rPr>
        <w:t>13</w:t>
      </w:r>
      <w:r w:rsidRPr="00621583">
        <w:rPr>
          <w:rFonts w:cstheme="minorHAnsi"/>
          <w:b/>
          <w:bCs/>
          <w:sz w:val="24"/>
          <w:szCs w:val="24"/>
          <w:rtl/>
        </w:rPr>
        <w:t>)</w:t>
      </w:r>
      <w:r w:rsidRPr="00621583">
        <w:rPr>
          <w:rFonts w:cstheme="minorHAnsi"/>
          <w:sz w:val="24"/>
          <w:szCs w:val="24"/>
          <w:rtl/>
        </w:rPr>
        <w:t xml:space="preserve">. </w:t>
      </w:r>
    </w:p>
    <w:p w:rsidR="00F92CF7" w:rsidRPr="00621583" w:rsidRDefault="00F92CF7" w:rsidP="00F92CF7">
      <w:pPr>
        <w:spacing w:after="120" w:line="360" w:lineRule="auto"/>
        <w:jc w:val="both"/>
        <w:rPr>
          <w:rFonts w:cstheme="minorHAnsi"/>
          <w:sz w:val="24"/>
          <w:szCs w:val="24"/>
          <w:rtl/>
        </w:rPr>
      </w:pPr>
      <w:r w:rsidRPr="00621583">
        <w:rPr>
          <w:rFonts w:cstheme="minorHAnsi"/>
          <w:sz w:val="24"/>
          <w:szCs w:val="24"/>
          <w:rtl/>
        </w:rPr>
        <w:t>קצב הפעילות של הכלכלה הגלובלית הפתיע לטובה על רקע פעילות חזקה יותר בארה"ב והתאוששות מסוימת בסין. מנגד, בגוש האירו החולשה הכלכלית נמשכת, בעיקר בגרמניה. תחזית הצמיחה הגלובלית של בתי ההשקעות עודכנה מעט כלפי מעלה, בעיקר בארה"ב (</w:t>
      </w:r>
      <w:r w:rsidRPr="00621583">
        <w:rPr>
          <w:rFonts w:cstheme="minorHAnsi"/>
          <w:b/>
          <w:bCs/>
          <w:sz w:val="24"/>
          <w:szCs w:val="24"/>
          <w:rtl/>
        </w:rPr>
        <w:t>איור 29</w:t>
      </w:r>
      <w:r w:rsidRPr="00621583">
        <w:rPr>
          <w:rFonts w:cstheme="minorHAnsi"/>
          <w:sz w:val="24"/>
          <w:szCs w:val="24"/>
          <w:rtl/>
        </w:rPr>
        <w:t xml:space="preserve">). סקטור התעשייה הגלובלי, שסבל מחולשה זה מספר רב של חודשים, מראה סימני התאוששות. מדד מנהלי הרכש הגלובלי עלה בחודש מרץ ומצביע על המשך התרחבות בפעילות. הסחר העולמי עלה לראשונה מזה מספר חודשים. מחיר הנפט עלה משמעותית במהלך התקופה ומחירי התובלה שזינקו על רקע המתיחות עם </w:t>
      </w:r>
      <w:proofErr w:type="spellStart"/>
      <w:r w:rsidRPr="00621583">
        <w:rPr>
          <w:rFonts w:cstheme="minorHAnsi"/>
          <w:sz w:val="24"/>
          <w:szCs w:val="24"/>
          <w:rtl/>
        </w:rPr>
        <w:t>החות'ים</w:t>
      </w:r>
      <w:proofErr w:type="spellEnd"/>
      <w:r w:rsidRPr="00621583">
        <w:rPr>
          <w:rFonts w:cstheme="minorHAnsi"/>
          <w:sz w:val="24"/>
          <w:szCs w:val="24"/>
          <w:rtl/>
        </w:rPr>
        <w:t xml:space="preserve"> בים האדום מתמתנים. בארה"ב מדד ה-</w:t>
      </w:r>
      <w:r w:rsidRPr="00621583">
        <w:rPr>
          <w:rFonts w:cstheme="minorHAnsi"/>
          <w:sz w:val="24"/>
          <w:szCs w:val="24"/>
        </w:rPr>
        <w:t>CPI</w:t>
      </w:r>
      <w:r w:rsidRPr="00621583">
        <w:rPr>
          <w:rFonts w:cstheme="minorHAnsi"/>
          <w:sz w:val="24"/>
          <w:szCs w:val="24"/>
          <w:rtl/>
        </w:rPr>
        <w:t xml:space="preserve"> הכללי עלה בפברואר לקצב שנתי של 3.2% בעוד מדד הליבה התמתן קלות לרמה של 3.8%. בגוש האירו האינפלציה מתמתנת והמדד הכללי, נכון למרץ, ירד ל-2.4%. אינפלציית הליבה מתמתנת גם כן ועומדת על 2.9%. כמו-כן, בחלק ניכר מהמדינות סביבת האינפלציה התמתנה, אך ברובן עדיין שוהה מעל יעדי הבנקים המרכזיים (</w:t>
      </w:r>
      <w:r w:rsidRPr="00621583">
        <w:rPr>
          <w:rFonts w:cstheme="minorHAnsi"/>
          <w:b/>
          <w:bCs/>
          <w:sz w:val="24"/>
          <w:szCs w:val="24"/>
          <w:rtl/>
        </w:rPr>
        <w:t>איור 33</w:t>
      </w:r>
      <w:r w:rsidRPr="00621583">
        <w:rPr>
          <w:rFonts w:cstheme="minorHAnsi"/>
          <w:sz w:val="24"/>
          <w:szCs w:val="24"/>
          <w:rtl/>
        </w:rPr>
        <w:t>). אינפלציית השירותים נותרה דביקה ומקשה על התכנסות האינפלציה ליעד. בארה</w:t>
      </w:r>
      <w:r w:rsidRPr="00621583">
        <w:rPr>
          <w:rFonts w:cstheme="minorHAnsi"/>
          <w:sz w:val="24"/>
          <w:szCs w:val="24"/>
        </w:rPr>
        <w:t>"</w:t>
      </w:r>
      <w:r w:rsidRPr="00621583">
        <w:rPr>
          <w:rFonts w:cstheme="minorHAnsi"/>
          <w:sz w:val="24"/>
          <w:szCs w:val="24"/>
          <w:rtl/>
        </w:rPr>
        <w:t>ב</w:t>
      </w:r>
      <w:r w:rsidRPr="00621583">
        <w:rPr>
          <w:rFonts w:cstheme="minorHAnsi"/>
          <w:sz w:val="24"/>
          <w:szCs w:val="24"/>
        </w:rPr>
        <w:t xml:space="preserve"> </w:t>
      </w:r>
      <w:r w:rsidRPr="00621583">
        <w:rPr>
          <w:rFonts w:cstheme="minorHAnsi"/>
          <w:sz w:val="24"/>
          <w:szCs w:val="24"/>
          <w:rtl/>
        </w:rPr>
        <w:t xml:space="preserve">ובגוש האירו הותירו הבנקים המרכזיים את הריבית על כנה ומאותתים על כך שתוואי הורדת הריבית יהיה איטי והדרגתי יותר בהמשך. </w:t>
      </w:r>
    </w:p>
    <w:p w:rsidR="00F92CF7" w:rsidRPr="00621583" w:rsidRDefault="00F92CF7" w:rsidP="00F92CF7">
      <w:pPr>
        <w:spacing w:after="120" w:line="360" w:lineRule="auto"/>
        <w:jc w:val="both"/>
        <w:rPr>
          <w:rFonts w:cstheme="minorHAnsi"/>
          <w:sz w:val="24"/>
          <w:szCs w:val="24"/>
          <w:rtl/>
        </w:rPr>
      </w:pPr>
    </w:p>
    <w:p w:rsidR="00F92CF7" w:rsidRPr="00621583" w:rsidRDefault="00F92CF7" w:rsidP="00F92CF7">
      <w:pPr>
        <w:spacing w:after="120" w:line="360" w:lineRule="auto"/>
        <w:jc w:val="both"/>
        <w:rPr>
          <w:rFonts w:cstheme="minorHAnsi"/>
          <w:sz w:val="24"/>
          <w:szCs w:val="24"/>
          <w:rtl/>
        </w:rPr>
      </w:pPr>
    </w:p>
    <w:p w:rsidR="00D94BE7" w:rsidRPr="00621583" w:rsidRDefault="00F92CF7" w:rsidP="00621583">
      <w:pPr>
        <w:spacing w:after="120" w:line="360" w:lineRule="auto"/>
        <w:jc w:val="both"/>
        <w:rPr>
          <w:rFonts w:cstheme="minorHAnsi"/>
          <w:sz w:val="24"/>
          <w:szCs w:val="24"/>
          <w:rtl/>
        </w:rPr>
      </w:pPr>
      <w:r w:rsidRPr="00621583">
        <w:rPr>
          <w:rFonts w:cstheme="minorHAnsi"/>
          <w:sz w:val="24"/>
          <w:szCs w:val="24"/>
          <w:rtl/>
        </w:rPr>
        <w:t>סיכום הדיונים המוניטריים שהתקיימו לקראת החלטה זו יפורסם ב-21/4/2024. החלטת המדיניות המוניטרית הבאה תתפרסם ביום שני, ה-27/5/2024</w:t>
      </w:r>
      <w:r w:rsidRPr="00621583">
        <w:rPr>
          <w:rFonts w:cstheme="minorHAnsi"/>
          <w:sz w:val="24"/>
          <w:szCs w:val="24"/>
        </w:rPr>
        <w:t>.​​​​</w:t>
      </w:r>
    </w:p>
    <w:sectPr w:rsidR="00D94BE7" w:rsidRPr="00621583" w:rsidSect="007C7ACF">
      <w:footerReference w:type="default" r:id="rId9"/>
      <w:pgSz w:w="11906" w:h="16838"/>
      <w:pgMar w:top="1440" w:right="1080" w:bottom="1440" w:left="1080" w:header="0" w:footer="113"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64B6B" w16cid:durableId="289D73A1"/>
  <w16cid:commentId w16cid:paraId="665FB4DF" w16cid:durableId="289D71E5"/>
  <w16cid:commentId w16cid:paraId="47176A9B" w16cid:durableId="289D7229"/>
  <w16cid:commentId w16cid:paraId="34661E81" w16cid:durableId="289D7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17" w:rsidRDefault="00D10017" w:rsidP="00A8741B">
      <w:pPr>
        <w:spacing w:after="0" w:line="240" w:lineRule="auto"/>
      </w:pPr>
      <w:r>
        <w:separator/>
      </w:r>
    </w:p>
  </w:endnote>
  <w:endnote w:type="continuationSeparator" w:id="0">
    <w:p w:rsidR="00D10017" w:rsidRDefault="00D10017"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AC" w:rsidRPr="00BE1C99" w:rsidRDefault="000627AC" w:rsidP="000627AC">
    <w:pPr>
      <w:pStyle w:val="a5"/>
      <w:rPr>
        <w:rtl/>
      </w:rPr>
    </w:pPr>
    <w:r w:rsidRPr="00BE1C99">
      <w:rPr>
        <w:noProof/>
      </w:rPr>
      <mc:AlternateContent>
        <mc:Choice Requires="wps">
          <w:drawing>
            <wp:anchor distT="0" distB="0" distL="114300" distR="114300" simplePos="0" relativeHeight="251659264" behindDoc="0" locked="0" layoutInCell="1" allowOverlap="1" wp14:anchorId="4E8BCA93" wp14:editId="63E738C0">
              <wp:simplePos x="0" y="0"/>
              <wp:positionH relativeFrom="margin">
                <wp:align>right</wp:align>
              </wp:positionH>
              <wp:positionV relativeFrom="paragraph">
                <wp:posOffset>43180</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0627AC" w:rsidRPr="00B677DC" w:rsidRDefault="000627AC" w:rsidP="000627AC">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BCA93" id="_x0000_t202" coordsize="21600,21600" o:spt="202" path="m,l,21600r21600,l21600,xe">
              <v:stroke joinstyle="miter"/>
              <v:path gradientshapeok="t" o:connecttype="rect"/>
            </v:shapetype>
            <v:shape id="תיבת טקסט 1" o:spid="_x0000_s1026" type="#_x0000_t202" style="position:absolute;left:0;text-align:left;margin-left:69.7pt;margin-top:3.4pt;width:120.9pt;height:3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" filled="f" stroked="f" strokeweight=".5pt">
              <v:textbox>
                <w:txbxContent>
                  <w:p w:rsidR="000627AC" w:rsidRPr="00B677DC" w:rsidRDefault="000627AC" w:rsidP="000627AC">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w10:wrap anchorx="margin"/>
            </v:shape>
          </w:pict>
        </mc:Fallback>
      </mc:AlternateContent>
    </w:r>
    <w:r w:rsidRPr="00BE1C99">
      <w:rPr>
        <w:noProof/>
        <w:rtl/>
      </w:rPr>
      <w:drawing>
        <wp:anchor distT="0" distB="0" distL="114300" distR="114300" simplePos="0" relativeHeight="251664384" behindDoc="0" locked="0" layoutInCell="1" allowOverlap="1" wp14:anchorId="3879054D" wp14:editId="15CD35DD">
          <wp:simplePos x="0" y="0"/>
          <wp:positionH relativeFrom="rightMargin">
            <wp:posOffset>-952500</wp:posOffset>
          </wp:positionH>
          <wp:positionV relativeFrom="paragraph">
            <wp:posOffset>-327660</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0288" behindDoc="0" locked="0" layoutInCell="1" allowOverlap="1" wp14:anchorId="7C981F6C" wp14:editId="72FA5EA7">
              <wp:simplePos x="0" y="0"/>
              <wp:positionH relativeFrom="column">
                <wp:posOffset>2777490</wp:posOffset>
              </wp:positionH>
              <wp:positionV relativeFrom="paragraph">
                <wp:posOffset>45720</wp:posOffset>
              </wp:positionV>
              <wp:extent cx="218186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0627AC" w:rsidRPr="00B677DC" w:rsidRDefault="000627AC" w:rsidP="000627AC">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81F6C" id="תיבת טקסט 2" o:spid="_x0000_s1027" type="#_x0000_t202" style="position:absolute;left:0;text-align:left;margin-left:218.7pt;margin-top:3.6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" filled="f" stroked="f" strokeweight=".5pt">
              <v:textbox>
                <w:txbxContent>
                  <w:p w:rsidR="000627AC" w:rsidRPr="00B677DC" w:rsidRDefault="000627AC" w:rsidP="000627AC">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0A0E2694" wp14:editId="5BEAC39F">
          <wp:simplePos x="0" y="0"/>
          <wp:positionH relativeFrom="column">
            <wp:posOffset>3806190</wp:posOffset>
          </wp:positionH>
          <wp:positionV relativeFrom="paragraph">
            <wp:posOffset>-259080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585F8C04" wp14:editId="648B6CD0">
              <wp:simplePos x="0" y="0"/>
              <wp:positionH relativeFrom="margin">
                <wp:posOffset>1003935</wp:posOffset>
              </wp:positionH>
              <wp:positionV relativeFrom="paragraph">
                <wp:posOffset>64770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0627AC" w:rsidRPr="00B677DC" w:rsidRDefault="000627AC" w:rsidP="000627AC">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8C04" id="תיבת טקסט 3" o:spid="_x0000_s1028" type="#_x0000_t202" style="position:absolute;left:0;text-align:left;margin-left:79.05pt;margin-top:5.1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" filled="f" stroked="f" strokeweight=".5pt">
              <v:textbox>
                <w:txbxContent>
                  <w:p w:rsidR="000627AC" w:rsidRPr="00B677DC" w:rsidRDefault="000627AC" w:rsidP="000627AC">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53DA4EF6" wp14:editId="791426AE">
          <wp:simplePos x="0" y="0"/>
          <wp:positionH relativeFrom="column">
            <wp:posOffset>1913890</wp:posOffset>
          </wp:positionH>
          <wp:positionV relativeFrom="paragraph">
            <wp:posOffset>-262255</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7456" behindDoc="0" locked="0" layoutInCell="1" allowOverlap="1" wp14:anchorId="151CCFF5" wp14:editId="0D62AF77">
              <wp:simplePos x="0" y="0"/>
              <wp:positionH relativeFrom="margin">
                <wp:posOffset>-810895</wp:posOffset>
              </wp:positionH>
              <wp:positionV relativeFrom="paragraph">
                <wp:posOffset>69215</wp:posOffset>
              </wp:positionV>
              <wp:extent cx="2130281"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0627AC" w:rsidRPr="00F20046" w:rsidRDefault="000627AC" w:rsidP="000627AC">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CFF5" id="תיבת טקסט 4" o:spid="_x0000_s1029" type="#_x0000_t202" style="position:absolute;left:0;text-align:left;margin-left:-63.85pt;margin-top:5.4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" filled="f" stroked="f" strokeweight=".5pt">
              <v:textbox>
                <w:txbxContent>
                  <w:p w:rsidR="000627AC" w:rsidRPr="00F20046" w:rsidRDefault="000627AC" w:rsidP="000627AC">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mc:AlternateContent>
        <mc:Choice Requires="wps">
          <w:drawing>
            <wp:anchor distT="0" distB="0" distL="114300" distR="114300" simplePos="0" relativeHeight="251663360" behindDoc="0" locked="0" layoutInCell="1" allowOverlap="1" wp14:anchorId="4C0E97AA" wp14:editId="66DD45AC">
              <wp:simplePos x="0" y="0"/>
              <wp:positionH relativeFrom="column">
                <wp:posOffset>-339090</wp:posOffset>
              </wp:positionH>
              <wp:positionV relativeFrom="paragraph">
                <wp:posOffset>-365760</wp:posOffset>
              </wp:positionV>
              <wp:extent cx="6228080" cy="0"/>
              <wp:effectExtent l="0" t="0" r="20320" b="19050"/>
              <wp:wrapNone/>
              <wp:docPr id="5" name="מחבר ישר 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2D501" id="מחבר ישר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6.7pt,-28.8pt" to="463.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" strokecolor="black [3200]" strokeweight=".5pt">
              <v:stroke joinstyle="miter"/>
            </v:line>
          </w:pict>
        </mc:Fallback>
      </mc:AlternateContent>
    </w:r>
    <w:r w:rsidRPr="00BE1C99">
      <w:rPr>
        <w:noProof/>
      </w:rPr>
      <w:drawing>
        <wp:anchor distT="0" distB="0" distL="114300" distR="114300" simplePos="0" relativeHeight="251666432" behindDoc="0" locked="0" layoutInCell="1" allowOverlap="1" wp14:anchorId="1DF22A52" wp14:editId="6E4E4734">
          <wp:simplePos x="0" y="0"/>
          <wp:positionH relativeFrom="margin">
            <wp:align>left</wp:align>
          </wp:positionH>
          <wp:positionV relativeFrom="paragraph">
            <wp:posOffset>-196850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p>
  <w:p w:rsidR="000627AC" w:rsidRDefault="000627AC" w:rsidP="000627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17" w:rsidRDefault="00D10017" w:rsidP="00A8741B">
      <w:pPr>
        <w:spacing w:after="0" w:line="240" w:lineRule="auto"/>
      </w:pPr>
      <w:r>
        <w:separator/>
      </w:r>
    </w:p>
  </w:footnote>
  <w:footnote w:type="continuationSeparator" w:id="0">
    <w:p w:rsidR="00D10017" w:rsidRDefault="00D10017" w:rsidP="00A8741B">
      <w:pPr>
        <w:spacing w:after="0" w:line="240" w:lineRule="auto"/>
      </w:pPr>
      <w:r>
        <w:continuationSeparator/>
      </w:r>
    </w:p>
  </w:footnote>
  <w:footnote w:id="1">
    <w:p w:rsidR="00F92CF7" w:rsidRDefault="00F92CF7" w:rsidP="00F92CF7">
      <w:pPr>
        <w:pStyle w:val="a7"/>
      </w:pPr>
      <w:r>
        <w:rPr>
          <w:rStyle w:val="a9"/>
        </w:rPr>
        <w:footnoteRef/>
      </w:r>
      <w:r>
        <w:rPr>
          <w:rtl/>
        </w:rPr>
        <w:t xml:space="preserve"> </w:t>
      </w:r>
      <w:r w:rsidRPr="00841331">
        <w:rPr>
          <w:rFonts w:ascii="David" w:hAnsi="David" w:cs="David"/>
          <w:rtl/>
        </w:rPr>
        <w:t>הסבר על הנתון: שיעור האבטלה הרחבה כולל, בנוסף על הבלתי מועסקים שנכללים בהגדרה הרגילה,  נעדרים זמנים מסיבות כלכליות.</w:t>
      </w:r>
      <w:r w:rsidRPr="004F53B2">
        <w:rPr>
          <w:rFonts w:ascii="David" w:hAnsi="David" w:cs="David" w:hint="cs"/>
          <w:rtl/>
        </w:rPr>
        <w:t xml:space="preserve"> </w:t>
      </w:r>
      <w:r w:rsidRPr="004F53B2">
        <w:rPr>
          <w:rFonts w:ascii="David" w:hAnsi="David" w:cs="David"/>
          <w:rtl/>
        </w:rPr>
        <w:t>הגדר</w:t>
      </w:r>
      <w:r w:rsidRPr="004F53B2">
        <w:rPr>
          <w:rFonts w:ascii="David" w:hAnsi="David" w:cs="David" w:hint="cs"/>
          <w:rtl/>
        </w:rPr>
        <w:t xml:space="preserve">ת האבטלה הרחבה </w:t>
      </w:r>
      <w:r w:rsidRPr="004F53B2">
        <w:rPr>
          <w:rFonts w:ascii="David" w:hAnsi="David" w:cs="David"/>
          <w:rtl/>
        </w:rPr>
        <w:t xml:space="preserve">לא כוללת עובדים שנעדרו מהעבודה מסיבות </w:t>
      </w:r>
      <w:r w:rsidRPr="004F53B2">
        <w:rPr>
          <w:rFonts w:ascii="David" w:hAnsi="David" w:cs="David" w:hint="cs"/>
          <w:rtl/>
        </w:rPr>
        <w:t xml:space="preserve">לא כלכליות, </w:t>
      </w:r>
      <w:r w:rsidRPr="004F53B2">
        <w:rPr>
          <w:rFonts w:ascii="David" w:hAnsi="David" w:cs="David"/>
          <w:rtl/>
        </w:rPr>
        <w:t>כגון</w:t>
      </w:r>
      <w:r w:rsidRPr="004F53B2">
        <w:rPr>
          <w:rFonts w:ascii="David" w:hAnsi="David" w:cs="David" w:hint="cs"/>
          <w:rtl/>
        </w:rPr>
        <w:t xml:space="preserve"> </w:t>
      </w:r>
      <w:r w:rsidRPr="004F53B2">
        <w:rPr>
          <w:rFonts w:ascii="David" w:hAnsi="David" w:cs="David"/>
          <w:rtl/>
        </w:rPr>
        <w:t>מילואים, טיפול בילדים בהיעדר מסגרות ועוד.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B0917"/>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48B4"/>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827"/>
    <w:multiLevelType w:val="hybridMultilevel"/>
    <w:tmpl w:val="500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3"/>
  </w:num>
  <w:num w:numId="5">
    <w:abstractNumId w:val="4"/>
  </w:num>
  <w:num w:numId="6">
    <w:abstractNumId w:val="17"/>
  </w:num>
  <w:num w:numId="7">
    <w:abstractNumId w:val="7"/>
  </w:num>
  <w:num w:numId="8">
    <w:abstractNumId w:val="1"/>
  </w:num>
  <w:num w:numId="9">
    <w:abstractNumId w:val="0"/>
  </w:num>
  <w:num w:numId="10">
    <w:abstractNumId w:val="8"/>
  </w:num>
  <w:num w:numId="11">
    <w:abstractNumId w:val="12"/>
  </w:num>
  <w:num w:numId="12">
    <w:abstractNumId w:val="5"/>
  </w:num>
  <w:num w:numId="13">
    <w:abstractNumId w:val="10"/>
  </w:num>
  <w:num w:numId="14">
    <w:abstractNumId w:val="11"/>
  </w:num>
  <w:num w:numId="15">
    <w:abstractNumId w:val="10"/>
  </w:num>
  <w:num w:numId="16">
    <w:abstractNumId w:val="14"/>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132A"/>
    <w:rsid w:val="00002801"/>
    <w:rsid w:val="000039C6"/>
    <w:rsid w:val="000043B3"/>
    <w:rsid w:val="0000441D"/>
    <w:rsid w:val="00005208"/>
    <w:rsid w:val="00006EEE"/>
    <w:rsid w:val="00007226"/>
    <w:rsid w:val="00010FFB"/>
    <w:rsid w:val="00011A22"/>
    <w:rsid w:val="00011C09"/>
    <w:rsid w:val="00011E5C"/>
    <w:rsid w:val="00014CFA"/>
    <w:rsid w:val="0001515F"/>
    <w:rsid w:val="0001543B"/>
    <w:rsid w:val="0001552F"/>
    <w:rsid w:val="000167AF"/>
    <w:rsid w:val="00017262"/>
    <w:rsid w:val="000176DF"/>
    <w:rsid w:val="00021939"/>
    <w:rsid w:val="00022E42"/>
    <w:rsid w:val="0002323C"/>
    <w:rsid w:val="000237A8"/>
    <w:rsid w:val="00023CC3"/>
    <w:rsid w:val="00024D11"/>
    <w:rsid w:val="00024DB6"/>
    <w:rsid w:val="000256B8"/>
    <w:rsid w:val="000258B0"/>
    <w:rsid w:val="000267E6"/>
    <w:rsid w:val="000272A1"/>
    <w:rsid w:val="00027406"/>
    <w:rsid w:val="00027EFF"/>
    <w:rsid w:val="0003001B"/>
    <w:rsid w:val="000319D8"/>
    <w:rsid w:val="0003217B"/>
    <w:rsid w:val="00033406"/>
    <w:rsid w:val="000335B1"/>
    <w:rsid w:val="00033EEA"/>
    <w:rsid w:val="0003448D"/>
    <w:rsid w:val="000353E8"/>
    <w:rsid w:val="000356A0"/>
    <w:rsid w:val="000367C5"/>
    <w:rsid w:val="00036B98"/>
    <w:rsid w:val="00037C8A"/>
    <w:rsid w:val="00040106"/>
    <w:rsid w:val="00040307"/>
    <w:rsid w:val="000403C2"/>
    <w:rsid w:val="00041C92"/>
    <w:rsid w:val="00042F14"/>
    <w:rsid w:val="000434FB"/>
    <w:rsid w:val="00045112"/>
    <w:rsid w:val="00045247"/>
    <w:rsid w:val="000464F1"/>
    <w:rsid w:val="000469D0"/>
    <w:rsid w:val="000477F0"/>
    <w:rsid w:val="000516E2"/>
    <w:rsid w:val="000521D2"/>
    <w:rsid w:val="00052AED"/>
    <w:rsid w:val="00052E7F"/>
    <w:rsid w:val="000530B4"/>
    <w:rsid w:val="000539DE"/>
    <w:rsid w:val="000552F0"/>
    <w:rsid w:val="000554B7"/>
    <w:rsid w:val="00055942"/>
    <w:rsid w:val="00055953"/>
    <w:rsid w:val="00056610"/>
    <w:rsid w:val="000567DC"/>
    <w:rsid w:val="00056A0B"/>
    <w:rsid w:val="00057C4A"/>
    <w:rsid w:val="00060486"/>
    <w:rsid w:val="00061527"/>
    <w:rsid w:val="00061B31"/>
    <w:rsid w:val="0006208E"/>
    <w:rsid w:val="000622E4"/>
    <w:rsid w:val="000627AC"/>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2F4"/>
    <w:rsid w:val="000766A7"/>
    <w:rsid w:val="00076770"/>
    <w:rsid w:val="0007767F"/>
    <w:rsid w:val="00081920"/>
    <w:rsid w:val="000834D8"/>
    <w:rsid w:val="000834EF"/>
    <w:rsid w:val="000844C5"/>
    <w:rsid w:val="0008498E"/>
    <w:rsid w:val="0008547E"/>
    <w:rsid w:val="00086680"/>
    <w:rsid w:val="00086714"/>
    <w:rsid w:val="00087A19"/>
    <w:rsid w:val="00090AF2"/>
    <w:rsid w:val="00090DCC"/>
    <w:rsid w:val="000913E6"/>
    <w:rsid w:val="000915B1"/>
    <w:rsid w:val="00092415"/>
    <w:rsid w:val="0009295F"/>
    <w:rsid w:val="000930AD"/>
    <w:rsid w:val="00093BE2"/>
    <w:rsid w:val="00093E33"/>
    <w:rsid w:val="000943B7"/>
    <w:rsid w:val="0009560C"/>
    <w:rsid w:val="00095692"/>
    <w:rsid w:val="000956B0"/>
    <w:rsid w:val="00096636"/>
    <w:rsid w:val="00097294"/>
    <w:rsid w:val="000A00EB"/>
    <w:rsid w:val="000A0201"/>
    <w:rsid w:val="000A0B77"/>
    <w:rsid w:val="000A0CAB"/>
    <w:rsid w:val="000A1DB6"/>
    <w:rsid w:val="000A29D3"/>
    <w:rsid w:val="000A3A93"/>
    <w:rsid w:val="000A47D5"/>
    <w:rsid w:val="000A5594"/>
    <w:rsid w:val="000A56DB"/>
    <w:rsid w:val="000A7560"/>
    <w:rsid w:val="000A768D"/>
    <w:rsid w:val="000B0329"/>
    <w:rsid w:val="000B0A53"/>
    <w:rsid w:val="000B3089"/>
    <w:rsid w:val="000B3358"/>
    <w:rsid w:val="000B3482"/>
    <w:rsid w:val="000B422B"/>
    <w:rsid w:val="000B5698"/>
    <w:rsid w:val="000B5E95"/>
    <w:rsid w:val="000B60F0"/>
    <w:rsid w:val="000B6147"/>
    <w:rsid w:val="000B66AE"/>
    <w:rsid w:val="000B6DC3"/>
    <w:rsid w:val="000B750E"/>
    <w:rsid w:val="000B7709"/>
    <w:rsid w:val="000C12E7"/>
    <w:rsid w:val="000C20BF"/>
    <w:rsid w:val="000C2840"/>
    <w:rsid w:val="000C3A97"/>
    <w:rsid w:val="000C3CDB"/>
    <w:rsid w:val="000C487B"/>
    <w:rsid w:val="000C4B07"/>
    <w:rsid w:val="000C5AA6"/>
    <w:rsid w:val="000C6BBA"/>
    <w:rsid w:val="000C6D7F"/>
    <w:rsid w:val="000C7273"/>
    <w:rsid w:val="000D008A"/>
    <w:rsid w:val="000D058A"/>
    <w:rsid w:val="000D1C55"/>
    <w:rsid w:val="000D2695"/>
    <w:rsid w:val="000D3178"/>
    <w:rsid w:val="000D5CE5"/>
    <w:rsid w:val="000D5FC7"/>
    <w:rsid w:val="000D6543"/>
    <w:rsid w:val="000D6B81"/>
    <w:rsid w:val="000D753F"/>
    <w:rsid w:val="000D7C30"/>
    <w:rsid w:val="000E17B9"/>
    <w:rsid w:val="000E1AB6"/>
    <w:rsid w:val="000E1E2F"/>
    <w:rsid w:val="000E2310"/>
    <w:rsid w:val="000E2BC8"/>
    <w:rsid w:val="000E4980"/>
    <w:rsid w:val="000E5174"/>
    <w:rsid w:val="000E5395"/>
    <w:rsid w:val="000E6437"/>
    <w:rsid w:val="000E6728"/>
    <w:rsid w:val="000E7593"/>
    <w:rsid w:val="000E7702"/>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5ED0"/>
    <w:rsid w:val="001064EE"/>
    <w:rsid w:val="00107DCB"/>
    <w:rsid w:val="0011184C"/>
    <w:rsid w:val="001120FD"/>
    <w:rsid w:val="001137AC"/>
    <w:rsid w:val="00113DBE"/>
    <w:rsid w:val="00115606"/>
    <w:rsid w:val="00115EE1"/>
    <w:rsid w:val="0011633D"/>
    <w:rsid w:val="00116466"/>
    <w:rsid w:val="0011656B"/>
    <w:rsid w:val="0011673B"/>
    <w:rsid w:val="00116F7B"/>
    <w:rsid w:val="00120E4E"/>
    <w:rsid w:val="0012246D"/>
    <w:rsid w:val="00123409"/>
    <w:rsid w:val="00123617"/>
    <w:rsid w:val="00123888"/>
    <w:rsid w:val="00125615"/>
    <w:rsid w:val="001269A7"/>
    <w:rsid w:val="00126D8B"/>
    <w:rsid w:val="00127442"/>
    <w:rsid w:val="001278ED"/>
    <w:rsid w:val="001300BC"/>
    <w:rsid w:val="00130796"/>
    <w:rsid w:val="00131325"/>
    <w:rsid w:val="00132632"/>
    <w:rsid w:val="00132645"/>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3BEF"/>
    <w:rsid w:val="00144600"/>
    <w:rsid w:val="0014465F"/>
    <w:rsid w:val="0014560A"/>
    <w:rsid w:val="00145AE6"/>
    <w:rsid w:val="00145BD5"/>
    <w:rsid w:val="00145F3C"/>
    <w:rsid w:val="00146714"/>
    <w:rsid w:val="00146872"/>
    <w:rsid w:val="0014707E"/>
    <w:rsid w:val="001473E9"/>
    <w:rsid w:val="00147ABF"/>
    <w:rsid w:val="001516A0"/>
    <w:rsid w:val="00151E3B"/>
    <w:rsid w:val="00152419"/>
    <w:rsid w:val="0015276E"/>
    <w:rsid w:val="00152A05"/>
    <w:rsid w:val="00153ADC"/>
    <w:rsid w:val="00154EBA"/>
    <w:rsid w:val="00155511"/>
    <w:rsid w:val="00156980"/>
    <w:rsid w:val="001574CF"/>
    <w:rsid w:val="00157710"/>
    <w:rsid w:val="0015796B"/>
    <w:rsid w:val="001602BA"/>
    <w:rsid w:val="0016078B"/>
    <w:rsid w:val="001612F9"/>
    <w:rsid w:val="00161F38"/>
    <w:rsid w:val="001633A1"/>
    <w:rsid w:val="0016388E"/>
    <w:rsid w:val="001674F3"/>
    <w:rsid w:val="0016773E"/>
    <w:rsid w:val="00167988"/>
    <w:rsid w:val="00170F2E"/>
    <w:rsid w:val="00171BF8"/>
    <w:rsid w:val="0017207F"/>
    <w:rsid w:val="00173C4E"/>
    <w:rsid w:val="00173FF2"/>
    <w:rsid w:val="00175839"/>
    <w:rsid w:val="001777EA"/>
    <w:rsid w:val="0018000A"/>
    <w:rsid w:val="0018033F"/>
    <w:rsid w:val="00181844"/>
    <w:rsid w:val="00182501"/>
    <w:rsid w:val="001826B6"/>
    <w:rsid w:val="00182A3B"/>
    <w:rsid w:val="00182DC4"/>
    <w:rsid w:val="00183559"/>
    <w:rsid w:val="00185300"/>
    <w:rsid w:val="00185ED6"/>
    <w:rsid w:val="00187C4F"/>
    <w:rsid w:val="00191A58"/>
    <w:rsid w:val="00192CC2"/>
    <w:rsid w:val="0019408E"/>
    <w:rsid w:val="001946BA"/>
    <w:rsid w:val="00195095"/>
    <w:rsid w:val="00195165"/>
    <w:rsid w:val="00197DF6"/>
    <w:rsid w:val="001A0BCA"/>
    <w:rsid w:val="001A189E"/>
    <w:rsid w:val="001A1A04"/>
    <w:rsid w:val="001A257A"/>
    <w:rsid w:val="001A2E4E"/>
    <w:rsid w:val="001A3B72"/>
    <w:rsid w:val="001A3D72"/>
    <w:rsid w:val="001A48C4"/>
    <w:rsid w:val="001A4B28"/>
    <w:rsid w:val="001A4E0F"/>
    <w:rsid w:val="001A5974"/>
    <w:rsid w:val="001A72DA"/>
    <w:rsid w:val="001A7B37"/>
    <w:rsid w:val="001A7C3E"/>
    <w:rsid w:val="001B09A6"/>
    <w:rsid w:val="001B1320"/>
    <w:rsid w:val="001B1C71"/>
    <w:rsid w:val="001B2BB9"/>
    <w:rsid w:val="001B3723"/>
    <w:rsid w:val="001B4215"/>
    <w:rsid w:val="001B5117"/>
    <w:rsid w:val="001B5936"/>
    <w:rsid w:val="001B5C04"/>
    <w:rsid w:val="001B68AF"/>
    <w:rsid w:val="001B7422"/>
    <w:rsid w:val="001B7E01"/>
    <w:rsid w:val="001C0147"/>
    <w:rsid w:val="001C0D7C"/>
    <w:rsid w:val="001C1DF3"/>
    <w:rsid w:val="001C28D3"/>
    <w:rsid w:val="001C3BBE"/>
    <w:rsid w:val="001C4400"/>
    <w:rsid w:val="001C4782"/>
    <w:rsid w:val="001C5B86"/>
    <w:rsid w:val="001C61A8"/>
    <w:rsid w:val="001C6585"/>
    <w:rsid w:val="001C7754"/>
    <w:rsid w:val="001D079E"/>
    <w:rsid w:val="001D0BCB"/>
    <w:rsid w:val="001D131D"/>
    <w:rsid w:val="001D148D"/>
    <w:rsid w:val="001D1B7E"/>
    <w:rsid w:val="001D2592"/>
    <w:rsid w:val="001D4126"/>
    <w:rsid w:val="001D421D"/>
    <w:rsid w:val="001D4459"/>
    <w:rsid w:val="001D45C9"/>
    <w:rsid w:val="001D4AD0"/>
    <w:rsid w:val="001D4B5D"/>
    <w:rsid w:val="001D4C22"/>
    <w:rsid w:val="001D55B5"/>
    <w:rsid w:val="001D5B75"/>
    <w:rsid w:val="001D5D16"/>
    <w:rsid w:val="001D6579"/>
    <w:rsid w:val="001D672A"/>
    <w:rsid w:val="001D6C83"/>
    <w:rsid w:val="001D740C"/>
    <w:rsid w:val="001D7430"/>
    <w:rsid w:val="001D75DB"/>
    <w:rsid w:val="001D787E"/>
    <w:rsid w:val="001D7BD6"/>
    <w:rsid w:val="001E06C6"/>
    <w:rsid w:val="001E08E3"/>
    <w:rsid w:val="001E105F"/>
    <w:rsid w:val="001E2632"/>
    <w:rsid w:val="001E3983"/>
    <w:rsid w:val="001E5E0A"/>
    <w:rsid w:val="001E5EC8"/>
    <w:rsid w:val="001E6454"/>
    <w:rsid w:val="001E6498"/>
    <w:rsid w:val="001F0188"/>
    <w:rsid w:val="001F16DF"/>
    <w:rsid w:val="001F1D33"/>
    <w:rsid w:val="001F2546"/>
    <w:rsid w:val="001F2882"/>
    <w:rsid w:val="001F3D97"/>
    <w:rsid w:val="001F3F60"/>
    <w:rsid w:val="001F40A5"/>
    <w:rsid w:val="001F4A56"/>
    <w:rsid w:val="001F5229"/>
    <w:rsid w:val="001F73B4"/>
    <w:rsid w:val="00200354"/>
    <w:rsid w:val="00200523"/>
    <w:rsid w:val="002006DF"/>
    <w:rsid w:val="00200A8A"/>
    <w:rsid w:val="002017B1"/>
    <w:rsid w:val="00202C9A"/>
    <w:rsid w:val="00203602"/>
    <w:rsid w:val="00203640"/>
    <w:rsid w:val="00203869"/>
    <w:rsid w:val="002045CC"/>
    <w:rsid w:val="00204806"/>
    <w:rsid w:val="00210119"/>
    <w:rsid w:val="00210907"/>
    <w:rsid w:val="00210EA6"/>
    <w:rsid w:val="00212FE9"/>
    <w:rsid w:val="002130DD"/>
    <w:rsid w:val="00213EA2"/>
    <w:rsid w:val="00213FED"/>
    <w:rsid w:val="002140DD"/>
    <w:rsid w:val="00215456"/>
    <w:rsid w:val="0021620F"/>
    <w:rsid w:val="002164FB"/>
    <w:rsid w:val="00216A76"/>
    <w:rsid w:val="00217784"/>
    <w:rsid w:val="00220167"/>
    <w:rsid w:val="00220C1B"/>
    <w:rsid w:val="00220F4A"/>
    <w:rsid w:val="00222105"/>
    <w:rsid w:val="002222CC"/>
    <w:rsid w:val="00222F2A"/>
    <w:rsid w:val="00223623"/>
    <w:rsid w:val="002246C8"/>
    <w:rsid w:val="002254AF"/>
    <w:rsid w:val="002274E1"/>
    <w:rsid w:val="00227C0D"/>
    <w:rsid w:val="00230DEA"/>
    <w:rsid w:val="00232109"/>
    <w:rsid w:val="00232496"/>
    <w:rsid w:val="00232723"/>
    <w:rsid w:val="00232803"/>
    <w:rsid w:val="002328DA"/>
    <w:rsid w:val="00232CB7"/>
    <w:rsid w:val="0023318A"/>
    <w:rsid w:val="002337B9"/>
    <w:rsid w:val="002337E3"/>
    <w:rsid w:val="002345D0"/>
    <w:rsid w:val="00234C02"/>
    <w:rsid w:val="002351EE"/>
    <w:rsid w:val="00235F4E"/>
    <w:rsid w:val="00235FF3"/>
    <w:rsid w:val="00236359"/>
    <w:rsid w:val="00236C15"/>
    <w:rsid w:val="002376E3"/>
    <w:rsid w:val="00241286"/>
    <w:rsid w:val="00241A93"/>
    <w:rsid w:val="002421B1"/>
    <w:rsid w:val="00242F14"/>
    <w:rsid w:val="002431A1"/>
    <w:rsid w:val="002433AD"/>
    <w:rsid w:val="00243822"/>
    <w:rsid w:val="00244677"/>
    <w:rsid w:val="00244C34"/>
    <w:rsid w:val="00244C9F"/>
    <w:rsid w:val="002450DB"/>
    <w:rsid w:val="002456BF"/>
    <w:rsid w:val="00245B39"/>
    <w:rsid w:val="0024603A"/>
    <w:rsid w:val="00246470"/>
    <w:rsid w:val="00246984"/>
    <w:rsid w:val="00246FEF"/>
    <w:rsid w:val="002515AB"/>
    <w:rsid w:val="002523B9"/>
    <w:rsid w:val="002527AE"/>
    <w:rsid w:val="00252D8F"/>
    <w:rsid w:val="002545EF"/>
    <w:rsid w:val="00256CA9"/>
    <w:rsid w:val="0025797B"/>
    <w:rsid w:val="00260035"/>
    <w:rsid w:val="00260062"/>
    <w:rsid w:val="002600F9"/>
    <w:rsid w:val="0026089A"/>
    <w:rsid w:val="00262629"/>
    <w:rsid w:val="00263DF5"/>
    <w:rsid w:val="00264A80"/>
    <w:rsid w:val="0026525D"/>
    <w:rsid w:val="00265D93"/>
    <w:rsid w:val="00266A5C"/>
    <w:rsid w:val="002672CF"/>
    <w:rsid w:val="0027108E"/>
    <w:rsid w:val="00271F71"/>
    <w:rsid w:val="0027234B"/>
    <w:rsid w:val="002727B2"/>
    <w:rsid w:val="00276455"/>
    <w:rsid w:val="00277CBD"/>
    <w:rsid w:val="00281FA6"/>
    <w:rsid w:val="00282A53"/>
    <w:rsid w:val="00282CCD"/>
    <w:rsid w:val="00283D93"/>
    <w:rsid w:val="0028613E"/>
    <w:rsid w:val="00286236"/>
    <w:rsid w:val="0028698C"/>
    <w:rsid w:val="00286DEF"/>
    <w:rsid w:val="00287B31"/>
    <w:rsid w:val="00287B49"/>
    <w:rsid w:val="002902EB"/>
    <w:rsid w:val="00290531"/>
    <w:rsid w:val="00291170"/>
    <w:rsid w:val="0029184C"/>
    <w:rsid w:val="0029208E"/>
    <w:rsid w:val="00292FEE"/>
    <w:rsid w:val="00293367"/>
    <w:rsid w:val="00293AEF"/>
    <w:rsid w:val="00294303"/>
    <w:rsid w:val="00295116"/>
    <w:rsid w:val="002951B0"/>
    <w:rsid w:val="00295A4C"/>
    <w:rsid w:val="00296242"/>
    <w:rsid w:val="00297B07"/>
    <w:rsid w:val="002A299C"/>
    <w:rsid w:val="002A32B8"/>
    <w:rsid w:val="002A3923"/>
    <w:rsid w:val="002A3C0C"/>
    <w:rsid w:val="002A50C3"/>
    <w:rsid w:val="002A73C4"/>
    <w:rsid w:val="002B1E37"/>
    <w:rsid w:val="002B2966"/>
    <w:rsid w:val="002B37D0"/>
    <w:rsid w:val="002B40C7"/>
    <w:rsid w:val="002B4327"/>
    <w:rsid w:val="002B46CC"/>
    <w:rsid w:val="002B47DA"/>
    <w:rsid w:val="002B5BE5"/>
    <w:rsid w:val="002B67D1"/>
    <w:rsid w:val="002C0E97"/>
    <w:rsid w:val="002C156B"/>
    <w:rsid w:val="002C1680"/>
    <w:rsid w:val="002C20BD"/>
    <w:rsid w:val="002C2A60"/>
    <w:rsid w:val="002C2FAD"/>
    <w:rsid w:val="002C4AD2"/>
    <w:rsid w:val="002C4B0A"/>
    <w:rsid w:val="002C5F1B"/>
    <w:rsid w:val="002D2F2C"/>
    <w:rsid w:val="002D3317"/>
    <w:rsid w:val="002D3D99"/>
    <w:rsid w:val="002D521A"/>
    <w:rsid w:val="002D553B"/>
    <w:rsid w:val="002D5C74"/>
    <w:rsid w:val="002D6026"/>
    <w:rsid w:val="002D60F1"/>
    <w:rsid w:val="002E0FF0"/>
    <w:rsid w:val="002E13C6"/>
    <w:rsid w:val="002E18D7"/>
    <w:rsid w:val="002E2856"/>
    <w:rsid w:val="002E440C"/>
    <w:rsid w:val="002E47DC"/>
    <w:rsid w:val="002E4B9F"/>
    <w:rsid w:val="002E66B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AFC"/>
    <w:rsid w:val="00302E79"/>
    <w:rsid w:val="00302F0F"/>
    <w:rsid w:val="0030346A"/>
    <w:rsid w:val="00303F2D"/>
    <w:rsid w:val="00304A26"/>
    <w:rsid w:val="00304BF9"/>
    <w:rsid w:val="00306F1A"/>
    <w:rsid w:val="00306FB4"/>
    <w:rsid w:val="00310BB5"/>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04F"/>
    <w:rsid w:val="003242AC"/>
    <w:rsid w:val="00324300"/>
    <w:rsid w:val="00324CEA"/>
    <w:rsid w:val="00325110"/>
    <w:rsid w:val="00325350"/>
    <w:rsid w:val="0032562F"/>
    <w:rsid w:val="00326129"/>
    <w:rsid w:val="00327B66"/>
    <w:rsid w:val="0033033C"/>
    <w:rsid w:val="00330833"/>
    <w:rsid w:val="00331BF6"/>
    <w:rsid w:val="00332676"/>
    <w:rsid w:val="00332C51"/>
    <w:rsid w:val="003353E9"/>
    <w:rsid w:val="003358CB"/>
    <w:rsid w:val="003359B2"/>
    <w:rsid w:val="00336010"/>
    <w:rsid w:val="00336272"/>
    <w:rsid w:val="003365C4"/>
    <w:rsid w:val="00336835"/>
    <w:rsid w:val="00337A42"/>
    <w:rsid w:val="00337AA8"/>
    <w:rsid w:val="00340FE3"/>
    <w:rsid w:val="00341AE0"/>
    <w:rsid w:val="00342B5A"/>
    <w:rsid w:val="003430F1"/>
    <w:rsid w:val="00343C8D"/>
    <w:rsid w:val="00343C95"/>
    <w:rsid w:val="00345013"/>
    <w:rsid w:val="003450BC"/>
    <w:rsid w:val="00345214"/>
    <w:rsid w:val="00345646"/>
    <w:rsid w:val="00347978"/>
    <w:rsid w:val="00347E02"/>
    <w:rsid w:val="003509C3"/>
    <w:rsid w:val="0035105E"/>
    <w:rsid w:val="00351118"/>
    <w:rsid w:val="00351A52"/>
    <w:rsid w:val="0035221B"/>
    <w:rsid w:val="00352BAA"/>
    <w:rsid w:val="0035412C"/>
    <w:rsid w:val="003547B0"/>
    <w:rsid w:val="00354AAC"/>
    <w:rsid w:val="00355A25"/>
    <w:rsid w:val="00357D69"/>
    <w:rsid w:val="00360E15"/>
    <w:rsid w:val="00361FAC"/>
    <w:rsid w:val="003620A3"/>
    <w:rsid w:val="00362926"/>
    <w:rsid w:val="00363069"/>
    <w:rsid w:val="0036390D"/>
    <w:rsid w:val="00364305"/>
    <w:rsid w:val="0036534B"/>
    <w:rsid w:val="00365BAB"/>
    <w:rsid w:val="00365EAC"/>
    <w:rsid w:val="00366576"/>
    <w:rsid w:val="00370910"/>
    <w:rsid w:val="00370A5E"/>
    <w:rsid w:val="00370E3B"/>
    <w:rsid w:val="00371CA2"/>
    <w:rsid w:val="00371D2E"/>
    <w:rsid w:val="00371F73"/>
    <w:rsid w:val="00372D86"/>
    <w:rsid w:val="003730BC"/>
    <w:rsid w:val="00373132"/>
    <w:rsid w:val="00373152"/>
    <w:rsid w:val="00373452"/>
    <w:rsid w:val="003735F3"/>
    <w:rsid w:val="003751F1"/>
    <w:rsid w:val="0037549C"/>
    <w:rsid w:val="00375844"/>
    <w:rsid w:val="00377844"/>
    <w:rsid w:val="0038241D"/>
    <w:rsid w:val="00383268"/>
    <w:rsid w:val="00383AE5"/>
    <w:rsid w:val="003848FD"/>
    <w:rsid w:val="0038530B"/>
    <w:rsid w:val="00385AE0"/>
    <w:rsid w:val="00385B7F"/>
    <w:rsid w:val="00385F00"/>
    <w:rsid w:val="00386F69"/>
    <w:rsid w:val="00387E8D"/>
    <w:rsid w:val="003920FB"/>
    <w:rsid w:val="0039573B"/>
    <w:rsid w:val="00395E25"/>
    <w:rsid w:val="00396150"/>
    <w:rsid w:val="003963C4"/>
    <w:rsid w:val="00397F82"/>
    <w:rsid w:val="003A0DD6"/>
    <w:rsid w:val="003A0E47"/>
    <w:rsid w:val="003A14B8"/>
    <w:rsid w:val="003A1853"/>
    <w:rsid w:val="003A1901"/>
    <w:rsid w:val="003A1F25"/>
    <w:rsid w:val="003A2EF9"/>
    <w:rsid w:val="003A3507"/>
    <w:rsid w:val="003A36DA"/>
    <w:rsid w:val="003A37C9"/>
    <w:rsid w:val="003A461D"/>
    <w:rsid w:val="003A6D5D"/>
    <w:rsid w:val="003A7779"/>
    <w:rsid w:val="003A7E7F"/>
    <w:rsid w:val="003A7F41"/>
    <w:rsid w:val="003B1902"/>
    <w:rsid w:val="003B204E"/>
    <w:rsid w:val="003B45F4"/>
    <w:rsid w:val="003B571A"/>
    <w:rsid w:val="003B591B"/>
    <w:rsid w:val="003B6016"/>
    <w:rsid w:val="003B6EAE"/>
    <w:rsid w:val="003B737F"/>
    <w:rsid w:val="003B7542"/>
    <w:rsid w:val="003C0B09"/>
    <w:rsid w:val="003C2C78"/>
    <w:rsid w:val="003C30CB"/>
    <w:rsid w:val="003C332C"/>
    <w:rsid w:val="003C3D57"/>
    <w:rsid w:val="003C407C"/>
    <w:rsid w:val="003C5C50"/>
    <w:rsid w:val="003C61C6"/>
    <w:rsid w:val="003C7A11"/>
    <w:rsid w:val="003C7C67"/>
    <w:rsid w:val="003D02ED"/>
    <w:rsid w:val="003D0342"/>
    <w:rsid w:val="003D0A42"/>
    <w:rsid w:val="003D0E19"/>
    <w:rsid w:val="003D22B9"/>
    <w:rsid w:val="003D2567"/>
    <w:rsid w:val="003D2F61"/>
    <w:rsid w:val="003D32DE"/>
    <w:rsid w:val="003D40A5"/>
    <w:rsid w:val="003D449C"/>
    <w:rsid w:val="003D4F1B"/>
    <w:rsid w:val="003D558C"/>
    <w:rsid w:val="003D5C0A"/>
    <w:rsid w:val="003D62B3"/>
    <w:rsid w:val="003D6A5F"/>
    <w:rsid w:val="003D6ACD"/>
    <w:rsid w:val="003E1632"/>
    <w:rsid w:val="003E1AFB"/>
    <w:rsid w:val="003E1C75"/>
    <w:rsid w:val="003E1D21"/>
    <w:rsid w:val="003E238A"/>
    <w:rsid w:val="003E3DCA"/>
    <w:rsid w:val="003E4126"/>
    <w:rsid w:val="003E43C8"/>
    <w:rsid w:val="003E4CB9"/>
    <w:rsid w:val="003E4D3E"/>
    <w:rsid w:val="003E6422"/>
    <w:rsid w:val="003E6974"/>
    <w:rsid w:val="003F083D"/>
    <w:rsid w:val="003F0A9E"/>
    <w:rsid w:val="003F1788"/>
    <w:rsid w:val="003F29BF"/>
    <w:rsid w:val="003F3889"/>
    <w:rsid w:val="003F47BC"/>
    <w:rsid w:val="003F65CF"/>
    <w:rsid w:val="003F6D5C"/>
    <w:rsid w:val="003F6E14"/>
    <w:rsid w:val="003F797B"/>
    <w:rsid w:val="004002FE"/>
    <w:rsid w:val="00400DC6"/>
    <w:rsid w:val="00401A93"/>
    <w:rsid w:val="004026E2"/>
    <w:rsid w:val="004031E8"/>
    <w:rsid w:val="0040426B"/>
    <w:rsid w:val="00406621"/>
    <w:rsid w:val="00406622"/>
    <w:rsid w:val="00406697"/>
    <w:rsid w:val="00407104"/>
    <w:rsid w:val="00411E1B"/>
    <w:rsid w:val="004125EB"/>
    <w:rsid w:val="0041283F"/>
    <w:rsid w:val="004131C9"/>
    <w:rsid w:val="00413442"/>
    <w:rsid w:val="00413E38"/>
    <w:rsid w:val="00414C95"/>
    <w:rsid w:val="004151FC"/>
    <w:rsid w:val="0041699D"/>
    <w:rsid w:val="00417231"/>
    <w:rsid w:val="00417748"/>
    <w:rsid w:val="00417753"/>
    <w:rsid w:val="00420289"/>
    <w:rsid w:val="004203FC"/>
    <w:rsid w:val="00420FD7"/>
    <w:rsid w:val="00421654"/>
    <w:rsid w:val="00421EC5"/>
    <w:rsid w:val="00423A5B"/>
    <w:rsid w:val="00424616"/>
    <w:rsid w:val="00424C08"/>
    <w:rsid w:val="0042549B"/>
    <w:rsid w:val="004256AE"/>
    <w:rsid w:val="00426593"/>
    <w:rsid w:val="00426F6D"/>
    <w:rsid w:val="00427CFA"/>
    <w:rsid w:val="00430BB9"/>
    <w:rsid w:val="00432A2E"/>
    <w:rsid w:val="00432D7B"/>
    <w:rsid w:val="00433BE6"/>
    <w:rsid w:val="00434576"/>
    <w:rsid w:val="00434FB7"/>
    <w:rsid w:val="00435078"/>
    <w:rsid w:val="00435573"/>
    <w:rsid w:val="00435590"/>
    <w:rsid w:val="00435CF4"/>
    <w:rsid w:val="00437111"/>
    <w:rsid w:val="004372F7"/>
    <w:rsid w:val="004376C0"/>
    <w:rsid w:val="004426A3"/>
    <w:rsid w:val="0044283A"/>
    <w:rsid w:val="00446EB1"/>
    <w:rsid w:val="004470D2"/>
    <w:rsid w:val="004508FF"/>
    <w:rsid w:val="00450C9A"/>
    <w:rsid w:val="00450FAA"/>
    <w:rsid w:val="0045149E"/>
    <w:rsid w:val="0045279B"/>
    <w:rsid w:val="0045374D"/>
    <w:rsid w:val="004544A6"/>
    <w:rsid w:val="004553D2"/>
    <w:rsid w:val="00455910"/>
    <w:rsid w:val="0045708E"/>
    <w:rsid w:val="0045722B"/>
    <w:rsid w:val="00460862"/>
    <w:rsid w:val="00460978"/>
    <w:rsid w:val="00460AAC"/>
    <w:rsid w:val="00460AC5"/>
    <w:rsid w:val="00460E6C"/>
    <w:rsid w:val="00461EF4"/>
    <w:rsid w:val="00461F1E"/>
    <w:rsid w:val="00462770"/>
    <w:rsid w:val="00462F1F"/>
    <w:rsid w:val="00462F7C"/>
    <w:rsid w:val="00463B8F"/>
    <w:rsid w:val="00464991"/>
    <w:rsid w:val="00465446"/>
    <w:rsid w:val="0046570F"/>
    <w:rsid w:val="004672F7"/>
    <w:rsid w:val="004703F1"/>
    <w:rsid w:val="004708D3"/>
    <w:rsid w:val="00470C4C"/>
    <w:rsid w:val="00471802"/>
    <w:rsid w:val="00472313"/>
    <w:rsid w:val="0047277F"/>
    <w:rsid w:val="00472CE7"/>
    <w:rsid w:val="00473069"/>
    <w:rsid w:val="0047357D"/>
    <w:rsid w:val="004736EE"/>
    <w:rsid w:val="00473874"/>
    <w:rsid w:val="00477C0F"/>
    <w:rsid w:val="00477E58"/>
    <w:rsid w:val="00477EA4"/>
    <w:rsid w:val="004800E4"/>
    <w:rsid w:val="00480A5B"/>
    <w:rsid w:val="00480F43"/>
    <w:rsid w:val="00486F80"/>
    <w:rsid w:val="00487D2E"/>
    <w:rsid w:val="004901B5"/>
    <w:rsid w:val="004902A9"/>
    <w:rsid w:val="00492EC7"/>
    <w:rsid w:val="0049455F"/>
    <w:rsid w:val="00494E70"/>
    <w:rsid w:val="0049625C"/>
    <w:rsid w:val="00496710"/>
    <w:rsid w:val="00496F77"/>
    <w:rsid w:val="004A15A4"/>
    <w:rsid w:val="004A190A"/>
    <w:rsid w:val="004A21FE"/>
    <w:rsid w:val="004A4A15"/>
    <w:rsid w:val="004A4A74"/>
    <w:rsid w:val="004A4DD6"/>
    <w:rsid w:val="004A52A0"/>
    <w:rsid w:val="004A55D6"/>
    <w:rsid w:val="004A6454"/>
    <w:rsid w:val="004A6C74"/>
    <w:rsid w:val="004A72AC"/>
    <w:rsid w:val="004B0AAE"/>
    <w:rsid w:val="004B1582"/>
    <w:rsid w:val="004B2B66"/>
    <w:rsid w:val="004B4584"/>
    <w:rsid w:val="004B4D19"/>
    <w:rsid w:val="004C048C"/>
    <w:rsid w:val="004C0981"/>
    <w:rsid w:val="004C0D66"/>
    <w:rsid w:val="004C1668"/>
    <w:rsid w:val="004C177C"/>
    <w:rsid w:val="004C1F77"/>
    <w:rsid w:val="004C310A"/>
    <w:rsid w:val="004C34A4"/>
    <w:rsid w:val="004C3562"/>
    <w:rsid w:val="004C448B"/>
    <w:rsid w:val="004C4A94"/>
    <w:rsid w:val="004C4BE1"/>
    <w:rsid w:val="004C50C2"/>
    <w:rsid w:val="004C5D8E"/>
    <w:rsid w:val="004C7643"/>
    <w:rsid w:val="004D17D4"/>
    <w:rsid w:val="004D187D"/>
    <w:rsid w:val="004D200E"/>
    <w:rsid w:val="004D20A0"/>
    <w:rsid w:val="004D2C8F"/>
    <w:rsid w:val="004D3700"/>
    <w:rsid w:val="004D6AFD"/>
    <w:rsid w:val="004D7F67"/>
    <w:rsid w:val="004E04AF"/>
    <w:rsid w:val="004E18A2"/>
    <w:rsid w:val="004E1DC8"/>
    <w:rsid w:val="004E29EE"/>
    <w:rsid w:val="004E2B0D"/>
    <w:rsid w:val="004E2EF5"/>
    <w:rsid w:val="004E3B74"/>
    <w:rsid w:val="004E416D"/>
    <w:rsid w:val="004E4FBE"/>
    <w:rsid w:val="004E691C"/>
    <w:rsid w:val="004E72F7"/>
    <w:rsid w:val="004E77F8"/>
    <w:rsid w:val="004F080D"/>
    <w:rsid w:val="004F14B8"/>
    <w:rsid w:val="004F1958"/>
    <w:rsid w:val="004F21CA"/>
    <w:rsid w:val="004F236B"/>
    <w:rsid w:val="004F342D"/>
    <w:rsid w:val="004F3DE4"/>
    <w:rsid w:val="004F41EC"/>
    <w:rsid w:val="004F4FD8"/>
    <w:rsid w:val="004F53B2"/>
    <w:rsid w:val="004F5D77"/>
    <w:rsid w:val="004F6F2A"/>
    <w:rsid w:val="004F742C"/>
    <w:rsid w:val="004F75E8"/>
    <w:rsid w:val="00500519"/>
    <w:rsid w:val="00500E33"/>
    <w:rsid w:val="00501D00"/>
    <w:rsid w:val="00506548"/>
    <w:rsid w:val="00506567"/>
    <w:rsid w:val="00506EC2"/>
    <w:rsid w:val="005104B4"/>
    <w:rsid w:val="005107B6"/>
    <w:rsid w:val="00510EAA"/>
    <w:rsid w:val="0051109E"/>
    <w:rsid w:val="00511375"/>
    <w:rsid w:val="00511FC8"/>
    <w:rsid w:val="00512086"/>
    <w:rsid w:val="00513DE5"/>
    <w:rsid w:val="005140F0"/>
    <w:rsid w:val="005147EB"/>
    <w:rsid w:val="0051498B"/>
    <w:rsid w:val="00515DB4"/>
    <w:rsid w:val="00516AAD"/>
    <w:rsid w:val="00520A2F"/>
    <w:rsid w:val="00520B95"/>
    <w:rsid w:val="00521BA3"/>
    <w:rsid w:val="005226EF"/>
    <w:rsid w:val="00522750"/>
    <w:rsid w:val="00522BC1"/>
    <w:rsid w:val="00522C26"/>
    <w:rsid w:val="00522E8B"/>
    <w:rsid w:val="005232DD"/>
    <w:rsid w:val="00523660"/>
    <w:rsid w:val="00523B26"/>
    <w:rsid w:val="005247AA"/>
    <w:rsid w:val="00524AB7"/>
    <w:rsid w:val="0052629C"/>
    <w:rsid w:val="00526AF3"/>
    <w:rsid w:val="00527C8E"/>
    <w:rsid w:val="005330DF"/>
    <w:rsid w:val="0053366A"/>
    <w:rsid w:val="0053369B"/>
    <w:rsid w:val="00533886"/>
    <w:rsid w:val="00533E45"/>
    <w:rsid w:val="0053528E"/>
    <w:rsid w:val="00536A3A"/>
    <w:rsid w:val="00536EEA"/>
    <w:rsid w:val="005379B9"/>
    <w:rsid w:val="00537D41"/>
    <w:rsid w:val="00540682"/>
    <w:rsid w:val="00541320"/>
    <w:rsid w:val="00541A70"/>
    <w:rsid w:val="00541CF8"/>
    <w:rsid w:val="00542492"/>
    <w:rsid w:val="00543AF4"/>
    <w:rsid w:val="00543E29"/>
    <w:rsid w:val="0054412C"/>
    <w:rsid w:val="005450E5"/>
    <w:rsid w:val="00546E74"/>
    <w:rsid w:val="0054770D"/>
    <w:rsid w:val="00547B9D"/>
    <w:rsid w:val="0055036F"/>
    <w:rsid w:val="005504C1"/>
    <w:rsid w:val="00550672"/>
    <w:rsid w:val="005509B2"/>
    <w:rsid w:val="00550CA9"/>
    <w:rsid w:val="00550D78"/>
    <w:rsid w:val="0055167D"/>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700E3"/>
    <w:rsid w:val="005702E2"/>
    <w:rsid w:val="00571195"/>
    <w:rsid w:val="00571258"/>
    <w:rsid w:val="00571326"/>
    <w:rsid w:val="00572475"/>
    <w:rsid w:val="0057277C"/>
    <w:rsid w:val="005742A3"/>
    <w:rsid w:val="00575255"/>
    <w:rsid w:val="00575D3F"/>
    <w:rsid w:val="005768C6"/>
    <w:rsid w:val="00577862"/>
    <w:rsid w:val="00580FEE"/>
    <w:rsid w:val="005812E0"/>
    <w:rsid w:val="0058216B"/>
    <w:rsid w:val="00582358"/>
    <w:rsid w:val="00582842"/>
    <w:rsid w:val="00582C9D"/>
    <w:rsid w:val="005846DB"/>
    <w:rsid w:val="005864C6"/>
    <w:rsid w:val="00586775"/>
    <w:rsid w:val="00587028"/>
    <w:rsid w:val="00587874"/>
    <w:rsid w:val="00587CFA"/>
    <w:rsid w:val="005902F6"/>
    <w:rsid w:val="00590331"/>
    <w:rsid w:val="00590C67"/>
    <w:rsid w:val="0059145E"/>
    <w:rsid w:val="005934F2"/>
    <w:rsid w:val="00593E19"/>
    <w:rsid w:val="00594349"/>
    <w:rsid w:val="005944BC"/>
    <w:rsid w:val="00595509"/>
    <w:rsid w:val="00595846"/>
    <w:rsid w:val="00595E33"/>
    <w:rsid w:val="00597954"/>
    <w:rsid w:val="005A00AA"/>
    <w:rsid w:val="005A02F2"/>
    <w:rsid w:val="005A06EB"/>
    <w:rsid w:val="005A0982"/>
    <w:rsid w:val="005A2301"/>
    <w:rsid w:val="005A3F64"/>
    <w:rsid w:val="005A496C"/>
    <w:rsid w:val="005A54F6"/>
    <w:rsid w:val="005A5DFF"/>
    <w:rsid w:val="005A6F00"/>
    <w:rsid w:val="005A7ED7"/>
    <w:rsid w:val="005B046C"/>
    <w:rsid w:val="005B0B42"/>
    <w:rsid w:val="005B1065"/>
    <w:rsid w:val="005B1BE5"/>
    <w:rsid w:val="005B27F2"/>
    <w:rsid w:val="005B2C99"/>
    <w:rsid w:val="005B32E8"/>
    <w:rsid w:val="005B3C02"/>
    <w:rsid w:val="005B5F4F"/>
    <w:rsid w:val="005B6BEF"/>
    <w:rsid w:val="005B72CA"/>
    <w:rsid w:val="005C02C1"/>
    <w:rsid w:val="005C0972"/>
    <w:rsid w:val="005C139B"/>
    <w:rsid w:val="005C1492"/>
    <w:rsid w:val="005C1C2D"/>
    <w:rsid w:val="005C202E"/>
    <w:rsid w:val="005C21C7"/>
    <w:rsid w:val="005C35B6"/>
    <w:rsid w:val="005C35CC"/>
    <w:rsid w:val="005C40FE"/>
    <w:rsid w:val="005C490E"/>
    <w:rsid w:val="005C4C51"/>
    <w:rsid w:val="005C593C"/>
    <w:rsid w:val="005D13ED"/>
    <w:rsid w:val="005D13F1"/>
    <w:rsid w:val="005D161E"/>
    <w:rsid w:val="005D2375"/>
    <w:rsid w:val="005D4009"/>
    <w:rsid w:val="005D46B6"/>
    <w:rsid w:val="005D46E4"/>
    <w:rsid w:val="005D55A8"/>
    <w:rsid w:val="005D647E"/>
    <w:rsid w:val="005D70CA"/>
    <w:rsid w:val="005D758B"/>
    <w:rsid w:val="005D7B07"/>
    <w:rsid w:val="005D7F02"/>
    <w:rsid w:val="005E0432"/>
    <w:rsid w:val="005E09D6"/>
    <w:rsid w:val="005E237E"/>
    <w:rsid w:val="005E474D"/>
    <w:rsid w:val="005E4D2C"/>
    <w:rsid w:val="005E56A8"/>
    <w:rsid w:val="005E63BF"/>
    <w:rsid w:val="005E6973"/>
    <w:rsid w:val="005E69C4"/>
    <w:rsid w:val="005E74AE"/>
    <w:rsid w:val="005E75D5"/>
    <w:rsid w:val="005E7787"/>
    <w:rsid w:val="005F17A5"/>
    <w:rsid w:val="005F3598"/>
    <w:rsid w:val="005F37EA"/>
    <w:rsid w:val="005F3F5A"/>
    <w:rsid w:val="005F5328"/>
    <w:rsid w:val="005F53CF"/>
    <w:rsid w:val="005F5A34"/>
    <w:rsid w:val="005F5ACC"/>
    <w:rsid w:val="005F76C6"/>
    <w:rsid w:val="00600183"/>
    <w:rsid w:val="00600415"/>
    <w:rsid w:val="006011DD"/>
    <w:rsid w:val="00601388"/>
    <w:rsid w:val="00601C4B"/>
    <w:rsid w:val="00601D3A"/>
    <w:rsid w:val="0060329F"/>
    <w:rsid w:val="00603ACA"/>
    <w:rsid w:val="00603C28"/>
    <w:rsid w:val="00604D24"/>
    <w:rsid w:val="006055C3"/>
    <w:rsid w:val="00605D40"/>
    <w:rsid w:val="006061BD"/>
    <w:rsid w:val="006109B5"/>
    <w:rsid w:val="00611FBC"/>
    <w:rsid w:val="00612BE2"/>
    <w:rsid w:val="0061432C"/>
    <w:rsid w:val="00614784"/>
    <w:rsid w:val="00614B8A"/>
    <w:rsid w:val="0061515D"/>
    <w:rsid w:val="00615B55"/>
    <w:rsid w:val="00615E0C"/>
    <w:rsid w:val="006160DD"/>
    <w:rsid w:val="00616F9B"/>
    <w:rsid w:val="00617510"/>
    <w:rsid w:val="00620811"/>
    <w:rsid w:val="00621583"/>
    <w:rsid w:val="00621A3E"/>
    <w:rsid w:val="00621C0A"/>
    <w:rsid w:val="00621E4F"/>
    <w:rsid w:val="00621E8F"/>
    <w:rsid w:val="00622872"/>
    <w:rsid w:val="00622E7F"/>
    <w:rsid w:val="0062340C"/>
    <w:rsid w:val="00623DD3"/>
    <w:rsid w:val="00624336"/>
    <w:rsid w:val="00624C4D"/>
    <w:rsid w:val="006250D8"/>
    <w:rsid w:val="006252B0"/>
    <w:rsid w:val="00625324"/>
    <w:rsid w:val="00625DD1"/>
    <w:rsid w:val="0062694B"/>
    <w:rsid w:val="00627E67"/>
    <w:rsid w:val="00627FD7"/>
    <w:rsid w:val="006304C4"/>
    <w:rsid w:val="006305B2"/>
    <w:rsid w:val="0063088E"/>
    <w:rsid w:val="00631D32"/>
    <w:rsid w:val="00631EF1"/>
    <w:rsid w:val="00632414"/>
    <w:rsid w:val="006328E0"/>
    <w:rsid w:val="0063369B"/>
    <w:rsid w:val="00633780"/>
    <w:rsid w:val="00635015"/>
    <w:rsid w:val="00637521"/>
    <w:rsid w:val="006403E9"/>
    <w:rsid w:val="00640A25"/>
    <w:rsid w:val="006422E2"/>
    <w:rsid w:val="006427FC"/>
    <w:rsid w:val="0064306E"/>
    <w:rsid w:val="0064309E"/>
    <w:rsid w:val="00643FB6"/>
    <w:rsid w:val="00647018"/>
    <w:rsid w:val="006472EC"/>
    <w:rsid w:val="00650624"/>
    <w:rsid w:val="006506A7"/>
    <w:rsid w:val="0065078C"/>
    <w:rsid w:val="0065181F"/>
    <w:rsid w:val="006548AE"/>
    <w:rsid w:val="00654BAD"/>
    <w:rsid w:val="0065638F"/>
    <w:rsid w:val="006571D2"/>
    <w:rsid w:val="00661112"/>
    <w:rsid w:val="00661293"/>
    <w:rsid w:val="00661741"/>
    <w:rsid w:val="006625A3"/>
    <w:rsid w:val="00662CC1"/>
    <w:rsid w:val="0066387E"/>
    <w:rsid w:val="00664A8C"/>
    <w:rsid w:val="00665972"/>
    <w:rsid w:val="00665A0F"/>
    <w:rsid w:val="006670C9"/>
    <w:rsid w:val="006674FC"/>
    <w:rsid w:val="006715A8"/>
    <w:rsid w:val="0067212C"/>
    <w:rsid w:val="00672EDF"/>
    <w:rsid w:val="00673242"/>
    <w:rsid w:val="00673DE1"/>
    <w:rsid w:val="006777FB"/>
    <w:rsid w:val="00680ECD"/>
    <w:rsid w:val="0068109E"/>
    <w:rsid w:val="00682B9A"/>
    <w:rsid w:val="00683B5C"/>
    <w:rsid w:val="00683D34"/>
    <w:rsid w:val="00684648"/>
    <w:rsid w:val="00685076"/>
    <w:rsid w:val="00685810"/>
    <w:rsid w:val="00686034"/>
    <w:rsid w:val="006872F0"/>
    <w:rsid w:val="0068735E"/>
    <w:rsid w:val="00687861"/>
    <w:rsid w:val="006879C3"/>
    <w:rsid w:val="00690746"/>
    <w:rsid w:val="0069136C"/>
    <w:rsid w:val="00692547"/>
    <w:rsid w:val="006932F6"/>
    <w:rsid w:val="00693885"/>
    <w:rsid w:val="0069415D"/>
    <w:rsid w:val="00695171"/>
    <w:rsid w:val="00696DC5"/>
    <w:rsid w:val="00697A79"/>
    <w:rsid w:val="00697C47"/>
    <w:rsid w:val="006A0339"/>
    <w:rsid w:val="006A0D58"/>
    <w:rsid w:val="006A1255"/>
    <w:rsid w:val="006A137E"/>
    <w:rsid w:val="006A13F0"/>
    <w:rsid w:val="006A1EAB"/>
    <w:rsid w:val="006A1FB7"/>
    <w:rsid w:val="006A3F5F"/>
    <w:rsid w:val="006A4726"/>
    <w:rsid w:val="006A4FC7"/>
    <w:rsid w:val="006A55B7"/>
    <w:rsid w:val="006A654C"/>
    <w:rsid w:val="006A7288"/>
    <w:rsid w:val="006B0A65"/>
    <w:rsid w:val="006B1325"/>
    <w:rsid w:val="006B172D"/>
    <w:rsid w:val="006B1E99"/>
    <w:rsid w:val="006B2353"/>
    <w:rsid w:val="006B24AF"/>
    <w:rsid w:val="006B2CF8"/>
    <w:rsid w:val="006B6C12"/>
    <w:rsid w:val="006B78EB"/>
    <w:rsid w:val="006C0163"/>
    <w:rsid w:val="006C122A"/>
    <w:rsid w:val="006C1480"/>
    <w:rsid w:val="006C2047"/>
    <w:rsid w:val="006C2D5F"/>
    <w:rsid w:val="006C345E"/>
    <w:rsid w:val="006C4C89"/>
    <w:rsid w:val="006C5155"/>
    <w:rsid w:val="006C515C"/>
    <w:rsid w:val="006D1DBD"/>
    <w:rsid w:val="006D2D4A"/>
    <w:rsid w:val="006D4EC8"/>
    <w:rsid w:val="006D56F9"/>
    <w:rsid w:val="006D5C22"/>
    <w:rsid w:val="006D6165"/>
    <w:rsid w:val="006D6B14"/>
    <w:rsid w:val="006D7796"/>
    <w:rsid w:val="006D7826"/>
    <w:rsid w:val="006E098A"/>
    <w:rsid w:val="006E38E0"/>
    <w:rsid w:val="006E3DBA"/>
    <w:rsid w:val="006E4114"/>
    <w:rsid w:val="006E4404"/>
    <w:rsid w:val="006E44DD"/>
    <w:rsid w:val="006E481A"/>
    <w:rsid w:val="006E4963"/>
    <w:rsid w:val="006E556F"/>
    <w:rsid w:val="006E689B"/>
    <w:rsid w:val="006F0EA5"/>
    <w:rsid w:val="006F1B00"/>
    <w:rsid w:val="006F1ED4"/>
    <w:rsid w:val="006F26F5"/>
    <w:rsid w:val="006F3641"/>
    <w:rsid w:val="006F3B00"/>
    <w:rsid w:val="006F566A"/>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004"/>
    <w:rsid w:val="00727F5E"/>
    <w:rsid w:val="0073062A"/>
    <w:rsid w:val="007316CF"/>
    <w:rsid w:val="0073202E"/>
    <w:rsid w:val="0073251B"/>
    <w:rsid w:val="00733CBC"/>
    <w:rsid w:val="00733F9F"/>
    <w:rsid w:val="00734028"/>
    <w:rsid w:val="0073523F"/>
    <w:rsid w:val="00735554"/>
    <w:rsid w:val="00735AE1"/>
    <w:rsid w:val="007363E0"/>
    <w:rsid w:val="007365B3"/>
    <w:rsid w:val="00736B94"/>
    <w:rsid w:val="0073749F"/>
    <w:rsid w:val="00737E91"/>
    <w:rsid w:val="007412D2"/>
    <w:rsid w:val="007416B2"/>
    <w:rsid w:val="00742E02"/>
    <w:rsid w:val="00744545"/>
    <w:rsid w:val="00744A2A"/>
    <w:rsid w:val="007453BB"/>
    <w:rsid w:val="0074575D"/>
    <w:rsid w:val="00745BA8"/>
    <w:rsid w:val="00745EB8"/>
    <w:rsid w:val="00746AA3"/>
    <w:rsid w:val="00750623"/>
    <w:rsid w:val="007538B6"/>
    <w:rsid w:val="007549FE"/>
    <w:rsid w:val="00755FD6"/>
    <w:rsid w:val="00755FE3"/>
    <w:rsid w:val="007571B6"/>
    <w:rsid w:val="007576D9"/>
    <w:rsid w:val="00757DD8"/>
    <w:rsid w:val="00760368"/>
    <w:rsid w:val="007610C6"/>
    <w:rsid w:val="00761FE4"/>
    <w:rsid w:val="007648F8"/>
    <w:rsid w:val="007651C9"/>
    <w:rsid w:val="00766DA3"/>
    <w:rsid w:val="00766F2C"/>
    <w:rsid w:val="00767523"/>
    <w:rsid w:val="0077024F"/>
    <w:rsid w:val="0077052E"/>
    <w:rsid w:val="00771410"/>
    <w:rsid w:val="00771567"/>
    <w:rsid w:val="00771907"/>
    <w:rsid w:val="00772FCA"/>
    <w:rsid w:val="007735F9"/>
    <w:rsid w:val="00774CC7"/>
    <w:rsid w:val="00775416"/>
    <w:rsid w:val="0077553E"/>
    <w:rsid w:val="00776322"/>
    <w:rsid w:val="007765E1"/>
    <w:rsid w:val="0077705E"/>
    <w:rsid w:val="00777192"/>
    <w:rsid w:val="00777485"/>
    <w:rsid w:val="00780058"/>
    <w:rsid w:val="0078059F"/>
    <w:rsid w:val="00780981"/>
    <w:rsid w:val="00780AAF"/>
    <w:rsid w:val="0078153E"/>
    <w:rsid w:val="0078226D"/>
    <w:rsid w:val="00782CA3"/>
    <w:rsid w:val="00783186"/>
    <w:rsid w:val="007835CF"/>
    <w:rsid w:val="0078386A"/>
    <w:rsid w:val="00783E56"/>
    <w:rsid w:val="0078462A"/>
    <w:rsid w:val="00784F2B"/>
    <w:rsid w:val="00786EAE"/>
    <w:rsid w:val="00791B91"/>
    <w:rsid w:val="007926AD"/>
    <w:rsid w:val="00792F12"/>
    <w:rsid w:val="007934A2"/>
    <w:rsid w:val="00794925"/>
    <w:rsid w:val="0079565A"/>
    <w:rsid w:val="00796036"/>
    <w:rsid w:val="00796B2F"/>
    <w:rsid w:val="007A00C0"/>
    <w:rsid w:val="007A0143"/>
    <w:rsid w:val="007A04C2"/>
    <w:rsid w:val="007A06A2"/>
    <w:rsid w:val="007A0802"/>
    <w:rsid w:val="007A0D05"/>
    <w:rsid w:val="007A10B2"/>
    <w:rsid w:val="007A1F93"/>
    <w:rsid w:val="007A2222"/>
    <w:rsid w:val="007A2539"/>
    <w:rsid w:val="007A419D"/>
    <w:rsid w:val="007A4BED"/>
    <w:rsid w:val="007A55E1"/>
    <w:rsid w:val="007A5852"/>
    <w:rsid w:val="007A62F8"/>
    <w:rsid w:val="007A7022"/>
    <w:rsid w:val="007A7D82"/>
    <w:rsid w:val="007A7E13"/>
    <w:rsid w:val="007A7F34"/>
    <w:rsid w:val="007B0EBC"/>
    <w:rsid w:val="007B2441"/>
    <w:rsid w:val="007B2B2A"/>
    <w:rsid w:val="007B2CCC"/>
    <w:rsid w:val="007B2D82"/>
    <w:rsid w:val="007B5900"/>
    <w:rsid w:val="007B6E5A"/>
    <w:rsid w:val="007B74DE"/>
    <w:rsid w:val="007B78F2"/>
    <w:rsid w:val="007B7E7B"/>
    <w:rsid w:val="007C076F"/>
    <w:rsid w:val="007C15C4"/>
    <w:rsid w:val="007C20AC"/>
    <w:rsid w:val="007C26CD"/>
    <w:rsid w:val="007C2F98"/>
    <w:rsid w:val="007C35E6"/>
    <w:rsid w:val="007C3A65"/>
    <w:rsid w:val="007C3DDB"/>
    <w:rsid w:val="007C45C4"/>
    <w:rsid w:val="007C4922"/>
    <w:rsid w:val="007C4C1E"/>
    <w:rsid w:val="007C4E54"/>
    <w:rsid w:val="007C717B"/>
    <w:rsid w:val="007C7708"/>
    <w:rsid w:val="007C7ACF"/>
    <w:rsid w:val="007D00D5"/>
    <w:rsid w:val="007D0129"/>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52"/>
    <w:rsid w:val="007E1599"/>
    <w:rsid w:val="007E2032"/>
    <w:rsid w:val="007E256D"/>
    <w:rsid w:val="007E2B39"/>
    <w:rsid w:val="007E2B85"/>
    <w:rsid w:val="007E2C07"/>
    <w:rsid w:val="007E360E"/>
    <w:rsid w:val="007E5FE8"/>
    <w:rsid w:val="007E630E"/>
    <w:rsid w:val="007E6481"/>
    <w:rsid w:val="007E69EA"/>
    <w:rsid w:val="007E7ABA"/>
    <w:rsid w:val="007E7D3E"/>
    <w:rsid w:val="007F0558"/>
    <w:rsid w:val="007F096A"/>
    <w:rsid w:val="007F14F8"/>
    <w:rsid w:val="007F2519"/>
    <w:rsid w:val="007F2879"/>
    <w:rsid w:val="007F4176"/>
    <w:rsid w:val="007F6A9C"/>
    <w:rsid w:val="007F743E"/>
    <w:rsid w:val="00801330"/>
    <w:rsid w:val="00801728"/>
    <w:rsid w:val="00801BED"/>
    <w:rsid w:val="00801E66"/>
    <w:rsid w:val="00801EDE"/>
    <w:rsid w:val="0080363A"/>
    <w:rsid w:val="00804299"/>
    <w:rsid w:val="0080438B"/>
    <w:rsid w:val="008049C8"/>
    <w:rsid w:val="00805357"/>
    <w:rsid w:val="00806B74"/>
    <w:rsid w:val="008071F0"/>
    <w:rsid w:val="00810F7C"/>
    <w:rsid w:val="0081163C"/>
    <w:rsid w:val="008126FE"/>
    <w:rsid w:val="0081442A"/>
    <w:rsid w:val="00814F61"/>
    <w:rsid w:val="00815BCD"/>
    <w:rsid w:val="00815E03"/>
    <w:rsid w:val="0081662D"/>
    <w:rsid w:val="00816E83"/>
    <w:rsid w:val="0081727D"/>
    <w:rsid w:val="00821A2A"/>
    <w:rsid w:val="00821C98"/>
    <w:rsid w:val="00822409"/>
    <w:rsid w:val="008226A6"/>
    <w:rsid w:val="00823CE8"/>
    <w:rsid w:val="00823DC3"/>
    <w:rsid w:val="00824095"/>
    <w:rsid w:val="00824B36"/>
    <w:rsid w:val="00824B84"/>
    <w:rsid w:val="00824EA3"/>
    <w:rsid w:val="008252EC"/>
    <w:rsid w:val="0082596C"/>
    <w:rsid w:val="0082637A"/>
    <w:rsid w:val="00827C35"/>
    <w:rsid w:val="00827EE7"/>
    <w:rsid w:val="00830207"/>
    <w:rsid w:val="0083076F"/>
    <w:rsid w:val="00831D57"/>
    <w:rsid w:val="0083363A"/>
    <w:rsid w:val="00833859"/>
    <w:rsid w:val="00833DC1"/>
    <w:rsid w:val="008374E4"/>
    <w:rsid w:val="00840040"/>
    <w:rsid w:val="00840BC0"/>
    <w:rsid w:val="008410C2"/>
    <w:rsid w:val="00841331"/>
    <w:rsid w:val="0084136A"/>
    <w:rsid w:val="00841538"/>
    <w:rsid w:val="00842AE7"/>
    <w:rsid w:val="008436DE"/>
    <w:rsid w:val="0084443D"/>
    <w:rsid w:val="0084460B"/>
    <w:rsid w:val="008455BA"/>
    <w:rsid w:val="00846271"/>
    <w:rsid w:val="00851BB1"/>
    <w:rsid w:val="008520A3"/>
    <w:rsid w:val="008523A3"/>
    <w:rsid w:val="00852963"/>
    <w:rsid w:val="00852E2C"/>
    <w:rsid w:val="00853AD3"/>
    <w:rsid w:val="00854ABE"/>
    <w:rsid w:val="00855443"/>
    <w:rsid w:val="00855E7B"/>
    <w:rsid w:val="00855ED1"/>
    <w:rsid w:val="00856075"/>
    <w:rsid w:val="008562A6"/>
    <w:rsid w:val="00860423"/>
    <w:rsid w:val="0086050C"/>
    <w:rsid w:val="008605A8"/>
    <w:rsid w:val="00860930"/>
    <w:rsid w:val="0086097B"/>
    <w:rsid w:val="00860DAA"/>
    <w:rsid w:val="008612D1"/>
    <w:rsid w:val="00863A7D"/>
    <w:rsid w:val="00863E23"/>
    <w:rsid w:val="008661EE"/>
    <w:rsid w:val="00867151"/>
    <w:rsid w:val="00867CC9"/>
    <w:rsid w:val="0087032D"/>
    <w:rsid w:val="00870948"/>
    <w:rsid w:val="00870E09"/>
    <w:rsid w:val="008712E7"/>
    <w:rsid w:val="00872B90"/>
    <w:rsid w:val="00872C5E"/>
    <w:rsid w:val="008730EA"/>
    <w:rsid w:val="00873128"/>
    <w:rsid w:val="008739E7"/>
    <w:rsid w:val="00873E79"/>
    <w:rsid w:val="008742F6"/>
    <w:rsid w:val="00874A37"/>
    <w:rsid w:val="00875427"/>
    <w:rsid w:val="0087554F"/>
    <w:rsid w:val="008769A1"/>
    <w:rsid w:val="00876DFC"/>
    <w:rsid w:val="008773EE"/>
    <w:rsid w:val="0087762F"/>
    <w:rsid w:val="0088057E"/>
    <w:rsid w:val="00880F8F"/>
    <w:rsid w:val="008811D2"/>
    <w:rsid w:val="00882202"/>
    <w:rsid w:val="00883348"/>
    <w:rsid w:val="00884AC7"/>
    <w:rsid w:val="008870A8"/>
    <w:rsid w:val="008901D6"/>
    <w:rsid w:val="008907B8"/>
    <w:rsid w:val="00892FA1"/>
    <w:rsid w:val="008930C8"/>
    <w:rsid w:val="00893CB6"/>
    <w:rsid w:val="00893F18"/>
    <w:rsid w:val="008940F1"/>
    <w:rsid w:val="008941AA"/>
    <w:rsid w:val="00894D1E"/>
    <w:rsid w:val="0089531A"/>
    <w:rsid w:val="008956FF"/>
    <w:rsid w:val="00896568"/>
    <w:rsid w:val="0089675F"/>
    <w:rsid w:val="00896E02"/>
    <w:rsid w:val="008A1E37"/>
    <w:rsid w:val="008A3744"/>
    <w:rsid w:val="008A471A"/>
    <w:rsid w:val="008A4870"/>
    <w:rsid w:val="008A62A7"/>
    <w:rsid w:val="008A6496"/>
    <w:rsid w:val="008A6764"/>
    <w:rsid w:val="008B019F"/>
    <w:rsid w:val="008B0384"/>
    <w:rsid w:val="008B1111"/>
    <w:rsid w:val="008B306C"/>
    <w:rsid w:val="008B4F99"/>
    <w:rsid w:val="008B5048"/>
    <w:rsid w:val="008B5092"/>
    <w:rsid w:val="008B6197"/>
    <w:rsid w:val="008B66A0"/>
    <w:rsid w:val="008B6D5D"/>
    <w:rsid w:val="008C041D"/>
    <w:rsid w:val="008C1386"/>
    <w:rsid w:val="008C2B3F"/>
    <w:rsid w:val="008C2BAB"/>
    <w:rsid w:val="008C2D2A"/>
    <w:rsid w:val="008C314E"/>
    <w:rsid w:val="008C39A7"/>
    <w:rsid w:val="008C68EE"/>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990"/>
    <w:rsid w:val="008E5AA3"/>
    <w:rsid w:val="008E690E"/>
    <w:rsid w:val="008E6D42"/>
    <w:rsid w:val="008E7E4A"/>
    <w:rsid w:val="008F076B"/>
    <w:rsid w:val="008F0C39"/>
    <w:rsid w:val="008F1425"/>
    <w:rsid w:val="008F177F"/>
    <w:rsid w:val="008F44C5"/>
    <w:rsid w:val="008F544D"/>
    <w:rsid w:val="008F5FE0"/>
    <w:rsid w:val="008F632E"/>
    <w:rsid w:val="008F7B17"/>
    <w:rsid w:val="008F7C7E"/>
    <w:rsid w:val="008F7DCA"/>
    <w:rsid w:val="00900BDE"/>
    <w:rsid w:val="00901260"/>
    <w:rsid w:val="00902431"/>
    <w:rsid w:val="00905BB7"/>
    <w:rsid w:val="009061E3"/>
    <w:rsid w:val="009063A0"/>
    <w:rsid w:val="0090735A"/>
    <w:rsid w:val="00907FD4"/>
    <w:rsid w:val="0091048C"/>
    <w:rsid w:val="00910568"/>
    <w:rsid w:val="00910B69"/>
    <w:rsid w:val="00911945"/>
    <w:rsid w:val="00912221"/>
    <w:rsid w:val="00913ED3"/>
    <w:rsid w:val="009147AB"/>
    <w:rsid w:val="00916707"/>
    <w:rsid w:val="00917357"/>
    <w:rsid w:val="00917FF3"/>
    <w:rsid w:val="00921060"/>
    <w:rsid w:val="00921E0F"/>
    <w:rsid w:val="009225A7"/>
    <w:rsid w:val="00923AE8"/>
    <w:rsid w:val="00924386"/>
    <w:rsid w:val="009251F2"/>
    <w:rsid w:val="00925841"/>
    <w:rsid w:val="00925AE1"/>
    <w:rsid w:val="009267E6"/>
    <w:rsid w:val="009274FC"/>
    <w:rsid w:val="00927A82"/>
    <w:rsid w:val="00930DD9"/>
    <w:rsid w:val="00931A3F"/>
    <w:rsid w:val="00932310"/>
    <w:rsid w:val="009323D8"/>
    <w:rsid w:val="00932E63"/>
    <w:rsid w:val="00933120"/>
    <w:rsid w:val="00933617"/>
    <w:rsid w:val="00933C82"/>
    <w:rsid w:val="00933FD4"/>
    <w:rsid w:val="0093404D"/>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41DB"/>
    <w:rsid w:val="0095500F"/>
    <w:rsid w:val="00955FE0"/>
    <w:rsid w:val="0096173E"/>
    <w:rsid w:val="00961B89"/>
    <w:rsid w:val="00961C83"/>
    <w:rsid w:val="009635D3"/>
    <w:rsid w:val="00964555"/>
    <w:rsid w:val="00964933"/>
    <w:rsid w:val="0096644B"/>
    <w:rsid w:val="009679A4"/>
    <w:rsid w:val="009704B0"/>
    <w:rsid w:val="009712D9"/>
    <w:rsid w:val="009715BD"/>
    <w:rsid w:val="00971856"/>
    <w:rsid w:val="0097246E"/>
    <w:rsid w:val="00972783"/>
    <w:rsid w:val="0097334D"/>
    <w:rsid w:val="00973472"/>
    <w:rsid w:val="00973834"/>
    <w:rsid w:val="00973989"/>
    <w:rsid w:val="00973F04"/>
    <w:rsid w:val="00973F55"/>
    <w:rsid w:val="00974472"/>
    <w:rsid w:val="0097589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4D3F"/>
    <w:rsid w:val="00995088"/>
    <w:rsid w:val="00995B4B"/>
    <w:rsid w:val="00997737"/>
    <w:rsid w:val="00997B6A"/>
    <w:rsid w:val="009A1614"/>
    <w:rsid w:val="009A1964"/>
    <w:rsid w:val="009A2907"/>
    <w:rsid w:val="009A4258"/>
    <w:rsid w:val="009A5FB1"/>
    <w:rsid w:val="009A6172"/>
    <w:rsid w:val="009A7ED9"/>
    <w:rsid w:val="009B003A"/>
    <w:rsid w:val="009B0692"/>
    <w:rsid w:val="009B0B83"/>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3392"/>
    <w:rsid w:val="009C4035"/>
    <w:rsid w:val="009C40F5"/>
    <w:rsid w:val="009C4E3F"/>
    <w:rsid w:val="009C641E"/>
    <w:rsid w:val="009C7936"/>
    <w:rsid w:val="009C7BBA"/>
    <w:rsid w:val="009C7F84"/>
    <w:rsid w:val="009D0EEE"/>
    <w:rsid w:val="009D15F5"/>
    <w:rsid w:val="009D18AB"/>
    <w:rsid w:val="009D49C8"/>
    <w:rsid w:val="009D4EE3"/>
    <w:rsid w:val="009D52EB"/>
    <w:rsid w:val="009D5B90"/>
    <w:rsid w:val="009D5BBC"/>
    <w:rsid w:val="009D5D3B"/>
    <w:rsid w:val="009D660F"/>
    <w:rsid w:val="009D68CC"/>
    <w:rsid w:val="009D6DE7"/>
    <w:rsid w:val="009D7ACE"/>
    <w:rsid w:val="009E04F8"/>
    <w:rsid w:val="009E05B3"/>
    <w:rsid w:val="009E1F0F"/>
    <w:rsid w:val="009E2762"/>
    <w:rsid w:val="009E2F8A"/>
    <w:rsid w:val="009E4FD1"/>
    <w:rsid w:val="009E5A83"/>
    <w:rsid w:val="009E6356"/>
    <w:rsid w:val="009E6703"/>
    <w:rsid w:val="009E6F96"/>
    <w:rsid w:val="009E7599"/>
    <w:rsid w:val="009F14D7"/>
    <w:rsid w:val="009F27DF"/>
    <w:rsid w:val="009F32EF"/>
    <w:rsid w:val="009F3791"/>
    <w:rsid w:val="009F43F4"/>
    <w:rsid w:val="009F4992"/>
    <w:rsid w:val="009F54CF"/>
    <w:rsid w:val="009F62BF"/>
    <w:rsid w:val="009F6EE6"/>
    <w:rsid w:val="009F7515"/>
    <w:rsid w:val="009F7E1B"/>
    <w:rsid w:val="009F7F1B"/>
    <w:rsid w:val="00A001F9"/>
    <w:rsid w:val="00A0093C"/>
    <w:rsid w:val="00A00BD8"/>
    <w:rsid w:val="00A0149A"/>
    <w:rsid w:val="00A01780"/>
    <w:rsid w:val="00A01D6E"/>
    <w:rsid w:val="00A01E78"/>
    <w:rsid w:val="00A0225B"/>
    <w:rsid w:val="00A02566"/>
    <w:rsid w:val="00A02C92"/>
    <w:rsid w:val="00A03044"/>
    <w:rsid w:val="00A030DE"/>
    <w:rsid w:val="00A0318B"/>
    <w:rsid w:val="00A031F9"/>
    <w:rsid w:val="00A03464"/>
    <w:rsid w:val="00A03F3F"/>
    <w:rsid w:val="00A0413A"/>
    <w:rsid w:val="00A04C7B"/>
    <w:rsid w:val="00A06582"/>
    <w:rsid w:val="00A10858"/>
    <w:rsid w:val="00A11D98"/>
    <w:rsid w:val="00A130FA"/>
    <w:rsid w:val="00A13F9D"/>
    <w:rsid w:val="00A143D7"/>
    <w:rsid w:val="00A15706"/>
    <w:rsid w:val="00A15B34"/>
    <w:rsid w:val="00A15BC5"/>
    <w:rsid w:val="00A16E9D"/>
    <w:rsid w:val="00A177A2"/>
    <w:rsid w:val="00A17AE1"/>
    <w:rsid w:val="00A20856"/>
    <w:rsid w:val="00A21667"/>
    <w:rsid w:val="00A21C00"/>
    <w:rsid w:val="00A22501"/>
    <w:rsid w:val="00A22B29"/>
    <w:rsid w:val="00A2419A"/>
    <w:rsid w:val="00A26675"/>
    <w:rsid w:val="00A27098"/>
    <w:rsid w:val="00A30B36"/>
    <w:rsid w:val="00A30EA7"/>
    <w:rsid w:val="00A312C4"/>
    <w:rsid w:val="00A31F26"/>
    <w:rsid w:val="00A3398E"/>
    <w:rsid w:val="00A33C41"/>
    <w:rsid w:val="00A34240"/>
    <w:rsid w:val="00A34436"/>
    <w:rsid w:val="00A3515D"/>
    <w:rsid w:val="00A3581D"/>
    <w:rsid w:val="00A35E9B"/>
    <w:rsid w:val="00A3771E"/>
    <w:rsid w:val="00A37774"/>
    <w:rsid w:val="00A4081F"/>
    <w:rsid w:val="00A41071"/>
    <w:rsid w:val="00A41B23"/>
    <w:rsid w:val="00A41D2A"/>
    <w:rsid w:val="00A42E2F"/>
    <w:rsid w:val="00A43433"/>
    <w:rsid w:val="00A43691"/>
    <w:rsid w:val="00A4408A"/>
    <w:rsid w:val="00A461C6"/>
    <w:rsid w:val="00A4731B"/>
    <w:rsid w:val="00A478BF"/>
    <w:rsid w:val="00A47D5E"/>
    <w:rsid w:val="00A51F11"/>
    <w:rsid w:val="00A52C39"/>
    <w:rsid w:val="00A52CD3"/>
    <w:rsid w:val="00A53328"/>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05B"/>
    <w:rsid w:val="00A76792"/>
    <w:rsid w:val="00A76B09"/>
    <w:rsid w:val="00A76D42"/>
    <w:rsid w:val="00A7715B"/>
    <w:rsid w:val="00A80187"/>
    <w:rsid w:val="00A815DE"/>
    <w:rsid w:val="00A8169F"/>
    <w:rsid w:val="00A81ECB"/>
    <w:rsid w:val="00A8238E"/>
    <w:rsid w:val="00A823F8"/>
    <w:rsid w:val="00A82E48"/>
    <w:rsid w:val="00A830B3"/>
    <w:rsid w:val="00A84DE9"/>
    <w:rsid w:val="00A8567F"/>
    <w:rsid w:val="00A862B8"/>
    <w:rsid w:val="00A872E1"/>
    <w:rsid w:val="00A8741B"/>
    <w:rsid w:val="00A87B54"/>
    <w:rsid w:val="00A90397"/>
    <w:rsid w:val="00A903F4"/>
    <w:rsid w:val="00A90E00"/>
    <w:rsid w:val="00A91160"/>
    <w:rsid w:val="00A913EC"/>
    <w:rsid w:val="00A949FD"/>
    <w:rsid w:val="00A9695D"/>
    <w:rsid w:val="00A97E3F"/>
    <w:rsid w:val="00AA0B58"/>
    <w:rsid w:val="00AA1534"/>
    <w:rsid w:val="00AA20D7"/>
    <w:rsid w:val="00AA354F"/>
    <w:rsid w:val="00AA3906"/>
    <w:rsid w:val="00AA3B7D"/>
    <w:rsid w:val="00AA3FDA"/>
    <w:rsid w:val="00AA6040"/>
    <w:rsid w:val="00AA7847"/>
    <w:rsid w:val="00AA7ECA"/>
    <w:rsid w:val="00AB029C"/>
    <w:rsid w:val="00AB0C45"/>
    <w:rsid w:val="00AB134F"/>
    <w:rsid w:val="00AB26A0"/>
    <w:rsid w:val="00AB2F14"/>
    <w:rsid w:val="00AB32E1"/>
    <w:rsid w:val="00AB4639"/>
    <w:rsid w:val="00AB47F8"/>
    <w:rsid w:val="00AB4FFE"/>
    <w:rsid w:val="00AB5AB9"/>
    <w:rsid w:val="00AB667E"/>
    <w:rsid w:val="00AB7CCF"/>
    <w:rsid w:val="00AC0314"/>
    <w:rsid w:val="00AC2317"/>
    <w:rsid w:val="00AC2E78"/>
    <w:rsid w:val="00AC474F"/>
    <w:rsid w:val="00AC4897"/>
    <w:rsid w:val="00AC540A"/>
    <w:rsid w:val="00AC5701"/>
    <w:rsid w:val="00AC62D8"/>
    <w:rsid w:val="00AC697C"/>
    <w:rsid w:val="00AC6E5F"/>
    <w:rsid w:val="00AC6E7E"/>
    <w:rsid w:val="00AC703F"/>
    <w:rsid w:val="00AD0EB0"/>
    <w:rsid w:val="00AD1199"/>
    <w:rsid w:val="00AD1440"/>
    <w:rsid w:val="00AD14AE"/>
    <w:rsid w:val="00AD1CA1"/>
    <w:rsid w:val="00AD2223"/>
    <w:rsid w:val="00AD319A"/>
    <w:rsid w:val="00AD4866"/>
    <w:rsid w:val="00AD4A5F"/>
    <w:rsid w:val="00AD4B90"/>
    <w:rsid w:val="00AD5C1F"/>
    <w:rsid w:val="00AD6835"/>
    <w:rsid w:val="00AD7D14"/>
    <w:rsid w:val="00AE088F"/>
    <w:rsid w:val="00AE13F2"/>
    <w:rsid w:val="00AE162E"/>
    <w:rsid w:val="00AE1657"/>
    <w:rsid w:val="00AE1771"/>
    <w:rsid w:val="00AE3817"/>
    <w:rsid w:val="00AE55BB"/>
    <w:rsid w:val="00AE583E"/>
    <w:rsid w:val="00AE5861"/>
    <w:rsid w:val="00AE63D2"/>
    <w:rsid w:val="00AE7E28"/>
    <w:rsid w:val="00AF0020"/>
    <w:rsid w:val="00AF01E2"/>
    <w:rsid w:val="00AF0487"/>
    <w:rsid w:val="00AF0FEC"/>
    <w:rsid w:val="00AF2665"/>
    <w:rsid w:val="00AF4045"/>
    <w:rsid w:val="00AF42B3"/>
    <w:rsid w:val="00AF453F"/>
    <w:rsid w:val="00AF5793"/>
    <w:rsid w:val="00AF605A"/>
    <w:rsid w:val="00AF6300"/>
    <w:rsid w:val="00AF7CA6"/>
    <w:rsid w:val="00AF7DBB"/>
    <w:rsid w:val="00AF7EAF"/>
    <w:rsid w:val="00B00A38"/>
    <w:rsid w:val="00B012D9"/>
    <w:rsid w:val="00B0155C"/>
    <w:rsid w:val="00B01D47"/>
    <w:rsid w:val="00B02788"/>
    <w:rsid w:val="00B03836"/>
    <w:rsid w:val="00B03FD3"/>
    <w:rsid w:val="00B0449F"/>
    <w:rsid w:val="00B0460F"/>
    <w:rsid w:val="00B06077"/>
    <w:rsid w:val="00B104D1"/>
    <w:rsid w:val="00B114C3"/>
    <w:rsid w:val="00B11764"/>
    <w:rsid w:val="00B1209C"/>
    <w:rsid w:val="00B120AF"/>
    <w:rsid w:val="00B12649"/>
    <w:rsid w:val="00B12E23"/>
    <w:rsid w:val="00B13485"/>
    <w:rsid w:val="00B16140"/>
    <w:rsid w:val="00B167B1"/>
    <w:rsid w:val="00B16A54"/>
    <w:rsid w:val="00B17620"/>
    <w:rsid w:val="00B1789D"/>
    <w:rsid w:val="00B178D1"/>
    <w:rsid w:val="00B20273"/>
    <w:rsid w:val="00B20C5C"/>
    <w:rsid w:val="00B2336F"/>
    <w:rsid w:val="00B245A6"/>
    <w:rsid w:val="00B250F8"/>
    <w:rsid w:val="00B251B6"/>
    <w:rsid w:val="00B252A3"/>
    <w:rsid w:val="00B252BC"/>
    <w:rsid w:val="00B267F1"/>
    <w:rsid w:val="00B26895"/>
    <w:rsid w:val="00B26AA6"/>
    <w:rsid w:val="00B26FBE"/>
    <w:rsid w:val="00B271A4"/>
    <w:rsid w:val="00B27AA1"/>
    <w:rsid w:val="00B27C58"/>
    <w:rsid w:val="00B30AC3"/>
    <w:rsid w:val="00B312E1"/>
    <w:rsid w:val="00B32E9A"/>
    <w:rsid w:val="00B34E0D"/>
    <w:rsid w:val="00B36ABC"/>
    <w:rsid w:val="00B4041C"/>
    <w:rsid w:val="00B405A8"/>
    <w:rsid w:val="00B41023"/>
    <w:rsid w:val="00B45105"/>
    <w:rsid w:val="00B466A8"/>
    <w:rsid w:val="00B46C3D"/>
    <w:rsid w:val="00B50019"/>
    <w:rsid w:val="00B50A48"/>
    <w:rsid w:val="00B5105C"/>
    <w:rsid w:val="00B539A2"/>
    <w:rsid w:val="00B53A88"/>
    <w:rsid w:val="00B54430"/>
    <w:rsid w:val="00B54E0F"/>
    <w:rsid w:val="00B55576"/>
    <w:rsid w:val="00B559F2"/>
    <w:rsid w:val="00B56656"/>
    <w:rsid w:val="00B567B9"/>
    <w:rsid w:val="00B57F6F"/>
    <w:rsid w:val="00B6047B"/>
    <w:rsid w:val="00B63322"/>
    <w:rsid w:val="00B63466"/>
    <w:rsid w:val="00B639F2"/>
    <w:rsid w:val="00B65050"/>
    <w:rsid w:val="00B66518"/>
    <w:rsid w:val="00B669F9"/>
    <w:rsid w:val="00B6710A"/>
    <w:rsid w:val="00B702EF"/>
    <w:rsid w:val="00B704A1"/>
    <w:rsid w:val="00B71F95"/>
    <w:rsid w:val="00B71FC1"/>
    <w:rsid w:val="00B72251"/>
    <w:rsid w:val="00B762F9"/>
    <w:rsid w:val="00B765B5"/>
    <w:rsid w:val="00B766F6"/>
    <w:rsid w:val="00B76F4A"/>
    <w:rsid w:val="00B77CD7"/>
    <w:rsid w:val="00B801CA"/>
    <w:rsid w:val="00B81084"/>
    <w:rsid w:val="00B814E7"/>
    <w:rsid w:val="00B8173B"/>
    <w:rsid w:val="00B81F51"/>
    <w:rsid w:val="00B8497A"/>
    <w:rsid w:val="00B85F47"/>
    <w:rsid w:val="00B85FC1"/>
    <w:rsid w:val="00B86BBC"/>
    <w:rsid w:val="00B87FFC"/>
    <w:rsid w:val="00B9060D"/>
    <w:rsid w:val="00B915CF"/>
    <w:rsid w:val="00B91A31"/>
    <w:rsid w:val="00B92B8C"/>
    <w:rsid w:val="00B941C7"/>
    <w:rsid w:val="00B9615F"/>
    <w:rsid w:val="00B96641"/>
    <w:rsid w:val="00B97CD9"/>
    <w:rsid w:val="00BA08AE"/>
    <w:rsid w:val="00BA08D3"/>
    <w:rsid w:val="00BA20E3"/>
    <w:rsid w:val="00BA2AB1"/>
    <w:rsid w:val="00BA36DE"/>
    <w:rsid w:val="00BA4966"/>
    <w:rsid w:val="00BA4F92"/>
    <w:rsid w:val="00BA57CA"/>
    <w:rsid w:val="00BA6333"/>
    <w:rsid w:val="00BA64A5"/>
    <w:rsid w:val="00BA68FC"/>
    <w:rsid w:val="00BA6D37"/>
    <w:rsid w:val="00BA6F56"/>
    <w:rsid w:val="00BA73DD"/>
    <w:rsid w:val="00BA74C5"/>
    <w:rsid w:val="00BA76E6"/>
    <w:rsid w:val="00BA7D7F"/>
    <w:rsid w:val="00BB0B04"/>
    <w:rsid w:val="00BB0EEC"/>
    <w:rsid w:val="00BB1A5E"/>
    <w:rsid w:val="00BB23CE"/>
    <w:rsid w:val="00BB28D7"/>
    <w:rsid w:val="00BB3951"/>
    <w:rsid w:val="00BB3EE0"/>
    <w:rsid w:val="00BB51E4"/>
    <w:rsid w:val="00BB5A1A"/>
    <w:rsid w:val="00BC0800"/>
    <w:rsid w:val="00BC0E29"/>
    <w:rsid w:val="00BC1543"/>
    <w:rsid w:val="00BC33DD"/>
    <w:rsid w:val="00BC3C81"/>
    <w:rsid w:val="00BC4370"/>
    <w:rsid w:val="00BC43B6"/>
    <w:rsid w:val="00BC461A"/>
    <w:rsid w:val="00BC4EEC"/>
    <w:rsid w:val="00BC50A0"/>
    <w:rsid w:val="00BC648E"/>
    <w:rsid w:val="00BC7035"/>
    <w:rsid w:val="00BC7317"/>
    <w:rsid w:val="00BC73FE"/>
    <w:rsid w:val="00BD3266"/>
    <w:rsid w:val="00BD336A"/>
    <w:rsid w:val="00BD42E0"/>
    <w:rsid w:val="00BD4DC5"/>
    <w:rsid w:val="00BD54F3"/>
    <w:rsid w:val="00BD55D6"/>
    <w:rsid w:val="00BD5BDA"/>
    <w:rsid w:val="00BE021D"/>
    <w:rsid w:val="00BE0521"/>
    <w:rsid w:val="00BE0D5E"/>
    <w:rsid w:val="00BE21D2"/>
    <w:rsid w:val="00BE2CEE"/>
    <w:rsid w:val="00BE2E00"/>
    <w:rsid w:val="00BE4194"/>
    <w:rsid w:val="00BE450A"/>
    <w:rsid w:val="00BE4AE8"/>
    <w:rsid w:val="00BE4B4A"/>
    <w:rsid w:val="00BE60FA"/>
    <w:rsid w:val="00BE6240"/>
    <w:rsid w:val="00BE7D79"/>
    <w:rsid w:val="00BF093E"/>
    <w:rsid w:val="00BF0A65"/>
    <w:rsid w:val="00BF14BA"/>
    <w:rsid w:val="00BF2586"/>
    <w:rsid w:val="00BF384D"/>
    <w:rsid w:val="00BF3C25"/>
    <w:rsid w:val="00BF3E52"/>
    <w:rsid w:val="00BF446D"/>
    <w:rsid w:val="00BF452C"/>
    <w:rsid w:val="00BF45AC"/>
    <w:rsid w:val="00BF48FA"/>
    <w:rsid w:val="00BF5213"/>
    <w:rsid w:val="00BF5542"/>
    <w:rsid w:val="00BF6500"/>
    <w:rsid w:val="00BF67B0"/>
    <w:rsid w:val="00BF6C9F"/>
    <w:rsid w:val="00BF7389"/>
    <w:rsid w:val="00C00074"/>
    <w:rsid w:val="00C007F8"/>
    <w:rsid w:val="00C00B48"/>
    <w:rsid w:val="00C00FAF"/>
    <w:rsid w:val="00C0131E"/>
    <w:rsid w:val="00C01B46"/>
    <w:rsid w:val="00C01BF9"/>
    <w:rsid w:val="00C03DA9"/>
    <w:rsid w:val="00C06623"/>
    <w:rsid w:val="00C066E7"/>
    <w:rsid w:val="00C06BB9"/>
    <w:rsid w:val="00C06BDB"/>
    <w:rsid w:val="00C0704A"/>
    <w:rsid w:val="00C10094"/>
    <w:rsid w:val="00C108A7"/>
    <w:rsid w:val="00C118AF"/>
    <w:rsid w:val="00C140D7"/>
    <w:rsid w:val="00C144A1"/>
    <w:rsid w:val="00C15145"/>
    <w:rsid w:val="00C15635"/>
    <w:rsid w:val="00C1657C"/>
    <w:rsid w:val="00C20A01"/>
    <w:rsid w:val="00C214AE"/>
    <w:rsid w:val="00C2187E"/>
    <w:rsid w:val="00C21AC8"/>
    <w:rsid w:val="00C2207E"/>
    <w:rsid w:val="00C225DD"/>
    <w:rsid w:val="00C22908"/>
    <w:rsid w:val="00C22CA8"/>
    <w:rsid w:val="00C23259"/>
    <w:rsid w:val="00C23A8C"/>
    <w:rsid w:val="00C25D64"/>
    <w:rsid w:val="00C27618"/>
    <w:rsid w:val="00C3015C"/>
    <w:rsid w:val="00C3020F"/>
    <w:rsid w:val="00C30387"/>
    <w:rsid w:val="00C309BD"/>
    <w:rsid w:val="00C30CC4"/>
    <w:rsid w:val="00C31680"/>
    <w:rsid w:val="00C31F9D"/>
    <w:rsid w:val="00C31F9E"/>
    <w:rsid w:val="00C3398A"/>
    <w:rsid w:val="00C3413F"/>
    <w:rsid w:val="00C34383"/>
    <w:rsid w:val="00C349FC"/>
    <w:rsid w:val="00C35931"/>
    <w:rsid w:val="00C35943"/>
    <w:rsid w:val="00C36BE8"/>
    <w:rsid w:val="00C36FC3"/>
    <w:rsid w:val="00C37014"/>
    <w:rsid w:val="00C4031A"/>
    <w:rsid w:val="00C4048B"/>
    <w:rsid w:val="00C41553"/>
    <w:rsid w:val="00C41FA7"/>
    <w:rsid w:val="00C42D50"/>
    <w:rsid w:val="00C4334B"/>
    <w:rsid w:val="00C435DF"/>
    <w:rsid w:val="00C43691"/>
    <w:rsid w:val="00C44BD4"/>
    <w:rsid w:val="00C45AF2"/>
    <w:rsid w:val="00C45FE2"/>
    <w:rsid w:val="00C47BD9"/>
    <w:rsid w:val="00C51011"/>
    <w:rsid w:val="00C516CB"/>
    <w:rsid w:val="00C51F81"/>
    <w:rsid w:val="00C55D17"/>
    <w:rsid w:val="00C56302"/>
    <w:rsid w:val="00C57AC5"/>
    <w:rsid w:val="00C57C56"/>
    <w:rsid w:val="00C57E72"/>
    <w:rsid w:val="00C66394"/>
    <w:rsid w:val="00C67990"/>
    <w:rsid w:val="00C67AE7"/>
    <w:rsid w:val="00C67E21"/>
    <w:rsid w:val="00C70134"/>
    <w:rsid w:val="00C70BF8"/>
    <w:rsid w:val="00C724A5"/>
    <w:rsid w:val="00C730ED"/>
    <w:rsid w:val="00C734CA"/>
    <w:rsid w:val="00C73819"/>
    <w:rsid w:val="00C73969"/>
    <w:rsid w:val="00C74876"/>
    <w:rsid w:val="00C76758"/>
    <w:rsid w:val="00C76A85"/>
    <w:rsid w:val="00C77092"/>
    <w:rsid w:val="00C77BC5"/>
    <w:rsid w:val="00C8013E"/>
    <w:rsid w:val="00C801F7"/>
    <w:rsid w:val="00C830CF"/>
    <w:rsid w:val="00C840D0"/>
    <w:rsid w:val="00C845B5"/>
    <w:rsid w:val="00C84726"/>
    <w:rsid w:val="00C853BD"/>
    <w:rsid w:val="00C8673B"/>
    <w:rsid w:val="00C86B06"/>
    <w:rsid w:val="00C86EC3"/>
    <w:rsid w:val="00C872EB"/>
    <w:rsid w:val="00C9209F"/>
    <w:rsid w:val="00C92918"/>
    <w:rsid w:val="00C92D92"/>
    <w:rsid w:val="00C94C27"/>
    <w:rsid w:val="00C95C2F"/>
    <w:rsid w:val="00C95C91"/>
    <w:rsid w:val="00C95CDA"/>
    <w:rsid w:val="00C95E10"/>
    <w:rsid w:val="00C961F7"/>
    <w:rsid w:val="00C96310"/>
    <w:rsid w:val="00C96AA1"/>
    <w:rsid w:val="00C96B0A"/>
    <w:rsid w:val="00C96EBF"/>
    <w:rsid w:val="00C96EFA"/>
    <w:rsid w:val="00C97977"/>
    <w:rsid w:val="00C97CB4"/>
    <w:rsid w:val="00CA0384"/>
    <w:rsid w:val="00CA344C"/>
    <w:rsid w:val="00CA3A8D"/>
    <w:rsid w:val="00CA464A"/>
    <w:rsid w:val="00CA4650"/>
    <w:rsid w:val="00CA4C06"/>
    <w:rsid w:val="00CA685A"/>
    <w:rsid w:val="00CA70C6"/>
    <w:rsid w:val="00CA7556"/>
    <w:rsid w:val="00CA7958"/>
    <w:rsid w:val="00CB0C8B"/>
    <w:rsid w:val="00CB1585"/>
    <w:rsid w:val="00CB2837"/>
    <w:rsid w:val="00CB3AFF"/>
    <w:rsid w:val="00CB45C3"/>
    <w:rsid w:val="00CB54B6"/>
    <w:rsid w:val="00CB6498"/>
    <w:rsid w:val="00CB666B"/>
    <w:rsid w:val="00CB7605"/>
    <w:rsid w:val="00CC023B"/>
    <w:rsid w:val="00CC064D"/>
    <w:rsid w:val="00CC1132"/>
    <w:rsid w:val="00CC1B05"/>
    <w:rsid w:val="00CC329F"/>
    <w:rsid w:val="00CC3758"/>
    <w:rsid w:val="00CC4EDC"/>
    <w:rsid w:val="00CC572B"/>
    <w:rsid w:val="00CC6581"/>
    <w:rsid w:val="00CC69B3"/>
    <w:rsid w:val="00CD0032"/>
    <w:rsid w:val="00CD0E59"/>
    <w:rsid w:val="00CD1DCB"/>
    <w:rsid w:val="00CD2028"/>
    <w:rsid w:val="00CD24EF"/>
    <w:rsid w:val="00CD27C6"/>
    <w:rsid w:val="00CD30D4"/>
    <w:rsid w:val="00CD336A"/>
    <w:rsid w:val="00CD4AC8"/>
    <w:rsid w:val="00CD4B48"/>
    <w:rsid w:val="00CD4D14"/>
    <w:rsid w:val="00CD5017"/>
    <w:rsid w:val="00CD59C5"/>
    <w:rsid w:val="00CD7D1B"/>
    <w:rsid w:val="00CE05CA"/>
    <w:rsid w:val="00CE0693"/>
    <w:rsid w:val="00CE0FC2"/>
    <w:rsid w:val="00CE131A"/>
    <w:rsid w:val="00CE172D"/>
    <w:rsid w:val="00CE2326"/>
    <w:rsid w:val="00CE278B"/>
    <w:rsid w:val="00CE2F62"/>
    <w:rsid w:val="00CE44E3"/>
    <w:rsid w:val="00CE4566"/>
    <w:rsid w:val="00CE5540"/>
    <w:rsid w:val="00CE5766"/>
    <w:rsid w:val="00CE57A9"/>
    <w:rsid w:val="00CE5A43"/>
    <w:rsid w:val="00CE6119"/>
    <w:rsid w:val="00CE7AC7"/>
    <w:rsid w:val="00CE7C65"/>
    <w:rsid w:val="00CF005A"/>
    <w:rsid w:val="00CF0060"/>
    <w:rsid w:val="00CF25C2"/>
    <w:rsid w:val="00CF3611"/>
    <w:rsid w:val="00CF36EF"/>
    <w:rsid w:val="00CF3711"/>
    <w:rsid w:val="00CF395E"/>
    <w:rsid w:val="00CF5537"/>
    <w:rsid w:val="00CF5872"/>
    <w:rsid w:val="00CF60EB"/>
    <w:rsid w:val="00CF6180"/>
    <w:rsid w:val="00CF6281"/>
    <w:rsid w:val="00CF6D09"/>
    <w:rsid w:val="00D02738"/>
    <w:rsid w:val="00D03CD9"/>
    <w:rsid w:val="00D049F6"/>
    <w:rsid w:val="00D05636"/>
    <w:rsid w:val="00D05A4B"/>
    <w:rsid w:val="00D063E2"/>
    <w:rsid w:val="00D06532"/>
    <w:rsid w:val="00D06C60"/>
    <w:rsid w:val="00D06DFA"/>
    <w:rsid w:val="00D10017"/>
    <w:rsid w:val="00D10D8C"/>
    <w:rsid w:val="00D11E29"/>
    <w:rsid w:val="00D12543"/>
    <w:rsid w:val="00D12DFD"/>
    <w:rsid w:val="00D1426E"/>
    <w:rsid w:val="00D15BFE"/>
    <w:rsid w:val="00D15C55"/>
    <w:rsid w:val="00D17C45"/>
    <w:rsid w:val="00D20C36"/>
    <w:rsid w:val="00D21033"/>
    <w:rsid w:val="00D21AB0"/>
    <w:rsid w:val="00D21F2D"/>
    <w:rsid w:val="00D220A9"/>
    <w:rsid w:val="00D22A9C"/>
    <w:rsid w:val="00D237D5"/>
    <w:rsid w:val="00D23A23"/>
    <w:rsid w:val="00D253FE"/>
    <w:rsid w:val="00D25C10"/>
    <w:rsid w:val="00D26938"/>
    <w:rsid w:val="00D26B15"/>
    <w:rsid w:val="00D26B61"/>
    <w:rsid w:val="00D274B5"/>
    <w:rsid w:val="00D277C0"/>
    <w:rsid w:val="00D30138"/>
    <w:rsid w:val="00D301A3"/>
    <w:rsid w:val="00D30672"/>
    <w:rsid w:val="00D3095C"/>
    <w:rsid w:val="00D314EB"/>
    <w:rsid w:val="00D3199E"/>
    <w:rsid w:val="00D31FA9"/>
    <w:rsid w:val="00D32662"/>
    <w:rsid w:val="00D329CE"/>
    <w:rsid w:val="00D3639B"/>
    <w:rsid w:val="00D369EE"/>
    <w:rsid w:val="00D36F28"/>
    <w:rsid w:val="00D37FEB"/>
    <w:rsid w:val="00D40261"/>
    <w:rsid w:val="00D40968"/>
    <w:rsid w:val="00D412F0"/>
    <w:rsid w:val="00D414BA"/>
    <w:rsid w:val="00D41BE5"/>
    <w:rsid w:val="00D42885"/>
    <w:rsid w:val="00D42971"/>
    <w:rsid w:val="00D42A9F"/>
    <w:rsid w:val="00D44422"/>
    <w:rsid w:val="00D45FA0"/>
    <w:rsid w:val="00D47610"/>
    <w:rsid w:val="00D507C8"/>
    <w:rsid w:val="00D50E0D"/>
    <w:rsid w:val="00D515F8"/>
    <w:rsid w:val="00D5194B"/>
    <w:rsid w:val="00D51F3C"/>
    <w:rsid w:val="00D52537"/>
    <w:rsid w:val="00D52D22"/>
    <w:rsid w:val="00D52D49"/>
    <w:rsid w:val="00D53475"/>
    <w:rsid w:val="00D53803"/>
    <w:rsid w:val="00D5399E"/>
    <w:rsid w:val="00D5491B"/>
    <w:rsid w:val="00D54B7D"/>
    <w:rsid w:val="00D54CFD"/>
    <w:rsid w:val="00D54E6C"/>
    <w:rsid w:val="00D55447"/>
    <w:rsid w:val="00D55777"/>
    <w:rsid w:val="00D557DD"/>
    <w:rsid w:val="00D55A0A"/>
    <w:rsid w:val="00D56CC7"/>
    <w:rsid w:val="00D5767B"/>
    <w:rsid w:val="00D57A0B"/>
    <w:rsid w:val="00D60DDE"/>
    <w:rsid w:val="00D61712"/>
    <w:rsid w:val="00D61F0D"/>
    <w:rsid w:val="00D6260D"/>
    <w:rsid w:val="00D633D6"/>
    <w:rsid w:val="00D63D28"/>
    <w:rsid w:val="00D63F8D"/>
    <w:rsid w:val="00D658CC"/>
    <w:rsid w:val="00D65DB7"/>
    <w:rsid w:val="00D664B2"/>
    <w:rsid w:val="00D66854"/>
    <w:rsid w:val="00D6722E"/>
    <w:rsid w:val="00D6747C"/>
    <w:rsid w:val="00D67787"/>
    <w:rsid w:val="00D70B4F"/>
    <w:rsid w:val="00D72C42"/>
    <w:rsid w:val="00D746BC"/>
    <w:rsid w:val="00D75B51"/>
    <w:rsid w:val="00D75CEA"/>
    <w:rsid w:val="00D76037"/>
    <w:rsid w:val="00D76FE1"/>
    <w:rsid w:val="00D77104"/>
    <w:rsid w:val="00D803C6"/>
    <w:rsid w:val="00D814C9"/>
    <w:rsid w:val="00D82F0B"/>
    <w:rsid w:val="00D83049"/>
    <w:rsid w:val="00D83962"/>
    <w:rsid w:val="00D83ED9"/>
    <w:rsid w:val="00D842AB"/>
    <w:rsid w:val="00D842C1"/>
    <w:rsid w:val="00D842E5"/>
    <w:rsid w:val="00D842EA"/>
    <w:rsid w:val="00D84FB3"/>
    <w:rsid w:val="00D86ADF"/>
    <w:rsid w:val="00D86C16"/>
    <w:rsid w:val="00D87E15"/>
    <w:rsid w:val="00D914A3"/>
    <w:rsid w:val="00D9228B"/>
    <w:rsid w:val="00D92474"/>
    <w:rsid w:val="00D930FC"/>
    <w:rsid w:val="00D93974"/>
    <w:rsid w:val="00D940C3"/>
    <w:rsid w:val="00D94BE7"/>
    <w:rsid w:val="00D951ED"/>
    <w:rsid w:val="00D953B9"/>
    <w:rsid w:val="00D957C6"/>
    <w:rsid w:val="00D958A2"/>
    <w:rsid w:val="00D964B6"/>
    <w:rsid w:val="00D9724C"/>
    <w:rsid w:val="00D97340"/>
    <w:rsid w:val="00DA335A"/>
    <w:rsid w:val="00DA3F00"/>
    <w:rsid w:val="00DA4365"/>
    <w:rsid w:val="00DA4F17"/>
    <w:rsid w:val="00DA545A"/>
    <w:rsid w:val="00DA5D90"/>
    <w:rsid w:val="00DA6530"/>
    <w:rsid w:val="00DA71CA"/>
    <w:rsid w:val="00DA7867"/>
    <w:rsid w:val="00DB1BA8"/>
    <w:rsid w:val="00DB2180"/>
    <w:rsid w:val="00DB259F"/>
    <w:rsid w:val="00DB3B4A"/>
    <w:rsid w:val="00DB3F09"/>
    <w:rsid w:val="00DB4A37"/>
    <w:rsid w:val="00DB560D"/>
    <w:rsid w:val="00DB57A9"/>
    <w:rsid w:val="00DB5CC7"/>
    <w:rsid w:val="00DB6FA2"/>
    <w:rsid w:val="00DB7557"/>
    <w:rsid w:val="00DC19AC"/>
    <w:rsid w:val="00DC27A8"/>
    <w:rsid w:val="00DC2B2C"/>
    <w:rsid w:val="00DC3420"/>
    <w:rsid w:val="00DC44E9"/>
    <w:rsid w:val="00DC4597"/>
    <w:rsid w:val="00DC5138"/>
    <w:rsid w:val="00DC5367"/>
    <w:rsid w:val="00DC70B8"/>
    <w:rsid w:val="00DC764C"/>
    <w:rsid w:val="00DC7CE5"/>
    <w:rsid w:val="00DD0353"/>
    <w:rsid w:val="00DD062A"/>
    <w:rsid w:val="00DD0CE9"/>
    <w:rsid w:val="00DD156E"/>
    <w:rsid w:val="00DD1E6D"/>
    <w:rsid w:val="00DD2FE1"/>
    <w:rsid w:val="00DD476D"/>
    <w:rsid w:val="00DD4802"/>
    <w:rsid w:val="00DD489D"/>
    <w:rsid w:val="00DD634A"/>
    <w:rsid w:val="00DD671E"/>
    <w:rsid w:val="00DD6CC4"/>
    <w:rsid w:val="00DD7720"/>
    <w:rsid w:val="00DE330C"/>
    <w:rsid w:val="00DE336D"/>
    <w:rsid w:val="00DE41C8"/>
    <w:rsid w:val="00DE453D"/>
    <w:rsid w:val="00DE5095"/>
    <w:rsid w:val="00DE51D5"/>
    <w:rsid w:val="00DE531F"/>
    <w:rsid w:val="00DE5622"/>
    <w:rsid w:val="00DF0AC9"/>
    <w:rsid w:val="00DF1429"/>
    <w:rsid w:val="00DF1B24"/>
    <w:rsid w:val="00DF1CB5"/>
    <w:rsid w:val="00DF2F9F"/>
    <w:rsid w:val="00DF3F81"/>
    <w:rsid w:val="00DF48B8"/>
    <w:rsid w:val="00DF5120"/>
    <w:rsid w:val="00DF54C1"/>
    <w:rsid w:val="00DF63BF"/>
    <w:rsid w:val="00DF6737"/>
    <w:rsid w:val="00E0061D"/>
    <w:rsid w:val="00E00747"/>
    <w:rsid w:val="00E0100A"/>
    <w:rsid w:val="00E018B1"/>
    <w:rsid w:val="00E03AD4"/>
    <w:rsid w:val="00E03AE6"/>
    <w:rsid w:val="00E045FD"/>
    <w:rsid w:val="00E05611"/>
    <w:rsid w:val="00E062AB"/>
    <w:rsid w:val="00E06C80"/>
    <w:rsid w:val="00E06D2C"/>
    <w:rsid w:val="00E07326"/>
    <w:rsid w:val="00E1056D"/>
    <w:rsid w:val="00E11DDE"/>
    <w:rsid w:val="00E145DD"/>
    <w:rsid w:val="00E14F1F"/>
    <w:rsid w:val="00E150C3"/>
    <w:rsid w:val="00E16D51"/>
    <w:rsid w:val="00E17220"/>
    <w:rsid w:val="00E17393"/>
    <w:rsid w:val="00E174A2"/>
    <w:rsid w:val="00E209C2"/>
    <w:rsid w:val="00E20F32"/>
    <w:rsid w:val="00E20F9C"/>
    <w:rsid w:val="00E21938"/>
    <w:rsid w:val="00E21B0A"/>
    <w:rsid w:val="00E21F8A"/>
    <w:rsid w:val="00E2255F"/>
    <w:rsid w:val="00E2289D"/>
    <w:rsid w:val="00E228A2"/>
    <w:rsid w:val="00E2452D"/>
    <w:rsid w:val="00E24A73"/>
    <w:rsid w:val="00E24C31"/>
    <w:rsid w:val="00E25E2F"/>
    <w:rsid w:val="00E26F0A"/>
    <w:rsid w:val="00E30FF9"/>
    <w:rsid w:val="00E31655"/>
    <w:rsid w:val="00E327F0"/>
    <w:rsid w:val="00E32CA5"/>
    <w:rsid w:val="00E332C9"/>
    <w:rsid w:val="00E3382F"/>
    <w:rsid w:val="00E33A05"/>
    <w:rsid w:val="00E33F7D"/>
    <w:rsid w:val="00E34E7D"/>
    <w:rsid w:val="00E35779"/>
    <w:rsid w:val="00E368EB"/>
    <w:rsid w:val="00E40A8F"/>
    <w:rsid w:val="00E40DBC"/>
    <w:rsid w:val="00E41C84"/>
    <w:rsid w:val="00E421CB"/>
    <w:rsid w:val="00E4232B"/>
    <w:rsid w:val="00E44104"/>
    <w:rsid w:val="00E44595"/>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55C7"/>
    <w:rsid w:val="00E55C74"/>
    <w:rsid w:val="00E5676A"/>
    <w:rsid w:val="00E56A93"/>
    <w:rsid w:val="00E56B82"/>
    <w:rsid w:val="00E60906"/>
    <w:rsid w:val="00E6104C"/>
    <w:rsid w:val="00E610B8"/>
    <w:rsid w:val="00E6137E"/>
    <w:rsid w:val="00E615A9"/>
    <w:rsid w:val="00E62E56"/>
    <w:rsid w:val="00E637ED"/>
    <w:rsid w:val="00E638E5"/>
    <w:rsid w:val="00E63AF8"/>
    <w:rsid w:val="00E658D5"/>
    <w:rsid w:val="00E659D9"/>
    <w:rsid w:val="00E65DC2"/>
    <w:rsid w:val="00E66399"/>
    <w:rsid w:val="00E67EF2"/>
    <w:rsid w:val="00E70253"/>
    <w:rsid w:val="00E704EA"/>
    <w:rsid w:val="00E70EFE"/>
    <w:rsid w:val="00E71420"/>
    <w:rsid w:val="00E71506"/>
    <w:rsid w:val="00E734B8"/>
    <w:rsid w:val="00E755BA"/>
    <w:rsid w:val="00E7592A"/>
    <w:rsid w:val="00E75F29"/>
    <w:rsid w:val="00E76F0C"/>
    <w:rsid w:val="00E776CB"/>
    <w:rsid w:val="00E8014D"/>
    <w:rsid w:val="00E8153F"/>
    <w:rsid w:val="00E820C1"/>
    <w:rsid w:val="00E82A38"/>
    <w:rsid w:val="00E83C4E"/>
    <w:rsid w:val="00E8487C"/>
    <w:rsid w:val="00E84B6E"/>
    <w:rsid w:val="00E84F5F"/>
    <w:rsid w:val="00E866C7"/>
    <w:rsid w:val="00E86A4D"/>
    <w:rsid w:val="00E86B6F"/>
    <w:rsid w:val="00E91183"/>
    <w:rsid w:val="00E929A4"/>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5C73"/>
    <w:rsid w:val="00EA616C"/>
    <w:rsid w:val="00EA718B"/>
    <w:rsid w:val="00EA720A"/>
    <w:rsid w:val="00EB0899"/>
    <w:rsid w:val="00EB0BDC"/>
    <w:rsid w:val="00EB0C3E"/>
    <w:rsid w:val="00EB3E7B"/>
    <w:rsid w:val="00EB440A"/>
    <w:rsid w:val="00EB5241"/>
    <w:rsid w:val="00EB5562"/>
    <w:rsid w:val="00EB5744"/>
    <w:rsid w:val="00EC0E62"/>
    <w:rsid w:val="00EC2686"/>
    <w:rsid w:val="00EC27AA"/>
    <w:rsid w:val="00EC388B"/>
    <w:rsid w:val="00EC38F7"/>
    <w:rsid w:val="00EC69AF"/>
    <w:rsid w:val="00EC7C90"/>
    <w:rsid w:val="00ED1A03"/>
    <w:rsid w:val="00ED2706"/>
    <w:rsid w:val="00ED3AFA"/>
    <w:rsid w:val="00ED4EAE"/>
    <w:rsid w:val="00ED60AE"/>
    <w:rsid w:val="00ED6ACD"/>
    <w:rsid w:val="00ED71CB"/>
    <w:rsid w:val="00ED7752"/>
    <w:rsid w:val="00ED7AE6"/>
    <w:rsid w:val="00EE002D"/>
    <w:rsid w:val="00EE108B"/>
    <w:rsid w:val="00EE19B2"/>
    <w:rsid w:val="00EE23C2"/>
    <w:rsid w:val="00EE36F2"/>
    <w:rsid w:val="00EE3728"/>
    <w:rsid w:val="00EE4258"/>
    <w:rsid w:val="00EE4AF0"/>
    <w:rsid w:val="00EE5330"/>
    <w:rsid w:val="00EE57B4"/>
    <w:rsid w:val="00EE6C0D"/>
    <w:rsid w:val="00EE7181"/>
    <w:rsid w:val="00EF015C"/>
    <w:rsid w:val="00EF0EF8"/>
    <w:rsid w:val="00EF0F93"/>
    <w:rsid w:val="00EF136D"/>
    <w:rsid w:val="00EF1A78"/>
    <w:rsid w:val="00EF1CA9"/>
    <w:rsid w:val="00EF2042"/>
    <w:rsid w:val="00EF5BFD"/>
    <w:rsid w:val="00F00B3D"/>
    <w:rsid w:val="00F00BBE"/>
    <w:rsid w:val="00F0286D"/>
    <w:rsid w:val="00F028F6"/>
    <w:rsid w:val="00F02EF1"/>
    <w:rsid w:val="00F032D6"/>
    <w:rsid w:val="00F04673"/>
    <w:rsid w:val="00F04AEC"/>
    <w:rsid w:val="00F07A54"/>
    <w:rsid w:val="00F11353"/>
    <w:rsid w:val="00F12240"/>
    <w:rsid w:val="00F127C5"/>
    <w:rsid w:val="00F1473C"/>
    <w:rsid w:val="00F1487C"/>
    <w:rsid w:val="00F15B17"/>
    <w:rsid w:val="00F15C5C"/>
    <w:rsid w:val="00F16031"/>
    <w:rsid w:val="00F16723"/>
    <w:rsid w:val="00F16F2E"/>
    <w:rsid w:val="00F170CF"/>
    <w:rsid w:val="00F210C5"/>
    <w:rsid w:val="00F21275"/>
    <w:rsid w:val="00F215D1"/>
    <w:rsid w:val="00F21A53"/>
    <w:rsid w:val="00F22B89"/>
    <w:rsid w:val="00F24B5F"/>
    <w:rsid w:val="00F2545D"/>
    <w:rsid w:val="00F25CC0"/>
    <w:rsid w:val="00F260CB"/>
    <w:rsid w:val="00F26A5B"/>
    <w:rsid w:val="00F301CD"/>
    <w:rsid w:val="00F302B7"/>
    <w:rsid w:val="00F31BE8"/>
    <w:rsid w:val="00F324F2"/>
    <w:rsid w:val="00F36903"/>
    <w:rsid w:val="00F37EE1"/>
    <w:rsid w:val="00F4114F"/>
    <w:rsid w:val="00F41AE8"/>
    <w:rsid w:val="00F41EF3"/>
    <w:rsid w:val="00F42482"/>
    <w:rsid w:val="00F42D2B"/>
    <w:rsid w:val="00F43390"/>
    <w:rsid w:val="00F43BB6"/>
    <w:rsid w:val="00F44200"/>
    <w:rsid w:val="00F44ADB"/>
    <w:rsid w:val="00F44C4A"/>
    <w:rsid w:val="00F45335"/>
    <w:rsid w:val="00F462D6"/>
    <w:rsid w:val="00F4704E"/>
    <w:rsid w:val="00F47713"/>
    <w:rsid w:val="00F4778D"/>
    <w:rsid w:val="00F47BCF"/>
    <w:rsid w:val="00F5055C"/>
    <w:rsid w:val="00F506C8"/>
    <w:rsid w:val="00F50D40"/>
    <w:rsid w:val="00F52A0C"/>
    <w:rsid w:val="00F52A1A"/>
    <w:rsid w:val="00F5303B"/>
    <w:rsid w:val="00F537C3"/>
    <w:rsid w:val="00F54F71"/>
    <w:rsid w:val="00F55A25"/>
    <w:rsid w:val="00F55B9D"/>
    <w:rsid w:val="00F563B4"/>
    <w:rsid w:val="00F57CBE"/>
    <w:rsid w:val="00F6064B"/>
    <w:rsid w:val="00F61341"/>
    <w:rsid w:val="00F61636"/>
    <w:rsid w:val="00F618F5"/>
    <w:rsid w:val="00F6193F"/>
    <w:rsid w:val="00F63632"/>
    <w:rsid w:val="00F63CA3"/>
    <w:rsid w:val="00F63D1C"/>
    <w:rsid w:val="00F661B1"/>
    <w:rsid w:val="00F70E0D"/>
    <w:rsid w:val="00F712D7"/>
    <w:rsid w:val="00F71367"/>
    <w:rsid w:val="00F71404"/>
    <w:rsid w:val="00F72971"/>
    <w:rsid w:val="00F743EB"/>
    <w:rsid w:val="00F747CF"/>
    <w:rsid w:val="00F748BE"/>
    <w:rsid w:val="00F74DF5"/>
    <w:rsid w:val="00F74EBA"/>
    <w:rsid w:val="00F759F4"/>
    <w:rsid w:val="00F75BD5"/>
    <w:rsid w:val="00F80398"/>
    <w:rsid w:val="00F8161C"/>
    <w:rsid w:val="00F81882"/>
    <w:rsid w:val="00F82BB1"/>
    <w:rsid w:val="00F83A9D"/>
    <w:rsid w:val="00F83FBB"/>
    <w:rsid w:val="00F852C3"/>
    <w:rsid w:val="00F85F74"/>
    <w:rsid w:val="00F86A43"/>
    <w:rsid w:val="00F86AD9"/>
    <w:rsid w:val="00F87782"/>
    <w:rsid w:val="00F9035A"/>
    <w:rsid w:val="00F9041C"/>
    <w:rsid w:val="00F9077A"/>
    <w:rsid w:val="00F907F2"/>
    <w:rsid w:val="00F917EC"/>
    <w:rsid w:val="00F919A7"/>
    <w:rsid w:val="00F92294"/>
    <w:rsid w:val="00F92CF7"/>
    <w:rsid w:val="00F944DF"/>
    <w:rsid w:val="00F94628"/>
    <w:rsid w:val="00F95494"/>
    <w:rsid w:val="00F95A88"/>
    <w:rsid w:val="00F96DD9"/>
    <w:rsid w:val="00F97C99"/>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311"/>
    <w:rsid w:val="00FB56AB"/>
    <w:rsid w:val="00FB6C34"/>
    <w:rsid w:val="00FC1B60"/>
    <w:rsid w:val="00FC2682"/>
    <w:rsid w:val="00FC337B"/>
    <w:rsid w:val="00FC7907"/>
    <w:rsid w:val="00FC7B94"/>
    <w:rsid w:val="00FD094C"/>
    <w:rsid w:val="00FD1BAD"/>
    <w:rsid w:val="00FD1DD5"/>
    <w:rsid w:val="00FD37DD"/>
    <w:rsid w:val="00FD3AB5"/>
    <w:rsid w:val="00FD416C"/>
    <w:rsid w:val="00FD4769"/>
    <w:rsid w:val="00FD483E"/>
    <w:rsid w:val="00FD5141"/>
    <w:rsid w:val="00FD5762"/>
    <w:rsid w:val="00FD591D"/>
    <w:rsid w:val="00FD5FE0"/>
    <w:rsid w:val="00FD637E"/>
    <w:rsid w:val="00FD72CD"/>
    <w:rsid w:val="00FD7F31"/>
    <w:rsid w:val="00FE1151"/>
    <w:rsid w:val="00FE27A6"/>
    <w:rsid w:val="00FE2B78"/>
    <w:rsid w:val="00FE2BAE"/>
    <w:rsid w:val="00FE3774"/>
    <w:rsid w:val="00FE3F5C"/>
    <w:rsid w:val="00FE4121"/>
    <w:rsid w:val="00FE4142"/>
    <w:rsid w:val="00FE4709"/>
    <w:rsid w:val="00FE4B30"/>
    <w:rsid w:val="00FE6276"/>
    <w:rsid w:val="00FE6CC9"/>
    <w:rsid w:val="00FE6D51"/>
    <w:rsid w:val="00FE7070"/>
    <w:rsid w:val="00FE7562"/>
    <w:rsid w:val="00FE78EF"/>
    <w:rsid w:val="00FE7ABE"/>
    <w:rsid w:val="00FF00F9"/>
    <w:rsid w:val="00FF0877"/>
    <w:rsid w:val="00FF3273"/>
    <w:rsid w:val="00FF385C"/>
    <w:rsid w:val="00FF469A"/>
    <w:rsid w:val="00FF53DF"/>
    <w:rsid w:val="00FF5476"/>
    <w:rsid w:val="00FF60A2"/>
    <w:rsid w:val="00FF655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16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4C"/>
    <w:pPr>
      <w:bidi/>
    </w:pPr>
  </w:style>
  <w:style w:type="paragraph" w:styleId="2">
    <w:name w:val="heading 2"/>
    <w:basedOn w:val="a"/>
    <w:link w:val="20"/>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 w:type="character" w:customStyle="1" w:styleId="20">
    <w:name w:val="כותרת 2 תו"/>
    <w:basedOn w:val="a0"/>
    <w:link w:val="2"/>
    <w:uiPriority w:val="9"/>
    <w:rsid w:val="007C7A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11078206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28924139">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56389854">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492643398">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22535854">
      <w:bodyDiv w:val="1"/>
      <w:marLeft w:val="0"/>
      <w:marRight w:val="0"/>
      <w:marTop w:val="0"/>
      <w:marBottom w:val="0"/>
      <w:divBdr>
        <w:top w:val="none" w:sz="0" w:space="0" w:color="auto"/>
        <w:left w:val="none" w:sz="0" w:space="0" w:color="auto"/>
        <w:bottom w:val="none" w:sz="0" w:space="0" w:color="auto"/>
        <w:right w:val="none" w:sz="0" w:space="0" w:color="auto"/>
      </w:divBdr>
    </w:div>
    <w:div w:id="646084173">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15420338">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259682579">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585871296">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728186971">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42694553">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FE54-9006-4BC5-900D-E86E98A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7934</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2024-04-08T11:03:00Z</dcterms:created>
  <dcterms:modified xsi:type="dcterms:W3CDTF">2024-04-08T12:05:00Z</dcterms:modified>
  <cp:contentStatus/>
</cp:coreProperties>
</file>