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</w:tblPr>
      <w:tblGrid>
        <w:gridCol w:w="2582"/>
        <w:gridCol w:w="3644"/>
        <w:gridCol w:w="3084"/>
      </w:tblGrid>
      <w:tr w:rsidR="00B02CAB" w:rsidRPr="00DF107C" w:rsidTr="0087032A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AB" w:rsidRPr="00520BB4" w:rsidRDefault="00B02CAB" w:rsidP="0087032A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B02CAB" w:rsidRDefault="00B02CAB" w:rsidP="0087032A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B02CAB" w:rsidRDefault="00B02CAB" w:rsidP="0087032A">
            <w:pPr>
              <w:bidi/>
              <w:jc w:val="center"/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4E5D0C1B" wp14:editId="62A63462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1051200" cy="1051200"/>
                  <wp:effectExtent l="0" t="0" r="0" b="0"/>
                  <wp:wrapSquare wrapText="bothSides"/>
                  <wp:docPr id="1" name="תמונה 1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AB" w:rsidRPr="00171F4D" w:rsidRDefault="00B02CAB" w:rsidP="0087032A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71F4D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71F4D">
              <w:rPr>
                <w:rFonts w:cs="David" w:hint="cs"/>
                <w:sz w:val="24"/>
                <w:szCs w:val="24"/>
                <w:rtl/>
              </w:rPr>
              <w:t>ירושלים, כ"ז בשבט התשפ"א</w:t>
            </w:r>
          </w:p>
          <w:p w:rsidR="00B02CAB" w:rsidRDefault="00B02CAB" w:rsidP="0087032A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 בפברואר 2021</w:t>
            </w:r>
          </w:p>
          <w:p w:rsidR="00B02CAB" w:rsidRPr="00DF107C" w:rsidRDefault="00B02CAB" w:rsidP="0087032A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F061A1" w:rsidRPr="00FD1523" w:rsidRDefault="00B02CAB" w:rsidP="00B02CAB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>הודעה לעיתונות</w:t>
      </w:r>
      <w:r>
        <w:rPr>
          <w:rFonts w:ascii="Times New Roman" w:hAnsi="Times New Roman" w:cs="David" w:hint="cs"/>
          <w:sz w:val="24"/>
          <w:szCs w:val="24"/>
          <w:rtl/>
        </w:rPr>
        <w:t>:</w:t>
      </w:r>
    </w:p>
    <w:p w:rsidR="00AC16BD" w:rsidRPr="00B02CAB" w:rsidRDefault="003645D7" w:rsidP="00FD1523">
      <w:pPr>
        <w:bidi/>
        <w:spacing w:line="360" w:lineRule="auto"/>
        <w:jc w:val="center"/>
        <w:rPr>
          <w:rFonts w:ascii="Times New Roman" w:hAnsi="Times New Roman" w:cs="David"/>
          <w:b/>
          <w:bCs/>
          <w:sz w:val="28"/>
          <w:szCs w:val="28"/>
          <w:rtl/>
        </w:rPr>
      </w:pPr>
      <w:r w:rsidRPr="00B02CAB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מחקר חדש בבנק ישראל: </w:t>
      </w:r>
      <w:r w:rsidR="00AC16BD" w:rsidRPr="00B02CAB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האינטראקציה בין מדיניות מוניטרית ומדיניות מקרו יציבותית </w:t>
      </w:r>
      <w:r w:rsidR="00AC16BD" w:rsidRPr="00B02CAB">
        <w:rPr>
          <w:rFonts w:ascii="Times New Roman" w:hAnsi="Times New Roman" w:cs="David"/>
          <w:b/>
          <w:bCs/>
          <w:sz w:val="28"/>
          <w:szCs w:val="28"/>
          <w:rtl/>
        </w:rPr>
        <w:t>–</w:t>
      </w:r>
      <w:r w:rsidR="00AC16BD" w:rsidRPr="00B02CAB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המקרה הישראלי</w:t>
      </w:r>
    </w:p>
    <w:p w:rsidR="00760BF7" w:rsidRPr="00647876" w:rsidRDefault="00760BF7" w:rsidP="00647876">
      <w:pPr>
        <w:pStyle w:val="ad"/>
        <w:numPr>
          <w:ilvl w:val="0"/>
          <w:numId w:val="1"/>
        </w:numPr>
        <w:bidi/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בין השנים 2004 עד 2019 הופחתה הריבית מרמה של כ-9 אחוזים לרמה אפסית לאור ביסוס </w:t>
      </w:r>
      <w:r w:rsidR="00681382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>סביבה של יציבות מחירים</w:t>
      </w: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בישראל.</w:t>
      </w:r>
    </w:p>
    <w:p w:rsidR="00760BF7" w:rsidRPr="00647876" w:rsidRDefault="00760BF7" w:rsidP="00647876">
      <w:pPr>
        <w:pStyle w:val="ad"/>
        <w:numPr>
          <w:ilvl w:val="0"/>
          <w:numId w:val="1"/>
        </w:numPr>
        <w:bidi/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לפני המשבר הפיננסי הגלובלי </w:t>
      </w:r>
      <w:r w:rsidR="00681382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>שהחל ב-2008</w:t>
      </w: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681382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העלאת </w:t>
      </w: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ריבית </w:t>
      </w:r>
      <w:r w:rsidR="00681382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>פעלה למיתון</w:t>
      </w: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צמיחת האשראי. </w:t>
      </w:r>
    </w:p>
    <w:p w:rsidR="00760BF7" w:rsidRPr="00647876" w:rsidRDefault="00681382" w:rsidP="00647876">
      <w:pPr>
        <w:pStyle w:val="ad"/>
        <w:numPr>
          <w:ilvl w:val="0"/>
          <w:numId w:val="1"/>
        </w:numPr>
        <w:bidi/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>המחקר מצא ש</w:t>
      </w:r>
      <w:r w:rsidR="00760BF7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לאחר המשבר, </w:t>
      </w: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>השפעתן של הפחתות הריבית על האשראי</w:t>
      </w:r>
      <w:r w:rsidR="00760BF7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ניכר</w:t>
      </w:r>
      <w:r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="00760BF7" w:rsidRPr="0064787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כששולבה עם צעדים מקרו-יציבותיים שננקטו, בפרט בשוק הדיור. </w:t>
      </w:r>
    </w:p>
    <w:p w:rsidR="00BB5FDD" w:rsidRPr="00FD1523" w:rsidRDefault="00AC16BD" w:rsidP="00FD1523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FD1523">
        <w:rPr>
          <w:rFonts w:ascii="Times New Roman" w:hAnsi="Times New Roman" w:cs="David" w:hint="cs"/>
          <w:sz w:val="24"/>
          <w:szCs w:val="24"/>
          <w:rtl/>
        </w:rPr>
        <w:t>במחקר שהתפרסם היום, בחנה קבוצת חוקרים מ</w:t>
      </w:r>
      <w:r w:rsidR="00681382">
        <w:rPr>
          <w:rFonts w:ascii="Times New Roman" w:hAnsi="Times New Roman" w:cs="David" w:hint="cs"/>
          <w:sz w:val="24"/>
          <w:szCs w:val="24"/>
          <w:rtl/>
        </w:rPr>
        <w:t>חטיבת המחקר ב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בנק ישראל את ההשפעה של המדיניות המוניטרית והצעדים המקרו יציבותיים שננקטו בישראל בשנים 2004-2019 על האשראי הבנקאי לדיור, האשראי הבנקאי הצרכני והאשראי הבנקאי העסקי. </w:t>
      </w:r>
      <w:r w:rsidR="00516EC6">
        <w:rPr>
          <w:rFonts w:ascii="Times New Roman" w:hAnsi="Times New Roman" w:cs="David" w:hint="cs"/>
          <w:sz w:val="24"/>
          <w:szCs w:val="24"/>
          <w:rtl/>
        </w:rPr>
        <w:t>איור 2 מציג את התפתחות האשראי בסקטורים אלו.</w:t>
      </w:r>
    </w:p>
    <w:p w:rsidR="00AC16BD" w:rsidRPr="00FD1523" w:rsidRDefault="00CE37E8" w:rsidP="00511C37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מחקר זה </w:t>
      </w:r>
      <w:r w:rsidR="00511C37">
        <w:rPr>
          <w:rFonts w:ascii="Times New Roman" w:hAnsi="Times New Roman" w:cs="David" w:hint="cs"/>
          <w:sz w:val="24"/>
          <w:szCs w:val="24"/>
          <w:rtl/>
        </w:rPr>
        <w:t>נערך</w:t>
      </w:r>
      <w:r w:rsidR="00511C37"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בישראל כחלק מפרויקט בינלאומי 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>(</w:t>
      </w:r>
      <w:r w:rsidR="00BB5FDD" w:rsidRPr="00FD1523">
        <w:rPr>
          <w:rFonts w:ascii="Times New Roman" w:hAnsi="Times New Roman" w:cs="David" w:hint="cs"/>
          <w:sz w:val="24"/>
          <w:szCs w:val="24"/>
        </w:rPr>
        <w:t>IBRN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במסגרתו חוקרים </w:t>
      </w:r>
      <w:r w:rsidR="00C53106">
        <w:rPr>
          <w:rFonts w:ascii="Times New Roman" w:hAnsi="Times New Roman" w:cs="David" w:hint="cs"/>
          <w:sz w:val="24"/>
          <w:szCs w:val="24"/>
          <w:rtl/>
        </w:rPr>
        <w:t>ממספר גדול של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 בנקים מרכזיים בעולם, בהובלת הבנקים המרכזיים של ארה"ב וגרמניה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>, ביצעו מחקר</w:t>
      </w:r>
      <w:r w:rsidR="00511C37">
        <w:rPr>
          <w:rFonts w:ascii="Times New Roman" w:hAnsi="Times New Roman" w:cs="David" w:hint="cs"/>
          <w:sz w:val="24"/>
          <w:szCs w:val="24"/>
          <w:rtl/>
        </w:rPr>
        <w:t>ים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 xml:space="preserve"> דומ</w:t>
      </w:r>
      <w:r w:rsidR="00511C37">
        <w:rPr>
          <w:rFonts w:ascii="Times New Roman" w:hAnsi="Times New Roman" w:cs="David" w:hint="cs"/>
          <w:sz w:val="24"/>
          <w:szCs w:val="24"/>
          <w:rtl/>
        </w:rPr>
        <w:t>ים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 xml:space="preserve"> במדינ</w:t>
      </w:r>
      <w:r w:rsidR="00511C37">
        <w:rPr>
          <w:rFonts w:ascii="Times New Roman" w:hAnsi="Times New Roman" w:cs="David" w:hint="cs"/>
          <w:sz w:val="24"/>
          <w:szCs w:val="24"/>
          <w:rtl/>
        </w:rPr>
        <w:t>ו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>ת</w:t>
      </w:r>
      <w:r w:rsidR="00511C37">
        <w:rPr>
          <w:rFonts w:ascii="Times New Roman" w:hAnsi="Times New Roman" w:cs="David" w:hint="cs"/>
          <w:sz w:val="24"/>
          <w:szCs w:val="24"/>
          <w:rtl/>
        </w:rPr>
        <w:t>יה</w:t>
      </w:r>
      <w:r w:rsidR="00BB5FDD" w:rsidRPr="00FD1523">
        <w:rPr>
          <w:rFonts w:ascii="Times New Roman" w:hAnsi="Times New Roman" w:cs="David" w:hint="cs"/>
          <w:sz w:val="24"/>
          <w:szCs w:val="24"/>
          <w:rtl/>
        </w:rPr>
        <w:t xml:space="preserve">ם. במהלך הפרויקט שותפו הממצאים בין החברים, התקיימו דיונים ונותחו הממצאים במשותף. מטרת הפרויקט היא 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לבחון את ההשפעה </w:t>
      </w:r>
      <w:r w:rsidR="001A1CA9">
        <w:rPr>
          <w:rFonts w:ascii="Times New Roman" w:hAnsi="Times New Roman" w:cs="David" w:hint="cs"/>
          <w:sz w:val="24"/>
          <w:szCs w:val="24"/>
          <w:rtl/>
        </w:rPr>
        <w:t xml:space="preserve">והיעילות 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של המדיניות המוניטרית והצעדים המקרו יציבותיים על האשראי ובכך לגבש תובנות לקובעי המדיניות על סמך הנסיון הבינלאומי. </w:t>
      </w:r>
    </w:p>
    <w:p w:rsidR="00AC16BD" w:rsidRPr="00FD1523" w:rsidRDefault="00C53106" w:rsidP="00681382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במשך השנים שנבחנו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>מחקר הופחתה ריבית בנק ישראל מרמה של כ- 9% לרמה אפסית תוך תנודתיות מסויימת</w:t>
      </w:r>
      <w:r w:rsidR="00FC71A2" w:rsidRPr="00FD1523">
        <w:rPr>
          <w:rFonts w:ascii="Times New Roman" w:hAnsi="Times New Roman" w:cs="David" w:hint="cs"/>
          <w:sz w:val="24"/>
          <w:szCs w:val="24"/>
          <w:rtl/>
        </w:rPr>
        <w:t xml:space="preserve"> במהלך התקופה</w:t>
      </w:r>
      <w:r w:rsidR="00516EC6">
        <w:rPr>
          <w:rFonts w:ascii="Times New Roman" w:hAnsi="Times New Roman" w:cs="David" w:hint="cs"/>
          <w:sz w:val="24"/>
          <w:szCs w:val="24"/>
          <w:rtl/>
        </w:rPr>
        <w:t xml:space="preserve"> (איור 1)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760BF7">
        <w:rPr>
          <w:rFonts w:ascii="Times New Roman" w:hAnsi="Times New Roman" w:cs="David" w:hint="cs"/>
          <w:sz w:val="24"/>
          <w:szCs w:val="24"/>
          <w:rtl/>
        </w:rPr>
        <w:t xml:space="preserve">הורדה זו נעשתה במקביל לביסוס </w:t>
      </w:r>
      <w:r w:rsidR="00681382">
        <w:rPr>
          <w:rFonts w:ascii="Times New Roman" w:hAnsi="Times New Roman" w:cs="David" w:hint="cs"/>
          <w:sz w:val="24"/>
          <w:szCs w:val="24"/>
          <w:rtl/>
        </w:rPr>
        <w:t>סביבה של יציבות מחירים</w:t>
      </w:r>
      <w:r w:rsidR="00760BF7">
        <w:rPr>
          <w:rFonts w:ascii="Times New Roman" w:hAnsi="Times New Roman" w:cs="David" w:hint="cs"/>
          <w:sz w:val="24"/>
          <w:szCs w:val="24"/>
          <w:rtl/>
        </w:rPr>
        <w:t xml:space="preserve"> בישראל. 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 xml:space="preserve">בנוסף למדיניות המוניטרית נקט בנק ישראל בצעדים </w:t>
      </w:r>
      <w:r w:rsidR="007A7BA1" w:rsidRPr="00FD1523">
        <w:rPr>
          <w:rFonts w:ascii="Times New Roman" w:hAnsi="Times New Roman" w:cs="David" w:hint="cs"/>
          <w:sz w:val="24"/>
          <w:szCs w:val="24"/>
          <w:rtl/>
        </w:rPr>
        <w:t xml:space="preserve">מקרו יציבותיים שנועדו </w:t>
      </w:r>
      <w:r>
        <w:rPr>
          <w:rFonts w:ascii="Times New Roman" w:hAnsi="Times New Roman" w:cs="David" w:hint="cs"/>
          <w:sz w:val="24"/>
          <w:szCs w:val="24"/>
          <w:rtl/>
        </w:rPr>
        <w:t>למזער את הסיכונים</w:t>
      </w:r>
      <w:r w:rsidR="007A7BA1"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="007A7BA1" w:rsidRPr="00FD1523">
        <w:rPr>
          <w:rFonts w:ascii="Times New Roman" w:hAnsi="Times New Roman" w:cs="David" w:hint="cs"/>
          <w:sz w:val="24"/>
          <w:szCs w:val="24"/>
          <w:rtl/>
        </w:rPr>
        <w:t>מערכת הפיננסית.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 xml:space="preserve"> למשל, </w:t>
      </w:r>
      <w:r w:rsidR="00760BF7">
        <w:rPr>
          <w:rFonts w:ascii="Times New Roman" w:hAnsi="Times New Roman" w:cs="David" w:hint="cs"/>
          <w:sz w:val="24"/>
          <w:szCs w:val="24"/>
          <w:rtl/>
        </w:rPr>
        <w:t xml:space="preserve">הוחלט על 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>מגבלות על קבוצות לווים, מגבלות על שיעור המימון הבנקאי ברכישת דירה (</w:t>
      </w:r>
      <w:r w:rsidR="00AC16BD" w:rsidRPr="00FD1523">
        <w:rPr>
          <w:rFonts w:ascii="Times New Roman" w:hAnsi="Times New Roman" w:cs="David" w:hint="cs"/>
          <w:sz w:val="24"/>
          <w:szCs w:val="24"/>
        </w:rPr>
        <w:t>LTV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>), מגבלות על חלק הריבית המשתנה בהלוואות לדיור, דרישות הון מהבנקים ועוד</w:t>
      </w:r>
      <w:r w:rsidR="00516EC6">
        <w:rPr>
          <w:rFonts w:ascii="Times New Roman" w:hAnsi="Times New Roman" w:cs="David" w:hint="cs"/>
          <w:sz w:val="24"/>
          <w:szCs w:val="24"/>
          <w:rtl/>
        </w:rPr>
        <w:t xml:space="preserve"> (איור 1)</w:t>
      </w:r>
      <w:r w:rsidR="003A1129">
        <w:rPr>
          <w:rFonts w:ascii="Times New Roman" w:hAnsi="Times New Roman" w:cs="David" w:hint="cs"/>
          <w:sz w:val="24"/>
          <w:szCs w:val="24"/>
          <w:rtl/>
        </w:rPr>
        <w:t>. בסך הכל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 xml:space="preserve"> ננקטו על ידי בנק ישראל</w:t>
      </w:r>
      <w:r w:rsidR="003A1129">
        <w:rPr>
          <w:rFonts w:ascii="Times New Roman" w:hAnsi="Times New Roman" w:cs="David" w:hint="cs"/>
          <w:sz w:val="24"/>
          <w:szCs w:val="24"/>
          <w:rtl/>
        </w:rPr>
        <w:t xml:space="preserve"> בשנות המחקר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 xml:space="preserve"> 20 צעדים שהוגדרו </w:t>
      </w:r>
      <w:r w:rsidR="00760BF7">
        <w:rPr>
          <w:rFonts w:ascii="Times New Roman" w:hAnsi="Times New Roman" w:cs="David" w:hint="cs"/>
          <w:sz w:val="24"/>
          <w:szCs w:val="24"/>
          <w:rtl/>
        </w:rPr>
        <w:t>כ-"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>מקרו יציבותיים</w:t>
      </w:r>
      <w:r w:rsidR="00760BF7">
        <w:rPr>
          <w:rFonts w:ascii="Times New Roman" w:hAnsi="Times New Roman" w:cs="David" w:hint="cs"/>
          <w:sz w:val="24"/>
          <w:szCs w:val="24"/>
          <w:rtl/>
        </w:rPr>
        <w:t>" (</w:t>
      </w:r>
      <w:r w:rsidR="00760BF7">
        <w:rPr>
          <w:rFonts w:ascii="Times New Roman" w:hAnsi="Times New Roman" w:cs="David"/>
          <w:sz w:val="24"/>
          <w:szCs w:val="24"/>
        </w:rPr>
        <w:t>macro-prudential</w:t>
      </w:r>
      <w:r w:rsidR="00760BF7">
        <w:rPr>
          <w:rFonts w:ascii="Times New Roman" w:hAnsi="Times New Roman" w:cs="David" w:hint="cs"/>
          <w:sz w:val="24"/>
          <w:szCs w:val="24"/>
          <w:rtl/>
        </w:rPr>
        <w:t>)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רובם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>כוונו לאשראי בשוק הדיור,</w:t>
      </w:r>
      <w:r w:rsid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חלק אחר התייחס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 xml:space="preserve"> להון הבנקים (בעיקר בהשפעת כללי </w:t>
      </w:r>
      <w:r w:rsidR="00946FDD" w:rsidRPr="00FD1523">
        <w:rPr>
          <w:rFonts w:ascii="Times New Roman" w:hAnsi="Times New Roman" w:cs="David"/>
          <w:sz w:val="24"/>
          <w:szCs w:val="24"/>
        </w:rPr>
        <w:t>Basel-</w:t>
      </w:r>
      <w:r>
        <w:rPr>
          <w:rFonts w:ascii="Times New Roman" w:hAnsi="Times New Roman" w:cs="David" w:hint="cs"/>
          <w:sz w:val="24"/>
          <w:szCs w:val="24"/>
        </w:rPr>
        <w:t>III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="00946FDD" w:rsidRPr="00FD1523">
        <w:rPr>
          <w:rFonts w:ascii="Times New Roman" w:hAnsi="Times New Roman" w:cs="David" w:hint="cs"/>
          <w:sz w:val="24"/>
          <w:szCs w:val="24"/>
          <w:rtl/>
        </w:rPr>
        <w:t xml:space="preserve">להגבלת החשיפה לקבוצת לווים 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 xml:space="preserve">(הרשימה המלאה </w:t>
      </w:r>
      <w:r w:rsidR="00C07ACA">
        <w:rPr>
          <w:rFonts w:ascii="Times New Roman" w:hAnsi="Times New Roman" w:cs="David" w:hint="cs"/>
          <w:sz w:val="24"/>
          <w:szCs w:val="24"/>
          <w:rtl/>
        </w:rPr>
        <w:t xml:space="preserve">מופיעה </w:t>
      </w:r>
      <w:r w:rsidR="00681382">
        <w:rPr>
          <w:rFonts w:ascii="Times New Roman" w:hAnsi="Times New Roman" w:cs="David" w:hint="cs"/>
          <w:sz w:val="24"/>
          <w:szCs w:val="24"/>
          <w:rtl/>
        </w:rPr>
        <w:t xml:space="preserve">בלוח 1 </w:t>
      </w:r>
      <w:r w:rsidR="00AC16BD" w:rsidRPr="00FD1523">
        <w:rPr>
          <w:rFonts w:ascii="Times New Roman" w:hAnsi="Times New Roman" w:cs="David" w:hint="cs"/>
          <w:sz w:val="24"/>
          <w:szCs w:val="24"/>
          <w:rtl/>
        </w:rPr>
        <w:t xml:space="preserve">במאמר). </w:t>
      </w:r>
    </w:p>
    <w:p w:rsidR="00A16E43" w:rsidRPr="00FD1523" w:rsidRDefault="00411728" w:rsidP="00031C57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במחקר זה נמצא כי הצעדים המקרו יציבותיים ומדיניות הריבית 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השפיעו על </w:t>
      </w:r>
      <w:r w:rsidR="003A1129">
        <w:rPr>
          <w:rFonts w:ascii="Times New Roman" w:hAnsi="Times New Roman" w:cs="David" w:hint="cs"/>
          <w:sz w:val="24"/>
          <w:szCs w:val="24"/>
          <w:rtl/>
        </w:rPr>
        <w:t xml:space="preserve">כל אחד מרכיבי 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>ה</w:t>
      </w:r>
      <w:r w:rsidRPr="00FD1523">
        <w:rPr>
          <w:rFonts w:ascii="Times New Roman" w:hAnsi="Times New Roman" w:cs="David" w:hint="cs"/>
          <w:sz w:val="24"/>
          <w:szCs w:val="24"/>
          <w:rtl/>
        </w:rPr>
        <w:t>אשראי הבנקאי</w:t>
      </w:r>
      <w:r w:rsidR="003A1129">
        <w:rPr>
          <w:rFonts w:ascii="Times New Roman" w:hAnsi="Times New Roman" w:cs="David" w:hint="cs"/>
          <w:sz w:val="24"/>
          <w:szCs w:val="24"/>
          <w:rtl/>
        </w:rPr>
        <w:t>, ובפרט האשראי לדיור והאשראי העסקי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>. ה</w:t>
      </w:r>
      <w:r w:rsidRPr="00FD1523">
        <w:rPr>
          <w:rFonts w:ascii="Times New Roman" w:hAnsi="Times New Roman" w:cs="David" w:hint="cs"/>
          <w:sz w:val="24"/>
          <w:szCs w:val="24"/>
          <w:rtl/>
        </w:rPr>
        <w:t>צעדים המקרו-יציבותיים שכוונו לשוק הדיור צמצמו את הגידול של האשראי לדיור ומנגד תרמו לגידול של האשראי העסקי. צעדים מקרו-יציבותיים כלליים אחרים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 (דרישות הון מהבנקים)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 האטו את גידולו של האשראי העסקי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 אך ההשפעה </w:t>
      </w:r>
      <w:r w:rsidR="009F73BF" w:rsidRPr="00FD1523">
        <w:rPr>
          <w:rFonts w:ascii="Times New Roman" w:hAnsi="Times New Roman" w:cs="David" w:hint="cs"/>
          <w:sz w:val="24"/>
          <w:szCs w:val="24"/>
          <w:rtl/>
        </w:rPr>
        <w:t>היית</w:t>
      </w:r>
      <w:r w:rsidR="009F73BF" w:rsidRPr="00FD1523">
        <w:rPr>
          <w:rFonts w:ascii="Times New Roman" w:hAnsi="Times New Roman" w:cs="David" w:hint="eastAsia"/>
          <w:sz w:val="24"/>
          <w:szCs w:val="24"/>
          <w:rtl/>
        </w:rPr>
        <w:t>ה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 כצפוי בפיגור יחסית</w:t>
      </w:r>
      <w:r w:rsidR="00A16E43" w:rsidRPr="00FD1523">
        <w:rPr>
          <w:rFonts w:ascii="Times New Roman" w:hAnsi="Times New Roman" w:cs="David" w:hint="cs"/>
          <w:sz w:val="24"/>
          <w:szCs w:val="24"/>
          <w:rtl/>
        </w:rPr>
        <w:t>,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 ככל הנראה בגלל </w:t>
      </w:r>
      <w:r w:rsidR="009F73BF">
        <w:rPr>
          <w:rFonts w:ascii="Times New Roman" w:hAnsi="Times New Roman" w:cs="David" w:hint="cs"/>
          <w:sz w:val="24"/>
          <w:szCs w:val="24"/>
          <w:rtl/>
        </w:rPr>
        <w:t xml:space="preserve">פרק 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הזמן </w:t>
      </w:r>
      <w:r w:rsidR="009F73BF">
        <w:rPr>
          <w:rFonts w:ascii="Times New Roman" w:hAnsi="Times New Roman" w:cs="David" w:hint="cs"/>
          <w:sz w:val="24"/>
          <w:szCs w:val="24"/>
          <w:rtl/>
        </w:rPr>
        <w:t xml:space="preserve">שניתן 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 xml:space="preserve">לבנקים </w:t>
      </w:r>
      <w:r w:rsidR="009F73BF">
        <w:rPr>
          <w:rFonts w:ascii="Times New Roman" w:hAnsi="Times New Roman" w:cs="David" w:hint="cs"/>
          <w:sz w:val="24"/>
          <w:szCs w:val="24"/>
          <w:rtl/>
        </w:rPr>
        <w:t>להשלים</w:t>
      </w:r>
      <w:r w:rsidR="009F73BF"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93119" w:rsidRPr="00FD1523">
        <w:rPr>
          <w:rFonts w:ascii="Times New Roman" w:hAnsi="Times New Roman" w:cs="David" w:hint="cs"/>
          <w:sz w:val="24"/>
          <w:szCs w:val="24"/>
          <w:rtl/>
        </w:rPr>
        <w:t>את ההתאמה של ההון</w:t>
      </w:r>
      <w:r w:rsidR="007C2A5A">
        <w:rPr>
          <w:rFonts w:ascii="Times New Roman" w:hAnsi="Times New Roman" w:cs="David" w:hint="cs"/>
          <w:sz w:val="24"/>
          <w:szCs w:val="24"/>
          <w:rtl/>
        </w:rPr>
        <w:t xml:space="preserve"> ונכסי הסיכון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:rsidR="00A16E43" w:rsidRPr="00FD1523" w:rsidRDefault="00BF7FE7" w:rsidP="00C07ACA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FD1523">
        <w:rPr>
          <w:rFonts w:ascii="Times New Roman" w:hAnsi="Times New Roman" w:cs="David" w:hint="cs"/>
          <w:sz w:val="24"/>
          <w:szCs w:val="24"/>
          <w:rtl/>
        </w:rPr>
        <w:t>ל</w:t>
      </w:r>
      <w:r w:rsidR="00681382">
        <w:rPr>
          <w:rFonts w:ascii="Times New Roman" w:hAnsi="Times New Roman" w:cs="David" w:hint="cs"/>
          <w:sz w:val="24"/>
          <w:szCs w:val="24"/>
          <w:rtl/>
        </w:rPr>
        <w:t xml:space="preserve">העלאה של </w:t>
      </w:r>
      <w:r w:rsidRPr="00FD1523">
        <w:rPr>
          <w:rFonts w:ascii="Times New Roman" w:hAnsi="Times New Roman" w:cs="David" w:hint="cs"/>
          <w:sz w:val="24"/>
          <w:szCs w:val="24"/>
          <w:rtl/>
        </w:rPr>
        <w:t>ריבית בנק ישראל</w:t>
      </w:r>
      <w:r w:rsidR="00411728" w:rsidRPr="00FD1523">
        <w:rPr>
          <w:rFonts w:ascii="Times New Roman" w:hAnsi="Times New Roman" w:cs="David" w:hint="cs"/>
          <w:sz w:val="24"/>
          <w:szCs w:val="24"/>
          <w:rtl/>
        </w:rPr>
        <w:t xml:space="preserve"> היתה השפעה שלילית מובהקת על צמיחת האשראי</w:t>
      </w:r>
      <w:r w:rsidRPr="00FD1523">
        <w:rPr>
          <w:rFonts w:ascii="Times New Roman" w:hAnsi="Times New Roman" w:cs="David" w:hint="cs"/>
          <w:sz w:val="24"/>
          <w:szCs w:val="24"/>
          <w:rtl/>
        </w:rPr>
        <w:t>. אולם, השפעה זו נמצאה מובהקת בעיקר</w:t>
      </w:r>
      <w:r w:rsidR="00411728" w:rsidRPr="00FD1523">
        <w:rPr>
          <w:rFonts w:ascii="Times New Roman" w:hAnsi="Times New Roman" w:cs="David" w:hint="cs"/>
          <w:sz w:val="24"/>
          <w:szCs w:val="24"/>
          <w:rtl/>
        </w:rPr>
        <w:t xml:space="preserve"> לפני המשבר הפיננסי העולמי ב-2008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. לאחר 2008 נראה כי השפעת מדיניות הריבית (שבעיקר </w:t>
      </w:r>
      <w:r w:rsidR="00A16E43" w:rsidRPr="00FD1523">
        <w:rPr>
          <w:rFonts w:ascii="Times New Roman" w:hAnsi="Times New Roman" w:cs="David" w:hint="cs"/>
          <w:sz w:val="24"/>
          <w:szCs w:val="24"/>
          <w:rtl/>
        </w:rPr>
        <w:t>הופחתה</w:t>
      </w:r>
      <w:r w:rsidRPr="00FD1523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 w:rsidR="00A16E43" w:rsidRPr="00FD1523">
        <w:rPr>
          <w:rFonts w:ascii="Times New Roman" w:hAnsi="Times New Roman" w:cs="David" w:hint="cs"/>
          <w:sz w:val="24"/>
          <w:szCs w:val="24"/>
          <w:rtl/>
        </w:rPr>
        <w:t xml:space="preserve">תרמה לעליה באשראי הצרכני והעסקי אך </w:t>
      </w:r>
      <w:r w:rsidR="003A1129">
        <w:rPr>
          <w:rFonts w:ascii="Times New Roman" w:hAnsi="Times New Roman" w:cs="David" w:hint="cs"/>
          <w:sz w:val="24"/>
          <w:szCs w:val="24"/>
          <w:rtl/>
        </w:rPr>
        <w:t>השפעתה ניכרת כששולבה</w:t>
      </w:r>
      <w:r w:rsidR="00A16E43" w:rsidRPr="00FD1523">
        <w:rPr>
          <w:rFonts w:ascii="Times New Roman" w:hAnsi="Times New Roman" w:cs="David" w:hint="cs"/>
          <w:sz w:val="24"/>
          <w:szCs w:val="24"/>
          <w:rtl/>
        </w:rPr>
        <w:t xml:space="preserve"> עם הצעדים המקרו יציבותיים שננקטו, בפרט בשוק הדיור. </w:t>
      </w:r>
    </w:p>
    <w:p w:rsidR="00647876" w:rsidRDefault="003A1129" w:rsidP="00F75F94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עוד </w:t>
      </w:r>
      <w:r w:rsidR="009104A3" w:rsidRPr="00FD1523">
        <w:rPr>
          <w:rFonts w:ascii="Times New Roman" w:hAnsi="Times New Roman" w:cs="David" w:hint="cs"/>
          <w:sz w:val="24"/>
          <w:szCs w:val="24"/>
          <w:rtl/>
        </w:rPr>
        <w:t>נמצא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במחקר</w:t>
      </w:r>
      <w:r w:rsidR="009104A3" w:rsidRPr="00FD1523">
        <w:rPr>
          <w:rFonts w:ascii="Times New Roman" w:hAnsi="Times New Roman" w:cs="David" w:hint="cs"/>
          <w:sz w:val="24"/>
          <w:szCs w:val="24"/>
          <w:rtl/>
        </w:rPr>
        <w:t xml:space="preserve"> ש</w:t>
      </w:r>
      <w:r w:rsidR="009C6FB3" w:rsidRPr="00FD1523">
        <w:rPr>
          <w:rFonts w:ascii="Times New Roman" w:hAnsi="Times New Roman" w:cs="David" w:hint="cs"/>
          <w:sz w:val="24"/>
          <w:szCs w:val="24"/>
          <w:rtl/>
        </w:rPr>
        <w:t xml:space="preserve">למדיניות ה- </w:t>
      </w:r>
      <w:r w:rsidR="00F75F94" w:rsidRPr="00FD1523">
        <w:rPr>
          <w:rFonts w:ascii="Times New Roman" w:hAnsi="Times New Roman" w:cs="David" w:hint="cs"/>
          <w:sz w:val="24"/>
          <w:szCs w:val="24"/>
        </w:rPr>
        <w:t>F</w:t>
      </w:r>
      <w:r w:rsidR="00F75F94">
        <w:rPr>
          <w:rFonts w:ascii="Times New Roman" w:hAnsi="Times New Roman" w:cs="David"/>
          <w:sz w:val="24"/>
          <w:szCs w:val="24"/>
        </w:rPr>
        <w:t>ed</w:t>
      </w:r>
      <w:r w:rsidR="00F75F94"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04A3" w:rsidRPr="00FD1523">
        <w:rPr>
          <w:rFonts w:ascii="Times New Roman" w:hAnsi="Times New Roman" w:cs="David" w:hint="cs"/>
          <w:sz w:val="24"/>
          <w:szCs w:val="24"/>
          <w:rtl/>
        </w:rPr>
        <w:t>היתה השפעה שלילית על האשראי המקומי (הפחתות ריבית/הקלות כמותיות תרמו לעליה באשראי הבנקאי המקומי). בכך נרמז שהמדיניות של ה-</w:t>
      </w:r>
      <w:r w:rsidR="00F75F94" w:rsidRPr="00FD1523">
        <w:rPr>
          <w:rFonts w:ascii="Times New Roman" w:hAnsi="Times New Roman" w:cs="David" w:hint="cs"/>
          <w:sz w:val="24"/>
          <w:szCs w:val="24"/>
        </w:rPr>
        <w:t>F</w:t>
      </w:r>
      <w:r w:rsidR="00F75F94">
        <w:rPr>
          <w:rFonts w:ascii="Times New Roman" w:hAnsi="Times New Roman" w:cs="David"/>
          <w:sz w:val="24"/>
          <w:szCs w:val="24"/>
        </w:rPr>
        <w:t>ed</w:t>
      </w:r>
      <w:r w:rsidR="00F75F94" w:rsidRPr="00FD152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04A3" w:rsidRPr="00FD1523">
        <w:rPr>
          <w:rFonts w:ascii="Times New Roman" w:hAnsi="Times New Roman" w:cs="David" w:hint="cs"/>
          <w:sz w:val="24"/>
          <w:szCs w:val="24"/>
          <w:rtl/>
        </w:rPr>
        <w:t xml:space="preserve">נתפסה כאינדיקטור מקדים למדיניות המוניטרית בישראל. </w:t>
      </w:r>
    </w:p>
    <w:p w:rsidR="00647876" w:rsidRDefault="00647876">
      <w:pPr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br w:type="page"/>
      </w:r>
    </w:p>
    <w:p w:rsidR="00684755" w:rsidRDefault="00684755" w:rsidP="00F75F94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:rsidR="00684755" w:rsidRPr="00E270B3" w:rsidRDefault="007A7C55" w:rsidP="003A1129">
      <w:pPr>
        <w:bidi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  <w:r w:rsidRPr="00E270B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איור 1 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Pr="00E270B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ריבית בנק ישראל, הפתעות במדיניות המוניטרית והצעדים המקרו יציבותיים</w:t>
      </w:r>
      <w:r w:rsidR="005865DE">
        <w:rPr>
          <w:rFonts w:ascii="Times New Roman" w:hAnsi="Times New Roman" w:cs="David" w:hint="cs"/>
          <w:b/>
          <w:bCs/>
          <w:sz w:val="24"/>
          <w:szCs w:val="24"/>
          <w:rtl/>
        </w:rPr>
        <w:t>*</w:t>
      </w:r>
      <w:r w:rsidRPr="00E270B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בישראל בשנים 2003-2019</w:t>
      </w:r>
    </w:p>
    <w:p w:rsidR="009104A3" w:rsidRDefault="001F6D92" w:rsidP="009E36A6">
      <w:pPr>
        <w:bidi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noProof/>
          <w:sz w:val="24"/>
          <w:szCs w:val="24"/>
        </w:rPr>
        <w:drawing>
          <wp:inline distT="0" distB="0" distL="0" distR="0" wp14:anchorId="5ECC5867" wp14:editId="7D03BF95">
            <wp:extent cx="5413556" cy="3540557"/>
            <wp:effectExtent l="0" t="0" r="0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88" cy="3573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286" w:rsidRPr="00E270B3" w:rsidRDefault="007A7C55" w:rsidP="00647876">
      <w:pPr>
        <w:keepNext/>
        <w:spacing w:after="0" w:line="240" w:lineRule="auto"/>
        <w:jc w:val="center"/>
        <w:rPr>
          <w:rFonts w:ascii="Book Antiqua" w:hAnsi="Book Antiqua"/>
          <w:b/>
          <w:bCs/>
          <w:noProof/>
          <w:sz w:val="12"/>
          <w:szCs w:val="12"/>
          <w:shd w:val="clear" w:color="auto" w:fill="FFFFFF" w:themeFill="background1"/>
        </w:rPr>
      </w:pP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איור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2 –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יתרות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האשראי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בבנקים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(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סך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המערכת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)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לסקטורים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שונים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E270B3">
        <w:rPr>
          <w:rFonts w:ascii="Times New Roman" w:hAnsi="Times New Roman" w:cs="David" w:hint="eastAsia"/>
          <w:b/>
          <w:bCs/>
          <w:sz w:val="24"/>
          <w:szCs w:val="24"/>
          <w:rtl/>
        </w:rPr>
        <w:t>בשנים</w:t>
      </w:r>
      <w:r w:rsidRPr="00E270B3">
        <w:rPr>
          <w:rFonts w:ascii="Times New Roman" w:hAnsi="Times New Roman" w:cs="David"/>
          <w:b/>
          <w:bCs/>
          <w:sz w:val="24"/>
          <w:szCs w:val="24"/>
          <w:rtl/>
        </w:rPr>
        <w:t xml:space="preserve"> 2000-2020</w:t>
      </w:r>
    </w:p>
    <w:p w:rsidR="00665286" w:rsidRPr="006965A8" w:rsidRDefault="00665286" w:rsidP="00665286">
      <w:pPr>
        <w:spacing w:after="0" w:line="240" w:lineRule="auto"/>
        <w:jc w:val="both"/>
        <w:rPr>
          <w:rFonts w:ascii="Book Antiqua" w:hAnsi="Book Antiqua" w:cstheme="majorBidi"/>
          <w:i/>
          <w:iCs/>
          <w:sz w:val="20"/>
          <w:szCs w:val="20"/>
          <w:rtl/>
        </w:rPr>
      </w:pPr>
      <w:r>
        <w:rPr>
          <w:rFonts w:ascii="Book Antiqua" w:hAnsi="Book Antiqua"/>
          <w:noProof/>
        </w:rPr>
        <w:drawing>
          <wp:inline distT="0" distB="0" distL="0" distR="0" wp14:anchorId="08F7804B" wp14:editId="1A016BDB">
            <wp:extent cx="5600700" cy="3053301"/>
            <wp:effectExtent l="0" t="0" r="0" b="0"/>
            <wp:docPr id="9" name="תרשים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65A8" w:rsidRDefault="006965A8" w:rsidP="00665286">
      <w:pPr>
        <w:spacing w:after="0" w:line="240" w:lineRule="auto"/>
        <w:jc w:val="both"/>
        <w:rPr>
          <w:rFonts w:ascii="Book Antiqua" w:hAnsi="Book Antiqua" w:cstheme="majorBidi"/>
          <w:sz w:val="20"/>
          <w:szCs w:val="20"/>
          <w:rtl/>
        </w:rPr>
      </w:pPr>
    </w:p>
    <w:p w:rsidR="006965A8" w:rsidRPr="00E270B3" w:rsidRDefault="006965A8" w:rsidP="00665286">
      <w:pPr>
        <w:spacing w:after="0" w:line="240" w:lineRule="auto"/>
        <w:jc w:val="both"/>
        <w:rPr>
          <w:rFonts w:ascii="David" w:hAnsi="David" w:cs="David"/>
          <w:sz w:val="20"/>
          <w:szCs w:val="20"/>
          <w:rtl/>
        </w:rPr>
      </w:pPr>
      <w:r w:rsidRPr="00E270B3">
        <w:rPr>
          <w:rFonts w:ascii="David" w:hAnsi="David" w:cs="David"/>
          <w:b/>
          <w:bCs/>
          <w:sz w:val="20"/>
          <w:szCs w:val="20"/>
          <w:rtl/>
        </w:rPr>
        <w:t>הערה</w:t>
      </w:r>
      <w:r w:rsidRPr="00E270B3">
        <w:rPr>
          <w:rFonts w:ascii="David" w:hAnsi="David" w:cs="David"/>
          <w:sz w:val="20"/>
          <w:szCs w:val="20"/>
          <w:rtl/>
        </w:rPr>
        <w:t>: מאזן האשראי בשבעת הבנקים הגדולים בישראל, במיליארדי ₪. מקור: בנק ישראל, הפיקוח על הבנקים.</w:t>
      </w:r>
    </w:p>
    <w:p w:rsidR="00665286" w:rsidRPr="00FD1523" w:rsidRDefault="00665286" w:rsidP="00F75F94">
      <w:pPr>
        <w:spacing w:after="0" w:line="24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sectPr w:rsidR="00665286" w:rsidRPr="00FD15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0A" w:rsidRDefault="008D1E0A" w:rsidP="00665286">
      <w:pPr>
        <w:spacing w:after="0" w:line="240" w:lineRule="auto"/>
      </w:pPr>
      <w:r>
        <w:separator/>
      </w:r>
    </w:p>
  </w:endnote>
  <w:endnote w:type="continuationSeparator" w:id="0">
    <w:p w:rsidR="008D1E0A" w:rsidRDefault="008D1E0A" w:rsidP="006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0A" w:rsidRDefault="008D1E0A" w:rsidP="00647876">
      <w:pPr>
        <w:bidi/>
        <w:spacing w:after="0" w:line="240" w:lineRule="auto"/>
      </w:pPr>
      <w:r>
        <w:separator/>
      </w:r>
    </w:p>
  </w:footnote>
  <w:footnote w:type="continuationSeparator" w:id="0">
    <w:p w:rsidR="008D1E0A" w:rsidRDefault="008D1E0A" w:rsidP="006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6496"/>
    <w:multiLevelType w:val="hybridMultilevel"/>
    <w:tmpl w:val="2264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BD"/>
    <w:rsid w:val="00000E3A"/>
    <w:rsid w:val="00031C57"/>
    <w:rsid w:val="00054757"/>
    <w:rsid w:val="000757D1"/>
    <w:rsid w:val="000A2303"/>
    <w:rsid w:val="000E02E7"/>
    <w:rsid w:val="00115F55"/>
    <w:rsid w:val="00174114"/>
    <w:rsid w:val="001A1CA9"/>
    <w:rsid w:val="001B63AC"/>
    <w:rsid w:val="001F6290"/>
    <w:rsid w:val="001F6D92"/>
    <w:rsid w:val="00244BDA"/>
    <w:rsid w:val="002933A1"/>
    <w:rsid w:val="003645D7"/>
    <w:rsid w:val="00373A9D"/>
    <w:rsid w:val="003A1129"/>
    <w:rsid w:val="003C2E11"/>
    <w:rsid w:val="00411728"/>
    <w:rsid w:val="00511C37"/>
    <w:rsid w:val="00516EC6"/>
    <w:rsid w:val="005865DE"/>
    <w:rsid w:val="00647876"/>
    <w:rsid w:val="00665286"/>
    <w:rsid w:val="00681382"/>
    <w:rsid w:val="00684755"/>
    <w:rsid w:val="006965A8"/>
    <w:rsid w:val="00760BF7"/>
    <w:rsid w:val="007A7BA1"/>
    <w:rsid w:val="007A7C55"/>
    <w:rsid w:val="007C2A5A"/>
    <w:rsid w:val="007D6D8A"/>
    <w:rsid w:val="00885869"/>
    <w:rsid w:val="008D1E0A"/>
    <w:rsid w:val="009104A3"/>
    <w:rsid w:val="00946FDD"/>
    <w:rsid w:val="0099082F"/>
    <w:rsid w:val="009C6FB3"/>
    <w:rsid w:val="009E36A6"/>
    <w:rsid w:val="009F73BF"/>
    <w:rsid w:val="00A16E43"/>
    <w:rsid w:val="00A221BB"/>
    <w:rsid w:val="00A25AF5"/>
    <w:rsid w:val="00A93119"/>
    <w:rsid w:val="00A94588"/>
    <w:rsid w:val="00AC16BD"/>
    <w:rsid w:val="00B02CAB"/>
    <w:rsid w:val="00BB5FDD"/>
    <w:rsid w:val="00BF7FE7"/>
    <w:rsid w:val="00C07ACA"/>
    <w:rsid w:val="00C30C69"/>
    <w:rsid w:val="00C53106"/>
    <w:rsid w:val="00CA0F73"/>
    <w:rsid w:val="00CE37E8"/>
    <w:rsid w:val="00CF2792"/>
    <w:rsid w:val="00D34CD1"/>
    <w:rsid w:val="00E270B3"/>
    <w:rsid w:val="00E53BBF"/>
    <w:rsid w:val="00F75F94"/>
    <w:rsid w:val="00FB4C75"/>
    <w:rsid w:val="00FC71A2"/>
    <w:rsid w:val="00FD1523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5D6B"/>
  <w15:chartTrackingRefBased/>
  <w15:docId w15:val="{3B339774-67E2-4F32-84D6-8B5AA82C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5310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31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3106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531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3106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53106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6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65286"/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665286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6652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65286"/>
    <w:rPr>
      <w:vertAlign w:val="superscript"/>
    </w:rPr>
  </w:style>
  <w:style w:type="paragraph" w:styleId="ad">
    <w:name w:val="List Paragraph"/>
    <w:basedOn w:val="a"/>
    <w:uiPriority w:val="34"/>
    <w:qFormat/>
    <w:rsid w:val="00760BF7"/>
    <w:pPr>
      <w:ind w:left="720"/>
      <w:contextualSpacing/>
    </w:pPr>
  </w:style>
  <w:style w:type="paragraph" w:styleId="ae">
    <w:name w:val="Revision"/>
    <w:hidden/>
    <w:uiPriority w:val="99"/>
    <w:semiHidden/>
    <w:rsid w:val="00586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saac\Dropbox\Work\Yossi\IBRN\paper\paper03012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'Credit Organized'!$B$2</c:f>
              <c:strCache>
                <c:ptCount val="1"/>
                <c:pt idx="0">
                  <c:v>Business Credit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'Credit Organized'!$A$6:$A$85</c:f>
              <c:numCache>
                <c:formatCode>m/d/yyyy</c:formatCode>
                <c:ptCount val="80"/>
                <c:pt idx="0">
                  <c:v>36616</c:v>
                </c:pt>
                <c:pt idx="1">
                  <c:v>36707</c:v>
                </c:pt>
                <c:pt idx="2">
                  <c:v>36799</c:v>
                </c:pt>
                <c:pt idx="3">
                  <c:v>36891</c:v>
                </c:pt>
                <c:pt idx="4">
                  <c:v>36981</c:v>
                </c:pt>
                <c:pt idx="5">
                  <c:v>37072</c:v>
                </c:pt>
                <c:pt idx="6">
                  <c:v>37164</c:v>
                </c:pt>
                <c:pt idx="7">
                  <c:v>37256</c:v>
                </c:pt>
                <c:pt idx="8">
                  <c:v>37346</c:v>
                </c:pt>
                <c:pt idx="9">
                  <c:v>37437</c:v>
                </c:pt>
                <c:pt idx="10">
                  <c:v>37529</c:v>
                </c:pt>
                <c:pt idx="11">
                  <c:v>37621</c:v>
                </c:pt>
                <c:pt idx="12">
                  <c:v>37711</c:v>
                </c:pt>
                <c:pt idx="13">
                  <c:v>37802</c:v>
                </c:pt>
                <c:pt idx="14">
                  <c:v>37894</c:v>
                </c:pt>
                <c:pt idx="15">
                  <c:v>37986</c:v>
                </c:pt>
                <c:pt idx="16">
                  <c:v>38077</c:v>
                </c:pt>
                <c:pt idx="17">
                  <c:v>38168</c:v>
                </c:pt>
                <c:pt idx="18">
                  <c:v>38260</c:v>
                </c:pt>
                <c:pt idx="19">
                  <c:v>38352</c:v>
                </c:pt>
                <c:pt idx="20">
                  <c:v>38442</c:v>
                </c:pt>
                <c:pt idx="21">
                  <c:v>38533</c:v>
                </c:pt>
                <c:pt idx="22">
                  <c:v>38625</c:v>
                </c:pt>
                <c:pt idx="23">
                  <c:v>38717</c:v>
                </c:pt>
                <c:pt idx="24">
                  <c:v>38807</c:v>
                </c:pt>
                <c:pt idx="25">
                  <c:v>38898</c:v>
                </c:pt>
                <c:pt idx="26">
                  <c:v>38990</c:v>
                </c:pt>
                <c:pt idx="27">
                  <c:v>39082</c:v>
                </c:pt>
                <c:pt idx="28">
                  <c:v>39172</c:v>
                </c:pt>
                <c:pt idx="29">
                  <c:v>39263</c:v>
                </c:pt>
                <c:pt idx="30">
                  <c:v>39355</c:v>
                </c:pt>
                <c:pt idx="31">
                  <c:v>39447</c:v>
                </c:pt>
                <c:pt idx="32">
                  <c:v>39538</c:v>
                </c:pt>
                <c:pt idx="33">
                  <c:v>39629</c:v>
                </c:pt>
                <c:pt idx="34">
                  <c:v>39721</c:v>
                </c:pt>
                <c:pt idx="35">
                  <c:v>39813</c:v>
                </c:pt>
                <c:pt idx="36">
                  <c:v>39903</c:v>
                </c:pt>
                <c:pt idx="37">
                  <c:v>39994</c:v>
                </c:pt>
                <c:pt idx="38">
                  <c:v>40086</c:v>
                </c:pt>
                <c:pt idx="39">
                  <c:v>40178</c:v>
                </c:pt>
                <c:pt idx="40">
                  <c:v>40268</c:v>
                </c:pt>
                <c:pt idx="41">
                  <c:v>40359</c:v>
                </c:pt>
                <c:pt idx="42">
                  <c:v>40451</c:v>
                </c:pt>
                <c:pt idx="43">
                  <c:v>40543</c:v>
                </c:pt>
                <c:pt idx="44">
                  <c:v>40633</c:v>
                </c:pt>
                <c:pt idx="45">
                  <c:v>40724</c:v>
                </c:pt>
                <c:pt idx="46">
                  <c:v>40816</c:v>
                </c:pt>
                <c:pt idx="47">
                  <c:v>40908</c:v>
                </c:pt>
                <c:pt idx="48">
                  <c:v>40999</c:v>
                </c:pt>
                <c:pt idx="49">
                  <c:v>41090</c:v>
                </c:pt>
                <c:pt idx="50">
                  <c:v>41182</c:v>
                </c:pt>
                <c:pt idx="51">
                  <c:v>41274</c:v>
                </c:pt>
                <c:pt idx="52">
                  <c:v>41364</c:v>
                </c:pt>
                <c:pt idx="53">
                  <c:v>41455</c:v>
                </c:pt>
                <c:pt idx="54">
                  <c:v>41547</c:v>
                </c:pt>
                <c:pt idx="55">
                  <c:v>41639</c:v>
                </c:pt>
                <c:pt idx="56">
                  <c:v>41729</c:v>
                </c:pt>
                <c:pt idx="57">
                  <c:v>41820</c:v>
                </c:pt>
                <c:pt idx="58">
                  <c:v>41912</c:v>
                </c:pt>
                <c:pt idx="59">
                  <c:v>42004</c:v>
                </c:pt>
                <c:pt idx="60">
                  <c:v>42094</c:v>
                </c:pt>
                <c:pt idx="61">
                  <c:v>42185</c:v>
                </c:pt>
                <c:pt idx="62">
                  <c:v>42277</c:v>
                </c:pt>
                <c:pt idx="63">
                  <c:v>42369</c:v>
                </c:pt>
                <c:pt idx="64">
                  <c:v>42460</c:v>
                </c:pt>
                <c:pt idx="65">
                  <c:v>42551</c:v>
                </c:pt>
                <c:pt idx="66">
                  <c:v>42643</c:v>
                </c:pt>
                <c:pt idx="67">
                  <c:v>42735</c:v>
                </c:pt>
                <c:pt idx="68">
                  <c:v>42825</c:v>
                </c:pt>
                <c:pt idx="69">
                  <c:v>42916</c:v>
                </c:pt>
                <c:pt idx="70">
                  <c:v>43008</c:v>
                </c:pt>
                <c:pt idx="71">
                  <c:v>43100</c:v>
                </c:pt>
                <c:pt idx="72">
                  <c:v>43190</c:v>
                </c:pt>
                <c:pt idx="73">
                  <c:v>43281</c:v>
                </c:pt>
                <c:pt idx="74">
                  <c:v>43373</c:v>
                </c:pt>
                <c:pt idx="75">
                  <c:v>43465</c:v>
                </c:pt>
                <c:pt idx="76">
                  <c:v>43555</c:v>
                </c:pt>
                <c:pt idx="77">
                  <c:v>43646</c:v>
                </c:pt>
                <c:pt idx="78">
                  <c:v>43738</c:v>
                </c:pt>
                <c:pt idx="79">
                  <c:v>43830</c:v>
                </c:pt>
              </c:numCache>
            </c:numRef>
          </c:cat>
          <c:val>
            <c:numRef>
              <c:f>'Credit Organized'!$B$3:$B$85</c:f>
              <c:numCache>
                <c:formatCode>General</c:formatCode>
                <c:ptCount val="83"/>
                <c:pt idx="3">
                  <c:v>265.43511132433269</c:v>
                </c:pt>
                <c:pt idx="4">
                  <c:v>272.02387847216733</c:v>
                </c:pt>
                <c:pt idx="5">
                  <c:v>280.22049112094425</c:v>
                </c:pt>
                <c:pt idx="6">
                  <c:v>295.55994641641018</c:v>
                </c:pt>
                <c:pt idx="7">
                  <c:v>308.55603224683426</c:v>
                </c:pt>
                <c:pt idx="8">
                  <c:v>317.45278419465001</c:v>
                </c:pt>
                <c:pt idx="9">
                  <c:v>329.39243681254078</c:v>
                </c:pt>
                <c:pt idx="10">
                  <c:v>333.21449302874657</c:v>
                </c:pt>
                <c:pt idx="11">
                  <c:v>344.53615455146985</c:v>
                </c:pt>
                <c:pt idx="12">
                  <c:v>352.34472609235371</c:v>
                </c:pt>
                <c:pt idx="13">
                  <c:v>357.89929698063548</c:v>
                </c:pt>
                <c:pt idx="14">
                  <c:v>354.13104218190074</c:v>
                </c:pt>
                <c:pt idx="15">
                  <c:v>349.92483499855092</c:v>
                </c:pt>
                <c:pt idx="16">
                  <c:v>335.48594035066094</c:v>
                </c:pt>
                <c:pt idx="17">
                  <c:v>336.60115344966715</c:v>
                </c:pt>
                <c:pt idx="18">
                  <c:v>335.38492346196483</c:v>
                </c:pt>
                <c:pt idx="19">
                  <c:v>335.7369308046483</c:v>
                </c:pt>
                <c:pt idx="20">
                  <c:v>332.40406472720139</c:v>
                </c:pt>
                <c:pt idx="21">
                  <c:v>330.09253123224295</c:v>
                </c:pt>
                <c:pt idx="22">
                  <c:v>328.23813170688851</c:v>
                </c:pt>
                <c:pt idx="23">
                  <c:v>321.92844256710902</c:v>
                </c:pt>
                <c:pt idx="24">
                  <c:v>326.20821349529848</c:v>
                </c:pt>
                <c:pt idx="25">
                  <c:v>330.41800781794325</c:v>
                </c:pt>
                <c:pt idx="26">
                  <c:v>333.34052212376861</c:v>
                </c:pt>
                <c:pt idx="27">
                  <c:v>333.39710120057464</c:v>
                </c:pt>
                <c:pt idx="28">
                  <c:v>332.56227668460485</c:v>
                </c:pt>
                <c:pt idx="29">
                  <c:v>330.40957174423141</c:v>
                </c:pt>
                <c:pt idx="30">
                  <c:v>332.18502880984403</c:v>
                </c:pt>
                <c:pt idx="31">
                  <c:v>342.70201510330861</c:v>
                </c:pt>
                <c:pt idx="32">
                  <c:v>348.3955124837521</c:v>
                </c:pt>
                <c:pt idx="33">
                  <c:v>346.84478867989708</c:v>
                </c:pt>
                <c:pt idx="34">
                  <c:v>354.98981903311022</c:v>
                </c:pt>
                <c:pt idx="35">
                  <c:v>360.8306399701774</c:v>
                </c:pt>
                <c:pt idx="36">
                  <c:v>370.63739742973257</c:v>
                </c:pt>
                <c:pt idx="37">
                  <c:v>376.73405070665558</c:v>
                </c:pt>
                <c:pt idx="38">
                  <c:v>381.79108359940176</c:v>
                </c:pt>
                <c:pt idx="39">
                  <c:v>385.574224401805</c:v>
                </c:pt>
                <c:pt idx="40">
                  <c:v>369.07989991040006</c:v>
                </c:pt>
                <c:pt idx="41">
                  <c:v>362.18478306879217</c:v>
                </c:pt>
                <c:pt idx="42">
                  <c:v>355.96855165072247</c:v>
                </c:pt>
                <c:pt idx="43">
                  <c:v>355.49279837706229</c:v>
                </c:pt>
                <c:pt idx="44">
                  <c:v>360.59424331167088</c:v>
                </c:pt>
                <c:pt idx="45">
                  <c:v>367.34424153315518</c:v>
                </c:pt>
                <c:pt idx="46">
                  <c:v>377.44088940471187</c:v>
                </c:pt>
                <c:pt idx="47">
                  <c:v>379.12026662951536</c:v>
                </c:pt>
                <c:pt idx="48">
                  <c:v>381.24970903382695</c:v>
                </c:pt>
                <c:pt idx="49">
                  <c:v>394.25696254077178</c:v>
                </c:pt>
                <c:pt idx="50">
                  <c:v>396.2618727655971</c:v>
                </c:pt>
                <c:pt idx="51">
                  <c:v>393.41706396725868</c:v>
                </c:pt>
                <c:pt idx="52">
                  <c:v>395.86520356234871</c:v>
                </c:pt>
                <c:pt idx="53">
                  <c:v>390.64338822766979</c:v>
                </c:pt>
                <c:pt idx="54">
                  <c:v>390.26090205034143</c:v>
                </c:pt>
                <c:pt idx="55">
                  <c:v>385.78928199754154</c:v>
                </c:pt>
                <c:pt idx="56">
                  <c:v>377.43649338743069</c:v>
                </c:pt>
                <c:pt idx="57">
                  <c:v>376.09614243128203</c:v>
                </c:pt>
                <c:pt idx="58">
                  <c:v>375.16119548674914</c:v>
                </c:pt>
                <c:pt idx="59">
                  <c:v>375.34962614948205</c:v>
                </c:pt>
                <c:pt idx="60">
                  <c:v>373.50320008346745</c:v>
                </c:pt>
                <c:pt idx="61">
                  <c:v>380.61729782455291</c:v>
                </c:pt>
                <c:pt idx="62">
                  <c:v>376.30816877417868</c:v>
                </c:pt>
                <c:pt idx="63">
                  <c:v>385.68499291080684</c:v>
                </c:pt>
                <c:pt idx="64">
                  <c:v>383.14695928823016</c:v>
                </c:pt>
                <c:pt idx="65">
                  <c:v>385.78030459219684</c:v>
                </c:pt>
                <c:pt idx="66">
                  <c:v>390.30498519613064</c:v>
                </c:pt>
                <c:pt idx="67">
                  <c:v>398.39155163047343</c:v>
                </c:pt>
                <c:pt idx="68">
                  <c:v>399.95336898294698</c:v>
                </c:pt>
                <c:pt idx="69">
                  <c:v>398.79484361942042</c:v>
                </c:pt>
                <c:pt idx="70">
                  <c:v>395.47573420489391</c:v>
                </c:pt>
                <c:pt idx="71">
                  <c:v>396.70719003829424</c:v>
                </c:pt>
                <c:pt idx="72">
                  <c:v>400.41469737469458</c:v>
                </c:pt>
                <c:pt idx="73">
                  <c:v>405.11607506209504</c:v>
                </c:pt>
                <c:pt idx="74">
                  <c:v>408.82246362149522</c:v>
                </c:pt>
                <c:pt idx="75">
                  <c:v>418.99592281252239</c:v>
                </c:pt>
                <c:pt idx="76">
                  <c:v>420.95731757142789</c:v>
                </c:pt>
                <c:pt idx="77">
                  <c:v>430.84073838241943</c:v>
                </c:pt>
                <c:pt idx="78">
                  <c:v>434.62041649246368</c:v>
                </c:pt>
                <c:pt idx="79">
                  <c:v>445.46440298251412</c:v>
                </c:pt>
                <c:pt idx="80">
                  <c:v>447.34171999417322</c:v>
                </c:pt>
                <c:pt idx="81">
                  <c:v>450.8671409883284</c:v>
                </c:pt>
                <c:pt idx="82">
                  <c:v>453.47034909046369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AC-4AE9-A9D3-E0C5A9D6E58F}"/>
            </c:ext>
          </c:extLst>
        </c:ser>
        <c:ser>
          <c:idx val="1"/>
          <c:order val="1"/>
          <c:tx>
            <c:strRef>
              <c:f>'Credit Organized'!$C$2</c:f>
              <c:strCache>
                <c:ptCount val="1"/>
                <c:pt idx="0">
                  <c:v>Housing Credit</c:v>
                </c:pt>
              </c:strCache>
            </c:strRef>
          </c:tx>
          <c:spPr>
            <a:ln w="28575" cap="rnd">
              <a:solidFill>
                <a:srgbClr val="F18C18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'Credit Organized'!$A$6:$A$85</c:f>
              <c:numCache>
                <c:formatCode>m/d/yyyy</c:formatCode>
                <c:ptCount val="80"/>
                <c:pt idx="0">
                  <c:v>36616</c:v>
                </c:pt>
                <c:pt idx="1">
                  <c:v>36707</c:v>
                </c:pt>
                <c:pt idx="2">
                  <c:v>36799</c:v>
                </c:pt>
                <c:pt idx="3">
                  <c:v>36891</c:v>
                </c:pt>
                <c:pt idx="4">
                  <c:v>36981</c:v>
                </c:pt>
                <c:pt idx="5">
                  <c:v>37072</c:v>
                </c:pt>
                <c:pt idx="6">
                  <c:v>37164</c:v>
                </c:pt>
                <c:pt idx="7">
                  <c:v>37256</c:v>
                </c:pt>
                <c:pt idx="8">
                  <c:v>37346</c:v>
                </c:pt>
                <c:pt idx="9">
                  <c:v>37437</c:v>
                </c:pt>
                <c:pt idx="10">
                  <c:v>37529</c:v>
                </c:pt>
                <c:pt idx="11">
                  <c:v>37621</c:v>
                </c:pt>
                <c:pt idx="12">
                  <c:v>37711</c:v>
                </c:pt>
                <c:pt idx="13">
                  <c:v>37802</c:v>
                </c:pt>
                <c:pt idx="14">
                  <c:v>37894</c:v>
                </c:pt>
                <c:pt idx="15">
                  <c:v>37986</c:v>
                </c:pt>
                <c:pt idx="16">
                  <c:v>38077</c:v>
                </c:pt>
                <c:pt idx="17">
                  <c:v>38168</c:v>
                </c:pt>
                <c:pt idx="18">
                  <c:v>38260</c:v>
                </c:pt>
                <c:pt idx="19">
                  <c:v>38352</c:v>
                </c:pt>
                <c:pt idx="20">
                  <c:v>38442</c:v>
                </c:pt>
                <c:pt idx="21">
                  <c:v>38533</c:v>
                </c:pt>
                <c:pt idx="22">
                  <c:v>38625</c:v>
                </c:pt>
                <c:pt idx="23">
                  <c:v>38717</c:v>
                </c:pt>
                <c:pt idx="24">
                  <c:v>38807</c:v>
                </c:pt>
                <c:pt idx="25">
                  <c:v>38898</c:v>
                </c:pt>
                <c:pt idx="26">
                  <c:v>38990</c:v>
                </c:pt>
                <c:pt idx="27">
                  <c:v>39082</c:v>
                </c:pt>
                <c:pt idx="28">
                  <c:v>39172</c:v>
                </c:pt>
                <c:pt idx="29">
                  <c:v>39263</c:v>
                </c:pt>
                <c:pt idx="30">
                  <c:v>39355</c:v>
                </c:pt>
                <c:pt idx="31">
                  <c:v>39447</c:v>
                </c:pt>
                <c:pt idx="32">
                  <c:v>39538</c:v>
                </c:pt>
                <c:pt idx="33">
                  <c:v>39629</c:v>
                </c:pt>
                <c:pt idx="34">
                  <c:v>39721</c:v>
                </c:pt>
                <c:pt idx="35">
                  <c:v>39813</c:v>
                </c:pt>
                <c:pt idx="36">
                  <c:v>39903</c:v>
                </c:pt>
                <c:pt idx="37">
                  <c:v>39994</c:v>
                </c:pt>
                <c:pt idx="38">
                  <c:v>40086</c:v>
                </c:pt>
                <c:pt idx="39">
                  <c:v>40178</c:v>
                </c:pt>
                <c:pt idx="40">
                  <c:v>40268</c:v>
                </c:pt>
                <c:pt idx="41">
                  <c:v>40359</c:v>
                </c:pt>
                <c:pt idx="42">
                  <c:v>40451</c:v>
                </c:pt>
                <c:pt idx="43">
                  <c:v>40543</c:v>
                </c:pt>
                <c:pt idx="44">
                  <c:v>40633</c:v>
                </c:pt>
                <c:pt idx="45">
                  <c:v>40724</c:v>
                </c:pt>
                <c:pt idx="46">
                  <c:v>40816</c:v>
                </c:pt>
                <c:pt idx="47">
                  <c:v>40908</c:v>
                </c:pt>
                <c:pt idx="48">
                  <c:v>40999</c:v>
                </c:pt>
                <c:pt idx="49">
                  <c:v>41090</c:v>
                </c:pt>
                <c:pt idx="50">
                  <c:v>41182</c:v>
                </c:pt>
                <c:pt idx="51">
                  <c:v>41274</c:v>
                </c:pt>
                <c:pt idx="52">
                  <c:v>41364</c:v>
                </c:pt>
                <c:pt idx="53">
                  <c:v>41455</c:v>
                </c:pt>
                <c:pt idx="54">
                  <c:v>41547</c:v>
                </c:pt>
                <c:pt idx="55">
                  <c:v>41639</c:v>
                </c:pt>
                <c:pt idx="56">
                  <c:v>41729</c:v>
                </c:pt>
                <c:pt idx="57">
                  <c:v>41820</c:v>
                </c:pt>
                <c:pt idx="58">
                  <c:v>41912</c:v>
                </c:pt>
                <c:pt idx="59">
                  <c:v>42004</c:v>
                </c:pt>
                <c:pt idx="60">
                  <c:v>42094</c:v>
                </c:pt>
                <c:pt idx="61">
                  <c:v>42185</c:v>
                </c:pt>
                <c:pt idx="62">
                  <c:v>42277</c:v>
                </c:pt>
                <c:pt idx="63">
                  <c:v>42369</c:v>
                </c:pt>
                <c:pt idx="64">
                  <c:v>42460</c:v>
                </c:pt>
                <c:pt idx="65">
                  <c:v>42551</c:v>
                </c:pt>
                <c:pt idx="66">
                  <c:v>42643</c:v>
                </c:pt>
                <c:pt idx="67">
                  <c:v>42735</c:v>
                </c:pt>
                <c:pt idx="68">
                  <c:v>42825</c:v>
                </c:pt>
                <c:pt idx="69">
                  <c:v>42916</c:v>
                </c:pt>
                <c:pt idx="70">
                  <c:v>43008</c:v>
                </c:pt>
                <c:pt idx="71">
                  <c:v>43100</c:v>
                </c:pt>
                <c:pt idx="72">
                  <c:v>43190</c:v>
                </c:pt>
                <c:pt idx="73">
                  <c:v>43281</c:v>
                </c:pt>
                <c:pt idx="74">
                  <c:v>43373</c:v>
                </c:pt>
                <c:pt idx="75">
                  <c:v>43465</c:v>
                </c:pt>
                <c:pt idx="76">
                  <c:v>43555</c:v>
                </c:pt>
                <c:pt idx="77">
                  <c:v>43646</c:v>
                </c:pt>
                <c:pt idx="78">
                  <c:v>43738</c:v>
                </c:pt>
                <c:pt idx="79">
                  <c:v>43830</c:v>
                </c:pt>
              </c:numCache>
            </c:numRef>
          </c:cat>
          <c:val>
            <c:numRef>
              <c:f>'Credit Organized'!$C$3:$C$85</c:f>
              <c:numCache>
                <c:formatCode>General</c:formatCode>
                <c:ptCount val="83"/>
                <c:pt idx="3">
                  <c:v>79.272500152768927</c:v>
                </c:pt>
                <c:pt idx="4">
                  <c:v>82.147011836871783</c:v>
                </c:pt>
                <c:pt idx="5">
                  <c:v>83.752663502532187</c:v>
                </c:pt>
                <c:pt idx="6">
                  <c:v>85.992244332885335</c:v>
                </c:pt>
                <c:pt idx="7">
                  <c:v>86.448478092377243</c:v>
                </c:pt>
                <c:pt idx="8">
                  <c:v>88.832425641591428</c:v>
                </c:pt>
                <c:pt idx="9">
                  <c:v>91.644638617662736</c:v>
                </c:pt>
                <c:pt idx="10">
                  <c:v>92.505008026714037</c:v>
                </c:pt>
                <c:pt idx="11">
                  <c:v>96.049806745187425</c:v>
                </c:pt>
                <c:pt idx="12">
                  <c:v>100.55644420580974</c:v>
                </c:pt>
                <c:pt idx="13">
                  <c:v>102.70489148504967</c:v>
                </c:pt>
                <c:pt idx="14">
                  <c:v>102.78210200498465</c:v>
                </c:pt>
                <c:pt idx="15">
                  <c:v>102.90181977798549</c:v>
                </c:pt>
                <c:pt idx="16">
                  <c:v>102.1228222295959</c:v>
                </c:pt>
                <c:pt idx="17">
                  <c:v>102.30068254802511</c:v>
                </c:pt>
                <c:pt idx="18">
                  <c:v>101.5028087004486</c:v>
                </c:pt>
                <c:pt idx="19">
                  <c:v>101.17219462373301</c:v>
                </c:pt>
                <c:pt idx="20">
                  <c:v>103.1309972808391</c:v>
                </c:pt>
                <c:pt idx="21">
                  <c:v>103.57827016894511</c:v>
                </c:pt>
                <c:pt idx="22">
                  <c:v>103.24042774842107</c:v>
                </c:pt>
                <c:pt idx="23">
                  <c:v>103.37309017357767</c:v>
                </c:pt>
                <c:pt idx="24">
                  <c:v>105.05282574952811</c:v>
                </c:pt>
                <c:pt idx="25">
                  <c:v>107.16189895477211</c:v>
                </c:pt>
                <c:pt idx="26">
                  <c:v>108.8072902154064</c:v>
                </c:pt>
                <c:pt idx="27">
                  <c:v>109.15289237643267</c:v>
                </c:pt>
                <c:pt idx="28">
                  <c:v>110.31906570217912</c:v>
                </c:pt>
                <c:pt idx="29">
                  <c:v>110.9575093891935</c:v>
                </c:pt>
                <c:pt idx="30">
                  <c:v>110.01991620344083</c:v>
                </c:pt>
                <c:pt idx="31">
                  <c:v>110.92704600482827</c:v>
                </c:pt>
                <c:pt idx="32">
                  <c:v>113.23918292132589</c:v>
                </c:pt>
                <c:pt idx="33">
                  <c:v>118.53870915237829</c:v>
                </c:pt>
                <c:pt idx="34">
                  <c:v>119.58232981087583</c:v>
                </c:pt>
                <c:pt idx="35">
                  <c:v>122.20068782205617</c:v>
                </c:pt>
                <c:pt idx="36">
                  <c:v>127.23350926885483</c:v>
                </c:pt>
                <c:pt idx="37">
                  <c:v>133.8390670865019</c:v>
                </c:pt>
                <c:pt idx="38">
                  <c:v>135.89498931744686</c:v>
                </c:pt>
                <c:pt idx="39">
                  <c:v>136.73075263586222</c:v>
                </c:pt>
                <c:pt idx="40">
                  <c:v>141.54955903860733</c:v>
                </c:pt>
                <c:pt idx="41">
                  <c:v>148.59515386714963</c:v>
                </c:pt>
                <c:pt idx="42">
                  <c:v>153.65133178261868</c:v>
                </c:pt>
                <c:pt idx="43">
                  <c:v>156.76661790477417</c:v>
                </c:pt>
                <c:pt idx="44">
                  <c:v>164.29152270887323</c:v>
                </c:pt>
                <c:pt idx="45">
                  <c:v>172.48076940601686</c:v>
                </c:pt>
                <c:pt idx="46">
                  <c:v>178.54631771307473</c:v>
                </c:pt>
                <c:pt idx="47">
                  <c:v>185.32333897133611</c:v>
                </c:pt>
                <c:pt idx="48">
                  <c:v>190.99831164000008</c:v>
                </c:pt>
                <c:pt idx="49">
                  <c:v>196.1934512200001</c:v>
                </c:pt>
                <c:pt idx="50">
                  <c:v>198.33663056000009</c:v>
                </c:pt>
                <c:pt idx="51">
                  <c:v>200.78686543000009</c:v>
                </c:pt>
                <c:pt idx="52">
                  <c:v>206.55542430000008</c:v>
                </c:pt>
                <c:pt idx="53">
                  <c:v>213.91014818000008</c:v>
                </c:pt>
                <c:pt idx="54">
                  <c:v>217.66746931000009</c:v>
                </c:pt>
                <c:pt idx="55">
                  <c:v>221.49700149000009</c:v>
                </c:pt>
                <c:pt idx="56">
                  <c:v>227.6795759500001</c:v>
                </c:pt>
                <c:pt idx="57">
                  <c:v>234.6659031800001</c:v>
                </c:pt>
                <c:pt idx="58">
                  <c:v>239.04766845000012</c:v>
                </c:pt>
                <c:pt idx="59">
                  <c:v>242.36130832000009</c:v>
                </c:pt>
                <c:pt idx="60">
                  <c:v>247.86434627000017</c:v>
                </c:pt>
                <c:pt idx="61">
                  <c:v>253.33746141000006</c:v>
                </c:pt>
                <c:pt idx="62">
                  <c:v>257.91745753000009</c:v>
                </c:pt>
                <c:pt idx="63">
                  <c:v>261.28342041000008</c:v>
                </c:pt>
                <c:pt idx="64">
                  <c:v>269.95074269000008</c:v>
                </c:pt>
                <c:pt idx="65">
                  <c:v>277.90293874000002</c:v>
                </c:pt>
                <c:pt idx="66">
                  <c:v>282.74309175000002</c:v>
                </c:pt>
                <c:pt idx="67">
                  <c:v>286.78920218999997</c:v>
                </c:pt>
                <c:pt idx="68">
                  <c:v>292.93796457000002</c:v>
                </c:pt>
                <c:pt idx="69">
                  <c:v>298.11261760000002</c:v>
                </c:pt>
                <c:pt idx="70">
                  <c:v>299.08939422000003</c:v>
                </c:pt>
                <c:pt idx="71">
                  <c:v>302.31646627999999</c:v>
                </c:pt>
                <c:pt idx="72">
                  <c:v>308.29096800000002</c:v>
                </c:pt>
                <c:pt idx="73">
                  <c:v>311.60700320000001</c:v>
                </c:pt>
                <c:pt idx="74">
                  <c:v>315.08859997999997</c:v>
                </c:pt>
                <c:pt idx="75">
                  <c:v>318.86091009</c:v>
                </c:pt>
                <c:pt idx="76">
                  <c:v>325.13606915000003</c:v>
                </c:pt>
                <c:pt idx="77">
                  <c:v>330.35553900000002</c:v>
                </c:pt>
                <c:pt idx="78">
                  <c:v>337.04388290999998</c:v>
                </c:pt>
                <c:pt idx="79">
                  <c:v>341.08579179000003</c:v>
                </c:pt>
                <c:pt idx="80">
                  <c:v>349.43076607</c:v>
                </c:pt>
                <c:pt idx="81">
                  <c:v>355.98501153000001</c:v>
                </c:pt>
                <c:pt idx="82">
                  <c:v>362.34008602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AC-4AE9-A9D3-E0C5A9D6E58F}"/>
            </c:ext>
          </c:extLst>
        </c:ser>
        <c:ser>
          <c:idx val="2"/>
          <c:order val="2"/>
          <c:tx>
            <c:strRef>
              <c:f>'Credit Organized'!$D$2</c:f>
              <c:strCache>
                <c:ptCount val="1"/>
                <c:pt idx="0">
                  <c:v>Consumer Credit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'Credit Organized'!$A$6:$A$85</c:f>
              <c:numCache>
                <c:formatCode>m/d/yyyy</c:formatCode>
                <c:ptCount val="80"/>
                <c:pt idx="0">
                  <c:v>36616</c:v>
                </c:pt>
                <c:pt idx="1">
                  <c:v>36707</c:v>
                </c:pt>
                <c:pt idx="2">
                  <c:v>36799</c:v>
                </c:pt>
                <c:pt idx="3">
                  <c:v>36891</c:v>
                </c:pt>
                <c:pt idx="4">
                  <c:v>36981</c:v>
                </c:pt>
                <c:pt idx="5">
                  <c:v>37072</c:v>
                </c:pt>
                <c:pt idx="6">
                  <c:v>37164</c:v>
                </c:pt>
                <c:pt idx="7">
                  <c:v>37256</c:v>
                </c:pt>
                <c:pt idx="8">
                  <c:v>37346</c:v>
                </c:pt>
                <c:pt idx="9">
                  <c:v>37437</c:v>
                </c:pt>
                <c:pt idx="10">
                  <c:v>37529</c:v>
                </c:pt>
                <c:pt idx="11">
                  <c:v>37621</c:v>
                </c:pt>
                <c:pt idx="12">
                  <c:v>37711</c:v>
                </c:pt>
                <c:pt idx="13">
                  <c:v>37802</c:v>
                </c:pt>
                <c:pt idx="14">
                  <c:v>37894</c:v>
                </c:pt>
                <c:pt idx="15">
                  <c:v>37986</c:v>
                </c:pt>
                <c:pt idx="16">
                  <c:v>38077</c:v>
                </c:pt>
                <c:pt idx="17">
                  <c:v>38168</c:v>
                </c:pt>
                <c:pt idx="18">
                  <c:v>38260</c:v>
                </c:pt>
                <c:pt idx="19">
                  <c:v>38352</c:v>
                </c:pt>
                <c:pt idx="20">
                  <c:v>38442</c:v>
                </c:pt>
                <c:pt idx="21">
                  <c:v>38533</c:v>
                </c:pt>
                <c:pt idx="22">
                  <c:v>38625</c:v>
                </c:pt>
                <c:pt idx="23">
                  <c:v>38717</c:v>
                </c:pt>
                <c:pt idx="24">
                  <c:v>38807</c:v>
                </c:pt>
                <c:pt idx="25">
                  <c:v>38898</c:v>
                </c:pt>
                <c:pt idx="26">
                  <c:v>38990</c:v>
                </c:pt>
                <c:pt idx="27">
                  <c:v>39082</c:v>
                </c:pt>
                <c:pt idx="28">
                  <c:v>39172</c:v>
                </c:pt>
                <c:pt idx="29">
                  <c:v>39263</c:v>
                </c:pt>
                <c:pt idx="30">
                  <c:v>39355</c:v>
                </c:pt>
                <c:pt idx="31">
                  <c:v>39447</c:v>
                </c:pt>
                <c:pt idx="32">
                  <c:v>39538</c:v>
                </c:pt>
                <c:pt idx="33">
                  <c:v>39629</c:v>
                </c:pt>
                <c:pt idx="34">
                  <c:v>39721</c:v>
                </c:pt>
                <c:pt idx="35">
                  <c:v>39813</c:v>
                </c:pt>
                <c:pt idx="36">
                  <c:v>39903</c:v>
                </c:pt>
                <c:pt idx="37">
                  <c:v>39994</c:v>
                </c:pt>
                <c:pt idx="38">
                  <c:v>40086</c:v>
                </c:pt>
                <c:pt idx="39">
                  <c:v>40178</c:v>
                </c:pt>
                <c:pt idx="40">
                  <c:v>40268</c:v>
                </c:pt>
                <c:pt idx="41">
                  <c:v>40359</c:v>
                </c:pt>
                <c:pt idx="42">
                  <c:v>40451</c:v>
                </c:pt>
                <c:pt idx="43">
                  <c:v>40543</c:v>
                </c:pt>
                <c:pt idx="44">
                  <c:v>40633</c:v>
                </c:pt>
                <c:pt idx="45">
                  <c:v>40724</c:v>
                </c:pt>
                <c:pt idx="46">
                  <c:v>40816</c:v>
                </c:pt>
                <c:pt idx="47">
                  <c:v>40908</c:v>
                </c:pt>
                <c:pt idx="48">
                  <c:v>40999</c:v>
                </c:pt>
                <c:pt idx="49">
                  <c:v>41090</c:v>
                </c:pt>
                <c:pt idx="50">
                  <c:v>41182</c:v>
                </c:pt>
                <c:pt idx="51">
                  <c:v>41274</c:v>
                </c:pt>
                <c:pt idx="52">
                  <c:v>41364</c:v>
                </c:pt>
                <c:pt idx="53">
                  <c:v>41455</c:v>
                </c:pt>
                <c:pt idx="54">
                  <c:v>41547</c:v>
                </c:pt>
                <c:pt idx="55">
                  <c:v>41639</c:v>
                </c:pt>
                <c:pt idx="56">
                  <c:v>41729</c:v>
                </c:pt>
                <c:pt idx="57">
                  <c:v>41820</c:v>
                </c:pt>
                <c:pt idx="58">
                  <c:v>41912</c:v>
                </c:pt>
                <c:pt idx="59">
                  <c:v>42004</c:v>
                </c:pt>
                <c:pt idx="60">
                  <c:v>42094</c:v>
                </c:pt>
                <c:pt idx="61">
                  <c:v>42185</c:v>
                </c:pt>
                <c:pt idx="62">
                  <c:v>42277</c:v>
                </c:pt>
                <c:pt idx="63">
                  <c:v>42369</c:v>
                </c:pt>
                <c:pt idx="64">
                  <c:v>42460</c:v>
                </c:pt>
                <c:pt idx="65">
                  <c:v>42551</c:v>
                </c:pt>
                <c:pt idx="66">
                  <c:v>42643</c:v>
                </c:pt>
                <c:pt idx="67">
                  <c:v>42735</c:v>
                </c:pt>
                <c:pt idx="68">
                  <c:v>42825</c:v>
                </c:pt>
                <c:pt idx="69">
                  <c:v>42916</c:v>
                </c:pt>
                <c:pt idx="70">
                  <c:v>43008</c:v>
                </c:pt>
                <c:pt idx="71">
                  <c:v>43100</c:v>
                </c:pt>
                <c:pt idx="72">
                  <c:v>43190</c:v>
                </c:pt>
                <c:pt idx="73">
                  <c:v>43281</c:v>
                </c:pt>
                <c:pt idx="74">
                  <c:v>43373</c:v>
                </c:pt>
                <c:pt idx="75">
                  <c:v>43465</c:v>
                </c:pt>
                <c:pt idx="76">
                  <c:v>43555</c:v>
                </c:pt>
                <c:pt idx="77">
                  <c:v>43646</c:v>
                </c:pt>
                <c:pt idx="78">
                  <c:v>43738</c:v>
                </c:pt>
                <c:pt idx="79">
                  <c:v>43830</c:v>
                </c:pt>
              </c:numCache>
            </c:numRef>
          </c:cat>
          <c:val>
            <c:numRef>
              <c:f>'Credit Organized'!$D$3:$D$85</c:f>
              <c:numCache>
                <c:formatCode>General</c:formatCode>
                <c:ptCount val="83"/>
                <c:pt idx="3">
                  <c:v>58.442553342432817</c:v>
                </c:pt>
                <c:pt idx="4">
                  <c:v>60.508224097329233</c:v>
                </c:pt>
                <c:pt idx="5">
                  <c:v>62.301166414806232</c:v>
                </c:pt>
                <c:pt idx="6">
                  <c:v>60.738700378598864</c:v>
                </c:pt>
                <c:pt idx="7">
                  <c:v>59.885406873511315</c:v>
                </c:pt>
                <c:pt idx="8">
                  <c:v>60.340483840326627</c:v>
                </c:pt>
                <c:pt idx="9">
                  <c:v>62.223688557376022</c:v>
                </c:pt>
                <c:pt idx="10">
                  <c:v>63.330646073583623</c:v>
                </c:pt>
                <c:pt idx="11">
                  <c:v>62.641213607548679</c:v>
                </c:pt>
                <c:pt idx="12">
                  <c:v>64.402108413527131</c:v>
                </c:pt>
                <c:pt idx="13">
                  <c:v>65.975364857600937</c:v>
                </c:pt>
                <c:pt idx="14">
                  <c:v>65.568113102677572</c:v>
                </c:pt>
                <c:pt idx="15">
                  <c:v>63.922839844810071</c:v>
                </c:pt>
                <c:pt idx="16">
                  <c:v>64.810870768135118</c:v>
                </c:pt>
                <c:pt idx="17">
                  <c:v>65.738971074727928</c:v>
                </c:pt>
                <c:pt idx="18">
                  <c:v>66.98550409358792</c:v>
                </c:pt>
                <c:pt idx="19">
                  <c:v>65.715453388173202</c:v>
                </c:pt>
                <c:pt idx="20">
                  <c:v>66.022686151253083</c:v>
                </c:pt>
                <c:pt idx="21">
                  <c:v>66.610857057381097</c:v>
                </c:pt>
                <c:pt idx="22">
                  <c:v>69.779035200541301</c:v>
                </c:pt>
                <c:pt idx="23">
                  <c:v>69.867902906219499</c:v>
                </c:pt>
                <c:pt idx="24">
                  <c:v>71.39946638387984</c:v>
                </c:pt>
                <c:pt idx="25">
                  <c:v>73.607470768293837</c:v>
                </c:pt>
                <c:pt idx="26">
                  <c:v>75.792519296054252</c:v>
                </c:pt>
                <c:pt idx="27">
                  <c:v>77.114710350586336</c:v>
                </c:pt>
                <c:pt idx="28">
                  <c:v>78.261129997654265</c:v>
                </c:pt>
                <c:pt idx="29">
                  <c:v>80.969206746061772</c:v>
                </c:pt>
                <c:pt idx="30">
                  <c:v>79.452583058599402</c:v>
                </c:pt>
                <c:pt idx="31">
                  <c:v>77.213309448774567</c:v>
                </c:pt>
                <c:pt idx="32">
                  <c:v>82.832433967878359</c:v>
                </c:pt>
                <c:pt idx="33">
                  <c:v>85.996871777801033</c:v>
                </c:pt>
                <c:pt idx="34">
                  <c:v>91.582616343360812</c:v>
                </c:pt>
                <c:pt idx="35">
                  <c:v>92.717357929935488</c:v>
                </c:pt>
                <c:pt idx="36">
                  <c:v>95.625099626518264</c:v>
                </c:pt>
                <c:pt idx="37">
                  <c:v>99.778439622429914</c:v>
                </c:pt>
                <c:pt idx="38">
                  <c:v>99.798808754996259</c:v>
                </c:pt>
                <c:pt idx="39">
                  <c:v>99.443798479885601</c:v>
                </c:pt>
                <c:pt idx="40">
                  <c:v>101.77214573083529</c:v>
                </c:pt>
                <c:pt idx="41">
                  <c:v>104.93553505262139</c:v>
                </c:pt>
                <c:pt idx="42">
                  <c:v>107.11237312869599</c:v>
                </c:pt>
                <c:pt idx="43">
                  <c:v>108.23679449130489</c:v>
                </c:pt>
                <c:pt idx="44">
                  <c:v>111.93179393573132</c:v>
                </c:pt>
                <c:pt idx="45">
                  <c:v>114.02496254610992</c:v>
                </c:pt>
                <c:pt idx="46">
                  <c:v>114.57351818069199</c:v>
                </c:pt>
                <c:pt idx="47">
                  <c:v>115.49969810584344</c:v>
                </c:pt>
                <c:pt idx="48">
                  <c:v>119.2211887608677</c:v>
                </c:pt>
                <c:pt idx="49">
                  <c:v>121.20177980669723</c:v>
                </c:pt>
                <c:pt idx="50">
                  <c:v>122.40756112112845</c:v>
                </c:pt>
                <c:pt idx="51">
                  <c:v>125.07356867276428</c:v>
                </c:pt>
                <c:pt idx="52">
                  <c:v>124.4712431504214</c:v>
                </c:pt>
                <c:pt idx="53">
                  <c:v>126.33895354014862</c:v>
                </c:pt>
                <c:pt idx="54">
                  <c:v>127.16262465697557</c:v>
                </c:pt>
                <c:pt idx="55">
                  <c:v>128.57656943903604</c:v>
                </c:pt>
                <c:pt idx="56">
                  <c:v>130.39313413591552</c:v>
                </c:pt>
                <c:pt idx="57">
                  <c:v>132.52460070173129</c:v>
                </c:pt>
                <c:pt idx="58">
                  <c:v>135.26013684552936</c:v>
                </c:pt>
                <c:pt idx="59">
                  <c:v>134.45491790725822</c:v>
                </c:pt>
                <c:pt idx="60">
                  <c:v>136.91665302280694</c:v>
                </c:pt>
                <c:pt idx="61">
                  <c:v>139.12458319158111</c:v>
                </c:pt>
                <c:pt idx="62">
                  <c:v>140.60797007816188</c:v>
                </c:pt>
                <c:pt idx="63">
                  <c:v>140.83180652120996</c:v>
                </c:pt>
                <c:pt idx="64">
                  <c:v>142.85646847409657</c:v>
                </c:pt>
                <c:pt idx="65">
                  <c:v>144.17893672922366</c:v>
                </c:pt>
                <c:pt idx="66">
                  <c:v>146.00476794605203</c:v>
                </c:pt>
                <c:pt idx="67">
                  <c:v>147.83942234039426</c:v>
                </c:pt>
                <c:pt idx="68">
                  <c:v>149.26261201539097</c:v>
                </c:pt>
                <c:pt idx="69">
                  <c:v>152.5003580752512</c:v>
                </c:pt>
                <c:pt idx="70">
                  <c:v>151.96647134660253</c:v>
                </c:pt>
                <c:pt idx="71">
                  <c:v>153.52490825953657</c:v>
                </c:pt>
                <c:pt idx="72">
                  <c:v>154.06400322621869</c:v>
                </c:pt>
                <c:pt idx="73">
                  <c:v>154.02638468407349</c:v>
                </c:pt>
                <c:pt idx="74">
                  <c:v>153.99446325499866</c:v>
                </c:pt>
                <c:pt idx="75">
                  <c:v>154.60632975021093</c:v>
                </c:pt>
                <c:pt idx="76">
                  <c:v>154.99212072542326</c:v>
                </c:pt>
                <c:pt idx="77">
                  <c:v>153.97121531063561</c:v>
                </c:pt>
                <c:pt idx="78">
                  <c:v>153.88621913584797</c:v>
                </c:pt>
                <c:pt idx="79">
                  <c:v>154.28502628584795</c:v>
                </c:pt>
                <c:pt idx="80">
                  <c:v>153.99418389584793</c:v>
                </c:pt>
                <c:pt idx="81">
                  <c:v>154.44678980584791</c:v>
                </c:pt>
                <c:pt idx="82">
                  <c:v>152.69682472584788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AC-4AE9-A9D3-E0C5A9D6E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8715904"/>
        <c:axId val="1168716560"/>
      </c:lineChart>
      <c:dateAx>
        <c:axId val="1168715904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Times New Roman" panose="02020603050405020304" pitchFamily="18" charset="0"/>
              </a:defRPr>
            </a:pPr>
            <a:endParaRPr lang="he-IL"/>
          </a:p>
        </c:txPr>
        <c:crossAx val="1168716560"/>
        <c:crosses val="autoZero"/>
        <c:auto val="1"/>
        <c:lblOffset val="100"/>
        <c:baseTimeUnit val="months"/>
        <c:majorUnit val="12"/>
        <c:majorTimeUnit val="months"/>
      </c:dateAx>
      <c:valAx>
        <c:axId val="116871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NIS Billions</a:t>
                </a:r>
                <a:endParaRPr lang="he-IL"/>
              </a:p>
            </c:rich>
          </c:tx>
          <c:layout>
            <c:manualLayout>
              <c:xMode val="edge"/>
              <c:yMode val="edge"/>
              <c:x val="8.1771720613287909E-3"/>
              <c:y val="0.370220678028823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Book Antiqua" panose="02040602050305030304" pitchFamily="18" charset="0"/>
                  <a:ea typeface="+mn-ea"/>
                  <a:cs typeface="Times New Roman" panose="02020603050405020304" pitchFamily="18" charset="0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Times New Roman" panose="02020603050405020304" pitchFamily="18" charset="0"/>
              </a:defRPr>
            </a:pPr>
            <a:endParaRPr lang="he-IL"/>
          </a:p>
        </c:txPr>
        <c:crossAx val="116871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Times New Roman" panose="02020603050405020304" pitchFamily="18" charset="0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Book Antiqua" panose="02040602050305030304" pitchFamily="18" charset="0"/>
          <a:cs typeface="Times New Roman" panose="02020603050405020304" pitchFamily="18" charset="0"/>
        </a:defRPr>
      </a:pPr>
      <a:endParaRPr lang="he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0942857" cy="70476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ED11F-6F4D-4DAD-B5FA-7F978CE16B65}"/>
</file>

<file path=customXml/itemProps2.xml><?xml version="1.0" encoding="utf-8"?>
<ds:datastoreItem xmlns:ds="http://schemas.openxmlformats.org/officeDocument/2006/customXml" ds:itemID="{439FCE16-17A2-4FB5-9953-FD31691B82E3}"/>
</file>

<file path=customXml/itemProps3.xml><?xml version="1.0" encoding="utf-8"?>
<ds:datastoreItem xmlns:ds="http://schemas.openxmlformats.org/officeDocument/2006/customXml" ds:itemID="{AF7B2113-79FF-47E5-A2C8-F4F786D994B6}"/>
</file>

<file path=customXml/itemProps4.xml><?xml version="1.0" encoding="utf-8"?>
<ds:datastoreItem xmlns:ds="http://schemas.openxmlformats.org/officeDocument/2006/customXml" ds:itemID="{19CD36A2-1B0A-4BF7-8CC5-78B75E116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סעדון</dc:creator>
  <cp:keywords/>
  <dc:description/>
  <cp:lastModifiedBy>דניאל שלומיוק</cp:lastModifiedBy>
  <cp:revision>2</cp:revision>
  <cp:lastPrinted>2021-02-07T04:56:00Z</cp:lastPrinted>
  <dcterms:created xsi:type="dcterms:W3CDTF">2021-02-10T09:56:00Z</dcterms:created>
  <dcterms:modified xsi:type="dcterms:W3CDTF">2021-02-10T09:56:00Z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