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5F38994" wp14:editId="4AF1D5E5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837763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837763">
              <w:rPr>
                <w:rFonts w:cs="David" w:hint="cs"/>
                <w:sz w:val="24"/>
                <w:szCs w:val="24"/>
                <w:rtl/>
              </w:rPr>
              <w:t>כ</w:t>
            </w:r>
            <w:r w:rsidR="00AA7ED7">
              <w:rPr>
                <w:rFonts w:cs="David" w:hint="cs"/>
                <w:sz w:val="24"/>
                <w:szCs w:val="24"/>
                <w:rtl/>
              </w:rPr>
              <w:t>"</w:t>
            </w:r>
            <w:r w:rsidR="00837763">
              <w:rPr>
                <w:rFonts w:cs="David" w:hint="cs"/>
                <w:sz w:val="24"/>
                <w:szCs w:val="24"/>
                <w:rtl/>
              </w:rPr>
              <w:t>א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בכסלו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837763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837763">
              <w:rPr>
                <w:rFonts w:cs="David" w:hint="cs"/>
                <w:sz w:val="24"/>
                <w:szCs w:val="24"/>
                <w:rtl/>
              </w:rPr>
              <w:t>24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בנובמבר</w:t>
            </w:r>
            <w:r>
              <w:rPr>
                <w:rFonts w:cs="David"/>
                <w:sz w:val="24"/>
                <w:szCs w:val="24"/>
                <w:rtl/>
              </w:rPr>
              <w:t xml:space="preserve"> 2013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D94E75" w:rsidRDefault="00D94E75" w:rsidP="00784D6A">
      <w:pPr>
        <w:bidi/>
        <w:spacing w:line="360" w:lineRule="auto"/>
        <w:ind w:left="401" w:right="-101"/>
        <w:rPr>
          <w:rFonts w:cs="David" w:hint="cs"/>
          <w:sz w:val="24"/>
          <w:szCs w:val="24"/>
          <w:rtl/>
        </w:rPr>
      </w:pPr>
    </w:p>
    <w:p w:rsidR="007E18EE" w:rsidRDefault="007E18EE" w:rsidP="00D94E75">
      <w:pPr>
        <w:bidi/>
        <w:spacing w:line="360" w:lineRule="auto"/>
        <w:ind w:left="401"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C04A6B" w:rsidP="00C04A6B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6E613D" w:rsidRDefault="006E613D" w:rsidP="006E613D">
      <w:pPr>
        <w:bidi/>
        <w:spacing w:line="360" w:lineRule="auto"/>
        <w:jc w:val="center"/>
        <w:rPr>
          <w:rFonts w:cs="David" w:hint="cs"/>
          <w:sz w:val="26"/>
          <w:szCs w:val="26"/>
          <w:u w:val="single"/>
          <w:rtl/>
        </w:rPr>
      </w:pPr>
      <w:r w:rsidRPr="006E613D">
        <w:rPr>
          <w:rFonts w:cs="David" w:hint="cs"/>
          <w:sz w:val="26"/>
          <w:szCs w:val="26"/>
          <w:u w:val="single"/>
          <w:rtl/>
        </w:rPr>
        <w:t>התפתחויות בתיק הנכסים הפיננסיים של הציבור ברביע השלישי של שנת 2013</w:t>
      </w:r>
    </w:p>
    <w:p w:rsidR="00D94E75" w:rsidRPr="006E613D" w:rsidRDefault="00D94E75" w:rsidP="00D94E75">
      <w:pPr>
        <w:bidi/>
        <w:spacing w:line="360" w:lineRule="auto"/>
        <w:jc w:val="center"/>
        <w:rPr>
          <w:rFonts w:cs="David"/>
          <w:sz w:val="26"/>
          <w:szCs w:val="26"/>
          <w:u w:val="single"/>
          <w:rtl/>
        </w:rPr>
      </w:pPr>
    </w:p>
    <w:p w:rsidR="006E613D" w:rsidRPr="006E613D" w:rsidRDefault="006E613D" w:rsidP="005F27E9">
      <w:pPr>
        <w:numPr>
          <w:ilvl w:val="0"/>
          <w:numId w:val="1"/>
        </w:numPr>
        <w:tabs>
          <w:tab w:val="clear" w:pos="720"/>
          <w:tab w:val="num" w:pos="827"/>
        </w:tabs>
        <w:bidi/>
        <w:spacing w:line="360" w:lineRule="auto"/>
        <w:ind w:left="827" w:right="993" w:hanging="426"/>
        <w:jc w:val="both"/>
        <w:rPr>
          <w:rFonts w:cs="David"/>
          <w:b/>
          <w:bCs/>
          <w:sz w:val="24"/>
          <w:szCs w:val="24"/>
        </w:rPr>
      </w:pPr>
      <w:r w:rsidRPr="006E613D">
        <w:rPr>
          <w:rFonts w:cs="David" w:hint="cs"/>
          <w:b/>
          <w:bCs/>
          <w:sz w:val="24"/>
          <w:szCs w:val="24"/>
          <w:rtl/>
        </w:rPr>
        <w:t>ברביע  השלישי של שנת 2013 נרשמה עלייה ריאלית בשווי תיק הנכסים הפיננסיים של הציבור של כ-1.9% (54 מיליארדי ₪) והוא עמד בסוף ספטמבר על כ- 2.8 טריליוני שקלים.</w:t>
      </w:r>
    </w:p>
    <w:p w:rsidR="006E613D" w:rsidRPr="006E613D" w:rsidRDefault="006E613D" w:rsidP="005F27E9">
      <w:pPr>
        <w:numPr>
          <w:ilvl w:val="0"/>
          <w:numId w:val="1"/>
        </w:numPr>
        <w:tabs>
          <w:tab w:val="clear" w:pos="720"/>
          <w:tab w:val="num" w:pos="827"/>
        </w:tabs>
        <w:bidi/>
        <w:spacing w:line="360" w:lineRule="auto"/>
        <w:ind w:left="827" w:right="993" w:hanging="426"/>
        <w:jc w:val="both"/>
        <w:rPr>
          <w:rFonts w:cs="David"/>
          <w:b/>
          <w:bCs/>
          <w:color w:val="FF0000"/>
          <w:sz w:val="24"/>
          <w:szCs w:val="24"/>
        </w:rPr>
      </w:pPr>
      <w:r w:rsidRPr="006E613D">
        <w:rPr>
          <w:rFonts w:cs="David" w:hint="cs"/>
          <w:b/>
          <w:bCs/>
          <w:sz w:val="24"/>
          <w:szCs w:val="24"/>
          <w:rtl/>
        </w:rPr>
        <w:t xml:space="preserve">הגידול בשווי תיק הנכסים ברביע השלישי נבע בעיקר מעלייה בשווי תיק המניות בארץ (כ-36 מיליארדי ₪, 8.7%) ובחו"ל (17 מיליארדי דולרים, 8.4%): שילוב של עליית המחירים בבורסות, ושל זרם ההשקעות נטו של תושבי ישראל בחו"ל. </w:t>
      </w:r>
    </w:p>
    <w:p w:rsidR="006E613D" w:rsidRPr="006E613D" w:rsidRDefault="006E613D" w:rsidP="005F27E9">
      <w:pPr>
        <w:numPr>
          <w:ilvl w:val="0"/>
          <w:numId w:val="1"/>
        </w:numPr>
        <w:tabs>
          <w:tab w:val="clear" w:pos="720"/>
          <w:tab w:val="num" w:pos="827"/>
        </w:tabs>
        <w:bidi/>
        <w:spacing w:line="360" w:lineRule="auto"/>
        <w:ind w:left="827" w:right="993" w:hanging="426"/>
        <w:jc w:val="both"/>
        <w:rPr>
          <w:rFonts w:cs="David"/>
          <w:b/>
          <w:bCs/>
          <w:sz w:val="24"/>
          <w:szCs w:val="24"/>
        </w:rPr>
      </w:pPr>
      <w:r w:rsidRPr="006E613D">
        <w:rPr>
          <w:rFonts w:cs="David" w:hint="cs"/>
          <w:b/>
          <w:bCs/>
          <w:sz w:val="24"/>
          <w:szCs w:val="24"/>
          <w:rtl/>
        </w:rPr>
        <w:t>כתוצאה מהתפתחויות אלו, חלה מתחילת השנה עלייה של 1.6 נקודת אחוז במשקל הנכסים הסחירים בתיק, במקביל לעלייה של 1.4 נקודות אחוז במשקלם של הנכסים בסיכון בארץ ובחו"ל.</w:t>
      </w:r>
    </w:p>
    <w:p w:rsidR="006E613D" w:rsidRPr="006E613D" w:rsidRDefault="006E613D" w:rsidP="005F27E9">
      <w:pPr>
        <w:numPr>
          <w:ilvl w:val="0"/>
          <w:numId w:val="1"/>
        </w:numPr>
        <w:tabs>
          <w:tab w:val="clear" w:pos="720"/>
          <w:tab w:val="num" w:pos="827"/>
        </w:tabs>
        <w:bidi/>
        <w:spacing w:line="360" w:lineRule="auto"/>
        <w:ind w:left="827" w:right="993" w:hanging="426"/>
        <w:jc w:val="both"/>
        <w:rPr>
          <w:rFonts w:cs="David"/>
          <w:b/>
          <w:bCs/>
          <w:sz w:val="24"/>
          <w:szCs w:val="24"/>
          <w:rtl/>
        </w:rPr>
      </w:pPr>
      <w:r w:rsidRPr="006E613D">
        <w:rPr>
          <w:rFonts w:cs="David" w:hint="cs"/>
          <w:b/>
          <w:bCs/>
          <w:sz w:val="24"/>
          <w:szCs w:val="24"/>
          <w:rtl/>
        </w:rPr>
        <w:t>בתיק המנוהל באמצעות קרנות נאמנות נרשמה ברביע השלישי של 2013 צבירה נטו של כ-10 מיליארדי ₪ (%8) בעיקר בקרנות הכספיות ובקרנות המתמחות באג"ח חברות צמודות מדד.</w:t>
      </w:r>
    </w:p>
    <w:p w:rsidR="006E613D" w:rsidRPr="006E613D" w:rsidRDefault="006E613D" w:rsidP="005F27E9">
      <w:pPr>
        <w:bidi/>
        <w:spacing w:line="360" w:lineRule="auto"/>
        <w:ind w:right="993"/>
        <w:rPr>
          <w:rFonts w:cs="David"/>
          <w:b/>
          <w:bCs/>
          <w:rtl/>
        </w:rPr>
      </w:pPr>
    </w:p>
    <w:p w:rsidR="006E613D" w:rsidRPr="006E613D" w:rsidRDefault="006E613D" w:rsidP="005F27E9">
      <w:pPr>
        <w:pStyle w:val="a9"/>
        <w:numPr>
          <w:ilvl w:val="0"/>
          <w:numId w:val="2"/>
        </w:numPr>
        <w:bidi/>
        <w:spacing w:line="360" w:lineRule="auto"/>
        <w:ind w:left="827" w:right="993" w:hanging="426"/>
        <w:rPr>
          <w:rFonts w:cs="David"/>
          <w:b/>
          <w:bCs/>
          <w:sz w:val="24"/>
          <w:szCs w:val="24"/>
          <w:rtl/>
        </w:rPr>
      </w:pPr>
      <w:r w:rsidRPr="006E613D">
        <w:rPr>
          <w:rFonts w:cs="David" w:hint="cs"/>
          <w:b/>
          <w:bCs/>
          <w:sz w:val="24"/>
          <w:szCs w:val="24"/>
          <w:rtl/>
        </w:rPr>
        <w:t>סך תיק הנכסים</w:t>
      </w:r>
    </w:p>
    <w:p w:rsidR="006E613D" w:rsidRPr="006E613D" w:rsidRDefault="006E613D" w:rsidP="005F27E9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6E613D">
        <w:rPr>
          <w:rFonts w:cs="David" w:hint="cs"/>
          <w:sz w:val="24"/>
          <w:szCs w:val="24"/>
          <w:rtl/>
        </w:rPr>
        <w:t xml:space="preserve">מהחטיבה למידע ולסטטיסטיקה בבנק ישראל נמסר, כי </w:t>
      </w:r>
      <w:r w:rsidRPr="006E613D">
        <w:rPr>
          <w:rFonts w:cs="David" w:hint="cs"/>
          <w:b/>
          <w:bCs/>
          <w:sz w:val="24"/>
          <w:szCs w:val="24"/>
          <w:rtl/>
        </w:rPr>
        <w:t xml:space="preserve">ברביע השלישי של שנת 2013 </w:t>
      </w:r>
      <w:r w:rsidRPr="006E613D">
        <w:rPr>
          <w:rFonts w:cs="David" w:hint="cs"/>
          <w:sz w:val="24"/>
          <w:szCs w:val="24"/>
          <w:rtl/>
        </w:rPr>
        <w:t>עלה ריאלית שווי תיק הנכסים של הציבור ב-1.9% ועמד בסוף ספטמבר על 2.8 טריליוני ₪.</w:t>
      </w:r>
    </w:p>
    <w:p w:rsidR="006E613D" w:rsidRDefault="006E613D" w:rsidP="005F27E9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6E613D">
        <w:rPr>
          <w:rFonts w:cs="David" w:hint="cs"/>
          <w:sz w:val="24"/>
          <w:szCs w:val="24"/>
          <w:rtl/>
        </w:rPr>
        <w:t xml:space="preserve">עיקר העלייה בשווי תיק הנכסים, ברביע זה, נבעה מגידול בשווי תיק המניות בתל אביב - עלייה של כ-36 מיליארדי ש"ח (%8.7), ברובה בשל עליית המחירים. במקביל חלה עלייה של כ-17 מיליארדי דולרים (5%) בשווי התיק הסחיר בחו"ל </w:t>
      </w:r>
      <w:r w:rsidRPr="006E613D">
        <w:rPr>
          <w:rFonts w:cs="David"/>
          <w:sz w:val="24"/>
          <w:szCs w:val="24"/>
          <w:rtl/>
        </w:rPr>
        <w:t>–</w:t>
      </w:r>
      <w:r w:rsidRPr="006E613D">
        <w:rPr>
          <w:rFonts w:cs="David" w:hint="cs"/>
          <w:sz w:val="24"/>
          <w:szCs w:val="24"/>
          <w:rtl/>
        </w:rPr>
        <w:t xml:space="preserve"> שילוב של עלייה בהשקעות ועליית המחירים.</w:t>
      </w:r>
    </w:p>
    <w:p w:rsidR="00092B5D" w:rsidRDefault="00092B5D" w:rsidP="005F27E9">
      <w:pPr>
        <w:bidi/>
        <w:spacing w:line="360" w:lineRule="auto"/>
        <w:ind w:left="-166" w:right="-101"/>
        <w:jc w:val="both"/>
        <w:rPr>
          <w:rFonts w:cs="David"/>
          <w:sz w:val="24"/>
          <w:szCs w:val="24"/>
        </w:rPr>
      </w:pPr>
    </w:p>
    <w:p w:rsidR="005F27E9" w:rsidRDefault="00D94E75" w:rsidP="005F27E9">
      <w:pPr>
        <w:bidi/>
        <w:spacing w:line="360" w:lineRule="auto"/>
        <w:ind w:left="-166" w:right="-101"/>
        <w:jc w:val="both"/>
        <w:rPr>
          <w:rFonts w:cs="David" w:hint="cs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5B64BDB7" wp14:editId="42CF0712">
            <wp:simplePos x="0" y="0"/>
            <wp:positionH relativeFrom="margin">
              <wp:posOffset>441325</wp:posOffset>
            </wp:positionH>
            <wp:positionV relativeFrom="margin">
              <wp:posOffset>5730875</wp:posOffset>
            </wp:positionV>
            <wp:extent cx="6281420" cy="3833495"/>
            <wp:effectExtent l="0" t="0" r="508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E75" w:rsidRDefault="00D94E75" w:rsidP="00D94E75">
      <w:pPr>
        <w:bidi/>
        <w:spacing w:line="360" w:lineRule="auto"/>
        <w:ind w:left="-166" w:right="-101"/>
        <w:jc w:val="both"/>
        <w:rPr>
          <w:rFonts w:cs="David" w:hint="cs"/>
          <w:sz w:val="24"/>
          <w:szCs w:val="24"/>
          <w:rtl/>
        </w:rPr>
      </w:pPr>
    </w:p>
    <w:p w:rsidR="005F27E9" w:rsidRDefault="005F27E9" w:rsidP="00092B5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D94E75" w:rsidRDefault="00D94E75">
      <w:pPr>
        <w:spacing w:after="200" w:line="276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br w:type="page"/>
      </w:r>
    </w:p>
    <w:p w:rsidR="00D94E75" w:rsidRDefault="00D94E75">
      <w:pPr>
        <w:spacing w:after="200" w:line="276" w:lineRule="auto"/>
        <w:rPr>
          <w:rFonts w:cs="David"/>
          <w:sz w:val="24"/>
          <w:szCs w:val="24"/>
        </w:rPr>
      </w:pPr>
    </w:p>
    <w:p w:rsidR="00D94E75" w:rsidRDefault="00D94E75">
      <w:pPr>
        <w:spacing w:after="200" w:line="276" w:lineRule="auto"/>
        <w:rPr>
          <w:rFonts w:cs="David"/>
          <w:sz w:val="24"/>
          <w:szCs w:val="24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32"/>
        <w:gridCol w:w="1134"/>
        <w:gridCol w:w="705"/>
        <w:gridCol w:w="869"/>
        <w:gridCol w:w="814"/>
        <w:gridCol w:w="594"/>
        <w:gridCol w:w="594"/>
        <w:gridCol w:w="570"/>
        <w:gridCol w:w="570"/>
        <w:gridCol w:w="535"/>
        <w:gridCol w:w="595"/>
        <w:gridCol w:w="923"/>
        <w:gridCol w:w="643"/>
        <w:gridCol w:w="671"/>
        <w:gridCol w:w="500"/>
      </w:tblGrid>
      <w:tr w:rsidR="006F588B" w:rsidRPr="006F588B" w:rsidTr="006F588B">
        <w:trPr>
          <w:trHeight w:val="6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D94E75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Bidi" w:hAnsiTheme="minorBidi" w:cs="David" w:hint="cs"/>
                <w:b/>
                <w:bCs/>
                <w:sz w:val="22"/>
                <w:szCs w:val="22"/>
                <w:rtl/>
                <w:lang w:eastAsia="en-US"/>
              </w:rPr>
              <w:t>ל</w:t>
            </w:r>
            <w:r w:rsidR="006F588B" w:rsidRPr="006F588B">
              <w:rPr>
                <w:rFonts w:asciiTheme="minorBidi" w:hAnsiTheme="minorBidi" w:cs="David"/>
                <w:b/>
                <w:bCs/>
                <w:sz w:val="22"/>
                <w:szCs w:val="22"/>
                <w:rtl/>
                <w:lang w:eastAsia="en-US"/>
              </w:rPr>
              <w:t>וח 1</w:t>
            </w:r>
            <w:r w:rsidR="006F588B" w:rsidRPr="00891E06">
              <w:rPr>
                <w:rFonts w:asciiTheme="minorBidi" w:hAnsiTheme="minorBidi" w:cs="David" w:hint="cs"/>
                <w:b/>
                <w:bCs/>
                <w:sz w:val="18"/>
                <w:szCs w:val="18"/>
                <w:rtl/>
                <w:lang w:eastAsia="en-US"/>
              </w:rPr>
              <w:t>:</w:t>
            </w:r>
            <w:r w:rsidR="006F588B"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="006F588B" w:rsidRPr="006F588B"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  <w:lang w:eastAsia="en-US"/>
              </w:rPr>
              <w:t>התפלגות תיק הנכסים של הציבור</w:t>
            </w:r>
            <w:r w:rsidR="006F588B" w:rsidRPr="006F588B"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vertAlign w:val="superscript"/>
                <w:rtl/>
                <w:lang w:eastAsia="en-US"/>
              </w:rPr>
              <w:t>1</w:t>
            </w:r>
          </w:p>
        </w:tc>
      </w:tr>
      <w:tr w:rsidR="006F588B" w:rsidRPr="00891E06" w:rsidTr="006F588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</w:tr>
      <w:tr w:rsidR="00891E06" w:rsidRPr="00891E06" w:rsidTr="006F588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מזה: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אג"ח ממשלתי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אג"ח פרטי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השקעות תושבי ישראל בחו"ל</w:t>
            </w: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891E06" w:rsidRPr="00891E06" w:rsidTr="006F588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ס"כ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השינוי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מזומן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7"/>
                <w:szCs w:val="17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7"/>
                <w:szCs w:val="17"/>
                <w:rtl/>
                <w:lang w:eastAsia="en-US"/>
              </w:rPr>
              <w:t>פ</w:t>
            </w:r>
            <w:r w:rsidRPr="00891E06">
              <w:rPr>
                <w:rFonts w:asciiTheme="minorBidi" w:hAnsiTheme="minorBidi" w:cs="David" w:hint="cs"/>
                <w:b/>
                <w:bCs/>
                <w:sz w:val="17"/>
                <w:szCs w:val="17"/>
                <w:rtl/>
                <w:lang w:eastAsia="en-US"/>
              </w:rPr>
              <w:t>י</w:t>
            </w:r>
            <w:r w:rsidRPr="006F588B">
              <w:rPr>
                <w:rFonts w:asciiTheme="minorBidi" w:hAnsiTheme="minorBidi" w:cs="David"/>
                <w:b/>
                <w:bCs/>
                <w:sz w:val="17"/>
                <w:szCs w:val="17"/>
                <w:rtl/>
                <w:lang w:eastAsia="en-US"/>
              </w:rPr>
              <w:t xml:space="preserve">קדונות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לא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לא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מניות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6F588B" w:rsidRPr="00891E06" w:rsidTr="006F588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ind w:left="-35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התקופה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התיק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הריאלי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ופ</w:t>
            </w:r>
            <w:r w:rsidRPr="00891E06">
              <w:rPr>
                <w:rFonts w:asciiTheme="minorBidi" w:hAnsiTheme="minorBidi" w:cs="David" w:hint="cs"/>
                <w:b/>
                <w:bCs/>
                <w:sz w:val="18"/>
                <w:szCs w:val="18"/>
                <w:rtl/>
                <w:lang w:eastAsia="en-US"/>
              </w:rPr>
              <w:t>י</w:t>
            </w: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קדונות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שיקליים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סחיר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סחיר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סחיר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סחיר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מקם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בארץ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פ</w:t>
            </w:r>
            <w:r w:rsidRPr="00891E06">
              <w:rPr>
                <w:rFonts w:asciiTheme="minorBidi" w:hAnsiTheme="minorBidi" w:cs="David" w:hint="cs"/>
                <w:b/>
                <w:bCs/>
                <w:sz w:val="18"/>
                <w:szCs w:val="18"/>
                <w:rtl/>
                <w:lang w:eastAsia="en-US"/>
              </w:rPr>
              <w:t>י</w:t>
            </w: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קדונות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אג"ח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מניות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rtl/>
                <w:lang w:eastAsia="en-US"/>
              </w:rPr>
              <w:t>אחר</w:t>
            </w:r>
          </w:p>
        </w:tc>
      </w:tr>
      <w:tr w:rsidR="006F588B" w:rsidRPr="00891E06" w:rsidTr="006F588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rtl/>
                <w:lang w:eastAsia="en-US"/>
              </w:rPr>
              <w:t>במיליארדי  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jc w:val="center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rtl/>
                <w:lang w:eastAsia="en-US"/>
              </w:rPr>
              <w:t>התפלגות באחוזים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12.2010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2,555.6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8.3%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5.9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12.2011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2,526.4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2.1%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6.0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6.9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03.2012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2,578.5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1.7%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15.4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2.9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06.2012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2,566.9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-1.0%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2.8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09.2012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2,647.2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2.9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12.2012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2,711.2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2.9%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15.0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7.9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03.2013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2,760.2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3.2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06.2013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2,774.2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-0.8%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15.0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3.2</w:t>
            </w:r>
          </w:p>
        </w:tc>
      </w:tr>
      <w:tr w:rsidR="006F588B" w:rsidRPr="00891E06" w:rsidTr="006F588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ind w:left="-35"/>
              <w:jc w:val="right"/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b/>
                <w:bCs/>
                <w:sz w:val="18"/>
                <w:szCs w:val="18"/>
                <w:lang w:eastAsia="en-US"/>
              </w:rPr>
              <w:t>09.2013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2,841.9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1.9%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15.9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jc w:val="right"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lang w:eastAsia="en-US"/>
              </w:rPr>
              <w:t>3.1</w:t>
            </w:r>
          </w:p>
        </w:tc>
      </w:tr>
      <w:tr w:rsidR="006F588B" w:rsidRPr="00891E06" w:rsidTr="006F588B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rtl/>
                <w:lang w:eastAsia="en-US"/>
              </w:rPr>
              <w:t xml:space="preserve">1. "הצבור" - אינו כולל את הממשלה, את בנק ישראל, את השקעות תושבי חוץ ואת הבנקים </w:t>
            </w:r>
            <w:proofErr w:type="spellStart"/>
            <w:r w:rsidRPr="006F588B">
              <w:rPr>
                <w:rFonts w:asciiTheme="minorBidi" w:hAnsiTheme="minorBidi" w:cs="David"/>
                <w:sz w:val="18"/>
                <w:szCs w:val="18"/>
                <w:rtl/>
                <w:lang w:eastAsia="en-US"/>
              </w:rPr>
              <w:t>המיסחריים</w:t>
            </w:r>
            <w:proofErr w:type="spellEnd"/>
            <w:r w:rsidRPr="006F588B">
              <w:rPr>
                <w:rFonts w:asciiTheme="minorBidi" w:hAnsiTheme="minorBidi" w:cs="David"/>
                <w:sz w:val="18"/>
                <w:szCs w:val="18"/>
                <w:rtl/>
                <w:lang w:eastAsia="en-US"/>
              </w:rPr>
              <w:t xml:space="preserve"> והבנקים למשכנתאות.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</w:tr>
      <w:tr w:rsidR="006F588B" w:rsidRPr="00891E06" w:rsidTr="006F588B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bidi/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  <w:r w:rsidRPr="006F588B">
              <w:rPr>
                <w:rFonts w:asciiTheme="minorBidi" w:hAnsiTheme="minorBidi" w:cs="David"/>
                <w:sz w:val="18"/>
                <w:szCs w:val="18"/>
                <w:rtl/>
                <w:lang w:eastAsia="en-US"/>
              </w:rPr>
              <w:t>2. לרבות השקעה בני"ע ישראליים הנסחרים בחו"ל, ולמעט השקעה בתעודות-סל הנסחרות בת"א על מדדים בחו"ל.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8B" w:rsidRPr="006F588B" w:rsidRDefault="006F588B" w:rsidP="006F588B">
            <w:pPr>
              <w:rPr>
                <w:rFonts w:asciiTheme="minorBidi" w:hAnsiTheme="minorBidi" w:cs="David"/>
                <w:sz w:val="18"/>
                <w:szCs w:val="18"/>
                <w:lang w:eastAsia="en-US"/>
              </w:rPr>
            </w:pPr>
          </w:p>
        </w:tc>
      </w:tr>
    </w:tbl>
    <w:p w:rsidR="005F27E9" w:rsidRPr="006F588B" w:rsidRDefault="005F27E9" w:rsidP="005F27E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092B5D">
        <w:rPr>
          <w:rFonts w:cs="David" w:hint="cs"/>
          <w:sz w:val="24"/>
          <w:szCs w:val="24"/>
          <w:rtl/>
        </w:rPr>
        <w:t>מתחילת שנת 2013 חלה עלייה של כ-1.6 אחוזים במשקל הנכסים הסחירים בארץ ובחו"ל וכ- 1.4 במשקל הנכסים בסיכון.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706"/>
        <w:gridCol w:w="706"/>
        <w:gridCol w:w="706"/>
        <w:gridCol w:w="706"/>
        <w:gridCol w:w="706"/>
        <w:gridCol w:w="1012"/>
        <w:gridCol w:w="930"/>
      </w:tblGrid>
      <w:tr w:rsidR="00891E06" w:rsidRPr="00891E06" w:rsidTr="0093381F">
        <w:trPr>
          <w:trHeight w:val="405"/>
          <w:jc w:val="center"/>
        </w:trPr>
        <w:tc>
          <w:tcPr>
            <w:tcW w:w="7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547D04">
            <w:pPr>
              <w:bidi/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t xml:space="preserve">לוח 2: </w:t>
            </w:r>
            <w:r w:rsidRPr="00891E06">
              <w:rPr>
                <w:rFonts w:ascii="Arial" w:hAnsi="Arial" w:cs="David"/>
                <w:b/>
                <w:bCs/>
                <w:sz w:val="26"/>
                <w:szCs w:val="26"/>
                <w:u w:val="single"/>
                <w:rtl/>
                <w:lang w:eastAsia="en-US"/>
              </w:rPr>
              <w:t>סחירות וסיכון בתיק הנכסים של הציבור (משקל באחוזים</w:t>
            </w:r>
            <w:r w:rsidR="00547D04">
              <w:rPr>
                <w:rFonts w:ascii="Arial" w:hAnsi="Arial" w:cs="David" w:hint="cs"/>
                <w:sz w:val="22"/>
                <w:szCs w:val="22"/>
                <w:rtl/>
                <w:lang w:eastAsia="en-US"/>
              </w:rPr>
              <w:t>)</w:t>
            </w:r>
          </w:p>
        </w:tc>
      </w:tr>
      <w:tr w:rsidR="00891E06" w:rsidRPr="00891E06" w:rsidTr="0093381F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22"/>
                <w:szCs w:val="22"/>
                <w:lang w:eastAsia="en-US"/>
              </w:rPr>
            </w:pPr>
          </w:p>
        </w:tc>
      </w:tr>
      <w:tr w:rsidR="00891E06" w:rsidRPr="00891E06" w:rsidTr="0093381F">
        <w:trPr>
          <w:trHeight w:val="14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  <w:t>09/2013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E06" w:rsidRPr="00891E06" w:rsidRDefault="00891E06" w:rsidP="00891E06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t>שינוי מתחילת השנה</w:t>
            </w:r>
            <w:r w:rsidRPr="00891E06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br/>
              <w:t>(נק' אחוז)</w:t>
            </w:r>
          </w:p>
        </w:tc>
      </w:tr>
      <w:tr w:rsidR="00891E06" w:rsidRPr="00891E06" w:rsidTr="0093381F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t>שיעור הנכסים הסחירים</w:t>
            </w:r>
            <w:r w:rsidRPr="00891E06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42.1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50.4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54.1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49.6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50.8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52.4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1.6</w:t>
            </w:r>
          </w:p>
        </w:tc>
      </w:tr>
      <w:tr w:rsidR="00891E06" w:rsidRPr="00891E06" w:rsidTr="0093381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t>שיעור הנכסים הזרים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12.5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0.7</w:t>
            </w:r>
          </w:p>
        </w:tc>
      </w:tr>
      <w:tr w:rsidR="00891E06" w:rsidRPr="00891E06" w:rsidTr="0093381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t>שיעור הנכסים במט"ח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18.3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0.9</w:t>
            </w:r>
          </w:p>
        </w:tc>
      </w:tr>
      <w:tr w:rsidR="00891E06" w:rsidRPr="00891E06" w:rsidTr="0093381F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b/>
                <w:bCs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t>שעור הנכסים בסיכון</w:t>
            </w:r>
            <w:r w:rsidRPr="00891E06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34.3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43.7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47.0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43.6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40.1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41.5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22"/>
                <w:szCs w:val="22"/>
                <w:lang w:eastAsia="en-US"/>
              </w:rPr>
            </w:pPr>
            <w:r w:rsidRPr="00891E06">
              <w:rPr>
                <w:rFonts w:ascii="Arial" w:hAnsi="Arial" w:cs="David"/>
                <w:sz w:val="22"/>
                <w:szCs w:val="22"/>
                <w:lang w:eastAsia="en-US"/>
              </w:rPr>
              <w:t>1.4</w:t>
            </w:r>
          </w:p>
        </w:tc>
      </w:tr>
      <w:tr w:rsidR="00891E06" w:rsidRPr="00891E06" w:rsidTr="0093381F">
        <w:trPr>
          <w:trHeight w:val="36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891E06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1. הנכסים הסחירים כוללם ני"ע בארץ ובחו"ל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jc w:val="center"/>
              <w:rPr>
                <w:rFonts w:ascii="Arial" w:hAnsi="Arial" w:cs="David"/>
                <w:sz w:val="18"/>
                <w:szCs w:val="18"/>
                <w:lang w:eastAsia="en-US"/>
              </w:rPr>
            </w:pPr>
          </w:p>
        </w:tc>
      </w:tr>
      <w:tr w:rsidR="00891E06" w:rsidRPr="00891E06" w:rsidTr="0093381F">
        <w:trPr>
          <w:trHeight w:val="360"/>
          <w:jc w:val="center"/>
        </w:trPr>
        <w:tc>
          <w:tcPr>
            <w:tcW w:w="7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06" w:rsidRPr="00891E06" w:rsidRDefault="00891E06" w:rsidP="00891E06">
            <w:pPr>
              <w:bidi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891E06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2. הנכסים בסיכון כוללים את סך הנכסים למעט אג"ח ממשלתי, </w:t>
            </w:r>
            <w:proofErr w:type="spellStart"/>
            <w:r w:rsidRPr="00891E06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מק"ם</w:t>
            </w:r>
            <w:proofErr w:type="spellEnd"/>
            <w:r w:rsidRPr="00891E06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, פ</w:t>
            </w:r>
            <w:r w:rsidR="00547D04">
              <w:rPr>
                <w:rFonts w:ascii="Arial" w:hAnsi="Arial" w:cs="David" w:hint="cs"/>
                <w:sz w:val="18"/>
                <w:szCs w:val="18"/>
                <w:rtl/>
                <w:lang w:eastAsia="en-US"/>
              </w:rPr>
              <w:t>י</w:t>
            </w:r>
            <w:r w:rsidRPr="00891E06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קדונות (בארץ בחו"ל) ומזומן</w:t>
            </w:r>
          </w:p>
        </w:tc>
      </w:tr>
    </w:tbl>
    <w:p w:rsidR="00092B5D" w:rsidRDefault="00092B5D" w:rsidP="00092B5D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93381F" w:rsidRDefault="0093381F">
      <w:pPr>
        <w:spacing w:after="200" w:line="276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93381F" w:rsidRDefault="0093381F" w:rsidP="0093381F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</w:p>
    <w:tbl>
      <w:tblPr>
        <w:bidiVisual/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1428"/>
        <w:gridCol w:w="930"/>
        <w:gridCol w:w="692"/>
        <w:gridCol w:w="1085"/>
        <w:gridCol w:w="832"/>
        <w:gridCol w:w="748"/>
        <w:gridCol w:w="827"/>
        <w:gridCol w:w="743"/>
        <w:gridCol w:w="876"/>
        <w:gridCol w:w="853"/>
        <w:gridCol w:w="834"/>
        <w:gridCol w:w="741"/>
      </w:tblGrid>
      <w:tr w:rsidR="0093381F" w:rsidRPr="0093381F" w:rsidTr="0093381F">
        <w:trPr>
          <w:trHeight w:val="525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sz w:val="22"/>
                <w:szCs w:val="22"/>
                <w:rtl/>
                <w:lang w:eastAsia="en-US"/>
              </w:rPr>
              <w:t>לוח 3:</w:t>
            </w: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 xml:space="preserve"> </w:t>
            </w:r>
            <w:r w:rsidRPr="0093381F">
              <w:rPr>
                <w:rFonts w:ascii="Arial" w:hAnsi="Arial" w:cs="David"/>
                <w:b/>
                <w:bCs/>
                <w:sz w:val="26"/>
                <w:szCs w:val="26"/>
                <w:u w:val="single"/>
                <w:rtl/>
                <w:lang w:eastAsia="en-US"/>
              </w:rPr>
              <w:t>אומדן השפעות המחיר והכמות על שווי ההשקעות בתיקי ני"ע בארץ ובחו"ל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</w:tr>
      <w:tr w:rsidR="0093381F" w:rsidRPr="0093381F" w:rsidTr="0093381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rPr>
                <w:rFonts w:ascii="Arial" w:hAnsi="Arial" w:cs="David"/>
                <w:lang w:eastAsia="en-US"/>
              </w:rPr>
            </w:pPr>
          </w:p>
        </w:tc>
      </w:tr>
      <w:tr w:rsidR="0093381F" w:rsidRPr="0093381F" w:rsidTr="0093381F">
        <w:trPr>
          <w:trHeight w:val="3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יתרות (מיליארדי ש"ח)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השינוי בסכומים (מיליארדי ש"ח)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שיעור השינוי (%)</w:t>
            </w:r>
          </w:p>
        </w:tc>
      </w:tr>
      <w:tr w:rsidR="0093381F" w:rsidRPr="0093381F" w:rsidTr="0093381F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דצמבר 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יוני 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ספטמבר 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מצטבר 2013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 xml:space="preserve">רביע </w:t>
            </w:r>
            <w:r w:rsidRPr="0093381F">
              <w:rPr>
                <w:rFonts w:ascii="Arial" w:hAnsi="Arial" w:cs="David"/>
                <w:b/>
                <w:bCs/>
                <w:lang w:eastAsia="en-US"/>
              </w:rPr>
              <w:t>III/2013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מצטבר 2013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 xml:space="preserve">רביע </w:t>
            </w:r>
            <w:r w:rsidRPr="0093381F">
              <w:rPr>
                <w:rFonts w:ascii="Arial" w:hAnsi="Arial" w:cs="David"/>
                <w:b/>
                <w:bCs/>
                <w:lang w:eastAsia="en-US"/>
              </w:rPr>
              <w:t>III/2013</w:t>
            </w:r>
          </w:p>
        </w:tc>
      </w:tr>
      <w:tr w:rsidR="0093381F" w:rsidRPr="0093381F" w:rsidTr="0093381F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תנועות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מחיר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תנועות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מחיר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תנועות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מחיר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תנועות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81F" w:rsidRPr="0093381F" w:rsidRDefault="0093381F" w:rsidP="0093381F">
            <w:pPr>
              <w:bidi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אומדן מחיר</w:t>
            </w:r>
          </w:p>
        </w:tc>
      </w:tr>
      <w:tr w:rsidR="0093381F" w:rsidRPr="0093381F" w:rsidTr="0093381F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rtl/>
                <w:lang w:eastAsia="en-US"/>
              </w:rPr>
              <w:t>סה"כ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93381F">
              <w:rPr>
                <w:rFonts w:ascii="Arial" w:hAnsi="Arial" w:cs="David"/>
                <w:b/>
                <w:bCs/>
                <w:lang w:eastAsia="en-US"/>
              </w:rPr>
              <w:t> </w:t>
            </w:r>
          </w:p>
        </w:tc>
      </w:tr>
      <w:tr w:rsidR="0093381F" w:rsidRPr="0093381F" w:rsidTr="0093381F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>אג"ח פרטי סחיר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-3.7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-3.9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-1.4%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2.9%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-1.5%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1.8%</w:t>
            </w:r>
          </w:p>
        </w:tc>
      </w:tr>
      <w:tr w:rsidR="0093381F" w:rsidRPr="0093381F" w:rsidTr="0093381F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>מניות בארץ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-0.9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44.9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36.0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-0.2%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11.0%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0.0%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8.7%</w:t>
            </w:r>
          </w:p>
        </w:tc>
      </w:tr>
      <w:tr w:rsidR="0093381F" w:rsidRPr="0093381F" w:rsidTr="0093381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>מניות בחו"ל*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18.7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11.0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10.2%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6.0%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4.2%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lang w:eastAsia="en-US"/>
              </w:rPr>
              <w:t>4.2%</w:t>
            </w:r>
          </w:p>
        </w:tc>
      </w:tr>
      <w:tr w:rsidR="0093381F" w:rsidRPr="0093381F" w:rsidTr="0093381F">
        <w:trPr>
          <w:trHeight w:val="36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>* כולל הפרשי שע"ח ואחר בחישוב הפרשי המחיר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</w:tr>
      <w:tr w:rsidR="0093381F" w:rsidRPr="0093381F" w:rsidTr="0093381F">
        <w:trPr>
          <w:trHeight w:val="36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bidi/>
              <w:rPr>
                <w:rFonts w:ascii="Arial" w:hAnsi="Arial" w:cs="David"/>
                <w:lang w:eastAsia="en-US"/>
              </w:rPr>
            </w:pPr>
            <w:r w:rsidRPr="0093381F">
              <w:rPr>
                <w:rFonts w:ascii="Arial" w:hAnsi="Arial" w:cs="David"/>
                <w:rtl/>
                <w:lang w:eastAsia="en-US"/>
              </w:rPr>
              <w:t xml:space="preserve">** אומדנים לחישוב - אג"ח פרטי סחיר: מדד אג"ח לא ממשלתיות סחיר. מניות בארץ: מדד מניות כללי. מניות בחו"ל: נתוני </w:t>
            </w:r>
            <w:r w:rsidRPr="0093381F">
              <w:rPr>
                <w:rFonts w:ascii="Arial" w:hAnsi="Arial" w:cs="David"/>
                <w:lang w:eastAsia="en-US"/>
              </w:rPr>
              <w:t>IIP</w:t>
            </w:r>
            <w:r w:rsidRPr="0093381F">
              <w:rPr>
                <w:rFonts w:ascii="Arial" w:hAnsi="Arial" w:cs="David"/>
                <w:rtl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1F" w:rsidRPr="0093381F" w:rsidRDefault="0093381F" w:rsidP="0093381F">
            <w:pPr>
              <w:jc w:val="center"/>
              <w:rPr>
                <w:rFonts w:ascii="Arial" w:hAnsi="Arial" w:cs="David"/>
                <w:lang w:eastAsia="en-US"/>
              </w:rPr>
            </w:pPr>
          </w:p>
        </w:tc>
      </w:tr>
    </w:tbl>
    <w:p w:rsidR="0093381F" w:rsidRPr="0093381F" w:rsidRDefault="0093381F" w:rsidP="0093381F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93381F" w:rsidRPr="00891E06" w:rsidRDefault="0093381F" w:rsidP="0093381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092B5D" w:rsidRPr="00092B5D" w:rsidRDefault="00092B5D" w:rsidP="00016312">
      <w:pPr>
        <w:pStyle w:val="a9"/>
        <w:numPr>
          <w:ilvl w:val="0"/>
          <w:numId w:val="2"/>
        </w:numPr>
        <w:tabs>
          <w:tab w:val="left" w:pos="1110"/>
        </w:tabs>
        <w:bidi/>
        <w:spacing w:line="360" w:lineRule="auto"/>
        <w:ind w:left="685" w:right="993" w:firstLine="0"/>
        <w:rPr>
          <w:rFonts w:cs="David"/>
          <w:b/>
          <w:bCs/>
          <w:sz w:val="24"/>
          <w:szCs w:val="24"/>
          <w:rtl/>
        </w:rPr>
      </w:pPr>
      <w:r w:rsidRPr="00092B5D">
        <w:rPr>
          <w:rFonts w:cs="David" w:hint="cs"/>
          <w:b/>
          <w:bCs/>
          <w:sz w:val="24"/>
          <w:szCs w:val="24"/>
          <w:rtl/>
        </w:rPr>
        <w:t>התפלגות תיק ניירות הערך לפי מכשירים עיקריים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u w:val="single"/>
          <w:rtl/>
        </w:rPr>
      </w:pPr>
      <w:r w:rsidRPr="00092B5D">
        <w:rPr>
          <w:rFonts w:cs="David" w:hint="cs"/>
          <w:sz w:val="24"/>
          <w:szCs w:val="24"/>
          <w:u w:val="single"/>
          <w:rtl/>
        </w:rPr>
        <w:t>מניות בארץ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092B5D">
        <w:rPr>
          <w:rFonts w:cs="David" w:hint="cs"/>
          <w:sz w:val="24"/>
          <w:szCs w:val="24"/>
          <w:rtl/>
        </w:rPr>
        <w:t xml:space="preserve">יתרת המניות שמחזיק הציבור בארץ עלתה ברביע השלישי של השנה ב-36 מיליארדי ₪ ועמדה בסוף חודש ספטמבר על כ- 452 מיליארדים, גידול של 8.7% לעומת סוף רביע קודם - בגין עליית המחירים בבורסה לני"ע בת"א. נציין כי ברביע השלישי זרם ההשקעות נטו של הציבור במניות בארץ היה אפסי </w:t>
      </w:r>
      <w:r w:rsidRPr="00092B5D">
        <w:rPr>
          <w:rFonts w:cs="David"/>
          <w:sz w:val="24"/>
          <w:szCs w:val="24"/>
          <w:rtl/>
        </w:rPr>
        <w:t>–</w:t>
      </w:r>
      <w:r w:rsidRPr="00092B5D">
        <w:rPr>
          <w:rFonts w:cs="David" w:hint="cs"/>
          <w:sz w:val="24"/>
          <w:szCs w:val="24"/>
          <w:rtl/>
        </w:rPr>
        <w:t xml:space="preserve"> השקעות נטו של קרנות הנאמנות ושל הציבור במישרין, קוזזו במימושים נטו של המשקיעים המוסדיים.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092B5D">
        <w:rPr>
          <w:rFonts w:cs="David" w:hint="cs"/>
          <w:sz w:val="24"/>
          <w:szCs w:val="24"/>
          <w:rtl/>
        </w:rPr>
        <w:t>מתחילת השנה יתרת המניות עלתה בכ-44 מיליארדי ש"ח (10.8%). העלייה ברכיב זה נבעה בעיקר מהשפעת עליית המחירים בבורסה בת"א (כ-45 מיליארדים) אשר קוזזה חלקית ע"י מימושים נטו של הציבור במניות בהיקף של כמיליארד ₪.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u w:val="single"/>
          <w:rtl/>
        </w:rPr>
      </w:pPr>
      <w:r w:rsidRPr="00092B5D">
        <w:rPr>
          <w:rFonts w:cs="David" w:hint="cs"/>
          <w:sz w:val="24"/>
          <w:szCs w:val="24"/>
          <w:u w:val="single"/>
          <w:rtl/>
        </w:rPr>
        <w:t>אג"ח חברות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092B5D">
        <w:rPr>
          <w:rFonts w:cs="David" w:hint="cs"/>
          <w:sz w:val="24"/>
          <w:szCs w:val="24"/>
          <w:rtl/>
        </w:rPr>
        <w:t xml:space="preserve">שווי אג"ח החברות הסחיר בתיק הנכסים עלה בכמיליארד ש"ח </w:t>
      </w:r>
      <w:r w:rsidRPr="00092B5D">
        <w:rPr>
          <w:rFonts w:cs="David" w:hint="cs"/>
          <w:b/>
          <w:bCs/>
          <w:sz w:val="24"/>
          <w:szCs w:val="24"/>
          <w:rtl/>
        </w:rPr>
        <w:t xml:space="preserve">ברביע השלישי </w:t>
      </w:r>
      <w:r w:rsidRPr="00092B5D">
        <w:rPr>
          <w:rFonts w:cs="David" w:hint="cs"/>
          <w:sz w:val="24"/>
          <w:szCs w:val="24"/>
          <w:rtl/>
        </w:rPr>
        <w:t>של השנה, ועמד בסוף ספטמבר על כ-261 מיליארדי ₪: עליות המחירים בשוק הקונצרני בשווי של כ-4.8 מיליארדי ₪, קוזזו חלקית בפירעונות נטו של כ-4 מיליארדים.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092B5D">
        <w:rPr>
          <w:rFonts w:cs="David" w:hint="cs"/>
          <w:sz w:val="24"/>
          <w:szCs w:val="24"/>
          <w:rtl/>
        </w:rPr>
        <w:t xml:space="preserve"> מתחילת שנת 2013 עלה שווי תיק האג"ח הסחיר בארץ בכ-3.7 מיליארדים (1.4%). 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b/>
          <w:bCs/>
          <w:sz w:val="24"/>
          <w:szCs w:val="24"/>
          <w:rtl/>
        </w:rPr>
      </w:pP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u w:val="single"/>
          <w:rtl/>
        </w:rPr>
      </w:pPr>
      <w:r w:rsidRPr="00092B5D">
        <w:rPr>
          <w:rFonts w:cs="David" w:hint="cs"/>
          <w:sz w:val="24"/>
          <w:szCs w:val="24"/>
          <w:u w:val="single"/>
          <w:rtl/>
        </w:rPr>
        <w:t>תיק הנכסים בחו"ל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092B5D">
        <w:rPr>
          <w:rFonts w:cs="David" w:hint="cs"/>
          <w:b/>
          <w:bCs/>
          <w:sz w:val="24"/>
          <w:szCs w:val="24"/>
          <w:rtl/>
        </w:rPr>
        <w:t xml:space="preserve">ברביע השלישי של השנה </w:t>
      </w:r>
      <w:r w:rsidRPr="00092B5D">
        <w:rPr>
          <w:rFonts w:cs="David" w:hint="cs"/>
          <w:sz w:val="24"/>
          <w:szCs w:val="24"/>
          <w:rtl/>
        </w:rPr>
        <w:t>חלה עלייה של כ-17 מיליארדי ₪ (5%) בשווי התיק המוחזק ע"י תושבי ישראל בחו"ל, והוא עמד בסוף ספטמבר על כ- 355 מיליארדים; עיקר העלייה היית</w:t>
      </w:r>
      <w:r w:rsidRPr="00092B5D">
        <w:rPr>
          <w:rFonts w:cs="David" w:hint="eastAsia"/>
          <w:sz w:val="24"/>
          <w:szCs w:val="24"/>
          <w:rtl/>
        </w:rPr>
        <w:t>ה</w:t>
      </w:r>
      <w:r w:rsidRPr="00092B5D">
        <w:rPr>
          <w:rFonts w:cs="David" w:hint="cs"/>
          <w:sz w:val="24"/>
          <w:szCs w:val="24"/>
          <w:rtl/>
        </w:rPr>
        <w:t xml:space="preserve"> ברכיב המניות בחו"ל אשר גדל בכ-16.5 מיליארדים (8.4%): שילוב של זרם השקעות נטו בחו"ל (כ-8 מיליארדי ₪), בעיקר של המשקיעים המוסדיים, ושל עליית המחירים בשוקי המניות.</w:t>
      </w:r>
    </w:p>
    <w:p w:rsidR="00092B5D" w:rsidRPr="00092B5D" w:rsidRDefault="00092B5D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092B5D">
        <w:rPr>
          <w:rFonts w:cs="David" w:hint="cs"/>
          <w:sz w:val="24"/>
          <w:szCs w:val="24"/>
          <w:rtl/>
        </w:rPr>
        <w:t>במקביל חלה עלייה בשווי תיק האג"ח הסחיר בחו"ל (1.6%) אשר קוזזה בחלקה ע"י קיטון ביתרת הפיקדונו</w:t>
      </w:r>
      <w:r w:rsidRPr="00092B5D">
        <w:rPr>
          <w:rFonts w:cs="David" w:hint="eastAsia"/>
          <w:sz w:val="24"/>
          <w:szCs w:val="24"/>
          <w:rtl/>
        </w:rPr>
        <w:t>ת</w:t>
      </w:r>
      <w:r w:rsidRPr="00092B5D">
        <w:rPr>
          <w:rFonts w:cs="David" w:hint="cs"/>
          <w:sz w:val="24"/>
          <w:szCs w:val="24"/>
          <w:rtl/>
        </w:rPr>
        <w:t xml:space="preserve"> בבנקים בחו"ל  (0.3%). </w:t>
      </w:r>
    </w:p>
    <w:p w:rsidR="0099650A" w:rsidRDefault="0099650A" w:rsidP="00016312">
      <w:pPr>
        <w:bidi/>
        <w:spacing w:line="360" w:lineRule="auto"/>
        <w:ind w:left="827" w:right="993"/>
        <w:jc w:val="both"/>
        <w:rPr>
          <w:rFonts w:cs="David" w:hint="cs"/>
          <w:b/>
          <w:bCs/>
          <w:sz w:val="24"/>
          <w:szCs w:val="24"/>
          <w:rtl/>
        </w:rPr>
      </w:pPr>
    </w:p>
    <w:p w:rsidR="0099650A" w:rsidRDefault="0099650A" w:rsidP="0099650A">
      <w:pPr>
        <w:bidi/>
        <w:spacing w:line="360" w:lineRule="auto"/>
        <w:ind w:left="827" w:right="993"/>
        <w:jc w:val="both"/>
        <w:rPr>
          <w:rFonts w:cs="David" w:hint="cs"/>
          <w:b/>
          <w:bCs/>
          <w:sz w:val="24"/>
          <w:szCs w:val="24"/>
          <w:rtl/>
        </w:rPr>
      </w:pPr>
    </w:p>
    <w:p w:rsidR="0099650A" w:rsidRDefault="0099650A" w:rsidP="0099650A">
      <w:pPr>
        <w:bidi/>
        <w:spacing w:line="360" w:lineRule="auto"/>
        <w:ind w:left="827" w:right="993"/>
        <w:jc w:val="both"/>
        <w:rPr>
          <w:rFonts w:cs="David" w:hint="cs"/>
          <w:b/>
          <w:bCs/>
          <w:sz w:val="24"/>
          <w:szCs w:val="24"/>
          <w:rtl/>
        </w:rPr>
      </w:pPr>
    </w:p>
    <w:p w:rsidR="0099650A" w:rsidRDefault="0099650A" w:rsidP="0099650A">
      <w:pPr>
        <w:bidi/>
        <w:spacing w:line="360" w:lineRule="auto"/>
        <w:ind w:left="827" w:right="993"/>
        <w:jc w:val="both"/>
        <w:rPr>
          <w:rFonts w:cs="David" w:hint="cs"/>
          <w:b/>
          <w:bCs/>
          <w:sz w:val="24"/>
          <w:szCs w:val="24"/>
          <w:rtl/>
        </w:rPr>
      </w:pPr>
    </w:p>
    <w:p w:rsidR="0099650A" w:rsidRDefault="0099650A" w:rsidP="0099650A">
      <w:pPr>
        <w:bidi/>
        <w:spacing w:line="360" w:lineRule="auto"/>
        <w:ind w:left="827" w:right="993"/>
        <w:jc w:val="both"/>
        <w:rPr>
          <w:rFonts w:cs="David" w:hint="cs"/>
          <w:b/>
          <w:bCs/>
          <w:sz w:val="24"/>
          <w:szCs w:val="24"/>
          <w:rtl/>
        </w:rPr>
      </w:pPr>
    </w:p>
    <w:p w:rsidR="00092B5D" w:rsidRPr="00092B5D" w:rsidRDefault="00092B5D" w:rsidP="0099650A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387B94">
        <w:rPr>
          <w:rFonts w:cs="David" w:hint="cs"/>
          <w:b/>
          <w:bCs/>
          <w:sz w:val="24"/>
          <w:szCs w:val="24"/>
          <w:rtl/>
        </w:rPr>
        <w:t>מתחילת שנת 2013</w:t>
      </w:r>
      <w:r w:rsidRPr="00092B5D">
        <w:rPr>
          <w:rFonts w:cs="David" w:hint="cs"/>
          <w:sz w:val="24"/>
          <w:szCs w:val="24"/>
          <w:rtl/>
        </w:rPr>
        <w:t xml:space="preserve"> שווי תיק המניות בחו"ל עלה בכ-30 מיליארדים (16.2%). הגידול ביתרת המניות בחו"ל נבע מהשקעות נטו במניות של המשקיעים המוסדיים בחו"ל ועלייה במדדי הבורסות בעולם; </w:t>
      </w:r>
      <w:r w:rsidRPr="00092B5D">
        <w:rPr>
          <w:rFonts w:ascii="Arial" w:hAnsi="Arial" w:cs="David" w:hint="cs"/>
          <w:sz w:val="24"/>
          <w:szCs w:val="24"/>
          <w:rtl/>
        </w:rPr>
        <w:t>אלו קוזזו חלקית ע"י ייסוף השקל מול הדולר (5.3%) שהקטין את השווי השקלי של התיק.</w:t>
      </w:r>
    </w:p>
    <w:p w:rsidR="00387B94" w:rsidRDefault="00387B94" w:rsidP="00D94E75">
      <w:pPr>
        <w:bidi/>
        <w:spacing w:line="360" w:lineRule="auto"/>
        <w:ind w:right="993"/>
        <w:jc w:val="center"/>
        <w:rPr>
          <w:rFonts w:hint="cs"/>
          <w:noProof/>
          <w:rtl/>
          <w:lang w:eastAsia="en-US"/>
        </w:rPr>
      </w:pPr>
    </w:p>
    <w:p w:rsidR="00D94E75" w:rsidRDefault="00D94E75" w:rsidP="00D94E75">
      <w:pPr>
        <w:bidi/>
        <w:spacing w:line="360" w:lineRule="auto"/>
        <w:ind w:left="401" w:right="993"/>
        <w:jc w:val="center"/>
        <w:rPr>
          <w:rFonts w:hint="cs"/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0451C82A" wp14:editId="50789832">
            <wp:extent cx="6064370" cy="3959525"/>
            <wp:effectExtent l="0" t="0" r="12700" b="22225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4E75" w:rsidRDefault="00D94E75" w:rsidP="00D94E75">
      <w:pPr>
        <w:bidi/>
        <w:spacing w:line="360" w:lineRule="auto"/>
        <w:ind w:right="993"/>
        <w:jc w:val="center"/>
        <w:rPr>
          <w:rFonts w:hint="cs"/>
          <w:noProof/>
          <w:rtl/>
          <w:lang w:eastAsia="en-US"/>
        </w:rPr>
      </w:pPr>
    </w:p>
    <w:p w:rsidR="00D94E75" w:rsidRPr="00387B94" w:rsidRDefault="00D94E75" w:rsidP="00D94E75">
      <w:pPr>
        <w:bidi/>
        <w:spacing w:line="360" w:lineRule="auto"/>
        <w:ind w:right="993"/>
        <w:jc w:val="center"/>
        <w:rPr>
          <w:rFonts w:cs="David"/>
          <w:sz w:val="24"/>
          <w:szCs w:val="24"/>
          <w:rtl/>
        </w:rPr>
      </w:pPr>
    </w:p>
    <w:p w:rsidR="00387B94" w:rsidRPr="00387B94" w:rsidRDefault="00387B94" w:rsidP="00863C24">
      <w:pPr>
        <w:pStyle w:val="a9"/>
        <w:numPr>
          <w:ilvl w:val="0"/>
          <w:numId w:val="2"/>
        </w:numPr>
        <w:tabs>
          <w:tab w:val="left" w:pos="1110"/>
        </w:tabs>
        <w:bidi/>
        <w:spacing w:line="360" w:lineRule="auto"/>
        <w:ind w:left="685" w:right="993" w:firstLine="0"/>
        <w:rPr>
          <w:rFonts w:cs="David"/>
          <w:b/>
          <w:bCs/>
          <w:sz w:val="24"/>
          <w:szCs w:val="24"/>
          <w:rtl/>
        </w:rPr>
      </w:pPr>
      <w:r w:rsidRPr="00387B94">
        <w:rPr>
          <w:rFonts w:cs="David" w:hint="cs"/>
          <w:b/>
          <w:bCs/>
          <w:sz w:val="24"/>
          <w:szCs w:val="24"/>
          <w:rtl/>
        </w:rPr>
        <w:t>קרנות הנאמנות</w:t>
      </w:r>
    </w:p>
    <w:p w:rsidR="00387B94" w:rsidRPr="00387B94" w:rsidRDefault="00387B94" w:rsidP="00016312">
      <w:pPr>
        <w:bidi/>
        <w:spacing w:line="360" w:lineRule="auto"/>
        <w:ind w:left="827" w:right="993"/>
        <w:jc w:val="both"/>
        <w:rPr>
          <w:rFonts w:cs="David"/>
          <w:b/>
          <w:bCs/>
          <w:sz w:val="24"/>
          <w:szCs w:val="24"/>
          <w:rtl/>
        </w:rPr>
      </w:pPr>
      <w:r w:rsidRPr="00387B94">
        <w:rPr>
          <w:rFonts w:cs="David" w:hint="cs"/>
          <w:sz w:val="24"/>
          <w:szCs w:val="24"/>
          <w:rtl/>
        </w:rPr>
        <w:t xml:space="preserve">היקף התיק המנוהל באמצעות קרנות נאמנות ישראליות עמד בסוף ספטמבר 2013 על 218 מיליארדי ש"ח, כ-7.7% מסך תיק הנכסים של הציבור וכ-16.4% מהתיק הסחיר. </w:t>
      </w:r>
    </w:p>
    <w:p w:rsidR="00387B94" w:rsidRPr="00387B94" w:rsidRDefault="00387B94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387B94">
        <w:rPr>
          <w:rFonts w:cs="David" w:hint="cs"/>
          <w:b/>
          <w:bCs/>
          <w:sz w:val="24"/>
          <w:szCs w:val="24"/>
          <w:rtl/>
        </w:rPr>
        <w:t xml:space="preserve">ברביע זה </w:t>
      </w:r>
      <w:r w:rsidRPr="00387B94">
        <w:rPr>
          <w:rFonts w:cs="David" w:hint="cs"/>
          <w:sz w:val="24"/>
          <w:szCs w:val="24"/>
          <w:rtl/>
        </w:rPr>
        <w:t xml:space="preserve">עלה שווי נכסי קרנות הנאמנות בכ-14 מיליארדי ₪ (6.7%), מזה כ-10.8 מיליארדים בגין צבירות נטו (עודף הנפקות על פדיונות, בניכוי דיבידנד), והיתרה בגין עליית מחירי הנכסים. </w:t>
      </w:r>
    </w:p>
    <w:p w:rsidR="00387B94" w:rsidRPr="00387B94" w:rsidRDefault="00387B94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387B94">
        <w:rPr>
          <w:rFonts w:cs="David" w:hint="cs"/>
          <w:b/>
          <w:bCs/>
          <w:sz w:val="24"/>
          <w:szCs w:val="24"/>
          <w:rtl/>
        </w:rPr>
        <w:t xml:space="preserve">מהתפלגות הקרנות לפי התמחויות עולה כי </w:t>
      </w:r>
      <w:r w:rsidRPr="00387B94">
        <w:rPr>
          <w:rFonts w:cs="David" w:hint="cs"/>
          <w:sz w:val="24"/>
          <w:szCs w:val="24"/>
          <w:rtl/>
        </w:rPr>
        <w:t xml:space="preserve">הצבירה נטו </w:t>
      </w:r>
      <w:r w:rsidRPr="00387B94">
        <w:rPr>
          <w:rFonts w:cs="David" w:hint="cs"/>
          <w:b/>
          <w:bCs/>
          <w:sz w:val="24"/>
          <w:szCs w:val="24"/>
          <w:rtl/>
        </w:rPr>
        <w:t>ברביע השלישי</w:t>
      </w:r>
      <w:r w:rsidRPr="00387B94">
        <w:rPr>
          <w:rFonts w:cs="David" w:hint="cs"/>
          <w:sz w:val="24"/>
          <w:szCs w:val="24"/>
          <w:rtl/>
        </w:rPr>
        <w:t xml:space="preserve"> התרכזה בנכסי ה"אג"ח האחר" (כ-5 מיליארדי ₪, 7.6%), בעיקר אג"ח חברות צמודות מדד, ובקרנות הכספיות ( כ-4.8 מיליארדי ₪ 8.4%). מנגד, נרשמו פדיונות נטו ברכיב אג"ח חו"ל (כ-0.6 מיליארדי ₪, 10.3%).</w:t>
      </w:r>
    </w:p>
    <w:p w:rsidR="00387B94" w:rsidRPr="00387B94" w:rsidRDefault="00387B94" w:rsidP="00016312">
      <w:pPr>
        <w:bidi/>
        <w:spacing w:line="360" w:lineRule="auto"/>
        <w:ind w:left="827" w:right="993"/>
        <w:jc w:val="both"/>
        <w:rPr>
          <w:rFonts w:cs="David"/>
          <w:sz w:val="24"/>
          <w:szCs w:val="24"/>
          <w:rtl/>
        </w:rPr>
      </w:pPr>
      <w:r w:rsidRPr="00387B94">
        <w:rPr>
          <w:rFonts w:cs="David" w:hint="cs"/>
          <w:b/>
          <w:bCs/>
          <w:sz w:val="24"/>
          <w:szCs w:val="24"/>
          <w:rtl/>
        </w:rPr>
        <w:t xml:space="preserve">מתחילת שנת 2013, </w:t>
      </w:r>
      <w:r w:rsidRPr="00387B94">
        <w:rPr>
          <w:rFonts w:cs="David" w:hint="cs"/>
          <w:sz w:val="24"/>
          <w:szCs w:val="24"/>
          <w:rtl/>
        </w:rPr>
        <w:t>עלו שווי יתרות קרנות הנאמנות בכ-48 מיליארדי ₪ (28.4%), כאשר כ-42.5 מיליארדי ₪ בגין צבירות נטו.</w:t>
      </w:r>
    </w:p>
    <w:p w:rsidR="00D94E75" w:rsidRDefault="00D94E75">
      <w:pPr>
        <w:spacing w:after="200" w:line="276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1B4AAB" w:rsidRDefault="001B4AAB" w:rsidP="00016312">
      <w:pPr>
        <w:bidi/>
        <w:spacing w:line="360" w:lineRule="auto"/>
        <w:ind w:left="827" w:right="993"/>
        <w:jc w:val="both"/>
        <w:rPr>
          <w:rFonts w:cs="David" w:hint="cs"/>
          <w:sz w:val="24"/>
          <w:szCs w:val="24"/>
          <w:rtl/>
        </w:rPr>
      </w:pPr>
    </w:p>
    <w:p w:rsidR="00D94E75" w:rsidRDefault="00D94E75" w:rsidP="00D94E75">
      <w:pPr>
        <w:bidi/>
        <w:spacing w:line="360" w:lineRule="auto"/>
        <w:ind w:left="827" w:right="993"/>
        <w:jc w:val="both"/>
        <w:rPr>
          <w:rFonts w:cs="David" w:hint="cs"/>
          <w:sz w:val="24"/>
          <w:szCs w:val="24"/>
          <w:rtl/>
        </w:rPr>
      </w:pPr>
    </w:p>
    <w:p w:rsidR="00D94E75" w:rsidRDefault="00D94E75" w:rsidP="00D94E75">
      <w:pPr>
        <w:bidi/>
        <w:spacing w:line="360" w:lineRule="auto"/>
        <w:ind w:left="260" w:right="993"/>
        <w:jc w:val="center"/>
        <w:rPr>
          <w:rFonts w:cs="David" w:hint="cs"/>
          <w:sz w:val="24"/>
          <w:szCs w:val="24"/>
          <w:rtl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443F01D7" wp14:editId="00DB04EE">
            <wp:extent cx="6383547" cy="3994030"/>
            <wp:effectExtent l="0" t="0" r="17780" b="26035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D94E75" w:rsidRDefault="00D94E75" w:rsidP="00D94E75">
      <w:pPr>
        <w:bidi/>
        <w:spacing w:line="360" w:lineRule="auto"/>
        <w:ind w:left="827" w:right="993"/>
        <w:jc w:val="both"/>
        <w:rPr>
          <w:rFonts w:cs="David"/>
          <w:sz w:val="24"/>
          <w:szCs w:val="24"/>
        </w:rPr>
      </w:pPr>
    </w:p>
    <w:p w:rsidR="001B4AAB" w:rsidRDefault="001B4AAB" w:rsidP="00016312">
      <w:pPr>
        <w:bidi/>
        <w:ind w:left="827" w:right="993"/>
        <w:rPr>
          <w:rFonts w:cs="David"/>
          <w:sz w:val="24"/>
          <w:szCs w:val="24"/>
        </w:rPr>
      </w:pPr>
    </w:p>
    <w:p w:rsidR="001B4AAB" w:rsidRDefault="001B4AAB" w:rsidP="00D94E75">
      <w:pPr>
        <w:bidi/>
        <w:ind w:right="993"/>
        <w:rPr>
          <w:rFonts w:cs="David"/>
          <w:sz w:val="24"/>
          <w:szCs w:val="24"/>
          <w:rtl/>
        </w:rPr>
      </w:pPr>
    </w:p>
    <w:p w:rsidR="001B4AAB" w:rsidRDefault="001B4AAB" w:rsidP="00016312">
      <w:pPr>
        <w:autoSpaceDE w:val="0"/>
        <w:autoSpaceDN w:val="0"/>
        <w:bidi/>
        <w:adjustRightInd w:val="0"/>
        <w:ind w:left="827" w:right="993"/>
        <w:rPr>
          <w:rFonts w:ascii="Courier New" w:hAnsi="Courier New" w:cs="David"/>
          <w:sz w:val="24"/>
          <w:szCs w:val="24"/>
          <w:lang w:eastAsia="en-US"/>
        </w:rPr>
      </w:pPr>
      <w:r w:rsidRPr="001B4AAB">
        <w:rPr>
          <w:rFonts w:cs="David" w:hint="cs"/>
          <w:sz w:val="24"/>
          <w:szCs w:val="24"/>
          <w:rtl/>
        </w:rPr>
        <w:t xml:space="preserve">נתונים ולוחות נוספים בנושא תיק הנכסים של הציבור נמצאים באתר בנק ישראל בכתובת: </w:t>
      </w:r>
      <w:r w:rsidRPr="001B4AAB">
        <w:rPr>
          <w:rFonts w:ascii="Courier New" w:hAnsi="Courier New" w:cs="David"/>
          <w:sz w:val="24"/>
          <w:szCs w:val="24"/>
          <w:lang w:eastAsia="en-US"/>
        </w:rPr>
        <w:t xml:space="preserve"> </w:t>
      </w:r>
      <w:r w:rsidRPr="001B4AAB">
        <w:rPr>
          <w:rFonts w:cs="David" w:hint="cs"/>
          <w:sz w:val="24"/>
          <w:szCs w:val="24"/>
          <w:rtl/>
        </w:rPr>
        <w:t xml:space="preserve"> </w:t>
      </w:r>
      <w:r w:rsidRPr="001B4AAB">
        <w:rPr>
          <w:rFonts w:ascii="Courier New" w:hAnsi="Courier New" w:cs="David"/>
          <w:sz w:val="24"/>
          <w:szCs w:val="24"/>
          <w:lang w:eastAsia="en-US"/>
        </w:rPr>
        <w:t xml:space="preserve"> </w:t>
      </w:r>
    </w:p>
    <w:p w:rsidR="001B4AAB" w:rsidRDefault="001B4AAB" w:rsidP="001B4AAB">
      <w:pPr>
        <w:autoSpaceDE w:val="0"/>
        <w:autoSpaceDN w:val="0"/>
        <w:adjustRightInd w:val="0"/>
        <w:rPr>
          <w:rFonts w:ascii="Courier New" w:hAnsi="Courier New" w:cs="David"/>
          <w:sz w:val="24"/>
          <w:szCs w:val="24"/>
          <w:lang w:eastAsia="en-US"/>
        </w:rPr>
      </w:pPr>
    </w:p>
    <w:p w:rsidR="001B4AAB" w:rsidRPr="001B4AAB" w:rsidRDefault="00541E9B" w:rsidP="00016312">
      <w:pPr>
        <w:autoSpaceDE w:val="0"/>
        <w:autoSpaceDN w:val="0"/>
        <w:adjustRightInd w:val="0"/>
        <w:ind w:left="993" w:right="827"/>
        <w:rPr>
          <w:rFonts w:ascii="Arial" w:hAnsi="Arial" w:cs="David"/>
          <w:sz w:val="24"/>
          <w:szCs w:val="24"/>
          <w:rtl/>
          <w:lang w:eastAsia="en-US"/>
        </w:rPr>
      </w:pPr>
      <w:hyperlink r:id="rId13" w:history="1">
        <w:r w:rsidR="001B4AAB" w:rsidRPr="001B4AAB">
          <w:rPr>
            <w:rFonts w:cs="Times New Roman"/>
            <w:color w:val="0000FF"/>
            <w:sz w:val="24"/>
            <w:szCs w:val="24"/>
            <w:u w:val="single"/>
            <w:lang w:eastAsia="en-US"/>
          </w:rPr>
          <w:t>http://www.boi.org.il/he/DataAndStatistics/Pages/MainPage.aspx?Level=3&amp;Sid=47&amp;SubjectType=2</w:t>
        </w:r>
      </w:hyperlink>
    </w:p>
    <w:p w:rsidR="001B4AAB" w:rsidRPr="001B4AAB" w:rsidRDefault="001B4AAB" w:rsidP="001B4AAB">
      <w:pPr>
        <w:bidi/>
        <w:rPr>
          <w:rFonts w:cs="David"/>
          <w:sz w:val="24"/>
          <w:szCs w:val="24"/>
        </w:rPr>
      </w:pPr>
    </w:p>
    <w:sectPr w:rsidR="001B4AAB" w:rsidRPr="001B4AAB" w:rsidSect="00D94E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94" w:right="720" w:bottom="794" w:left="720" w:header="39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06" w:rsidRDefault="00891E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98733C" w:rsidP="0098733C">
            <w:pPr>
              <w:bidi/>
              <w:spacing w:line="360" w:lineRule="auto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  <w:lang w:val="he-IL"/>
              </w:rPr>
              <w:t xml:space="preserve">בנק ישראל - </w:t>
            </w:r>
            <w:r w:rsidRPr="0098733C">
              <w:rPr>
                <w:rFonts w:cs="David" w:hint="cs"/>
                <w:rtl/>
                <w:lang w:val="he-IL"/>
              </w:rPr>
              <w:t>התפתחויות בתיק הנכסים הפיננסיים של הציבור ברביע השלישי של שנת 2013</w:t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="006F588B">
              <w:rPr>
                <w:rFonts w:cs="David" w:hint="cs"/>
                <w:rtl/>
                <w:cs/>
                <w:lang w:val="he-IL"/>
              </w:rPr>
              <w:tab/>
            </w:r>
            <w:r w:rsidR="006F588B">
              <w:rPr>
                <w:rFonts w:cs="David" w:hint="cs"/>
                <w:rtl/>
                <w:cs/>
                <w:lang w:val="he-IL"/>
              </w:rPr>
              <w:tab/>
            </w:r>
            <w:r w:rsidR="006F588B">
              <w:rPr>
                <w:rFonts w:cs="David" w:hint="cs"/>
                <w:rtl/>
                <w:cs/>
                <w:lang w:val="he-IL"/>
              </w:rPr>
              <w:tab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541E9B">
              <w:rPr>
                <w:rFonts w:cs="David"/>
                <w:b/>
                <w:bCs/>
                <w:noProof/>
                <w:rtl/>
              </w:rPr>
              <w:t>5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541E9B">
              <w:rPr>
                <w:rFonts w:cs="David"/>
                <w:b/>
                <w:bCs/>
                <w:noProof/>
                <w:rtl/>
              </w:rPr>
              <w:t>5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06" w:rsidRDefault="00891E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06" w:rsidRDefault="00891E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06" w:rsidRDefault="00891E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06" w:rsidRDefault="00891E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32BD"/>
    <w:multiLevelType w:val="hybridMultilevel"/>
    <w:tmpl w:val="561C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17A63"/>
    <w:multiLevelType w:val="hybridMultilevel"/>
    <w:tmpl w:val="E4B6A3F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312"/>
    <w:rsid w:val="00016D86"/>
    <w:rsid w:val="00092B5D"/>
    <w:rsid w:val="00115A82"/>
    <w:rsid w:val="00177686"/>
    <w:rsid w:val="00180E8A"/>
    <w:rsid w:val="001B4AAB"/>
    <w:rsid w:val="001D7646"/>
    <w:rsid w:val="001E5A00"/>
    <w:rsid w:val="002438E2"/>
    <w:rsid w:val="002B3FB0"/>
    <w:rsid w:val="003537B9"/>
    <w:rsid w:val="00364271"/>
    <w:rsid w:val="00387B94"/>
    <w:rsid w:val="003901E0"/>
    <w:rsid w:val="00420F93"/>
    <w:rsid w:val="0044713E"/>
    <w:rsid w:val="004625EB"/>
    <w:rsid w:val="004B5D8D"/>
    <w:rsid w:val="004F06E0"/>
    <w:rsid w:val="00502068"/>
    <w:rsid w:val="00541E9B"/>
    <w:rsid w:val="00547D04"/>
    <w:rsid w:val="005F27E9"/>
    <w:rsid w:val="00614095"/>
    <w:rsid w:val="006973E2"/>
    <w:rsid w:val="006C01FB"/>
    <w:rsid w:val="006E613D"/>
    <w:rsid w:val="006F588B"/>
    <w:rsid w:val="00762D5A"/>
    <w:rsid w:val="00784D6A"/>
    <w:rsid w:val="007E18EE"/>
    <w:rsid w:val="007E3138"/>
    <w:rsid w:val="00826810"/>
    <w:rsid w:val="00837763"/>
    <w:rsid w:val="00852D44"/>
    <w:rsid w:val="0086330B"/>
    <w:rsid w:val="00863C24"/>
    <w:rsid w:val="00881EF7"/>
    <w:rsid w:val="00891E06"/>
    <w:rsid w:val="008B55E9"/>
    <w:rsid w:val="0093381F"/>
    <w:rsid w:val="00961EFC"/>
    <w:rsid w:val="009818C2"/>
    <w:rsid w:val="0098733C"/>
    <w:rsid w:val="0099650A"/>
    <w:rsid w:val="009C16BD"/>
    <w:rsid w:val="00A57161"/>
    <w:rsid w:val="00AA51B0"/>
    <w:rsid w:val="00AA7ED7"/>
    <w:rsid w:val="00AB409F"/>
    <w:rsid w:val="00AD759C"/>
    <w:rsid w:val="00AE591E"/>
    <w:rsid w:val="00B058F3"/>
    <w:rsid w:val="00B2503D"/>
    <w:rsid w:val="00B84BD7"/>
    <w:rsid w:val="00BE235C"/>
    <w:rsid w:val="00BE49A2"/>
    <w:rsid w:val="00C04A6B"/>
    <w:rsid w:val="00C25C1C"/>
    <w:rsid w:val="00C45C9C"/>
    <w:rsid w:val="00C656C3"/>
    <w:rsid w:val="00C84B20"/>
    <w:rsid w:val="00CB1B2B"/>
    <w:rsid w:val="00D3721C"/>
    <w:rsid w:val="00D87DC1"/>
    <w:rsid w:val="00D94E75"/>
    <w:rsid w:val="00DD5923"/>
    <w:rsid w:val="00E85E11"/>
    <w:rsid w:val="00ED153D"/>
    <w:rsid w:val="00F96916"/>
    <w:rsid w:val="00FD4DC2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6E6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6E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boi.org.il/he/DataAndStatistics/Pages/MainPage.aspx?Level=3&amp;Sid=47&amp;SubjectType=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yhmm\Vyhmm\KOMA7\znkh\Dover\7-12%202013\&#1514;&#1497;&#1511;%20&#1492;&#1504;&#1499;&#1505;&#1497;&#1501;\&#1492;&#1514;&#1508;&#1514;&#1495;&#1493;&#1497;&#1493;&#1514;%20&#1489;&#1514;&#1497;&#1511;%20&#1492;&#1504;&#1499;&#1505;&#1497;&#1501;%20&#1492;&#1508;&#1497;&#1504;&#1504;&#1505;&#1497;&#1497;&#1501;%20&#1513;&#1500;%20&#1492;&#1510;&#1497;&#1489;&#1493;&#1512;%20&#1489;&#1512;&#1489;&#1497;&#1506;%20&#1492;&#1513;&#1500;&#1497;&#1513;&#1497;%20&#1513;&#1500;%20&#1513;&#1504;&#1514;%202013%20&#1490;&#1512;&#1508;&#1497;&#150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yhmm\Vyhmm\KOMA7\znkh\Dover\7-12%202013\&#1514;&#1497;&#1511;%20&#1492;&#1504;&#1499;&#1505;&#1497;&#1501;\&#1492;&#1514;&#1508;&#1514;&#1495;&#1493;&#1497;&#1493;&#1514;%20&#1489;&#1514;&#1497;&#1511;%20&#1492;&#1504;&#1499;&#1505;&#1497;&#1501;%20&#1492;&#1508;&#1497;&#1504;&#1504;&#1505;&#1497;&#1497;&#1501;%20&#1513;&#1500;%20&#1492;&#1510;&#1497;&#1489;&#1493;&#1512;%20&#1489;&#1512;&#1489;&#1497;&#1506;%20&#1492;&#1513;&#1500;&#1497;&#1513;&#1497;%20&#1513;&#1500;%20&#1513;&#1504;&#1514;%202013%20&#1490;&#1512;&#1508;&#1497;&#150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e-IL" sz="1100" b="1"/>
              <a:t>תרשים</a:t>
            </a:r>
            <a:r>
              <a:rPr lang="he-IL" b="1"/>
              <a:t> 2: </a:t>
            </a:r>
            <a:r>
              <a:rPr lang="he-IL" sz="1300" b="1" u="sng"/>
              <a:t>תיק הנכסים של תושבי ישראל בחו"ל</a:t>
            </a:r>
          </a:p>
          <a:p>
            <a:pPr>
              <a:defRPr/>
            </a:pPr>
            <a:r>
              <a:rPr lang="he-IL" sz="1100"/>
              <a:t>מיליארדי ₪, מחירים שוטפים</a:t>
            </a:r>
          </a:p>
        </c:rich>
      </c:tx>
      <c:layout/>
      <c:overlay val="1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2047569803516028E-2"/>
          <c:y val="0.15084745762711865"/>
          <c:w val="0.92864529472595658"/>
          <c:h val="0.70847457627118648"/>
        </c:manualLayout>
      </c:layout>
      <c:barChart>
        <c:barDir val="col"/>
        <c:grouping val="clustered"/>
        <c:varyColors val="0"/>
        <c:ser>
          <c:idx val="1"/>
          <c:order val="0"/>
          <c:tx>
            <c:v>מניות</c:v>
          </c:tx>
          <c:spPr>
            <a:gradFill rotWithShape="0">
              <a:gsLst>
                <a:gs pos="0">
                  <a:srgbClr val="00FF00"/>
                </a:gs>
                <a:gs pos="100000">
                  <a:srgbClr val="00FF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83622873569964E-3"/>
                  <c:y val="4.99828825744607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66220450695381E-3"/>
                  <c:y val="5.08596157137966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962121656908425E-4"/>
                  <c:y val="4.79621348282551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93537876731938E-3"/>
                  <c:y val="6.20100117575800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data2!$A$2:$A$5</c:f>
              <c:numCache>
                <c:formatCode>mm/yyyy</c:formatCode>
                <c:ptCount val="4"/>
                <c:pt idx="0">
                  <c:v>41274</c:v>
                </c:pt>
                <c:pt idx="1">
                  <c:v>41364</c:v>
                </c:pt>
                <c:pt idx="2">
                  <c:v>41455</c:v>
                </c:pt>
                <c:pt idx="3">
                  <c:v>41547</c:v>
                </c:pt>
              </c:numCache>
            </c:numRef>
          </c:cat>
          <c:val>
            <c:numRef>
              <c:f>data2!$B$2:$B$5</c:f>
              <c:numCache>
                <c:formatCode>0</c:formatCode>
                <c:ptCount val="4"/>
                <c:pt idx="0">
                  <c:v>183.28593239</c:v>
                </c:pt>
                <c:pt idx="1">
                  <c:v>197.78143814400005</c:v>
                </c:pt>
                <c:pt idx="2">
                  <c:v>196.44563064600004</c:v>
                </c:pt>
                <c:pt idx="3">
                  <c:v>212.918129523</c:v>
                </c:pt>
              </c:numCache>
            </c:numRef>
          </c:val>
        </c:ser>
        <c:ser>
          <c:idx val="2"/>
          <c:order val="1"/>
          <c:tx>
            <c:v>איגרות חוב</c:v>
          </c:tx>
          <c:spPr>
            <a:gradFill rotWithShape="0">
              <a:gsLst>
                <a:gs pos="0">
                  <a:srgbClr val="FF8080"/>
                </a:gs>
                <a:gs pos="100000">
                  <a:srgbClr val="FF808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361691532550207E-4"/>
                  <c:y val="5.00219317014720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606177438258463E-3"/>
                  <c:y val="4.42146667807828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60617743825958E-3"/>
                  <c:y val="5.08581892616683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799076839532989E-3"/>
                  <c:y val="6.46634838066056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data2!$A$2:$A$5</c:f>
              <c:numCache>
                <c:formatCode>mm/yyyy</c:formatCode>
                <c:ptCount val="4"/>
                <c:pt idx="0">
                  <c:v>41274</c:v>
                </c:pt>
                <c:pt idx="1">
                  <c:v>41364</c:v>
                </c:pt>
                <c:pt idx="2">
                  <c:v>41455</c:v>
                </c:pt>
                <c:pt idx="3">
                  <c:v>41547</c:v>
                </c:pt>
              </c:numCache>
            </c:numRef>
          </c:cat>
          <c:val>
            <c:numRef>
              <c:f>data2!$C$2:$C$5</c:f>
              <c:numCache>
                <c:formatCode>0</c:formatCode>
                <c:ptCount val="4"/>
                <c:pt idx="0">
                  <c:v>106.81632704299999</c:v>
                </c:pt>
                <c:pt idx="1">
                  <c:v>110.35859923199997</c:v>
                </c:pt>
                <c:pt idx="2">
                  <c:v>112.90679936999999</c:v>
                </c:pt>
                <c:pt idx="3">
                  <c:v>114.697836</c:v>
                </c:pt>
              </c:numCache>
            </c:numRef>
          </c:val>
        </c:ser>
        <c:ser>
          <c:idx val="3"/>
          <c:order val="2"/>
          <c:tx>
            <c:v>פיקדונות</c:v>
          </c:tx>
          <c:spPr>
            <a:gradFill rotWithShape="0">
              <a:gsLst>
                <a:gs pos="0">
                  <a:srgbClr val="99CCFF"/>
                </a:gs>
                <a:gs pos="100000">
                  <a:srgbClr val="99CCFF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606177438259259E-3"/>
                  <c:y val="4.99165525504964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60617743825871E-3"/>
                  <c:y val="5.01790197420973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606177438257609E-3"/>
                  <c:y val="4.70518800639050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645397773554169E-3"/>
                  <c:y val="5.73429650479210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data2!$A$2:$A$5</c:f>
              <c:numCache>
                <c:formatCode>mm/yyyy</c:formatCode>
                <c:ptCount val="4"/>
                <c:pt idx="0">
                  <c:v>41274</c:v>
                </c:pt>
                <c:pt idx="1">
                  <c:v>41364</c:v>
                </c:pt>
                <c:pt idx="2">
                  <c:v>41455</c:v>
                </c:pt>
                <c:pt idx="3">
                  <c:v>41547</c:v>
                </c:pt>
              </c:numCache>
            </c:numRef>
          </c:cat>
          <c:val>
            <c:numRef>
              <c:f>data2!$D$2:$D$5</c:f>
              <c:numCache>
                <c:formatCode>0</c:formatCode>
                <c:ptCount val="4"/>
                <c:pt idx="0">
                  <c:v>29.919659029999998</c:v>
                </c:pt>
                <c:pt idx="1">
                  <c:v>27.005250240000002</c:v>
                </c:pt>
                <c:pt idx="2">
                  <c:v>28.232997876000006</c:v>
                </c:pt>
                <c:pt idx="3">
                  <c:v>26.990847000000002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958592"/>
        <c:axId val="146763136"/>
      </c:barChart>
      <c:catAx>
        <c:axId val="126958592"/>
        <c:scaling>
          <c:orientation val="minMax"/>
        </c:scaling>
        <c:delete val="0"/>
        <c:axPos val="b"/>
        <c:numFmt formatCode="mm/yy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he-IL"/>
          </a:p>
        </c:txPr>
        <c:crossAx val="1467631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763136"/>
        <c:scaling>
          <c:orientation val="minMax"/>
          <c:max val="2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he-IL"/>
          </a:p>
        </c:txPr>
        <c:crossAx val="12695859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David" panose="020E0502060401010101" pitchFamily="34" charset="-79"/>
          <a:ea typeface="Arial"/>
          <a:cs typeface="David" panose="020E0502060401010101" pitchFamily="34" charset="-79"/>
        </a:defRPr>
      </a:pPr>
      <a:endParaRPr lang="he-I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e-IL" sz="1100" b="1"/>
              <a:t>תרשים 3: </a:t>
            </a:r>
            <a:r>
              <a:rPr lang="he-IL" sz="1300" b="1" u="sng"/>
              <a:t>הפקדות נטו מצטברות בקרנות הנאמנות לפי התמחות</a:t>
            </a:r>
          </a:p>
          <a:p>
            <a:pPr>
              <a:defRPr/>
            </a:pPr>
            <a:r>
              <a:rPr lang="he-IL" sz="1300" b="1" u="sng"/>
              <a:t>מתחילת 2010</a:t>
            </a:r>
            <a:r>
              <a:rPr lang="he-IL" sz="1300" b="1" u="none" baseline="0"/>
              <a:t> </a:t>
            </a:r>
          </a:p>
          <a:p>
            <a:pPr>
              <a:defRPr/>
            </a:pPr>
            <a:r>
              <a:rPr lang="he-IL" sz="1000" u="none"/>
              <a:t>מיליארדי</a:t>
            </a:r>
            <a:r>
              <a:rPr lang="he-IL" sz="1000"/>
              <a:t> ש"ח</a:t>
            </a:r>
          </a:p>
        </c:rich>
      </c:tx>
      <c:layout>
        <c:manualLayout>
          <c:xMode val="edge"/>
          <c:yMode val="edge"/>
          <c:x val="0.16123280260781997"/>
          <c:y val="4.19645166098292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1013443640124093E-2"/>
          <c:y val="0.22711864406779661"/>
          <c:w val="0.92864529472595658"/>
          <c:h val="0.54915254237288136"/>
        </c:manualLayout>
      </c:layout>
      <c:barChart>
        <c:barDir val="col"/>
        <c:grouping val="clustered"/>
        <c:varyColors val="0"/>
        <c:ser>
          <c:idx val="6"/>
          <c:order val="6"/>
          <c:tx>
            <c:strRef>
              <c:f>data3!$H$1</c:f>
              <c:strCache>
                <c:ptCount val="1"/>
                <c:pt idx="0">
                  <c:v>סך הכול הצבירה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C0C0C0"/>
              </a:solidFill>
              <a:prstDash val="solid"/>
            </a:ln>
          </c:spPr>
          <c:invertIfNegative val="0"/>
          <c:cat>
            <c:numRef>
              <c:f>data3!$A$2:$A$41</c:f>
              <c:numCache>
                <c:formatCode>mm/yyyy</c:formatCode>
                <c:ptCount val="40"/>
                <c:pt idx="0">
                  <c:v>40178</c:v>
                </c:pt>
                <c:pt idx="1">
                  <c:v>40209</c:v>
                </c:pt>
                <c:pt idx="2">
                  <c:v>40237</c:v>
                </c:pt>
                <c:pt idx="3">
                  <c:v>40268</c:v>
                </c:pt>
                <c:pt idx="4">
                  <c:v>40298</c:v>
                </c:pt>
                <c:pt idx="5">
                  <c:v>40329</c:v>
                </c:pt>
                <c:pt idx="6">
                  <c:v>40359</c:v>
                </c:pt>
                <c:pt idx="7">
                  <c:v>40390</c:v>
                </c:pt>
                <c:pt idx="8">
                  <c:v>40421</c:v>
                </c:pt>
                <c:pt idx="9">
                  <c:v>40451</c:v>
                </c:pt>
                <c:pt idx="10">
                  <c:v>40482</c:v>
                </c:pt>
                <c:pt idx="11">
                  <c:v>40512</c:v>
                </c:pt>
                <c:pt idx="12">
                  <c:v>40543</c:v>
                </c:pt>
                <c:pt idx="13">
                  <c:v>40574</c:v>
                </c:pt>
                <c:pt idx="14">
                  <c:v>40602</c:v>
                </c:pt>
                <c:pt idx="15">
                  <c:v>40633</c:v>
                </c:pt>
                <c:pt idx="16">
                  <c:v>40663</c:v>
                </c:pt>
                <c:pt idx="17">
                  <c:v>40694</c:v>
                </c:pt>
                <c:pt idx="18">
                  <c:v>40724</c:v>
                </c:pt>
                <c:pt idx="19">
                  <c:v>40755</c:v>
                </c:pt>
                <c:pt idx="20">
                  <c:v>40786</c:v>
                </c:pt>
                <c:pt idx="21">
                  <c:v>40816</c:v>
                </c:pt>
                <c:pt idx="22">
                  <c:v>40847</c:v>
                </c:pt>
                <c:pt idx="23">
                  <c:v>40877</c:v>
                </c:pt>
                <c:pt idx="24">
                  <c:v>40908</c:v>
                </c:pt>
                <c:pt idx="25">
                  <c:v>40939</c:v>
                </c:pt>
                <c:pt idx="26">
                  <c:v>40968</c:v>
                </c:pt>
                <c:pt idx="27">
                  <c:v>40999</c:v>
                </c:pt>
                <c:pt idx="28">
                  <c:v>41029</c:v>
                </c:pt>
                <c:pt idx="29">
                  <c:v>41060</c:v>
                </c:pt>
                <c:pt idx="30">
                  <c:v>41090</c:v>
                </c:pt>
                <c:pt idx="31">
                  <c:v>41121</c:v>
                </c:pt>
                <c:pt idx="32">
                  <c:v>41152</c:v>
                </c:pt>
                <c:pt idx="33">
                  <c:v>41182</c:v>
                </c:pt>
                <c:pt idx="34">
                  <c:v>41213</c:v>
                </c:pt>
                <c:pt idx="35">
                  <c:v>41243</c:v>
                </c:pt>
                <c:pt idx="36">
                  <c:v>41274</c:v>
                </c:pt>
                <c:pt idx="37">
                  <c:v>41305</c:v>
                </c:pt>
                <c:pt idx="38">
                  <c:v>41333</c:v>
                </c:pt>
                <c:pt idx="39">
                  <c:v>41364</c:v>
                </c:pt>
              </c:numCache>
            </c:numRef>
          </c:cat>
          <c:val>
            <c:numRef>
              <c:f>data3!$H$2:$H$47</c:f>
              <c:numCache>
                <c:formatCode>General</c:formatCode>
                <c:ptCount val="46"/>
                <c:pt idx="0">
                  <c:v>0</c:v>
                </c:pt>
                <c:pt idx="1">
                  <c:v>661</c:v>
                </c:pt>
                <c:pt idx="2">
                  <c:v>2926</c:v>
                </c:pt>
                <c:pt idx="3">
                  <c:v>5160</c:v>
                </c:pt>
                <c:pt idx="4">
                  <c:v>5148</c:v>
                </c:pt>
                <c:pt idx="5">
                  <c:v>5039</c:v>
                </c:pt>
                <c:pt idx="6">
                  <c:v>7358</c:v>
                </c:pt>
                <c:pt idx="7">
                  <c:v>9925</c:v>
                </c:pt>
                <c:pt idx="8">
                  <c:v>13068</c:v>
                </c:pt>
                <c:pt idx="9">
                  <c:v>15083</c:v>
                </c:pt>
                <c:pt idx="10">
                  <c:v>17613</c:v>
                </c:pt>
                <c:pt idx="11">
                  <c:v>19442</c:v>
                </c:pt>
                <c:pt idx="12">
                  <c:v>16247</c:v>
                </c:pt>
                <c:pt idx="13">
                  <c:v>19476</c:v>
                </c:pt>
                <c:pt idx="14">
                  <c:v>21196</c:v>
                </c:pt>
                <c:pt idx="15">
                  <c:v>19311</c:v>
                </c:pt>
                <c:pt idx="16">
                  <c:v>19026</c:v>
                </c:pt>
                <c:pt idx="17">
                  <c:v>18116</c:v>
                </c:pt>
                <c:pt idx="18">
                  <c:v>15672</c:v>
                </c:pt>
                <c:pt idx="19">
                  <c:v>18090</c:v>
                </c:pt>
                <c:pt idx="20">
                  <c:v>15132</c:v>
                </c:pt>
                <c:pt idx="21">
                  <c:v>12096</c:v>
                </c:pt>
                <c:pt idx="22">
                  <c:v>11494</c:v>
                </c:pt>
                <c:pt idx="23">
                  <c:v>9098</c:v>
                </c:pt>
                <c:pt idx="24">
                  <c:v>5619</c:v>
                </c:pt>
                <c:pt idx="25">
                  <c:v>6923</c:v>
                </c:pt>
                <c:pt idx="26">
                  <c:v>7787</c:v>
                </c:pt>
                <c:pt idx="27">
                  <c:v>7644</c:v>
                </c:pt>
                <c:pt idx="28">
                  <c:v>10125</c:v>
                </c:pt>
                <c:pt idx="29">
                  <c:v>12207</c:v>
                </c:pt>
                <c:pt idx="30">
                  <c:v>13093</c:v>
                </c:pt>
                <c:pt idx="31">
                  <c:v>15437</c:v>
                </c:pt>
                <c:pt idx="32">
                  <c:v>17212</c:v>
                </c:pt>
                <c:pt idx="33">
                  <c:v>19011</c:v>
                </c:pt>
                <c:pt idx="34">
                  <c:v>20896</c:v>
                </c:pt>
                <c:pt idx="35">
                  <c:v>24631</c:v>
                </c:pt>
                <c:pt idx="36">
                  <c:v>25519</c:v>
                </c:pt>
                <c:pt idx="37">
                  <c:v>33105</c:v>
                </c:pt>
                <c:pt idx="38">
                  <c:v>37953</c:v>
                </c:pt>
                <c:pt idx="39">
                  <c:v>42584</c:v>
                </c:pt>
                <c:pt idx="40">
                  <c:v>46987</c:v>
                </c:pt>
                <c:pt idx="41">
                  <c:v>51410</c:v>
                </c:pt>
                <c:pt idx="42">
                  <c:v>57151</c:v>
                </c:pt>
                <c:pt idx="43">
                  <c:v>63601</c:v>
                </c:pt>
                <c:pt idx="44">
                  <c:v>65543</c:v>
                </c:pt>
                <c:pt idx="45">
                  <c:v>67977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7728"/>
        <c:axId val="4539520"/>
      </c:barChart>
      <c:lineChart>
        <c:grouping val="standard"/>
        <c:varyColors val="0"/>
        <c:ser>
          <c:idx val="0"/>
          <c:order val="0"/>
          <c:tx>
            <c:strRef>
              <c:f>data3!$B$1</c:f>
              <c:strCache>
                <c:ptCount val="1"/>
                <c:pt idx="0">
                  <c:v>אג"ח מדינה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data3!$A$2:$A$47</c:f>
              <c:numCache>
                <c:formatCode>mm/yyyy</c:formatCode>
                <c:ptCount val="46"/>
                <c:pt idx="0">
                  <c:v>40178</c:v>
                </c:pt>
                <c:pt idx="1">
                  <c:v>40209</c:v>
                </c:pt>
                <c:pt idx="2">
                  <c:v>40237</c:v>
                </c:pt>
                <c:pt idx="3">
                  <c:v>40268</c:v>
                </c:pt>
                <c:pt idx="4">
                  <c:v>40298</c:v>
                </c:pt>
                <c:pt idx="5">
                  <c:v>40329</c:v>
                </c:pt>
                <c:pt idx="6">
                  <c:v>40359</c:v>
                </c:pt>
                <c:pt idx="7">
                  <c:v>40390</c:v>
                </c:pt>
                <c:pt idx="8">
                  <c:v>40421</c:v>
                </c:pt>
                <c:pt idx="9">
                  <c:v>40451</c:v>
                </c:pt>
                <c:pt idx="10">
                  <c:v>40482</c:v>
                </c:pt>
                <c:pt idx="11">
                  <c:v>40512</c:v>
                </c:pt>
                <c:pt idx="12">
                  <c:v>40543</c:v>
                </c:pt>
                <c:pt idx="13">
                  <c:v>40574</c:v>
                </c:pt>
                <c:pt idx="14">
                  <c:v>40602</c:v>
                </c:pt>
                <c:pt idx="15">
                  <c:v>40633</c:v>
                </c:pt>
                <c:pt idx="16">
                  <c:v>40663</c:v>
                </c:pt>
                <c:pt idx="17">
                  <c:v>40694</c:v>
                </c:pt>
                <c:pt idx="18">
                  <c:v>40724</c:v>
                </c:pt>
                <c:pt idx="19">
                  <c:v>40755</c:v>
                </c:pt>
                <c:pt idx="20">
                  <c:v>40786</c:v>
                </c:pt>
                <c:pt idx="21">
                  <c:v>40816</c:v>
                </c:pt>
                <c:pt idx="22">
                  <c:v>40847</c:v>
                </c:pt>
                <c:pt idx="23">
                  <c:v>40877</c:v>
                </c:pt>
                <c:pt idx="24">
                  <c:v>40908</c:v>
                </c:pt>
                <c:pt idx="25">
                  <c:v>40939</c:v>
                </c:pt>
                <c:pt idx="26">
                  <c:v>40968</c:v>
                </c:pt>
                <c:pt idx="27">
                  <c:v>40999</c:v>
                </c:pt>
                <c:pt idx="28">
                  <c:v>41029</c:v>
                </c:pt>
                <c:pt idx="29">
                  <c:v>41060</c:v>
                </c:pt>
                <c:pt idx="30">
                  <c:v>41090</c:v>
                </c:pt>
                <c:pt idx="31">
                  <c:v>41121</c:v>
                </c:pt>
                <c:pt idx="32">
                  <c:v>41152</c:v>
                </c:pt>
                <c:pt idx="33">
                  <c:v>41182</c:v>
                </c:pt>
                <c:pt idx="34">
                  <c:v>41213</c:v>
                </c:pt>
                <c:pt idx="35">
                  <c:v>41243</c:v>
                </c:pt>
                <c:pt idx="36">
                  <c:v>41274</c:v>
                </c:pt>
                <c:pt idx="37">
                  <c:v>41305</c:v>
                </c:pt>
                <c:pt idx="38">
                  <c:v>41333</c:v>
                </c:pt>
                <c:pt idx="39">
                  <c:v>41364</c:v>
                </c:pt>
                <c:pt idx="40">
                  <c:v>41394</c:v>
                </c:pt>
                <c:pt idx="41">
                  <c:v>41425</c:v>
                </c:pt>
                <c:pt idx="42">
                  <c:v>41455</c:v>
                </c:pt>
                <c:pt idx="43">
                  <c:v>41486</c:v>
                </c:pt>
                <c:pt idx="44">
                  <c:v>41517</c:v>
                </c:pt>
                <c:pt idx="45">
                  <c:v>41547</c:v>
                </c:pt>
              </c:numCache>
            </c:numRef>
          </c:cat>
          <c:val>
            <c:numRef>
              <c:f>data3!$B$2:$B$47</c:f>
              <c:numCache>
                <c:formatCode>General</c:formatCode>
                <c:ptCount val="46"/>
                <c:pt idx="0">
                  <c:v>0</c:v>
                </c:pt>
                <c:pt idx="1">
                  <c:v>-1039</c:v>
                </c:pt>
                <c:pt idx="2">
                  <c:v>-2046</c:v>
                </c:pt>
                <c:pt idx="3">
                  <c:v>-2597</c:v>
                </c:pt>
                <c:pt idx="4">
                  <c:v>-2861</c:v>
                </c:pt>
                <c:pt idx="5" formatCode="0.0">
                  <c:v>-2577</c:v>
                </c:pt>
                <c:pt idx="6" formatCode="0.0">
                  <c:v>-1109</c:v>
                </c:pt>
                <c:pt idx="7" formatCode="0.0">
                  <c:v>-296</c:v>
                </c:pt>
                <c:pt idx="8" formatCode="0.0">
                  <c:v>28</c:v>
                </c:pt>
                <c:pt idx="9" formatCode="0.0">
                  <c:v>-415</c:v>
                </c:pt>
                <c:pt idx="10" formatCode="0.0">
                  <c:v>-271</c:v>
                </c:pt>
                <c:pt idx="11" formatCode="0.0">
                  <c:v>-353</c:v>
                </c:pt>
                <c:pt idx="12" formatCode="0.0">
                  <c:v>-1995</c:v>
                </c:pt>
                <c:pt idx="13" formatCode="0.0">
                  <c:v>-2833</c:v>
                </c:pt>
                <c:pt idx="14" formatCode="0.0">
                  <c:v>-3707</c:v>
                </c:pt>
                <c:pt idx="15" formatCode="0.0">
                  <c:v>-4468</c:v>
                </c:pt>
                <c:pt idx="16" formatCode="0.0">
                  <c:v>-5467</c:v>
                </c:pt>
                <c:pt idx="17" formatCode="0.0">
                  <c:v>-6492</c:v>
                </c:pt>
                <c:pt idx="18" formatCode="0.0">
                  <c:v>-7621</c:v>
                </c:pt>
                <c:pt idx="19" formatCode="0.0">
                  <c:v>-8114</c:v>
                </c:pt>
                <c:pt idx="20" formatCode="0.0">
                  <c:v>-9651</c:v>
                </c:pt>
                <c:pt idx="21" formatCode="0.0">
                  <c:v>-10386</c:v>
                </c:pt>
                <c:pt idx="22" formatCode="0.0">
                  <c:v>-10826</c:v>
                </c:pt>
                <c:pt idx="23" formatCode="0.0">
                  <c:v>-11082</c:v>
                </c:pt>
                <c:pt idx="24" formatCode="0.0">
                  <c:v>-10997</c:v>
                </c:pt>
                <c:pt idx="25" formatCode="0.0">
                  <c:v>-10161</c:v>
                </c:pt>
                <c:pt idx="26" formatCode="0.0">
                  <c:v>-9251</c:v>
                </c:pt>
                <c:pt idx="27" formatCode="0.0">
                  <c:v>-8654</c:v>
                </c:pt>
                <c:pt idx="28" formatCode="0.0">
                  <c:v>-7732</c:v>
                </c:pt>
                <c:pt idx="29" formatCode="0.0">
                  <c:v>-6621</c:v>
                </c:pt>
                <c:pt idx="30" formatCode="0.0">
                  <c:v>-5517</c:v>
                </c:pt>
                <c:pt idx="31" formatCode="0.0">
                  <c:v>-4286</c:v>
                </c:pt>
                <c:pt idx="32" formatCode="0.0">
                  <c:v>-3222</c:v>
                </c:pt>
                <c:pt idx="33" formatCode="0.0">
                  <c:v>-2293</c:v>
                </c:pt>
                <c:pt idx="34" formatCode="0.0">
                  <c:v>-1142</c:v>
                </c:pt>
                <c:pt idx="35" formatCode="0.0">
                  <c:v>-99</c:v>
                </c:pt>
                <c:pt idx="36" formatCode="0.0">
                  <c:v>639</c:v>
                </c:pt>
                <c:pt idx="37" formatCode="0.0">
                  <c:v>559</c:v>
                </c:pt>
                <c:pt idx="38" formatCode="0.0">
                  <c:v>87</c:v>
                </c:pt>
                <c:pt idx="39" formatCode="0.0">
                  <c:v>-168</c:v>
                </c:pt>
                <c:pt idx="40" formatCode="0.0">
                  <c:v>-242</c:v>
                </c:pt>
                <c:pt idx="41" formatCode="0.0">
                  <c:v>-343</c:v>
                </c:pt>
                <c:pt idx="42" formatCode="0.0">
                  <c:v>-808</c:v>
                </c:pt>
                <c:pt idx="43" formatCode="0.0">
                  <c:v>-1319</c:v>
                </c:pt>
                <c:pt idx="44" formatCode="0.0">
                  <c:v>-1851</c:v>
                </c:pt>
                <c:pt idx="45" formatCode="0.0">
                  <c:v>-2263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data3!$C$1</c:f>
              <c:strCache>
                <c:ptCount val="1"/>
                <c:pt idx="0">
                  <c:v>אג"ח שקליות בארץ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data3!$A$2:$A$47</c:f>
              <c:numCache>
                <c:formatCode>mm/yyyy</c:formatCode>
                <c:ptCount val="46"/>
                <c:pt idx="0">
                  <c:v>40178</c:v>
                </c:pt>
                <c:pt idx="1">
                  <c:v>40209</c:v>
                </c:pt>
                <c:pt idx="2">
                  <c:v>40237</c:v>
                </c:pt>
                <c:pt idx="3">
                  <c:v>40268</c:v>
                </c:pt>
                <c:pt idx="4">
                  <c:v>40298</c:v>
                </c:pt>
                <c:pt idx="5">
                  <c:v>40329</c:v>
                </c:pt>
                <c:pt idx="6">
                  <c:v>40359</c:v>
                </c:pt>
                <c:pt idx="7">
                  <c:v>40390</c:v>
                </c:pt>
                <c:pt idx="8">
                  <c:v>40421</c:v>
                </c:pt>
                <c:pt idx="9">
                  <c:v>40451</c:v>
                </c:pt>
                <c:pt idx="10">
                  <c:v>40482</c:v>
                </c:pt>
                <c:pt idx="11">
                  <c:v>40512</c:v>
                </c:pt>
                <c:pt idx="12">
                  <c:v>40543</c:v>
                </c:pt>
                <c:pt idx="13">
                  <c:v>40574</c:v>
                </c:pt>
                <c:pt idx="14">
                  <c:v>40602</c:v>
                </c:pt>
                <c:pt idx="15">
                  <c:v>40633</c:v>
                </c:pt>
                <c:pt idx="16">
                  <c:v>40663</c:v>
                </c:pt>
                <c:pt idx="17">
                  <c:v>40694</c:v>
                </c:pt>
                <c:pt idx="18">
                  <c:v>40724</c:v>
                </c:pt>
                <c:pt idx="19">
                  <c:v>40755</c:v>
                </c:pt>
                <c:pt idx="20">
                  <c:v>40786</c:v>
                </c:pt>
                <c:pt idx="21">
                  <c:v>40816</c:v>
                </c:pt>
                <c:pt idx="22">
                  <c:v>40847</c:v>
                </c:pt>
                <c:pt idx="23">
                  <c:v>40877</c:v>
                </c:pt>
                <c:pt idx="24">
                  <c:v>40908</c:v>
                </c:pt>
                <c:pt idx="25">
                  <c:v>40939</c:v>
                </c:pt>
                <c:pt idx="26">
                  <c:v>40968</c:v>
                </c:pt>
                <c:pt idx="27">
                  <c:v>40999</c:v>
                </c:pt>
                <c:pt idx="28">
                  <c:v>41029</c:v>
                </c:pt>
                <c:pt idx="29">
                  <c:v>41060</c:v>
                </c:pt>
                <c:pt idx="30">
                  <c:v>41090</c:v>
                </c:pt>
                <c:pt idx="31">
                  <c:v>41121</c:v>
                </c:pt>
                <c:pt idx="32">
                  <c:v>41152</c:v>
                </c:pt>
                <c:pt idx="33">
                  <c:v>41182</c:v>
                </c:pt>
                <c:pt idx="34">
                  <c:v>41213</c:v>
                </c:pt>
                <c:pt idx="35">
                  <c:v>41243</c:v>
                </c:pt>
                <c:pt idx="36">
                  <c:v>41274</c:v>
                </c:pt>
                <c:pt idx="37">
                  <c:v>41305</c:v>
                </c:pt>
                <c:pt idx="38">
                  <c:v>41333</c:v>
                </c:pt>
                <c:pt idx="39">
                  <c:v>41364</c:v>
                </c:pt>
                <c:pt idx="40">
                  <c:v>41394</c:v>
                </c:pt>
                <c:pt idx="41">
                  <c:v>41425</c:v>
                </c:pt>
                <c:pt idx="42">
                  <c:v>41455</c:v>
                </c:pt>
                <c:pt idx="43">
                  <c:v>41486</c:v>
                </c:pt>
                <c:pt idx="44">
                  <c:v>41517</c:v>
                </c:pt>
                <c:pt idx="45">
                  <c:v>41547</c:v>
                </c:pt>
              </c:numCache>
            </c:numRef>
          </c:cat>
          <c:val>
            <c:numRef>
              <c:f>data3!$C$2:$C$47</c:f>
              <c:numCache>
                <c:formatCode>General</c:formatCode>
                <c:ptCount val="46"/>
                <c:pt idx="0">
                  <c:v>0</c:v>
                </c:pt>
                <c:pt idx="1">
                  <c:v>35</c:v>
                </c:pt>
                <c:pt idx="2">
                  <c:v>112</c:v>
                </c:pt>
                <c:pt idx="3">
                  <c:v>-121</c:v>
                </c:pt>
                <c:pt idx="4">
                  <c:v>113</c:v>
                </c:pt>
                <c:pt idx="5">
                  <c:v>-231</c:v>
                </c:pt>
                <c:pt idx="6" formatCode="0.0">
                  <c:v>-1060</c:v>
                </c:pt>
                <c:pt idx="7" formatCode="0.0">
                  <c:v>-1594</c:v>
                </c:pt>
                <c:pt idx="8" formatCode="0.0">
                  <c:v>-2097</c:v>
                </c:pt>
                <c:pt idx="9" formatCode="0.0">
                  <c:v>-2320</c:v>
                </c:pt>
                <c:pt idx="10" formatCode="0.0">
                  <c:v>-3069</c:v>
                </c:pt>
                <c:pt idx="11" formatCode="0.0">
                  <c:v>-3299</c:v>
                </c:pt>
                <c:pt idx="12" formatCode="0.0">
                  <c:v>-2492</c:v>
                </c:pt>
                <c:pt idx="13" formatCode="0.0">
                  <c:v>-2032</c:v>
                </c:pt>
                <c:pt idx="14" formatCode="0.0">
                  <c:v>-2612</c:v>
                </c:pt>
                <c:pt idx="15" formatCode="0.0">
                  <c:v>-3367</c:v>
                </c:pt>
                <c:pt idx="16" formatCode="0.0">
                  <c:v>-3189</c:v>
                </c:pt>
                <c:pt idx="17" formatCode="0.0">
                  <c:v>-2582</c:v>
                </c:pt>
                <c:pt idx="18" formatCode="0.0">
                  <c:v>-2261</c:v>
                </c:pt>
                <c:pt idx="19" formatCode="0.0">
                  <c:v>-2198</c:v>
                </c:pt>
                <c:pt idx="20" formatCode="0.0">
                  <c:v>-2150</c:v>
                </c:pt>
                <c:pt idx="21" formatCode="0.0">
                  <c:v>-1708</c:v>
                </c:pt>
                <c:pt idx="22" formatCode="0.0">
                  <c:v>-1378</c:v>
                </c:pt>
                <c:pt idx="23" formatCode="0.0">
                  <c:v>-757</c:v>
                </c:pt>
                <c:pt idx="24" formatCode="0.0">
                  <c:v>-78</c:v>
                </c:pt>
                <c:pt idx="25" formatCode="0.0">
                  <c:v>607</c:v>
                </c:pt>
                <c:pt idx="26" formatCode="0.0">
                  <c:v>639</c:v>
                </c:pt>
                <c:pt idx="27" formatCode="0.0">
                  <c:v>8</c:v>
                </c:pt>
                <c:pt idx="28" formatCode="0.0">
                  <c:v>-464</c:v>
                </c:pt>
                <c:pt idx="29" formatCode="0.0">
                  <c:v>-11</c:v>
                </c:pt>
                <c:pt idx="30" formatCode="0.0">
                  <c:v>489</c:v>
                </c:pt>
                <c:pt idx="31" formatCode="0.0">
                  <c:v>1166</c:v>
                </c:pt>
                <c:pt idx="32" formatCode="0.0">
                  <c:v>1202</c:v>
                </c:pt>
                <c:pt idx="33" formatCode="0.0">
                  <c:v>887</c:v>
                </c:pt>
                <c:pt idx="34" formatCode="0.0">
                  <c:v>591</c:v>
                </c:pt>
                <c:pt idx="35" formatCode="0.0">
                  <c:v>574</c:v>
                </c:pt>
                <c:pt idx="36" formatCode="0.0">
                  <c:v>666</c:v>
                </c:pt>
                <c:pt idx="37" formatCode="0.0">
                  <c:v>211</c:v>
                </c:pt>
                <c:pt idx="38" formatCode="0.0">
                  <c:v>-203</c:v>
                </c:pt>
                <c:pt idx="39" formatCode="0.0">
                  <c:v>-333</c:v>
                </c:pt>
                <c:pt idx="40" formatCode="0.0">
                  <c:v>-212</c:v>
                </c:pt>
                <c:pt idx="41" formatCode="0.0">
                  <c:v>-178</c:v>
                </c:pt>
                <c:pt idx="42" formatCode="0.0">
                  <c:v>209</c:v>
                </c:pt>
                <c:pt idx="43" formatCode="0.0">
                  <c:v>928</c:v>
                </c:pt>
                <c:pt idx="44" formatCode="0.0">
                  <c:v>1355</c:v>
                </c:pt>
                <c:pt idx="45" formatCode="0.0">
                  <c:v>1877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data3!$D$1</c:f>
              <c:strCache>
                <c:ptCount val="1"/>
                <c:pt idx="0">
                  <c:v>אג"ח אחר בארץ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data3!$A$2:$A$47</c:f>
              <c:numCache>
                <c:formatCode>mm/yyyy</c:formatCode>
                <c:ptCount val="46"/>
                <c:pt idx="0">
                  <c:v>40178</c:v>
                </c:pt>
                <c:pt idx="1">
                  <c:v>40209</c:v>
                </c:pt>
                <c:pt idx="2">
                  <c:v>40237</c:v>
                </c:pt>
                <c:pt idx="3">
                  <c:v>40268</c:v>
                </c:pt>
                <c:pt idx="4">
                  <c:v>40298</c:v>
                </c:pt>
                <c:pt idx="5">
                  <c:v>40329</c:v>
                </c:pt>
                <c:pt idx="6">
                  <c:v>40359</c:v>
                </c:pt>
                <c:pt idx="7">
                  <c:v>40390</c:v>
                </c:pt>
                <c:pt idx="8">
                  <c:v>40421</c:v>
                </c:pt>
                <c:pt idx="9">
                  <c:v>40451</c:v>
                </c:pt>
                <c:pt idx="10">
                  <c:v>40482</c:v>
                </c:pt>
                <c:pt idx="11">
                  <c:v>40512</c:v>
                </c:pt>
                <c:pt idx="12">
                  <c:v>40543</c:v>
                </c:pt>
                <c:pt idx="13">
                  <c:v>40574</c:v>
                </c:pt>
                <c:pt idx="14">
                  <c:v>40602</c:v>
                </c:pt>
                <c:pt idx="15">
                  <c:v>40633</c:v>
                </c:pt>
                <c:pt idx="16">
                  <c:v>40663</c:v>
                </c:pt>
                <c:pt idx="17">
                  <c:v>40694</c:v>
                </c:pt>
                <c:pt idx="18">
                  <c:v>40724</c:v>
                </c:pt>
                <c:pt idx="19">
                  <c:v>40755</c:v>
                </c:pt>
                <c:pt idx="20">
                  <c:v>40786</c:v>
                </c:pt>
                <c:pt idx="21">
                  <c:v>40816</c:v>
                </c:pt>
                <c:pt idx="22">
                  <c:v>40847</c:v>
                </c:pt>
                <c:pt idx="23">
                  <c:v>40877</c:v>
                </c:pt>
                <c:pt idx="24">
                  <c:v>40908</c:v>
                </c:pt>
                <c:pt idx="25">
                  <c:v>40939</c:v>
                </c:pt>
                <c:pt idx="26">
                  <c:v>40968</c:v>
                </c:pt>
                <c:pt idx="27">
                  <c:v>40999</c:v>
                </c:pt>
                <c:pt idx="28">
                  <c:v>41029</c:v>
                </c:pt>
                <c:pt idx="29">
                  <c:v>41060</c:v>
                </c:pt>
                <c:pt idx="30">
                  <c:v>41090</c:v>
                </c:pt>
                <c:pt idx="31">
                  <c:v>41121</c:v>
                </c:pt>
                <c:pt idx="32">
                  <c:v>41152</c:v>
                </c:pt>
                <c:pt idx="33">
                  <c:v>41182</c:v>
                </c:pt>
                <c:pt idx="34">
                  <c:v>41213</c:v>
                </c:pt>
                <c:pt idx="35">
                  <c:v>41243</c:v>
                </c:pt>
                <c:pt idx="36">
                  <c:v>41274</c:v>
                </c:pt>
                <c:pt idx="37">
                  <c:v>41305</c:v>
                </c:pt>
                <c:pt idx="38">
                  <c:v>41333</c:v>
                </c:pt>
                <c:pt idx="39">
                  <c:v>41364</c:v>
                </c:pt>
                <c:pt idx="40">
                  <c:v>41394</c:v>
                </c:pt>
                <c:pt idx="41">
                  <c:v>41425</c:v>
                </c:pt>
                <c:pt idx="42">
                  <c:v>41455</c:v>
                </c:pt>
                <c:pt idx="43">
                  <c:v>41486</c:v>
                </c:pt>
                <c:pt idx="44">
                  <c:v>41517</c:v>
                </c:pt>
                <c:pt idx="45">
                  <c:v>41547</c:v>
                </c:pt>
              </c:numCache>
            </c:numRef>
          </c:cat>
          <c:val>
            <c:numRef>
              <c:f>data3!$D$2:$D$47</c:f>
              <c:numCache>
                <c:formatCode>General</c:formatCode>
                <c:ptCount val="46"/>
                <c:pt idx="0">
                  <c:v>0</c:v>
                </c:pt>
                <c:pt idx="1">
                  <c:v>2239</c:v>
                </c:pt>
                <c:pt idx="2">
                  <c:v>5501</c:v>
                </c:pt>
                <c:pt idx="3">
                  <c:v>8471</c:v>
                </c:pt>
                <c:pt idx="4">
                  <c:v>8047</c:v>
                </c:pt>
                <c:pt idx="5">
                  <c:v>6060</c:v>
                </c:pt>
                <c:pt idx="6" formatCode="0.0">
                  <c:v>6702</c:v>
                </c:pt>
                <c:pt idx="7" formatCode="0.0">
                  <c:v>8296</c:v>
                </c:pt>
                <c:pt idx="8" formatCode="0.0">
                  <c:v>11011</c:v>
                </c:pt>
                <c:pt idx="9" formatCode="0.0">
                  <c:v>12361</c:v>
                </c:pt>
                <c:pt idx="10" formatCode="0.0">
                  <c:v>15279</c:v>
                </c:pt>
                <c:pt idx="11" formatCode="0.0">
                  <c:v>16868</c:v>
                </c:pt>
                <c:pt idx="12" formatCode="0.0">
                  <c:v>16295</c:v>
                </c:pt>
                <c:pt idx="13" formatCode="0.0">
                  <c:v>18409</c:v>
                </c:pt>
                <c:pt idx="14" formatCode="0.0">
                  <c:v>20853</c:v>
                </c:pt>
                <c:pt idx="15" formatCode="0.0">
                  <c:v>20208</c:v>
                </c:pt>
                <c:pt idx="16" formatCode="0.0">
                  <c:v>19789</c:v>
                </c:pt>
                <c:pt idx="17" formatCode="0.0">
                  <c:v>17204</c:v>
                </c:pt>
                <c:pt idx="18" formatCode="0.0">
                  <c:v>12746</c:v>
                </c:pt>
                <c:pt idx="19" formatCode="0.0">
                  <c:v>11133</c:v>
                </c:pt>
                <c:pt idx="20" formatCode="0.0">
                  <c:v>6507</c:v>
                </c:pt>
                <c:pt idx="21" formatCode="0.0">
                  <c:v>3981</c:v>
                </c:pt>
                <c:pt idx="22" formatCode="0.0">
                  <c:v>3357</c:v>
                </c:pt>
                <c:pt idx="23" formatCode="0.0">
                  <c:v>1791</c:v>
                </c:pt>
                <c:pt idx="24" formatCode="0.0">
                  <c:v>265</c:v>
                </c:pt>
                <c:pt idx="25" formatCode="0.0">
                  <c:v>269</c:v>
                </c:pt>
                <c:pt idx="26" formatCode="0.0">
                  <c:v>457</c:v>
                </c:pt>
                <c:pt idx="27" formatCode="0.0">
                  <c:v>1073</c:v>
                </c:pt>
                <c:pt idx="28" formatCode="0.0">
                  <c:v>2756</c:v>
                </c:pt>
                <c:pt idx="29" formatCode="0.0">
                  <c:v>2341</c:v>
                </c:pt>
                <c:pt idx="30" formatCode="0.0">
                  <c:v>1318</c:v>
                </c:pt>
                <c:pt idx="31" formatCode="0.0">
                  <c:v>849</c:v>
                </c:pt>
                <c:pt idx="32" formatCode="0.0">
                  <c:v>199</c:v>
                </c:pt>
                <c:pt idx="33" formatCode="0.0">
                  <c:v>-33</c:v>
                </c:pt>
                <c:pt idx="34" formatCode="0.0">
                  <c:v>1644</c:v>
                </c:pt>
                <c:pt idx="35" formatCode="0.0">
                  <c:v>4235</c:v>
                </c:pt>
                <c:pt idx="36" formatCode="0.0">
                  <c:v>6228</c:v>
                </c:pt>
                <c:pt idx="37" formatCode="0.0">
                  <c:v>9806</c:v>
                </c:pt>
                <c:pt idx="38" formatCode="0.0">
                  <c:v>12996</c:v>
                </c:pt>
                <c:pt idx="39" formatCode="0.0">
                  <c:v>14846</c:v>
                </c:pt>
                <c:pt idx="40" formatCode="0.0">
                  <c:v>17353</c:v>
                </c:pt>
                <c:pt idx="41" formatCode="0.0">
                  <c:v>20518</c:v>
                </c:pt>
                <c:pt idx="42" formatCode="0.0">
                  <c:v>22268</c:v>
                </c:pt>
                <c:pt idx="43" formatCode="0.0">
                  <c:v>25039</c:v>
                </c:pt>
                <c:pt idx="44" formatCode="0.0">
                  <c:v>26054</c:v>
                </c:pt>
                <c:pt idx="45" formatCode="0.0">
                  <c:v>27279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data3!$E$1</c:f>
              <c:strCache>
                <c:ptCount val="1"/>
                <c:pt idx="0">
                  <c:v>אג"ח חו"ל</c:v>
                </c:pt>
              </c:strCache>
            </c:strRef>
          </c:tx>
          <c:spPr>
            <a:ln w="381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data3!$A$2:$A$47</c:f>
              <c:numCache>
                <c:formatCode>mm/yyyy</c:formatCode>
                <c:ptCount val="46"/>
                <c:pt idx="0">
                  <c:v>40178</c:v>
                </c:pt>
                <c:pt idx="1">
                  <c:v>40209</c:v>
                </c:pt>
                <c:pt idx="2">
                  <c:v>40237</c:v>
                </c:pt>
                <c:pt idx="3">
                  <c:v>40268</c:v>
                </c:pt>
                <c:pt idx="4">
                  <c:v>40298</c:v>
                </c:pt>
                <c:pt idx="5">
                  <c:v>40329</c:v>
                </c:pt>
                <c:pt idx="6">
                  <c:v>40359</c:v>
                </c:pt>
                <c:pt idx="7">
                  <c:v>40390</c:v>
                </c:pt>
                <c:pt idx="8">
                  <c:v>40421</c:v>
                </c:pt>
                <c:pt idx="9">
                  <c:v>40451</c:v>
                </c:pt>
                <c:pt idx="10">
                  <c:v>40482</c:v>
                </c:pt>
                <c:pt idx="11">
                  <c:v>40512</c:v>
                </c:pt>
                <c:pt idx="12">
                  <c:v>40543</c:v>
                </c:pt>
                <c:pt idx="13">
                  <c:v>40574</c:v>
                </c:pt>
                <c:pt idx="14">
                  <c:v>40602</c:v>
                </c:pt>
                <c:pt idx="15">
                  <c:v>40633</c:v>
                </c:pt>
                <c:pt idx="16">
                  <c:v>40663</c:v>
                </c:pt>
                <c:pt idx="17">
                  <c:v>40694</c:v>
                </c:pt>
                <c:pt idx="18">
                  <c:v>40724</c:v>
                </c:pt>
                <c:pt idx="19">
                  <c:v>40755</c:v>
                </c:pt>
                <c:pt idx="20">
                  <c:v>40786</c:v>
                </c:pt>
                <c:pt idx="21">
                  <c:v>40816</c:v>
                </c:pt>
                <c:pt idx="22">
                  <c:v>40847</c:v>
                </c:pt>
                <c:pt idx="23">
                  <c:v>40877</c:v>
                </c:pt>
                <c:pt idx="24">
                  <c:v>40908</c:v>
                </c:pt>
                <c:pt idx="25">
                  <c:v>40939</c:v>
                </c:pt>
                <c:pt idx="26">
                  <c:v>40968</c:v>
                </c:pt>
                <c:pt idx="27">
                  <c:v>40999</c:v>
                </c:pt>
                <c:pt idx="28">
                  <c:v>41029</c:v>
                </c:pt>
                <c:pt idx="29">
                  <c:v>41060</c:v>
                </c:pt>
                <c:pt idx="30">
                  <c:v>41090</c:v>
                </c:pt>
                <c:pt idx="31">
                  <c:v>41121</c:v>
                </c:pt>
                <c:pt idx="32">
                  <c:v>41152</c:v>
                </c:pt>
                <c:pt idx="33">
                  <c:v>41182</c:v>
                </c:pt>
                <c:pt idx="34">
                  <c:v>41213</c:v>
                </c:pt>
                <c:pt idx="35">
                  <c:v>41243</c:v>
                </c:pt>
                <c:pt idx="36">
                  <c:v>41274</c:v>
                </c:pt>
                <c:pt idx="37">
                  <c:v>41305</c:v>
                </c:pt>
                <c:pt idx="38">
                  <c:v>41333</c:v>
                </c:pt>
                <c:pt idx="39">
                  <c:v>41364</c:v>
                </c:pt>
                <c:pt idx="40">
                  <c:v>41394</c:v>
                </c:pt>
                <c:pt idx="41">
                  <c:v>41425</c:v>
                </c:pt>
                <c:pt idx="42">
                  <c:v>41455</c:v>
                </c:pt>
                <c:pt idx="43">
                  <c:v>41486</c:v>
                </c:pt>
                <c:pt idx="44">
                  <c:v>41517</c:v>
                </c:pt>
                <c:pt idx="45">
                  <c:v>41547</c:v>
                </c:pt>
              </c:numCache>
            </c:numRef>
          </c:cat>
          <c:val>
            <c:numRef>
              <c:f>data3!$E$2:$E$47</c:f>
              <c:numCache>
                <c:formatCode>General</c:formatCode>
                <c:ptCount val="46"/>
                <c:pt idx="0">
                  <c:v>0</c:v>
                </c:pt>
                <c:pt idx="1">
                  <c:v>390</c:v>
                </c:pt>
                <c:pt idx="2">
                  <c:v>480</c:v>
                </c:pt>
                <c:pt idx="3">
                  <c:v>593</c:v>
                </c:pt>
                <c:pt idx="4">
                  <c:v>697</c:v>
                </c:pt>
                <c:pt idx="5">
                  <c:v>779</c:v>
                </c:pt>
                <c:pt idx="6">
                  <c:v>944</c:v>
                </c:pt>
                <c:pt idx="7">
                  <c:v>1117</c:v>
                </c:pt>
                <c:pt idx="8">
                  <c:v>1399</c:v>
                </c:pt>
                <c:pt idx="9">
                  <c:v>1565</c:v>
                </c:pt>
                <c:pt idx="10">
                  <c:v>1877</c:v>
                </c:pt>
                <c:pt idx="11">
                  <c:v>2008</c:v>
                </c:pt>
                <c:pt idx="12">
                  <c:v>1727</c:v>
                </c:pt>
                <c:pt idx="13">
                  <c:v>1645</c:v>
                </c:pt>
                <c:pt idx="14">
                  <c:v>1639</c:v>
                </c:pt>
                <c:pt idx="15">
                  <c:v>1633</c:v>
                </c:pt>
                <c:pt idx="16">
                  <c:v>1604</c:v>
                </c:pt>
                <c:pt idx="17">
                  <c:v>1748</c:v>
                </c:pt>
                <c:pt idx="18">
                  <c:v>1715</c:v>
                </c:pt>
                <c:pt idx="19">
                  <c:v>1760</c:v>
                </c:pt>
                <c:pt idx="20">
                  <c:v>1617</c:v>
                </c:pt>
                <c:pt idx="21">
                  <c:v>1523</c:v>
                </c:pt>
                <c:pt idx="22">
                  <c:v>1441</c:v>
                </c:pt>
                <c:pt idx="23">
                  <c:v>1385</c:v>
                </c:pt>
                <c:pt idx="24">
                  <c:v>1306</c:v>
                </c:pt>
                <c:pt idx="25">
                  <c:v>1459</c:v>
                </c:pt>
                <c:pt idx="26">
                  <c:v>1728</c:v>
                </c:pt>
                <c:pt idx="27">
                  <c:v>2059</c:v>
                </c:pt>
                <c:pt idx="28">
                  <c:v>2219</c:v>
                </c:pt>
                <c:pt idx="29">
                  <c:v>2281</c:v>
                </c:pt>
                <c:pt idx="30">
                  <c:v>2322</c:v>
                </c:pt>
                <c:pt idx="31">
                  <c:v>2772</c:v>
                </c:pt>
                <c:pt idx="32">
                  <c:v>3278</c:v>
                </c:pt>
                <c:pt idx="33">
                  <c:v>3532</c:v>
                </c:pt>
                <c:pt idx="34">
                  <c:v>3474</c:v>
                </c:pt>
                <c:pt idx="35">
                  <c:v>3562</c:v>
                </c:pt>
                <c:pt idx="36">
                  <c:v>3701</c:v>
                </c:pt>
                <c:pt idx="37">
                  <c:v>3653</c:v>
                </c:pt>
                <c:pt idx="38">
                  <c:v>3547</c:v>
                </c:pt>
                <c:pt idx="39">
                  <c:v>3493</c:v>
                </c:pt>
                <c:pt idx="40">
                  <c:v>3420</c:v>
                </c:pt>
                <c:pt idx="41">
                  <c:v>3298</c:v>
                </c:pt>
                <c:pt idx="42">
                  <c:v>2897</c:v>
                </c:pt>
                <c:pt idx="43">
                  <c:v>2624</c:v>
                </c:pt>
                <c:pt idx="44">
                  <c:v>2381</c:v>
                </c:pt>
                <c:pt idx="45">
                  <c:v>2255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data3!$F$1</c:f>
              <c:strCache>
                <c:ptCount val="1"/>
                <c:pt idx="0">
                  <c:v>מניות בארץ + חו"ל</c:v>
                </c:pt>
              </c:strCache>
            </c:strRef>
          </c:tx>
          <c:spPr>
            <a:ln w="381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numRef>
              <c:f>data3!$A$2:$A$47</c:f>
              <c:numCache>
                <c:formatCode>mm/yyyy</c:formatCode>
                <c:ptCount val="46"/>
                <c:pt idx="0">
                  <c:v>40178</c:v>
                </c:pt>
                <c:pt idx="1">
                  <c:v>40209</c:v>
                </c:pt>
                <c:pt idx="2">
                  <c:v>40237</c:v>
                </c:pt>
                <c:pt idx="3">
                  <c:v>40268</c:v>
                </c:pt>
                <c:pt idx="4">
                  <c:v>40298</c:v>
                </c:pt>
                <c:pt idx="5">
                  <c:v>40329</c:v>
                </c:pt>
                <c:pt idx="6">
                  <c:v>40359</c:v>
                </c:pt>
                <c:pt idx="7">
                  <c:v>40390</c:v>
                </c:pt>
                <c:pt idx="8">
                  <c:v>40421</c:v>
                </c:pt>
                <c:pt idx="9">
                  <c:v>40451</c:v>
                </c:pt>
                <c:pt idx="10">
                  <c:v>40482</c:v>
                </c:pt>
                <c:pt idx="11">
                  <c:v>40512</c:v>
                </c:pt>
                <c:pt idx="12">
                  <c:v>40543</c:v>
                </c:pt>
                <c:pt idx="13">
                  <c:v>40574</c:v>
                </c:pt>
                <c:pt idx="14">
                  <c:v>40602</c:v>
                </c:pt>
                <c:pt idx="15">
                  <c:v>40633</c:v>
                </c:pt>
                <c:pt idx="16">
                  <c:v>40663</c:v>
                </c:pt>
                <c:pt idx="17">
                  <c:v>40694</c:v>
                </c:pt>
                <c:pt idx="18">
                  <c:v>40724</c:v>
                </c:pt>
                <c:pt idx="19">
                  <c:v>40755</c:v>
                </c:pt>
                <c:pt idx="20">
                  <c:v>40786</c:v>
                </c:pt>
                <c:pt idx="21">
                  <c:v>40816</c:v>
                </c:pt>
                <c:pt idx="22">
                  <c:v>40847</c:v>
                </c:pt>
                <c:pt idx="23">
                  <c:v>40877</c:v>
                </c:pt>
                <c:pt idx="24">
                  <c:v>40908</c:v>
                </c:pt>
                <c:pt idx="25">
                  <c:v>40939</c:v>
                </c:pt>
                <c:pt idx="26">
                  <c:v>40968</c:v>
                </c:pt>
                <c:pt idx="27">
                  <c:v>40999</c:v>
                </c:pt>
                <c:pt idx="28">
                  <c:v>41029</c:v>
                </c:pt>
                <c:pt idx="29">
                  <c:v>41060</c:v>
                </c:pt>
                <c:pt idx="30">
                  <c:v>41090</c:v>
                </c:pt>
                <c:pt idx="31">
                  <c:v>41121</c:v>
                </c:pt>
                <c:pt idx="32">
                  <c:v>41152</c:v>
                </c:pt>
                <c:pt idx="33">
                  <c:v>41182</c:v>
                </c:pt>
                <c:pt idx="34">
                  <c:v>41213</c:v>
                </c:pt>
                <c:pt idx="35">
                  <c:v>41243</c:v>
                </c:pt>
                <c:pt idx="36">
                  <c:v>41274</c:v>
                </c:pt>
                <c:pt idx="37">
                  <c:v>41305</c:v>
                </c:pt>
                <c:pt idx="38">
                  <c:v>41333</c:v>
                </c:pt>
                <c:pt idx="39">
                  <c:v>41364</c:v>
                </c:pt>
                <c:pt idx="40">
                  <c:v>41394</c:v>
                </c:pt>
                <c:pt idx="41">
                  <c:v>41425</c:v>
                </c:pt>
                <c:pt idx="42">
                  <c:v>41455</c:v>
                </c:pt>
                <c:pt idx="43">
                  <c:v>41486</c:v>
                </c:pt>
                <c:pt idx="44">
                  <c:v>41517</c:v>
                </c:pt>
                <c:pt idx="45">
                  <c:v>41547</c:v>
                </c:pt>
              </c:numCache>
            </c:numRef>
          </c:cat>
          <c:val>
            <c:numRef>
              <c:f>data3!$F$2:$F$47</c:f>
              <c:numCache>
                <c:formatCode>General</c:formatCode>
                <c:ptCount val="46"/>
                <c:pt idx="0">
                  <c:v>0</c:v>
                </c:pt>
                <c:pt idx="1">
                  <c:v>249</c:v>
                </c:pt>
                <c:pt idx="2">
                  <c:v>397</c:v>
                </c:pt>
                <c:pt idx="3">
                  <c:v>730</c:v>
                </c:pt>
                <c:pt idx="4">
                  <c:v>623</c:v>
                </c:pt>
                <c:pt idx="5">
                  <c:v>12</c:v>
                </c:pt>
                <c:pt idx="6">
                  <c:v>-20</c:v>
                </c:pt>
                <c:pt idx="7">
                  <c:v>-29</c:v>
                </c:pt>
                <c:pt idx="8">
                  <c:v>8</c:v>
                </c:pt>
                <c:pt idx="9">
                  <c:v>153</c:v>
                </c:pt>
                <c:pt idx="10">
                  <c:v>480</c:v>
                </c:pt>
                <c:pt idx="11">
                  <c:v>570</c:v>
                </c:pt>
                <c:pt idx="12">
                  <c:v>1053</c:v>
                </c:pt>
                <c:pt idx="13">
                  <c:v>1252</c:v>
                </c:pt>
                <c:pt idx="14">
                  <c:v>1353</c:v>
                </c:pt>
                <c:pt idx="15">
                  <c:v>1107</c:v>
                </c:pt>
                <c:pt idx="16">
                  <c:v>1217</c:v>
                </c:pt>
                <c:pt idx="17">
                  <c:v>744</c:v>
                </c:pt>
                <c:pt idx="18">
                  <c:v>250</c:v>
                </c:pt>
                <c:pt idx="19">
                  <c:v>49</c:v>
                </c:pt>
                <c:pt idx="20">
                  <c:v>-483</c:v>
                </c:pt>
                <c:pt idx="21">
                  <c:v>-728</c:v>
                </c:pt>
                <c:pt idx="22">
                  <c:v>-753</c:v>
                </c:pt>
                <c:pt idx="23">
                  <c:v>-955</c:v>
                </c:pt>
                <c:pt idx="24">
                  <c:v>-1178</c:v>
                </c:pt>
                <c:pt idx="25">
                  <c:v>-1171</c:v>
                </c:pt>
                <c:pt idx="26">
                  <c:v>-1198</c:v>
                </c:pt>
                <c:pt idx="27">
                  <c:v>-1246</c:v>
                </c:pt>
                <c:pt idx="28">
                  <c:v>-1228</c:v>
                </c:pt>
                <c:pt idx="29">
                  <c:v>-1466</c:v>
                </c:pt>
                <c:pt idx="30">
                  <c:v>-1707</c:v>
                </c:pt>
                <c:pt idx="31">
                  <c:v>-1930</c:v>
                </c:pt>
                <c:pt idx="32">
                  <c:v>-2105</c:v>
                </c:pt>
                <c:pt idx="33">
                  <c:v>-2167</c:v>
                </c:pt>
                <c:pt idx="34">
                  <c:v>-2200</c:v>
                </c:pt>
                <c:pt idx="35">
                  <c:v>-2119</c:v>
                </c:pt>
                <c:pt idx="36">
                  <c:v>-2037</c:v>
                </c:pt>
                <c:pt idx="37">
                  <c:v>-1710</c:v>
                </c:pt>
                <c:pt idx="38">
                  <c:v>-1466</c:v>
                </c:pt>
                <c:pt idx="39">
                  <c:v>-1148</c:v>
                </c:pt>
                <c:pt idx="40">
                  <c:v>-980</c:v>
                </c:pt>
                <c:pt idx="41">
                  <c:v>-609</c:v>
                </c:pt>
                <c:pt idx="42">
                  <c:v>-385</c:v>
                </c:pt>
                <c:pt idx="43">
                  <c:v>154</c:v>
                </c:pt>
                <c:pt idx="44">
                  <c:v>323</c:v>
                </c:pt>
                <c:pt idx="45">
                  <c:v>774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data3!$G$1</c:f>
              <c:strCache>
                <c:ptCount val="1"/>
                <c:pt idx="0">
                  <c:v>כספיות שקליות</c:v>
                </c:pt>
              </c:strCache>
            </c:strRef>
          </c:tx>
          <c:spPr>
            <a:ln w="38100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data3!$A$2:$A$47</c:f>
              <c:numCache>
                <c:formatCode>mm/yyyy</c:formatCode>
                <c:ptCount val="46"/>
                <c:pt idx="0">
                  <c:v>40178</c:v>
                </c:pt>
                <c:pt idx="1">
                  <c:v>40209</c:v>
                </c:pt>
                <c:pt idx="2">
                  <c:v>40237</c:v>
                </c:pt>
                <c:pt idx="3">
                  <c:v>40268</c:v>
                </c:pt>
                <c:pt idx="4">
                  <c:v>40298</c:v>
                </c:pt>
                <c:pt idx="5">
                  <c:v>40329</c:v>
                </c:pt>
                <c:pt idx="6">
                  <c:v>40359</c:v>
                </c:pt>
                <c:pt idx="7">
                  <c:v>40390</c:v>
                </c:pt>
                <c:pt idx="8">
                  <c:v>40421</c:v>
                </c:pt>
                <c:pt idx="9">
                  <c:v>40451</c:v>
                </c:pt>
                <c:pt idx="10">
                  <c:v>40482</c:v>
                </c:pt>
                <c:pt idx="11">
                  <c:v>40512</c:v>
                </c:pt>
                <c:pt idx="12">
                  <c:v>40543</c:v>
                </c:pt>
                <c:pt idx="13">
                  <c:v>40574</c:v>
                </c:pt>
                <c:pt idx="14">
                  <c:v>40602</c:v>
                </c:pt>
                <c:pt idx="15">
                  <c:v>40633</c:v>
                </c:pt>
                <c:pt idx="16">
                  <c:v>40663</c:v>
                </c:pt>
                <c:pt idx="17">
                  <c:v>40694</c:v>
                </c:pt>
                <c:pt idx="18">
                  <c:v>40724</c:v>
                </c:pt>
                <c:pt idx="19">
                  <c:v>40755</c:v>
                </c:pt>
                <c:pt idx="20">
                  <c:v>40786</c:v>
                </c:pt>
                <c:pt idx="21">
                  <c:v>40816</c:v>
                </c:pt>
                <c:pt idx="22">
                  <c:v>40847</c:v>
                </c:pt>
                <c:pt idx="23">
                  <c:v>40877</c:v>
                </c:pt>
                <c:pt idx="24">
                  <c:v>40908</c:v>
                </c:pt>
                <c:pt idx="25">
                  <c:v>40939</c:v>
                </c:pt>
                <c:pt idx="26">
                  <c:v>40968</c:v>
                </c:pt>
                <c:pt idx="27">
                  <c:v>40999</c:v>
                </c:pt>
                <c:pt idx="28">
                  <c:v>41029</c:v>
                </c:pt>
                <c:pt idx="29">
                  <c:v>41060</c:v>
                </c:pt>
                <c:pt idx="30">
                  <c:v>41090</c:v>
                </c:pt>
                <c:pt idx="31">
                  <c:v>41121</c:v>
                </c:pt>
                <c:pt idx="32">
                  <c:v>41152</c:v>
                </c:pt>
                <c:pt idx="33">
                  <c:v>41182</c:v>
                </c:pt>
                <c:pt idx="34">
                  <c:v>41213</c:v>
                </c:pt>
                <c:pt idx="35">
                  <c:v>41243</c:v>
                </c:pt>
                <c:pt idx="36">
                  <c:v>41274</c:v>
                </c:pt>
                <c:pt idx="37">
                  <c:v>41305</c:v>
                </c:pt>
                <c:pt idx="38">
                  <c:v>41333</c:v>
                </c:pt>
                <c:pt idx="39">
                  <c:v>41364</c:v>
                </c:pt>
                <c:pt idx="40">
                  <c:v>41394</c:v>
                </c:pt>
                <c:pt idx="41">
                  <c:v>41425</c:v>
                </c:pt>
                <c:pt idx="42">
                  <c:v>41455</c:v>
                </c:pt>
                <c:pt idx="43">
                  <c:v>41486</c:v>
                </c:pt>
                <c:pt idx="44">
                  <c:v>41517</c:v>
                </c:pt>
                <c:pt idx="45">
                  <c:v>41547</c:v>
                </c:pt>
              </c:numCache>
            </c:numRef>
          </c:cat>
          <c:val>
            <c:numRef>
              <c:f>data3!$G$2:$G$47</c:f>
              <c:numCache>
                <c:formatCode>General</c:formatCode>
                <c:ptCount val="46"/>
                <c:pt idx="0">
                  <c:v>0</c:v>
                </c:pt>
                <c:pt idx="1">
                  <c:v>-1295</c:v>
                </c:pt>
                <c:pt idx="2">
                  <c:v>-1736</c:v>
                </c:pt>
                <c:pt idx="3">
                  <c:v>-2213</c:v>
                </c:pt>
                <c:pt idx="4">
                  <c:v>-1776</c:v>
                </c:pt>
                <c:pt idx="5">
                  <c:v>966</c:v>
                </c:pt>
                <c:pt idx="6">
                  <c:v>2000</c:v>
                </c:pt>
                <c:pt idx="7">
                  <c:v>2676</c:v>
                </c:pt>
                <c:pt idx="8">
                  <c:v>3064</c:v>
                </c:pt>
                <c:pt idx="9">
                  <c:v>4008</c:v>
                </c:pt>
                <c:pt idx="10">
                  <c:v>3577</c:v>
                </c:pt>
                <c:pt idx="11">
                  <c:v>3958</c:v>
                </c:pt>
                <c:pt idx="12">
                  <c:v>1803</c:v>
                </c:pt>
                <c:pt idx="13">
                  <c:v>3046</c:v>
                </c:pt>
                <c:pt idx="14">
                  <c:v>3598</c:v>
                </c:pt>
                <c:pt idx="15">
                  <c:v>4191</c:v>
                </c:pt>
                <c:pt idx="16">
                  <c:v>5008</c:v>
                </c:pt>
                <c:pt idx="17">
                  <c:v>7478</c:v>
                </c:pt>
                <c:pt idx="18">
                  <c:v>11072</c:v>
                </c:pt>
                <c:pt idx="19">
                  <c:v>15795</c:v>
                </c:pt>
                <c:pt idx="20">
                  <c:v>20003</c:v>
                </c:pt>
                <c:pt idx="21">
                  <c:v>20311</c:v>
                </c:pt>
                <c:pt idx="22">
                  <c:v>20643</c:v>
                </c:pt>
                <c:pt idx="23">
                  <c:v>19850</c:v>
                </c:pt>
                <c:pt idx="24">
                  <c:v>17561</c:v>
                </c:pt>
                <c:pt idx="25">
                  <c:v>17115</c:v>
                </c:pt>
                <c:pt idx="26">
                  <c:v>16607</c:v>
                </c:pt>
                <c:pt idx="27">
                  <c:v>15516</c:v>
                </c:pt>
                <c:pt idx="28">
                  <c:v>15755</c:v>
                </c:pt>
                <c:pt idx="29">
                  <c:v>16980</c:v>
                </c:pt>
                <c:pt idx="30">
                  <c:v>17557</c:v>
                </c:pt>
                <c:pt idx="31">
                  <c:v>18284</c:v>
                </c:pt>
                <c:pt idx="32">
                  <c:v>19253</c:v>
                </c:pt>
                <c:pt idx="33">
                  <c:v>20548</c:v>
                </c:pt>
                <c:pt idx="34">
                  <c:v>20051</c:v>
                </c:pt>
                <c:pt idx="35">
                  <c:v>20076</c:v>
                </c:pt>
                <c:pt idx="36">
                  <c:v>17939</c:v>
                </c:pt>
                <c:pt idx="37">
                  <c:v>22180</c:v>
                </c:pt>
                <c:pt idx="38">
                  <c:v>24567</c:v>
                </c:pt>
                <c:pt idx="39">
                  <c:v>27410</c:v>
                </c:pt>
                <c:pt idx="40">
                  <c:v>28967</c:v>
                </c:pt>
                <c:pt idx="41">
                  <c:v>29799</c:v>
                </c:pt>
                <c:pt idx="42">
                  <c:v>33957</c:v>
                </c:pt>
                <c:pt idx="43">
                  <c:v>37003</c:v>
                </c:pt>
                <c:pt idx="44">
                  <c:v>38088</c:v>
                </c:pt>
                <c:pt idx="45">
                  <c:v>38768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37728"/>
        <c:axId val="4539520"/>
      </c:lineChart>
      <c:dateAx>
        <c:axId val="4537728"/>
        <c:scaling>
          <c:orientation val="minMax"/>
          <c:max val="41518"/>
          <c:min val="40179"/>
        </c:scaling>
        <c:delete val="0"/>
        <c:axPos val="b"/>
        <c:numFmt formatCode="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he-IL"/>
          </a:p>
        </c:txPr>
        <c:crossAx val="453952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45395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he-IL"/>
          </a:p>
        </c:txPr>
        <c:crossAx val="4537728"/>
        <c:crosses val="autoZero"/>
        <c:crossBetween val="between"/>
        <c:dispUnits>
          <c:builtInUnit val="thousands"/>
        </c:dispUnits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547060503447433"/>
          <c:y val="0.89830514818924379"/>
          <c:w val="0.77973100512694993"/>
          <c:h val="9.661020725550217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avid" panose="020E0502060401010101" pitchFamily="34" charset="-79"/>
          <a:ea typeface="Arial"/>
          <a:cs typeface="David" panose="020E0502060401010101" pitchFamily="34" charset="-79"/>
        </a:defRPr>
      </a:pPr>
      <a:endParaRPr lang="he-I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C40281D-DA31-4CB8-9E9B-D0022548EC72}"/>
</file>

<file path=customXml/itemProps2.xml><?xml version="1.0" encoding="utf-8"?>
<ds:datastoreItem xmlns:ds="http://schemas.openxmlformats.org/officeDocument/2006/customXml" ds:itemID="{EF91E587-AB1E-4BF1-B910-6AAC20926995}"/>
</file>

<file path=customXml/itemProps3.xml><?xml version="1.0" encoding="utf-8"?>
<ds:datastoreItem xmlns:ds="http://schemas.openxmlformats.org/officeDocument/2006/customXml" ds:itemID="{7663CF27-84A4-4F21-A819-C31CFB09F078}"/>
</file>

<file path=customXml/itemProps4.xml><?xml version="1.0" encoding="utf-8"?>
<ds:datastoreItem xmlns:ds="http://schemas.openxmlformats.org/officeDocument/2006/customXml" ds:itemID="{68A1C335-6931-46DA-A3DB-72FAAE139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2013-11-21T12:09:00Z</dcterms:created>
  <dcterms:modified xsi:type="dcterms:W3CDTF">2013-11-24T11:30:00Z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