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22A4" w:rsidRPr="0073384A" w:rsidRDefault="000C22A4" w:rsidP="000C22A4">
      <w:pPr>
        <w:rPr>
          <w:rFonts w:asciiTheme="minorHAnsi" w:hAnsiTheme="minorHAnsi" w:cstheme="minorHAnsi"/>
          <w:b/>
          <w:bCs/>
          <w:sz w:val="32"/>
          <w:szCs w:val="32"/>
        </w:rPr>
      </w:pPr>
    </w:p>
    <w:p w:rsidR="000C22A4" w:rsidRPr="0073384A" w:rsidRDefault="000C22A4" w:rsidP="000C22A4">
      <w:pPr>
        <w:pStyle w:val="regpar"/>
        <w:spacing w:line="300" w:lineRule="atLeast"/>
        <w:ind w:firstLine="0"/>
        <w:jc w:val="center"/>
        <w:rPr>
          <w:rFonts w:asciiTheme="minorHAnsi" w:hAnsiTheme="minorHAnsi" w:cstheme="minorHAnsi"/>
          <w:bCs/>
        </w:rPr>
      </w:pPr>
      <w:r w:rsidRPr="0073384A">
        <w:rPr>
          <w:rFonts w:asciiTheme="minorHAnsi" w:hAnsiTheme="minorHAnsi" w:cstheme="minorHAnsi"/>
          <w:bCs/>
          <w:noProof/>
        </w:rPr>
        <w:drawing>
          <wp:inline distT="0" distB="0" distL="0" distR="0" wp14:anchorId="28840A8C" wp14:editId="6C95580D">
            <wp:extent cx="1293830" cy="1293830"/>
            <wp:effectExtent l="0" t="0" r="0" b="0"/>
            <wp:docPr id="1" name="תמונה 1" descr="C:\Users\z862\AppData\Local\Microsoft\Windows\Temporary Internet Files\Content.Outlook\M6E9SVHT\Logo Bank of Israel 2 color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862\AppData\Local\Microsoft\Windows\Temporary Internet Files\Content.Outlook\M6E9SVHT\Logo Bank of Israel 2 color (2).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04898" cy="1304898"/>
                    </a:xfrm>
                    <a:prstGeom prst="rect">
                      <a:avLst/>
                    </a:prstGeom>
                    <a:noFill/>
                    <a:ln>
                      <a:noFill/>
                    </a:ln>
                  </pic:spPr>
                </pic:pic>
              </a:graphicData>
            </a:graphic>
          </wp:inline>
        </w:drawing>
      </w:r>
    </w:p>
    <w:p w:rsidR="000C22A4" w:rsidRPr="0073384A" w:rsidRDefault="000C22A4" w:rsidP="000C22A4">
      <w:pPr>
        <w:pStyle w:val="regpar"/>
        <w:spacing w:line="300" w:lineRule="atLeast"/>
        <w:ind w:firstLine="0"/>
        <w:jc w:val="center"/>
        <w:rPr>
          <w:rFonts w:asciiTheme="minorHAnsi" w:hAnsiTheme="minorHAnsi" w:cstheme="minorHAnsi"/>
          <w:bCs/>
        </w:rPr>
      </w:pPr>
      <w:r w:rsidRPr="0073384A">
        <w:rPr>
          <w:rFonts w:asciiTheme="minorHAnsi" w:hAnsiTheme="minorHAnsi" w:cstheme="minorHAnsi"/>
          <w:bCs/>
        </w:rPr>
        <w:t>BANK OF ISRAEL</w:t>
      </w:r>
    </w:p>
    <w:p w:rsidR="000C22A4" w:rsidRPr="0073384A" w:rsidRDefault="000C22A4" w:rsidP="000C22A4">
      <w:pPr>
        <w:pStyle w:val="regpar"/>
        <w:spacing w:line="300" w:lineRule="atLeast"/>
        <w:ind w:firstLine="0"/>
        <w:jc w:val="center"/>
        <w:rPr>
          <w:rFonts w:asciiTheme="minorHAnsi" w:hAnsiTheme="minorHAnsi" w:cstheme="minorHAnsi"/>
        </w:rPr>
      </w:pPr>
      <w:r w:rsidRPr="0073384A">
        <w:rPr>
          <w:rFonts w:asciiTheme="minorHAnsi" w:hAnsiTheme="minorHAnsi" w:cstheme="minorHAnsi"/>
        </w:rPr>
        <w:t>Office of the Spokesperson and Economic Information</w:t>
      </w:r>
    </w:p>
    <w:p w:rsidR="000C22A4" w:rsidRPr="0073384A" w:rsidRDefault="000C22A4" w:rsidP="000C22A4">
      <w:pPr>
        <w:pStyle w:val="regpar"/>
        <w:spacing w:line="300" w:lineRule="atLeast"/>
        <w:ind w:firstLine="0"/>
        <w:jc w:val="center"/>
        <w:rPr>
          <w:rFonts w:asciiTheme="minorHAnsi" w:hAnsiTheme="minorHAnsi" w:cstheme="minorHAnsi"/>
        </w:rPr>
      </w:pPr>
    </w:p>
    <w:p w:rsidR="000C22A4" w:rsidRPr="0073384A" w:rsidRDefault="000C22A4" w:rsidP="000C22A4">
      <w:pPr>
        <w:pStyle w:val="regpar"/>
        <w:spacing w:line="300" w:lineRule="atLeast"/>
        <w:ind w:firstLine="0"/>
        <w:rPr>
          <w:rFonts w:asciiTheme="minorHAnsi" w:hAnsiTheme="minorHAnsi" w:cstheme="minorHAnsi"/>
        </w:rPr>
      </w:pPr>
      <w:r w:rsidRPr="0073384A">
        <w:rPr>
          <w:rFonts w:asciiTheme="minorHAnsi" w:hAnsiTheme="minorHAnsi" w:cstheme="minorHAnsi"/>
        </w:rPr>
        <w:t>Press release</w:t>
      </w:r>
      <w:r w:rsidR="009A27CF">
        <w:rPr>
          <w:rFonts w:asciiTheme="minorHAnsi" w:hAnsiTheme="minorHAnsi" w:cstheme="minorHAnsi"/>
        </w:rPr>
        <w:t>:</w:t>
      </w:r>
      <w:bookmarkStart w:id="0" w:name="_GoBack"/>
      <w:bookmarkEnd w:id="0"/>
    </w:p>
    <w:p w:rsidR="000C22A4" w:rsidRPr="0073384A" w:rsidRDefault="000C22A4" w:rsidP="000C22A4">
      <w:pPr>
        <w:pStyle w:val="regpar"/>
        <w:rPr>
          <w:rFonts w:asciiTheme="minorHAnsi" w:hAnsiTheme="minorHAnsi" w:cstheme="minorHAnsi"/>
        </w:rPr>
      </w:pPr>
    </w:p>
    <w:p w:rsidR="000C22A4" w:rsidRPr="0073384A" w:rsidRDefault="000C22A4" w:rsidP="000C22A4">
      <w:pPr>
        <w:jc w:val="center"/>
        <w:rPr>
          <w:rFonts w:asciiTheme="minorHAnsi" w:hAnsiTheme="minorHAnsi" w:cstheme="minorHAnsi"/>
          <w:b/>
          <w:bCs/>
          <w:sz w:val="32"/>
          <w:szCs w:val="32"/>
        </w:rPr>
      </w:pPr>
    </w:p>
    <w:p w:rsidR="000C22A4" w:rsidRPr="0073384A" w:rsidRDefault="000C22A4" w:rsidP="00B5591F">
      <w:pPr>
        <w:jc w:val="center"/>
        <w:rPr>
          <w:rFonts w:asciiTheme="minorHAnsi" w:hAnsiTheme="minorHAnsi" w:cstheme="minorHAnsi"/>
          <w:b/>
          <w:bCs/>
          <w:sz w:val="32"/>
          <w:szCs w:val="32"/>
        </w:rPr>
      </w:pPr>
      <w:r w:rsidRPr="0073384A">
        <w:rPr>
          <w:rFonts w:asciiTheme="minorHAnsi" w:hAnsiTheme="minorHAnsi" w:cstheme="minorHAnsi"/>
          <w:b/>
          <w:bCs/>
          <w:sz w:val="32"/>
          <w:szCs w:val="32"/>
        </w:rPr>
        <w:t>Monetary Policy Report</w:t>
      </w:r>
      <w:r w:rsidR="00B5591F">
        <w:rPr>
          <w:rFonts w:asciiTheme="minorHAnsi" w:hAnsiTheme="minorHAnsi" w:cstheme="minorHAnsi" w:hint="cs"/>
          <w:b/>
          <w:bCs/>
          <w:sz w:val="32"/>
          <w:szCs w:val="32"/>
          <w:rtl/>
        </w:rPr>
        <w:t xml:space="preserve"> </w:t>
      </w:r>
      <w:r w:rsidRPr="0073384A">
        <w:rPr>
          <w:rFonts w:asciiTheme="minorHAnsi" w:hAnsiTheme="minorHAnsi" w:cstheme="minorHAnsi"/>
          <w:b/>
          <w:bCs/>
          <w:sz w:val="32"/>
          <w:szCs w:val="32"/>
        </w:rPr>
        <w:t>First Half of 2024</w:t>
      </w:r>
    </w:p>
    <w:p w:rsidR="000C22A4" w:rsidRPr="0073384A" w:rsidRDefault="000C22A4" w:rsidP="000C22A4">
      <w:pPr>
        <w:jc w:val="center"/>
        <w:rPr>
          <w:rFonts w:asciiTheme="minorHAnsi" w:hAnsiTheme="minorHAnsi" w:cstheme="minorHAnsi"/>
          <w:b/>
          <w:bCs/>
          <w:sz w:val="32"/>
          <w:szCs w:val="32"/>
        </w:rPr>
      </w:pPr>
    </w:p>
    <w:p w:rsidR="000C22A4" w:rsidRPr="0073384A" w:rsidRDefault="000C22A4" w:rsidP="000C22A4">
      <w:pPr>
        <w:jc w:val="center"/>
        <w:rPr>
          <w:rFonts w:asciiTheme="minorHAnsi" w:hAnsiTheme="minorHAnsi" w:cstheme="minorHAnsi"/>
          <w:b/>
          <w:bCs/>
          <w:sz w:val="28"/>
          <w:szCs w:val="28"/>
        </w:rPr>
      </w:pPr>
      <w:r w:rsidRPr="0073384A">
        <w:rPr>
          <w:rFonts w:asciiTheme="minorHAnsi" w:hAnsiTheme="minorHAnsi" w:cstheme="minorHAnsi"/>
          <w:b/>
          <w:bCs/>
          <w:sz w:val="28"/>
          <w:szCs w:val="28"/>
        </w:rPr>
        <w:t>Abstract</w:t>
      </w:r>
    </w:p>
    <w:p w:rsidR="000C22A4" w:rsidRPr="0073384A" w:rsidRDefault="000C22A4" w:rsidP="000C22A4">
      <w:pPr>
        <w:jc w:val="both"/>
        <w:rPr>
          <w:rFonts w:asciiTheme="minorHAnsi" w:hAnsiTheme="minorHAnsi" w:cstheme="minorHAnsi"/>
        </w:rPr>
      </w:pPr>
    </w:p>
    <w:p w:rsidR="000C22A4" w:rsidRPr="0073384A" w:rsidRDefault="000C22A4" w:rsidP="000C22A4">
      <w:pPr>
        <w:jc w:val="center"/>
        <w:rPr>
          <w:rFonts w:asciiTheme="minorHAnsi" w:hAnsiTheme="minorHAnsi" w:cstheme="minorHAnsi"/>
          <w:b/>
          <w:bCs/>
        </w:rPr>
      </w:pPr>
      <w:r w:rsidRPr="0073384A">
        <w:rPr>
          <w:rFonts w:asciiTheme="minorHAnsi" w:hAnsiTheme="minorHAnsi" w:cstheme="minorHAnsi"/>
          <w:b/>
          <w:bCs/>
        </w:rPr>
        <w:t>This report surveys monetary policy during the first half of 2024.</w:t>
      </w:r>
    </w:p>
    <w:p w:rsidR="000C22A4" w:rsidRPr="0073384A" w:rsidRDefault="000C22A4" w:rsidP="000C22A4">
      <w:pPr>
        <w:jc w:val="both"/>
        <w:rPr>
          <w:rFonts w:asciiTheme="minorHAnsi" w:hAnsiTheme="minorHAnsi" w:cstheme="minorHAnsi"/>
          <w:b/>
          <w:bCs/>
        </w:rPr>
      </w:pPr>
    </w:p>
    <w:p w:rsidR="00857B28" w:rsidRPr="0073384A" w:rsidRDefault="00857B28" w:rsidP="00330C92">
      <w:pPr>
        <w:jc w:val="both"/>
        <w:rPr>
          <w:rFonts w:asciiTheme="minorHAnsi" w:hAnsiTheme="minorHAnsi" w:cstheme="minorHAnsi"/>
          <w:b/>
          <w:bCs/>
          <w:sz w:val="32"/>
          <w:szCs w:val="32"/>
        </w:rPr>
      </w:pPr>
    </w:p>
    <w:p w:rsidR="009B318F" w:rsidRPr="0073384A" w:rsidRDefault="00453208" w:rsidP="00330C92">
      <w:pPr>
        <w:jc w:val="both"/>
        <w:rPr>
          <w:rFonts w:asciiTheme="minorHAnsi" w:hAnsiTheme="minorHAnsi" w:cstheme="minorHAnsi"/>
        </w:rPr>
      </w:pPr>
      <w:r w:rsidRPr="0073384A">
        <w:rPr>
          <w:rFonts w:asciiTheme="minorHAnsi" w:hAnsiTheme="minorHAnsi" w:cstheme="minorHAnsi"/>
          <w:b/>
          <w:bCs/>
        </w:rPr>
        <w:t>General background:</w:t>
      </w:r>
      <w:r w:rsidRPr="0073384A">
        <w:rPr>
          <w:rFonts w:asciiTheme="minorHAnsi" w:hAnsiTheme="minorHAnsi" w:cstheme="minorHAnsi"/>
        </w:rPr>
        <w:t xml:space="preserve"> During the first half of 2024, the Swords of Iron War continued. The Gaza Strip was the main site of fighting in the beginning of the half year, while in parallel the fighting at the Northern border continued and intensified during the half year. This was alongside a deterioration in the Iranian arena</w:t>
      </w:r>
      <w:r w:rsidR="00330C92" w:rsidRPr="0073384A">
        <w:rPr>
          <w:rFonts w:asciiTheme="minorHAnsi" w:hAnsiTheme="minorHAnsi" w:cstheme="minorHAnsi"/>
        </w:rPr>
        <w:t xml:space="preserve"> that </w:t>
      </w:r>
      <w:proofErr w:type="gramStart"/>
      <w:r w:rsidRPr="0073384A">
        <w:rPr>
          <w:rFonts w:asciiTheme="minorHAnsi" w:hAnsiTheme="minorHAnsi" w:cstheme="minorHAnsi"/>
        </w:rPr>
        <w:t>was reflected</w:t>
      </w:r>
      <w:proofErr w:type="gramEnd"/>
      <w:r w:rsidRPr="0073384A">
        <w:rPr>
          <w:rFonts w:asciiTheme="minorHAnsi" w:hAnsiTheme="minorHAnsi" w:cstheme="minorHAnsi"/>
        </w:rPr>
        <w:t xml:space="preserve"> in a massive missile attack in April, which was thwarted.</w:t>
      </w:r>
    </w:p>
    <w:p w:rsidR="009B318F" w:rsidRPr="0073384A" w:rsidRDefault="009B318F" w:rsidP="00DA6753">
      <w:pPr>
        <w:jc w:val="both"/>
        <w:rPr>
          <w:rFonts w:asciiTheme="minorHAnsi" w:hAnsiTheme="minorHAnsi" w:cstheme="minorHAnsi"/>
          <w:b/>
          <w:bCs/>
        </w:rPr>
      </w:pPr>
    </w:p>
    <w:p w:rsidR="0054605E" w:rsidRPr="0073384A" w:rsidRDefault="00453208" w:rsidP="00661154">
      <w:pPr>
        <w:jc w:val="both"/>
        <w:rPr>
          <w:rFonts w:asciiTheme="minorHAnsi" w:hAnsiTheme="minorHAnsi" w:cstheme="minorHAnsi"/>
        </w:rPr>
      </w:pPr>
      <w:r w:rsidRPr="0073384A">
        <w:rPr>
          <w:rFonts w:asciiTheme="minorHAnsi" w:hAnsiTheme="minorHAnsi" w:cstheme="minorHAnsi"/>
          <w:b/>
          <w:bCs/>
        </w:rPr>
        <w:t xml:space="preserve">Monetary policy: </w:t>
      </w:r>
      <w:r w:rsidRPr="0073384A">
        <w:rPr>
          <w:rFonts w:asciiTheme="minorHAnsi" w:hAnsiTheme="minorHAnsi" w:cstheme="minorHAnsi"/>
        </w:rPr>
        <w:t xml:space="preserve">During the half year, </w:t>
      </w:r>
      <w:r w:rsidR="00330C92" w:rsidRPr="0073384A">
        <w:rPr>
          <w:rFonts w:asciiTheme="minorHAnsi" w:hAnsiTheme="minorHAnsi" w:cstheme="minorHAnsi"/>
        </w:rPr>
        <w:t xml:space="preserve">the </w:t>
      </w:r>
      <w:r w:rsidRPr="0073384A">
        <w:rPr>
          <w:rFonts w:asciiTheme="minorHAnsi" w:hAnsiTheme="minorHAnsi" w:cstheme="minorHAnsi"/>
        </w:rPr>
        <w:t>monetary policy focused on reducing the uncertainty, and in stabilizing the financial markets, particularly the foreign exchange market, alongside the maintaining of price stability and support for economic activity</w:t>
      </w:r>
      <w:r w:rsidR="006E509B" w:rsidRPr="0073384A">
        <w:rPr>
          <w:rFonts w:asciiTheme="minorHAnsi" w:hAnsiTheme="minorHAnsi" w:cstheme="minorHAnsi"/>
        </w:rPr>
        <w:t xml:space="preserve">. At the time of the January 2024 interest rate decision it appeared that despite the environment of high uncertainty, the geopolitical and economic conditions were on a trend of improvement, as opposed to the decisions in October and November 2023; in addition, a prolonged decline in the inflation environment and marked recovery of economic activity </w:t>
      </w:r>
      <w:proofErr w:type="gramStart"/>
      <w:r w:rsidR="006E509B" w:rsidRPr="0073384A">
        <w:rPr>
          <w:rFonts w:asciiTheme="minorHAnsi" w:hAnsiTheme="minorHAnsi" w:cstheme="minorHAnsi"/>
        </w:rPr>
        <w:t>were seen</w:t>
      </w:r>
      <w:proofErr w:type="gramEnd"/>
      <w:r w:rsidR="006E509B" w:rsidRPr="0073384A">
        <w:rPr>
          <w:rFonts w:asciiTheme="minorHAnsi" w:hAnsiTheme="minorHAnsi" w:cstheme="minorHAnsi"/>
        </w:rPr>
        <w:t xml:space="preserve">. In addition, it appeared that the war would not expand to additional fronts, the concern of a notable depreciation moderated, and from a fiscal </w:t>
      </w:r>
      <w:proofErr w:type="gramStart"/>
      <w:r w:rsidR="006E509B" w:rsidRPr="0073384A">
        <w:rPr>
          <w:rFonts w:asciiTheme="minorHAnsi" w:hAnsiTheme="minorHAnsi" w:cstheme="minorHAnsi"/>
        </w:rPr>
        <w:t>perspective</w:t>
      </w:r>
      <w:proofErr w:type="gramEnd"/>
      <w:r w:rsidR="006E509B" w:rsidRPr="0073384A">
        <w:rPr>
          <w:rFonts w:asciiTheme="minorHAnsi" w:hAnsiTheme="minorHAnsi" w:cstheme="minorHAnsi"/>
        </w:rPr>
        <w:t xml:space="preserve"> it appeared that the government would make required budget adjustments. Accordingly, the Monetary Committee decided to reduce the interest rate by 0.25 percentage points, to 4.5 percent. Over the continuation of the </w:t>
      </w:r>
      <w:r w:rsidR="00661154" w:rsidRPr="0073384A">
        <w:rPr>
          <w:rFonts w:asciiTheme="minorHAnsi" w:hAnsiTheme="minorHAnsi" w:cstheme="minorHAnsi"/>
        </w:rPr>
        <w:t xml:space="preserve">half year—in the decisions of February, April, May, and July 2024—the geopolitical uncertainty increased, as did the inflation environment. Therefore, it </w:t>
      </w:r>
      <w:proofErr w:type="gramStart"/>
      <w:r w:rsidR="00661154" w:rsidRPr="0073384A">
        <w:rPr>
          <w:rFonts w:asciiTheme="minorHAnsi" w:hAnsiTheme="minorHAnsi" w:cstheme="minorHAnsi"/>
        </w:rPr>
        <w:t>was decided</w:t>
      </w:r>
      <w:proofErr w:type="gramEnd"/>
      <w:r w:rsidR="00661154" w:rsidRPr="0073384A">
        <w:rPr>
          <w:rFonts w:asciiTheme="minorHAnsi" w:hAnsiTheme="minorHAnsi" w:cstheme="minorHAnsi"/>
        </w:rPr>
        <w:t xml:space="preserve"> to keep the interest rate unchanged and to focus on stabilizing the markets and reducing the uncertainty, alongside price stability and supporting economic activit</w:t>
      </w:r>
      <w:r w:rsidR="005916DD" w:rsidRPr="0073384A">
        <w:rPr>
          <w:rFonts w:asciiTheme="minorHAnsi" w:hAnsiTheme="minorHAnsi" w:cstheme="minorHAnsi"/>
        </w:rPr>
        <w:t>y</w:t>
      </w:r>
      <w:r w:rsidR="00661154" w:rsidRPr="0073384A">
        <w:rPr>
          <w:rFonts w:asciiTheme="minorHAnsi" w:hAnsiTheme="minorHAnsi" w:cstheme="minorHAnsi"/>
        </w:rPr>
        <w:t>.</w:t>
      </w:r>
    </w:p>
    <w:p w:rsidR="0054605E" w:rsidRPr="0073384A" w:rsidRDefault="0054605E" w:rsidP="0054605E">
      <w:pPr>
        <w:jc w:val="both"/>
        <w:rPr>
          <w:rFonts w:asciiTheme="minorHAnsi" w:hAnsiTheme="minorHAnsi" w:cstheme="minorHAnsi"/>
        </w:rPr>
      </w:pPr>
    </w:p>
    <w:p w:rsidR="00DC493C" w:rsidRPr="0073384A" w:rsidRDefault="00453208" w:rsidP="00977739">
      <w:pPr>
        <w:jc w:val="both"/>
        <w:rPr>
          <w:rFonts w:asciiTheme="minorHAnsi" w:hAnsiTheme="minorHAnsi" w:cstheme="minorHAnsi"/>
        </w:rPr>
      </w:pPr>
      <w:r w:rsidRPr="0073384A">
        <w:rPr>
          <w:rFonts w:asciiTheme="minorHAnsi" w:hAnsiTheme="minorHAnsi" w:cstheme="minorHAnsi"/>
          <w:b/>
          <w:bCs/>
        </w:rPr>
        <w:t xml:space="preserve">Domestic real activity and the labor market: </w:t>
      </w:r>
      <w:r w:rsidRPr="0073384A">
        <w:rPr>
          <w:rFonts w:asciiTheme="minorHAnsi" w:hAnsiTheme="minorHAnsi" w:cstheme="minorHAnsi"/>
        </w:rPr>
        <w:t xml:space="preserve">In the first quarter of 2024, a recovery </w:t>
      </w:r>
      <w:proofErr w:type="gramStart"/>
      <w:r w:rsidRPr="0073384A">
        <w:rPr>
          <w:rFonts w:asciiTheme="minorHAnsi" w:hAnsiTheme="minorHAnsi" w:cstheme="minorHAnsi"/>
        </w:rPr>
        <w:t>was seen</w:t>
      </w:r>
      <w:proofErr w:type="gramEnd"/>
      <w:r w:rsidRPr="0073384A">
        <w:rPr>
          <w:rFonts w:asciiTheme="minorHAnsi" w:hAnsiTheme="minorHAnsi" w:cstheme="minorHAnsi"/>
        </w:rPr>
        <w:t xml:space="preserve"> in GDP, which grew sharply by 3.4 percent (in quarterly terms). However, </w:t>
      </w:r>
      <w:r w:rsidR="00A205CB" w:rsidRPr="0073384A">
        <w:rPr>
          <w:rFonts w:asciiTheme="minorHAnsi" w:hAnsiTheme="minorHAnsi" w:cstheme="minorHAnsi"/>
        </w:rPr>
        <w:t xml:space="preserve">GDP remained 2.7 percent </w:t>
      </w:r>
      <w:r w:rsidR="00A205CB" w:rsidRPr="0073384A">
        <w:rPr>
          <w:rFonts w:asciiTheme="minorHAnsi" w:hAnsiTheme="minorHAnsi" w:cstheme="minorHAnsi"/>
        </w:rPr>
        <w:lastRenderedPageBreak/>
        <w:t xml:space="preserve">lower than its level in the third quarter of 2023, which preceded the war. In the second quarter of 2024, indicators of economic activity showed a moderation in the pace of recovery. The construction industry </w:t>
      </w:r>
      <w:proofErr w:type="gramStart"/>
      <w:r w:rsidR="00A205CB" w:rsidRPr="0073384A">
        <w:rPr>
          <w:rFonts w:asciiTheme="minorHAnsi" w:hAnsiTheme="minorHAnsi" w:cstheme="minorHAnsi"/>
        </w:rPr>
        <w:t>was markedly adversely impacted</w:t>
      </w:r>
      <w:proofErr w:type="gramEnd"/>
      <w:r w:rsidR="00A205CB" w:rsidRPr="0073384A">
        <w:rPr>
          <w:rFonts w:asciiTheme="minorHAnsi" w:hAnsiTheme="minorHAnsi" w:cstheme="minorHAnsi"/>
        </w:rPr>
        <w:t xml:space="preserve"> mainly due to a severe shortage of workers, and due to the continued limitations on supply of raw materials. Another industry that </w:t>
      </w:r>
      <w:proofErr w:type="gramStart"/>
      <w:r w:rsidR="00A205CB" w:rsidRPr="0073384A">
        <w:rPr>
          <w:rFonts w:asciiTheme="minorHAnsi" w:hAnsiTheme="minorHAnsi" w:cstheme="minorHAnsi"/>
        </w:rPr>
        <w:t>was nota</w:t>
      </w:r>
      <w:r w:rsidR="00977739" w:rsidRPr="0073384A">
        <w:rPr>
          <w:rFonts w:asciiTheme="minorHAnsi" w:hAnsiTheme="minorHAnsi" w:cstheme="minorHAnsi"/>
        </w:rPr>
        <w:t>bly negatively impacted</w:t>
      </w:r>
      <w:proofErr w:type="gramEnd"/>
      <w:r w:rsidR="00977739" w:rsidRPr="0073384A">
        <w:rPr>
          <w:rFonts w:asciiTheme="minorHAnsi" w:hAnsiTheme="minorHAnsi" w:cstheme="minorHAnsi"/>
        </w:rPr>
        <w:t xml:space="preserve"> was the</w:t>
      </w:r>
      <w:r w:rsidR="00A205CB" w:rsidRPr="0073384A">
        <w:rPr>
          <w:rFonts w:asciiTheme="minorHAnsi" w:hAnsiTheme="minorHAnsi" w:cstheme="minorHAnsi"/>
        </w:rPr>
        <w:t xml:space="preserve"> air travel and tourism industry, due to supply constraints in addition to a sharp decline in demand.</w:t>
      </w:r>
      <w:r w:rsidR="0062493C" w:rsidRPr="0073384A">
        <w:rPr>
          <w:rFonts w:asciiTheme="minorHAnsi" w:hAnsiTheme="minorHAnsi" w:cstheme="minorHAnsi"/>
        </w:rPr>
        <w:t xml:space="preserve"> In the labor market, the broad unemployment rate increased sharply in October, with the eruption </w:t>
      </w:r>
      <w:r w:rsidR="00C7386D" w:rsidRPr="0073384A">
        <w:rPr>
          <w:rFonts w:asciiTheme="minorHAnsi" w:hAnsiTheme="minorHAnsi" w:cstheme="minorHAnsi"/>
        </w:rPr>
        <w:t xml:space="preserve">of the war, after which it declined at a relatively rapid pace, and stabilized in the second quarter. At the end of the </w:t>
      </w:r>
      <w:proofErr w:type="gramStart"/>
      <w:r w:rsidR="00C7386D" w:rsidRPr="0073384A">
        <w:rPr>
          <w:rFonts w:asciiTheme="minorHAnsi" w:hAnsiTheme="minorHAnsi" w:cstheme="minorHAnsi"/>
        </w:rPr>
        <w:t>half year</w:t>
      </w:r>
      <w:proofErr w:type="gramEnd"/>
      <w:r w:rsidR="00C7386D" w:rsidRPr="0073384A">
        <w:rPr>
          <w:rFonts w:asciiTheme="minorHAnsi" w:hAnsiTheme="minorHAnsi" w:cstheme="minorHAnsi"/>
        </w:rPr>
        <w:t xml:space="preserve"> (May) it remained high compared to its prewar level. </w:t>
      </w:r>
      <w:r w:rsidR="00EE2BD7" w:rsidRPr="0073384A">
        <w:rPr>
          <w:rFonts w:asciiTheme="minorHAnsi" w:hAnsiTheme="minorHAnsi" w:cstheme="minorHAnsi"/>
        </w:rPr>
        <w:t>The employment rate</w:t>
      </w:r>
      <w:r w:rsidR="00EE2BD7" w:rsidRPr="0073384A">
        <w:rPr>
          <w:rFonts w:asciiTheme="minorHAnsi" w:hAnsiTheme="minorHAnsi" w:cstheme="minorHAnsi"/>
          <w:rtl/>
        </w:rPr>
        <w:t xml:space="preserve"> </w:t>
      </w:r>
      <w:r w:rsidR="00C7386D" w:rsidRPr="0073384A">
        <w:rPr>
          <w:rFonts w:asciiTheme="minorHAnsi" w:hAnsiTheme="minorHAnsi" w:cstheme="minorHAnsi"/>
        </w:rPr>
        <w:t>declined with the outbreak of the war, after</w:t>
      </w:r>
      <w:r w:rsidR="00EE2BD7" w:rsidRPr="0073384A">
        <w:rPr>
          <w:rFonts w:asciiTheme="minorHAnsi" w:hAnsiTheme="minorHAnsi" w:cstheme="minorHAnsi"/>
        </w:rPr>
        <w:t xml:space="preserve"> which </w:t>
      </w:r>
      <w:r w:rsidR="00C7386D" w:rsidRPr="0073384A">
        <w:rPr>
          <w:rFonts w:asciiTheme="minorHAnsi" w:hAnsiTheme="minorHAnsi" w:cstheme="minorHAnsi"/>
        </w:rPr>
        <w:t xml:space="preserve">recovery was seen, with volatility, </w:t>
      </w:r>
      <w:r w:rsidR="00EE2BD7" w:rsidRPr="0073384A">
        <w:rPr>
          <w:rFonts w:asciiTheme="minorHAnsi" w:hAnsiTheme="minorHAnsi" w:cstheme="minorHAnsi"/>
        </w:rPr>
        <w:t xml:space="preserve">while </w:t>
      </w:r>
      <w:r w:rsidR="00C7386D" w:rsidRPr="0073384A">
        <w:rPr>
          <w:rFonts w:asciiTheme="minorHAnsi" w:hAnsiTheme="minorHAnsi" w:cstheme="minorHAnsi"/>
        </w:rPr>
        <w:t xml:space="preserve">at the end of the </w:t>
      </w:r>
      <w:proofErr w:type="gramStart"/>
      <w:r w:rsidR="00C7386D" w:rsidRPr="0073384A">
        <w:rPr>
          <w:rFonts w:asciiTheme="minorHAnsi" w:hAnsiTheme="minorHAnsi" w:cstheme="minorHAnsi"/>
        </w:rPr>
        <w:t>half year</w:t>
      </w:r>
      <w:proofErr w:type="gramEnd"/>
      <w:r w:rsidR="00C7386D" w:rsidRPr="0073384A">
        <w:rPr>
          <w:rFonts w:asciiTheme="minorHAnsi" w:hAnsiTheme="minorHAnsi" w:cstheme="minorHAnsi"/>
        </w:rPr>
        <w:t xml:space="preserve"> (Ma</w:t>
      </w:r>
      <w:r w:rsidR="00385E99" w:rsidRPr="0073384A">
        <w:rPr>
          <w:rFonts w:asciiTheme="minorHAnsi" w:hAnsiTheme="minorHAnsi" w:cstheme="minorHAnsi"/>
        </w:rPr>
        <w:t>y</w:t>
      </w:r>
      <w:r w:rsidR="00C7386D" w:rsidRPr="0073384A">
        <w:rPr>
          <w:rFonts w:asciiTheme="minorHAnsi" w:hAnsiTheme="minorHAnsi" w:cstheme="minorHAnsi"/>
        </w:rPr>
        <w:t>) it was lower than it was before the war. Over the past year, wage increase</w:t>
      </w:r>
      <w:r w:rsidR="00977739" w:rsidRPr="0073384A">
        <w:rPr>
          <w:rFonts w:asciiTheme="minorHAnsi" w:hAnsiTheme="minorHAnsi" w:cstheme="minorHAnsi"/>
        </w:rPr>
        <w:t xml:space="preserve">s </w:t>
      </w:r>
      <w:r w:rsidR="00C7386D" w:rsidRPr="0073384A">
        <w:rPr>
          <w:rFonts w:asciiTheme="minorHAnsi" w:hAnsiTheme="minorHAnsi" w:cstheme="minorHAnsi"/>
        </w:rPr>
        <w:t xml:space="preserve">accelerated, but this </w:t>
      </w:r>
      <w:proofErr w:type="gramStart"/>
      <w:r w:rsidR="00C7386D" w:rsidRPr="0073384A">
        <w:rPr>
          <w:rFonts w:asciiTheme="minorHAnsi" w:hAnsiTheme="minorHAnsi" w:cstheme="minorHAnsi"/>
        </w:rPr>
        <w:t>was accompanied</w:t>
      </w:r>
      <w:proofErr w:type="gramEnd"/>
      <w:r w:rsidR="00C7386D" w:rsidRPr="0073384A">
        <w:rPr>
          <w:rFonts w:asciiTheme="minorHAnsi" w:hAnsiTheme="minorHAnsi" w:cstheme="minorHAnsi"/>
        </w:rPr>
        <w:t xml:space="preserve"> by an increase in productivity per worker in the business sector.</w:t>
      </w:r>
    </w:p>
    <w:p w:rsidR="00DC493C" w:rsidRPr="0073384A" w:rsidRDefault="00DC493C" w:rsidP="00DA6753">
      <w:pPr>
        <w:jc w:val="both"/>
        <w:rPr>
          <w:rFonts w:asciiTheme="minorHAnsi" w:hAnsiTheme="minorHAnsi" w:cstheme="minorHAnsi"/>
          <w:b/>
          <w:bCs/>
        </w:rPr>
      </w:pPr>
    </w:p>
    <w:p w:rsidR="00275AA7" w:rsidRPr="0073384A" w:rsidRDefault="00453208" w:rsidP="00B13207">
      <w:pPr>
        <w:jc w:val="both"/>
        <w:rPr>
          <w:rFonts w:asciiTheme="minorHAnsi" w:hAnsiTheme="minorHAnsi" w:cstheme="minorHAnsi"/>
        </w:rPr>
      </w:pPr>
      <w:r w:rsidRPr="0073384A">
        <w:rPr>
          <w:rFonts w:asciiTheme="minorHAnsi" w:hAnsiTheme="minorHAnsi" w:cstheme="minorHAnsi"/>
          <w:b/>
          <w:bCs/>
        </w:rPr>
        <w:t>The inflation environment:</w:t>
      </w:r>
      <w:r w:rsidRPr="0073384A">
        <w:rPr>
          <w:rFonts w:asciiTheme="minorHAnsi" w:hAnsiTheme="minorHAnsi" w:cstheme="minorHAnsi"/>
        </w:rPr>
        <w:t xml:space="preserve"> </w:t>
      </w:r>
      <w:proofErr w:type="gramStart"/>
      <w:r w:rsidRPr="0073384A">
        <w:rPr>
          <w:rFonts w:asciiTheme="minorHAnsi" w:hAnsiTheme="minorHAnsi" w:cstheme="minorHAnsi"/>
        </w:rPr>
        <w:t>During the reviewed half year, the inflation rate declined, and</w:t>
      </w:r>
      <w:proofErr w:type="gramEnd"/>
      <w:r w:rsidRPr="0073384A">
        <w:rPr>
          <w:rFonts w:asciiTheme="minorHAnsi" w:hAnsiTheme="minorHAnsi" w:cstheme="minorHAnsi"/>
        </w:rPr>
        <w:t xml:space="preserve"> throughout</w:t>
      </w:r>
      <w:r w:rsidR="008B25DB" w:rsidRPr="0073384A">
        <w:rPr>
          <w:rFonts w:asciiTheme="minorHAnsi" w:hAnsiTheme="minorHAnsi" w:cstheme="minorHAnsi"/>
        </w:rPr>
        <w:t xml:space="preserve"> the entire period</w:t>
      </w:r>
      <w:r w:rsidRPr="0073384A">
        <w:rPr>
          <w:rFonts w:asciiTheme="minorHAnsi" w:hAnsiTheme="minorHAnsi" w:cstheme="minorHAnsi"/>
        </w:rPr>
        <w:t>,</w:t>
      </w:r>
      <w:r w:rsidR="00B13207" w:rsidRPr="0073384A">
        <w:rPr>
          <w:rFonts w:asciiTheme="minorHAnsi" w:hAnsiTheme="minorHAnsi" w:cstheme="minorHAnsi"/>
        </w:rPr>
        <w:t xml:space="preserve"> </w:t>
      </w:r>
      <w:r w:rsidRPr="0073384A">
        <w:rPr>
          <w:rFonts w:asciiTheme="minorHAnsi" w:hAnsiTheme="minorHAnsi" w:cstheme="minorHAnsi"/>
        </w:rPr>
        <w:t>the year-over-year inflation rate was within the price stability target (1–3 percent), and at the end the year-over-year rate was 2.8 percent. One-year inflation expectations from the various sources increased over the course of the half year reviewed, and were around the upper bound of the target.</w:t>
      </w:r>
    </w:p>
    <w:p w:rsidR="00FC1878" w:rsidRPr="0073384A" w:rsidRDefault="00FC1878" w:rsidP="00275AA7">
      <w:pPr>
        <w:jc w:val="both"/>
        <w:rPr>
          <w:rFonts w:asciiTheme="minorHAnsi" w:hAnsiTheme="minorHAnsi" w:cstheme="minorHAnsi"/>
        </w:rPr>
      </w:pPr>
    </w:p>
    <w:p w:rsidR="00FC1878" w:rsidRPr="0073384A" w:rsidRDefault="00453208" w:rsidP="00FC1878">
      <w:pPr>
        <w:jc w:val="both"/>
        <w:rPr>
          <w:rFonts w:asciiTheme="minorHAnsi" w:hAnsiTheme="minorHAnsi" w:cstheme="minorHAnsi"/>
        </w:rPr>
      </w:pPr>
      <w:r w:rsidRPr="0073384A">
        <w:rPr>
          <w:rFonts w:asciiTheme="minorHAnsi" w:hAnsiTheme="minorHAnsi" w:cstheme="minorHAnsi"/>
          <w:b/>
          <w:bCs/>
        </w:rPr>
        <w:t>Exchange rate:</w:t>
      </w:r>
      <w:r w:rsidRPr="0073384A">
        <w:rPr>
          <w:rFonts w:asciiTheme="minorHAnsi" w:hAnsiTheme="minorHAnsi" w:cstheme="minorHAnsi"/>
        </w:rPr>
        <w:t xml:space="preserve"> After a marked depreciation with the eruption of the war, and against the background of Bank of Israel intervention, a sharp appreciation </w:t>
      </w:r>
      <w:proofErr w:type="gramStart"/>
      <w:r w:rsidRPr="0073384A">
        <w:rPr>
          <w:rFonts w:asciiTheme="minorHAnsi" w:hAnsiTheme="minorHAnsi" w:cstheme="minorHAnsi"/>
        </w:rPr>
        <w:t>was seen</w:t>
      </w:r>
      <w:proofErr w:type="gramEnd"/>
      <w:r w:rsidRPr="0073384A">
        <w:rPr>
          <w:rFonts w:asciiTheme="minorHAnsi" w:hAnsiTheme="minorHAnsi" w:cstheme="minorHAnsi"/>
        </w:rPr>
        <w:t xml:space="preserve"> at the end of 2023. Afterward, during the course of the half year reviewed, the NIS/$ exchange rate hovered around a level slightly lower than just before the war, with high volatility, which was impacted on mainly by geopolitical developments.</w:t>
      </w:r>
    </w:p>
    <w:p w:rsidR="00FC1878" w:rsidRPr="0073384A" w:rsidRDefault="00FC1878" w:rsidP="00FC1878">
      <w:pPr>
        <w:jc w:val="both"/>
        <w:rPr>
          <w:rFonts w:asciiTheme="minorHAnsi" w:hAnsiTheme="minorHAnsi" w:cstheme="minorHAnsi"/>
        </w:rPr>
      </w:pPr>
    </w:p>
    <w:p w:rsidR="00240637" w:rsidRPr="0073384A" w:rsidRDefault="00453208" w:rsidP="00F83A1C">
      <w:pPr>
        <w:jc w:val="both"/>
        <w:rPr>
          <w:rFonts w:asciiTheme="minorHAnsi" w:hAnsiTheme="minorHAnsi" w:cstheme="minorHAnsi"/>
        </w:rPr>
      </w:pPr>
      <w:r w:rsidRPr="0073384A">
        <w:rPr>
          <w:rFonts w:asciiTheme="minorHAnsi" w:hAnsiTheme="minorHAnsi" w:cstheme="minorHAnsi"/>
          <w:b/>
          <w:bCs/>
        </w:rPr>
        <w:t>Fiscal policy:</w:t>
      </w:r>
      <w:r w:rsidRPr="0073384A">
        <w:rPr>
          <w:rFonts w:asciiTheme="minorHAnsi" w:hAnsiTheme="minorHAnsi" w:cstheme="minorHAnsi"/>
        </w:rPr>
        <w:t xml:space="preserve"> Against the background of the war, the cumulative government budget deficit over the </w:t>
      </w:r>
      <w:r w:rsidR="00F83A1C" w:rsidRPr="0073384A">
        <w:rPr>
          <w:rFonts w:asciiTheme="minorHAnsi" w:hAnsiTheme="minorHAnsi" w:cstheme="minorHAnsi"/>
        </w:rPr>
        <w:t xml:space="preserve">preceding </w:t>
      </w:r>
      <w:r w:rsidRPr="0073384A">
        <w:rPr>
          <w:rFonts w:asciiTheme="minorHAnsi" w:hAnsiTheme="minorHAnsi" w:cstheme="minorHAnsi"/>
        </w:rPr>
        <w:t xml:space="preserve">12 months increased over the course of the half year, and in </w:t>
      </w:r>
      <w:proofErr w:type="gramStart"/>
      <w:r w:rsidRPr="0073384A">
        <w:rPr>
          <w:rFonts w:asciiTheme="minorHAnsi" w:hAnsiTheme="minorHAnsi" w:cstheme="minorHAnsi"/>
        </w:rPr>
        <w:t>June</w:t>
      </w:r>
      <w:proofErr w:type="gramEnd"/>
      <w:r w:rsidRPr="0073384A">
        <w:rPr>
          <w:rFonts w:asciiTheme="minorHAnsi" w:hAnsiTheme="minorHAnsi" w:cstheme="minorHAnsi"/>
        </w:rPr>
        <w:t xml:space="preserve"> it was 7.6 percent of GDP, with a sharp increase in expenditures alongside an </w:t>
      </w:r>
      <w:r w:rsidR="004F25D4" w:rsidRPr="0073384A">
        <w:rPr>
          <w:rFonts w:asciiTheme="minorHAnsi" w:hAnsiTheme="minorHAnsi" w:cstheme="minorHAnsi"/>
        </w:rPr>
        <w:t xml:space="preserve">above-expectation </w:t>
      </w:r>
      <w:r w:rsidRPr="0073384A">
        <w:rPr>
          <w:rFonts w:asciiTheme="minorHAnsi" w:hAnsiTheme="minorHAnsi" w:cstheme="minorHAnsi"/>
        </w:rPr>
        <w:t>increase in tax revenues</w:t>
      </w:r>
      <w:r w:rsidR="00F629FF" w:rsidRPr="0073384A">
        <w:rPr>
          <w:rFonts w:asciiTheme="minorHAnsi" w:hAnsiTheme="minorHAnsi" w:cstheme="minorHAnsi"/>
        </w:rPr>
        <w:t>.</w:t>
      </w:r>
      <w:r w:rsidR="00644B57" w:rsidRPr="0073384A">
        <w:rPr>
          <w:rFonts w:asciiTheme="minorHAnsi" w:hAnsiTheme="minorHAnsi" w:cstheme="minorHAnsi"/>
        </w:rPr>
        <w:t xml:space="preserve"> According to the Research Department forecast, the cumulative year over year budget deficit is expected to continue increasing in the coming months, however, it is seen to be converging back to 6.6 percent of GDP at the end of 2024, so long as there won’t be </w:t>
      </w:r>
      <w:r w:rsidR="00A5458B" w:rsidRPr="0073384A">
        <w:rPr>
          <w:rFonts w:asciiTheme="minorHAnsi" w:hAnsiTheme="minorHAnsi" w:cstheme="minorHAnsi"/>
        </w:rPr>
        <w:t>an anomalous deviation in defense expenditures.</w:t>
      </w:r>
    </w:p>
    <w:p w:rsidR="00240637" w:rsidRPr="0073384A" w:rsidRDefault="00240637" w:rsidP="00DA6753">
      <w:pPr>
        <w:jc w:val="both"/>
        <w:rPr>
          <w:rFonts w:asciiTheme="minorHAnsi" w:hAnsiTheme="minorHAnsi" w:cstheme="minorHAnsi"/>
        </w:rPr>
      </w:pPr>
    </w:p>
    <w:p w:rsidR="00BB73C4" w:rsidRPr="0073384A" w:rsidRDefault="00453208" w:rsidP="009A684F">
      <w:pPr>
        <w:jc w:val="both"/>
        <w:rPr>
          <w:rFonts w:asciiTheme="minorHAnsi" w:hAnsiTheme="minorHAnsi" w:cstheme="minorHAnsi"/>
          <w:b/>
          <w:bCs/>
        </w:rPr>
      </w:pPr>
      <w:r w:rsidRPr="0073384A">
        <w:rPr>
          <w:rFonts w:asciiTheme="minorHAnsi" w:hAnsiTheme="minorHAnsi" w:cstheme="minorHAnsi"/>
          <w:b/>
          <w:bCs/>
        </w:rPr>
        <w:t>Financial stability:</w:t>
      </w:r>
      <w:r w:rsidRPr="0073384A">
        <w:rPr>
          <w:rFonts w:asciiTheme="minorHAnsi" w:hAnsiTheme="minorHAnsi" w:cstheme="minorHAnsi"/>
        </w:rPr>
        <w:t xml:space="preserve"> Since the war erup</w:t>
      </w:r>
      <w:r w:rsidR="009A684F" w:rsidRPr="0073384A">
        <w:rPr>
          <w:rFonts w:asciiTheme="minorHAnsi" w:hAnsiTheme="minorHAnsi" w:cstheme="minorHAnsi"/>
        </w:rPr>
        <w:t>t</w:t>
      </w:r>
      <w:r w:rsidRPr="0073384A">
        <w:rPr>
          <w:rFonts w:asciiTheme="minorHAnsi" w:hAnsiTheme="minorHAnsi" w:cstheme="minorHAnsi"/>
        </w:rPr>
        <w:t>ed, the economy’s risk premium increased notably</w:t>
      </w:r>
      <w:r w:rsidR="009A684F" w:rsidRPr="0073384A">
        <w:rPr>
          <w:rFonts w:asciiTheme="minorHAnsi" w:hAnsiTheme="minorHAnsi" w:cstheme="minorHAnsi"/>
        </w:rPr>
        <w:t xml:space="preserve">, some international rating agencies downgraded </w:t>
      </w:r>
      <w:proofErr w:type="gramStart"/>
      <w:r w:rsidR="009A684F" w:rsidRPr="0073384A">
        <w:rPr>
          <w:rFonts w:asciiTheme="minorHAnsi" w:hAnsiTheme="minorHAnsi" w:cstheme="minorHAnsi"/>
        </w:rPr>
        <w:t>Israel’s</w:t>
      </w:r>
      <w:proofErr w:type="gramEnd"/>
      <w:r w:rsidR="009A684F" w:rsidRPr="0073384A">
        <w:rPr>
          <w:rFonts w:asciiTheme="minorHAnsi" w:hAnsiTheme="minorHAnsi" w:cstheme="minorHAnsi"/>
        </w:rPr>
        <w:t xml:space="preserve"> rating, government bond yields increased, and the equity market in Israel continued to underperform compared internationally. Alongside that, the financial system in Israel continued to display robustness and resilience. The balance of business credit has been on a trend of expansion since the beginning of 2024. In bank and nonbank credit to the business sector, an increase in risk indices </w:t>
      </w:r>
      <w:proofErr w:type="gramStart"/>
      <w:r w:rsidR="009A684F" w:rsidRPr="0073384A">
        <w:rPr>
          <w:rFonts w:asciiTheme="minorHAnsi" w:hAnsiTheme="minorHAnsi" w:cstheme="minorHAnsi"/>
        </w:rPr>
        <w:t>can be seen</w:t>
      </w:r>
      <w:proofErr w:type="gramEnd"/>
      <w:r w:rsidR="009A684F" w:rsidRPr="0073384A">
        <w:rPr>
          <w:rFonts w:asciiTheme="minorHAnsi" w:hAnsiTheme="minorHAnsi" w:cstheme="minorHAnsi"/>
        </w:rPr>
        <w:t xml:space="preserve">, but the risk levels are still not high compared to the past decade. </w:t>
      </w:r>
    </w:p>
    <w:p w:rsidR="00DA6753" w:rsidRPr="0073384A" w:rsidRDefault="00DA6753" w:rsidP="00DA6753">
      <w:pPr>
        <w:jc w:val="both"/>
        <w:rPr>
          <w:rFonts w:asciiTheme="minorHAnsi" w:hAnsiTheme="minorHAnsi" w:cstheme="minorHAnsi"/>
        </w:rPr>
      </w:pPr>
    </w:p>
    <w:p w:rsidR="006C23CE" w:rsidRPr="0073384A" w:rsidRDefault="00453208" w:rsidP="00C33001">
      <w:pPr>
        <w:jc w:val="both"/>
        <w:rPr>
          <w:rFonts w:asciiTheme="minorHAnsi" w:hAnsiTheme="minorHAnsi" w:cstheme="minorHAnsi"/>
        </w:rPr>
      </w:pPr>
      <w:r w:rsidRPr="0073384A">
        <w:rPr>
          <w:rFonts w:asciiTheme="minorHAnsi" w:hAnsiTheme="minorHAnsi" w:cstheme="minorHAnsi"/>
          <w:b/>
          <w:bCs/>
        </w:rPr>
        <w:t>The housing market:</w:t>
      </w:r>
      <w:r w:rsidRPr="0073384A">
        <w:rPr>
          <w:rFonts w:asciiTheme="minorHAnsi" w:hAnsiTheme="minorHAnsi" w:cstheme="minorHAnsi"/>
        </w:rPr>
        <w:t xml:space="preserve"> Home prices increased in January through March 2024 </w:t>
      </w:r>
      <w:r w:rsidR="00C33001" w:rsidRPr="0073384A">
        <w:rPr>
          <w:rFonts w:asciiTheme="minorHAnsi" w:hAnsiTheme="minorHAnsi" w:cstheme="minorHAnsi"/>
        </w:rPr>
        <w:t>by</w:t>
      </w:r>
      <w:r w:rsidRPr="0073384A">
        <w:rPr>
          <w:rFonts w:asciiTheme="minorHAnsi" w:hAnsiTheme="minorHAnsi" w:cstheme="minorHAnsi"/>
        </w:rPr>
        <w:t xml:space="preserve"> a cumulative 2.9 percent, and the year over year </w:t>
      </w:r>
      <w:r w:rsidR="00C33001" w:rsidRPr="0073384A">
        <w:rPr>
          <w:rFonts w:asciiTheme="minorHAnsi" w:hAnsiTheme="minorHAnsi" w:cstheme="minorHAnsi"/>
        </w:rPr>
        <w:t xml:space="preserve">growth </w:t>
      </w:r>
      <w:r w:rsidRPr="0073384A">
        <w:rPr>
          <w:rFonts w:asciiTheme="minorHAnsi" w:hAnsiTheme="minorHAnsi" w:cstheme="minorHAnsi"/>
        </w:rPr>
        <w:t xml:space="preserve">rate increased to 2.1 percent compared to -2.2 percent in October 2023. The increase in home prices </w:t>
      </w:r>
      <w:proofErr w:type="gramStart"/>
      <w:r w:rsidRPr="0073384A">
        <w:rPr>
          <w:rFonts w:asciiTheme="minorHAnsi" w:hAnsiTheme="minorHAnsi" w:cstheme="minorHAnsi"/>
        </w:rPr>
        <w:t>was accompanied</w:t>
      </w:r>
      <w:proofErr w:type="gramEnd"/>
      <w:r w:rsidRPr="0073384A">
        <w:rPr>
          <w:rFonts w:asciiTheme="minorHAnsi" w:hAnsiTheme="minorHAnsi" w:cstheme="minorHAnsi"/>
        </w:rPr>
        <w:t xml:space="preserve"> by sharp growth in the number of transactions. However, the number of transactions is still markedly lower than </w:t>
      </w:r>
      <w:r w:rsidR="00A9092A" w:rsidRPr="0073384A">
        <w:rPr>
          <w:rFonts w:asciiTheme="minorHAnsi" w:hAnsiTheme="minorHAnsi" w:cstheme="minorHAnsi"/>
        </w:rPr>
        <w:t>record levels of 2021. The annual pace of increase in the owner-occupied housing services index, measured through rents in new and renewing leases, moderated in the half year reviewed, ending it at 1.9 percent.</w:t>
      </w:r>
    </w:p>
    <w:p w:rsidR="00DA6753" w:rsidRPr="0073384A" w:rsidRDefault="00DA6753" w:rsidP="00DA6753">
      <w:pPr>
        <w:jc w:val="both"/>
        <w:rPr>
          <w:rFonts w:asciiTheme="minorHAnsi" w:hAnsiTheme="minorHAnsi" w:cstheme="minorHAnsi"/>
          <w:b/>
          <w:bCs/>
          <w:highlight w:val="green"/>
        </w:rPr>
      </w:pPr>
    </w:p>
    <w:p w:rsidR="00A80AFD" w:rsidRPr="0073384A" w:rsidRDefault="00453208" w:rsidP="001F3604">
      <w:pPr>
        <w:jc w:val="both"/>
        <w:rPr>
          <w:rFonts w:asciiTheme="minorHAnsi" w:hAnsiTheme="minorHAnsi" w:cstheme="minorHAnsi"/>
        </w:rPr>
      </w:pPr>
      <w:r w:rsidRPr="0073384A">
        <w:rPr>
          <w:rFonts w:asciiTheme="minorHAnsi" w:hAnsiTheme="minorHAnsi" w:cstheme="minorHAnsi"/>
          <w:b/>
          <w:bCs/>
        </w:rPr>
        <w:t>The global economy:</w:t>
      </w:r>
      <w:r w:rsidRPr="0073384A">
        <w:rPr>
          <w:rFonts w:asciiTheme="minorHAnsi" w:hAnsiTheme="minorHAnsi" w:cstheme="minorHAnsi"/>
        </w:rPr>
        <w:t xml:space="preserve"> First quarter growth </w:t>
      </w:r>
      <w:r w:rsidR="00C33001" w:rsidRPr="0073384A">
        <w:rPr>
          <w:rFonts w:asciiTheme="minorHAnsi" w:hAnsiTheme="minorHAnsi" w:cstheme="minorHAnsi"/>
        </w:rPr>
        <w:t xml:space="preserve">data </w:t>
      </w:r>
      <w:r w:rsidRPr="0073384A">
        <w:rPr>
          <w:rFonts w:asciiTheme="minorHAnsi" w:hAnsiTheme="minorHAnsi" w:cstheme="minorHAnsi"/>
        </w:rPr>
        <w:t>indicated continued expansion of the global economy.</w:t>
      </w:r>
      <w:r w:rsidR="008D30D8" w:rsidRPr="0073384A">
        <w:rPr>
          <w:rFonts w:asciiTheme="minorHAnsi" w:hAnsiTheme="minorHAnsi" w:cstheme="minorHAnsi"/>
        </w:rPr>
        <w:t xml:space="preserve"> World trade volume recovered slightly during the period reviewed, the price of oil increased, and maritime shipping costs increased.</w:t>
      </w:r>
      <w:r w:rsidR="005A2945" w:rsidRPr="0073384A">
        <w:rPr>
          <w:rFonts w:asciiTheme="minorHAnsi" w:hAnsiTheme="minorHAnsi" w:cstheme="minorHAnsi"/>
        </w:rPr>
        <w:t xml:space="preserve"> Inflation trends during the reviewed period indicated convergence to central banks’ targets</w:t>
      </w:r>
      <w:r w:rsidR="00013396" w:rsidRPr="0073384A">
        <w:rPr>
          <w:rFonts w:asciiTheme="minorHAnsi" w:hAnsiTheme="minorHAnsi" w:cstheme="minorHAnsi"/>
        </w:rPr>
        <w:t>, but at a slow pace compared to forecast</w:t>
      </w:r>
      <w:r w:rsidR="001F3604" w:rsidRPr="0073384A">
        <w:rPr>
          <w:rFonts w:asciiTheme="minorHAnsi" w:hAnsiTheme="minorHAnsi" w:cstheme="minorHAnsi"/>
        </w:rPr>
        <w:t>s</w:t>
      </w:r>
      <w:r w:rsidR="00013396" w:rsidRPr="0073384A">
        <w:rPr>
          <w:rFonts w:asciiTheme="minorHAnsi" w:hAnsiTheme="minorHAnsi" w:cstheme="minorHAnsi"/>
        </w:rPr>
        <w:t xml:space="preserve"> from the beginning of the year</w:t>
      </w:r>
      <w:r w:rsidR="001F3604" w:rsidRPr="0073384A">
        <w:rPr>
          <w:rFonts w:asciiTheme="minorHAnsi" w:hAnsiTheme="minorHAnsi" w:cstheme="minorHAnsi"/>
        </w:rPr>
        <w:t xml:space="preserve">. Against this background, major central banks continued to signal to the market that they </w:t>
      </w:r>
      <w:proofErr w:type="gramStart"/>
      <w:r w:rsidR="001F3604" w:rsidRPr="0073384A">
        <w:rPr>
          <w:rFonts w:asciiTheme="minorHAnsi" w:hAnsiTheme="minorHAnsi" w:cstheme="minorHAnsi"/>
        </w:rPr>
        <w:t>will</w:t>
      </w:r>
      <w:proofErr w:type="gramEnd"/>
      <w:r w:rsidR="001F3604" w:rsidRPr="0073384A">
        <w:rPr>
          <w:rFonts w:asciiTheme="minorHAnsi" w:hAnsiTheme="minorHAnsi" w:cstheme="minorHAnsi"/>
        </w:rPr>
        <w:t xml:space="preserve"> not hesitate to keep the interest rate at a restrictive level for a lengthy period of</w:t>
      </w:r>
      <w:r w:rsidR="00C46F33" w:rsidRPr="0073384A">
        <w:rPr>
          <w:rFonts w:asciiTheme="minorHAnsi" w:hAnsiTheme="minorHAnsi" w:cstheme="minorHAnsi"/>
        </w:rPr>
        <w:t xml:space="preserve"> time. T</w:t>
      </w:r>
      <w:r w:rsidR="001F3604" w:rsidRPr="0073384A">
        <w:rPr>
          <w:rFonts w:asciiTheme="minorHAnsi" w:hAnsiTheme="minorHAnsi" w:cstheme="minorHAnsi"/>
        </w:rPr>
        <w:t>he US Federal Reserve did not change the interest rate during the half year reviewed, in contrast to expectations at the beginning of the period, and the ECB reduced the interest rat</w:t>
      </w:r>
      <w:r w:rsidR="00C46F33" w:rsidRPr="0073384A">
        <w:rPr>
          <w:rFonts w:asciiTheme="minorHAnsi" w:hAnsiTheme="minorHAnsi" w:cstheme="minorHAnsi"/>
        </w:rPr>
        <w:t xml:space="preserve">e in June 2024 </w:t>
      </w:r>
      <w:r w:rsidR="001F3604" w:rsidRPr="0073384A">
        <w:rPr>
          <w:rFonts w:asciiTheme="minorHAnsi" w:hAnsiTheme="minorHAnsi" w:cstheme="minorHAnsi"/>
        </w:rPr>
        <w:t>for the first time in 5 years.</w:t>
      </w:r>
    </w:p>
    <w:p w:rsidR="00A80AFD" w:rsidRPr="0073384A" w:rsidRDefault="00A80AFD" w:rsidP="00DA6753">
      <w:pPr>
        <w:jc w:val="both"/>
        <w:rPr>
          <w:rFonts w:asciiTheme="minorHAnsi" w:hAnsiTheme="minorHAnsi" w:cstheme="minorHAnsi"/>
          <w:highlight w:val="green"/>
        </w:rPr>
      </w:pPr>
    </w:p>
    <w:p w:rsidR="00DA6753" w:rsidRPr="0073384A" w:rsidRDefault="00453208" w:rsidP="0020310B">
      <w:pPr>
        <w:jc w:val="both"/>
        <w:rPr>
          <w:rFonts w:asciiTheme="minorHAnsi" w:hAnsiTheme="minorHAnsi" w:cstheme="minorHAnsi"/>
        </w:rPr>
      </w:pPr>
      <w:r w:rsidRPr="0073384A">
        <w:rPr>
          <w:rFonts w:asciiTheme="minorHAnsi" w:hAnsiTheme="minorHAnsi" w:cstheme="minorHAnsi"/>
          <w:b/>
          <w:bCs/>
        </w:rPr>
        <w:t xml:space="preserve">The Research Department staff </w:t>
      </w:r>
      <w:proofErr w:type="gramStart"/>
      <w:r w:rsidRPr="0073384A">
        <w:rPr>
          <w:rFonts w:asciiTheme="minorHAnsi" w:hAnsiTheme="minorHAnsi" w:cstheme="minorHAnsi"/>
          <w:b/>
          <w:bCs/>
        </w:rPr>
        <w:t>forecast:</w:t>
      </w:r>
      <w:proofErr w:type="gramEnd"/>
      <w:r w:rsidRPr="0073384A">
        <w:rPr>
          <w:rFonts w:asciiTheme="minorHAnsi" w:hAnsiTheme="minorHAnsi" w:cstheme="minorHAnsi"/>
        </w:rPr>
        <w:t xml:space="preserve"> </w:t>
      </w:r>
      <w:r w:rsidR="00D2776F" w:rsidRPr="0073384A">
        <w:rPr>
          <w:rFonts w:asciiTheme="minorHAnsi" w:hAnsiTheme="minorHAnsi" w:cstheme="minorHAnsi"/>
        </w:rPr>
        <w:t>According to the forecast published in July, GDP is expected to increase by 1.5 percent in 2024 and by 4.2 percent in 2025—growth rates that are a cumulative 1.3 percent lower than forecasts in January and April.</w:t>
      </w:r>
      <w:r w:rsidR="00366990" w:rsidRPr="0073384A">
        <w:rPr>
          <w:rFonts w:asciiTheme="minorHAnsi" w:hAnsiTheme="minorHAnsi" w:cstheme="minorHAnsi"/>
        </w:rPr>
        <w:t xml:space="preserve"> The annual inflation rate in 2024 is expected to be 3.0 percent, and during 2025 to be 2.8 percent—higher rates than those forecast in January 2024.</w:t>
      </w:r>
      <w:r w:rsidR="00673CAD" w:rsidRPr="0073384A">
        <w:rPr>
          <w:rFonts w:asciiTheme="minorHAnsi" w:hAnsiTheme="minorHAnsi" w:cstheme="minorHAnsi"/>
        </w:rPr>
        <w:t xml:space="preserve"> Assuming that the government makes fiscal adjustments of a permanent nature of about NIS 30 billion, the deficit in 2025 </w:t>
      </w:r>
      <w:proofErr w:type="gramStart"/>
      <w:r w:rsidR="00673CAD" w:rsidRPr="0073384A">
        <w:rPr>
          <w:rFonts w:asciiTheme="minorHAnsi" w:hAnsiTheme="minorHAnsi" w:cstheme="minorHAnsi"/>
        </w:rPr>
        <w:t>is expected</w:t>
      </w:r>
      <w:proofErr w:type="gramEnd"/>
      <w:r w:rsidR="00673CAD" w:rsidRPr="0073384A">
        <w:rPr>
          <w:rFonts w:asciiTheme="minorHAnsi" w:hAnsiTheme="minorHAnsi" w:cstheme="minorHAnsi"/>
        </w:rPr>
        <w:t>, according to the July 2024 forecast, to decline to around 4.0 percent of GDP.</w:t>
      </w:r>
    </w:p>
    <w:p w:rsidR="000519B9" w:rsidRPr="0073384A" w:rsidRDefault="000519B9" w:rsidP="00DA6753">
      <w:pPr>
        <w:rPr>
          <w:rFonts w:asciiTheme="minorHAnsi" w:hAnsiTheme="minorHAnsi" w:cstheme="minorHAnsi"/>
        </w:rPr>
      </w:pPr>
    </w:p>
    <w:sectPr w:rsidR="000519B9" w:rsidRPr="0073384A" w:rsidSect="009C677A">
      <w:type w:val="continuous"/>
      <w:pgSz w:w="11907" w:h="16839" w:code="9"/>
      <w:pgMar w:top="1701" w:right="1134" w:bottom="1304" w:left="1418" w:header="1418" w:footer="567"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mirrorMargins/>
  <w:proofState w:spelling="clean" w:grammar="clean"/>
  <w:defaultTabStop w:val="720"/>
  <w:evenAndOddHeaders/>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EC0"/>
    <w:rsid w:val="00000763"/>
    <w:rsid w:val="00013396"/>
    <w:rsid w:val="000519B9"/>
    <w:rsid w:val="000B77F3"/>
    <w:rsid w:val="000C22A4"/>
    <w:rsid w:val="000D59FD"/>
    <w:rsid w:val="000E7C2F"/>
    <w:rsid w:val="000F2365"/>
    <w:rsid w:val="001024B7"/>
    <w:rsid w:val="00133333"/>
    <w:rsid w:val="00172F04"/>
    <w:rsid w:val="001B1AC8"/>
    <w:rsid w:val="001D6DE5"/>
    <w:rsid w:val="001F1511"/>
    <w:rsid w:val="001F3604"/>
    <w:rsid w:val="0020310B"/>
    <w:rsid w:val="002200A8"/>
    <w:rsid w:val="0022352A"/>
    <w:rsid w:val="00227C08"/>
    <w:rsid w:val="00240637"/>
    <w:rsid w:val="002415D7"/>
    <w:rsid w:val="002478CE"/>
    <w:rsid w:val="00275AA7"/>
    <w:rsid w:val="00280057"/>
    <w:rsid w:val="00294BBC"/>
    <w:rsid w:val="002B4C17"/>
    <w:rsid w:val="002D7F0C"/>
    <w:rsid w:val="002E30FE"/>
    <w:rsid w:val="002F27BD"/>
    <w:rsid w:val="002F52BE"/>
    <w:rsid w:val="003005D7"/>
    <w:rsid w:val="003067F1"/>
    <w:rsid w:val="0031152F"/>
    <w:rsid w:val="00330C92"/>
    <w:rsid w:val="00332521"/>
    <w:rsid w:val="00337210"/>
    <w:rsid w:val="00344EAE"/>
    <w:rsid w:val="00354D6B"/>
    <w:rsid w:val="00366990"/>
    <w:rsid w:val="00385245"/>
    <w:rsid w:val="00385E99"/>
    <w:rsid w:val="003A5620"/>
    <w:rsid w:val="003C371E"/>
    <w:rsid w:val="0040799C"/>
    <w:rsid w:val="00413702"/>
    <w:rsid w:val="004160AB"/>
    <w:rsid w:val="00453208"/>
    <w:rsid w:val="00481219"/>
    <w:rsid w:val="004C0EC0"/>
    <w:rsid w:val="004E194E"/>
    <w:rsid w:val="004E4F3D"/>
    <w:rsid w:val="004F25D4"/>
    <w:rsid w:val="004F5B81"/>
    <w:rsid w:val="0050363E"/>
    <w:rsid w:val="00523D1F"/>
    <w:rsid w:val="0054605E"/>
    <w:rsid w:val="00587DC4"/>
    <w:rsid w:val="005916DD"/>
    <w:rsid w:val="00596A26"/>
    <w:rsid w:val="005A2945"/>
    <w:rsid w:val="005D4B58"/>
    <w:rsid w:val="00602C89"/>
    <w:rsid w:val="0062493C"/>
    <w:rsid w:val="00625890"/>
    <w:rsid w:val="00625B23"/>
    <w:rsid w:val="00636181"/>
    <w:rsid w:val="00644B57"/>
    <w:rsid w:val="00661154"/>
    <w:rsid w:val="00673CAD"/>
    <w:rsid w:val="00674404"/>
    <w:rsid w:val="006A702D"/>
    <w:rsid w:val="006B19A4"/>
    <w:rsid w:val="006C23CE"/>
    <w:rsid w:val="006D4F7B"/>
    <w:rsid w:val="006E509B"/>
    <w:rsid w:val="006E73FE"/>
    <w:rsid w:val="00701500"/>
    <w:rsid w:val="00716AA8"/>
    <w:rsid w:val="0073384A"/>
    <w:rsid w:val="00746E53"/>
    <w:rsid w:val="0076006C"/>
    <w:rsid w:val="007661F9"/>
    <w:rsid w:val="00780836"/>
    <w:rsid w:val="00780BB0"/>
    <w:rsid w:val="007A28A9"/>
    <w:rsid w:val="007B0E49"/>
    <w:rsid w:val="007C1FA5"/>
    <w:rsid w:val="007E24E5"/>
    <w:rsid w:val="007E70AD"/>
    <w:rsid w:val="0081092C"/>
    <w:rsid w:val="00825C7B"/>
    <w:rsid w:val="00840AF0"/>
    <w:rsid w:val="00854576"/>
    <w:rsid w:val="00857B28"/>
    <w:rsid w:val="008822F8"/>
    <w:rsid w:val="008B25DB"/>
    <w:rsid w:val="008D30D8"/>
    <w:rsid w:val="008E3B5A"/>
    <w:rsid w:val="008E4613"/>
    <w:rsid w:val="009436DC"/>
    <w:rsid w:val="00977739"/>
    <w:rsid w:val="009A27CF"/>
    <w:rsid w:val="009A684F"/>
    <w:rsid w:val="009B0AA6"/>
    <w:rsid w:val="009B318F"/>
    <w:rsid w:val="009C0835"/>
    <w:rsid w:val="009C500F"/>
    <w:rsid w:val="009C677A"/>
    <w:rsid w:val="009D4C6F"/>
    <w:rsid w:val="00A205CB"/>
    <w:rsid w:val="00A339D4"/>
    <w:rsid w:val="00A37DE8"/>
    <w:rsid w:val="00A5458B"/>
    <w:rsid w:val="00A80AFD"/>
    <w:rsid w:val="00A9092A"/>
    <w:rsid w:val="00A9735B"/>
    <w:rsid w:val="00AB6548"/>
    <w:rsid w:val="00AC6B6D"/>
    <w:rsid w:val="00AD4053"/>
    <w:rsid w:val="00AF26A2"/>
    <w:rsid w:val="00B13207"/>
    <w:rsid w:val="00B141A0"/>
    <w:rsid w:val="00B34312"/>
    <w:rsid w:val="00B5591F"/>
    <w:rsid w:val="00B90021"/>
    <w:rsid w:val="00B9690F"/>
    <w:rsid w:val="00BA6780"/>
    <w:rsid w:val="00BB73C4"/>
    <w:rsid w:val="00BE5F1A"/>
    <w:rsid w:val="00BF2944"/>
    <w:rsid w:val="00C126BD"/>
    <w:rsid w:val="00C232D1"/>
    <w:rsid w:val="00C23EB9"/>
    <w:rsid w:val="00C2539B"/>
    <w:rsid w:val="00C33001"/>
    <w:rsid w:val="00C46F33"/>
    <w:rsid w:val="00C55592"/>
    <w:rsid w:val="00C7386D"/>
    <w:rsid w:val="00CD1751"/>
    <w:rsid w:val="00CE4990"/>
    <w:rsid w:val="00D14710"/>
    <w:rsid w:val="00D171FE"/>
    <w:rsid w:val="00D2776F"/>
    <w:rsid w:val="00D46984"/>
    <w:rsid w:val="00D65531"/>
    <w:rsid w:val="00D92129"/>
    <w:rsid w:val="00DA55BB"/>
    <w:rsid w:val="00DA6753"/>
    <w:rsid w:val="00DB5A12"/>
    <w:rsid w:val="00DC493C"/>
    <w:rsid w:val="00DC6888"/>
    <w:rsid w:val="00DE2D86"/>
    <w:rsid w:val="00DE3709"/>
    <w:rsid w:val="00DF6373"/>
    <w:rsid w:val="00E41EF1"/>
    <w:rsid w:val="00E45A38"/>
    <w:rsid w:val="00E53046"/>
    <w:rsid w:val="00E534D2"/>
    <w:rsid w:val="00E61469"/>
    <w:rsid w:val="00E70D53"/>
    <w:rsid w:val="00E74391"/>
    <w:rsid w:val="00EC3F06"/>
    <w:rsid w:val="00ED79C1"/>
    <w:rsid w:val="00EE2BD7"/>
    <w:rsid w:val="00F43683"/>
    <w:rsid w:val="00F629FF"/>
    <w:rsid w:val="00F83A1C"/>
    <w:rsid w:val="00F914AF"/>
    <w:rsid w:val="00F921F5"/>
    <w:rsid w:val="00FC1878"/>
    <w:rsid w:val="00FD72D0"/>
    <w:rsid w:val="00FE4F19"/>
    <w:rsid w:val="00FF6B5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4A5C77"/>
  <w15:docId w15:val="{B7FBA1A2-13EB-45B8-917E-3F05F977B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6753"/>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egpar">
    <w:name w:val="regpar"/>
    <w:basedOn w:val="a"/>
    <w:rsid w:val="000C22A4"/>
    <w:pPr>
      <w:spacing w:line="300" w:lineRule="exact"/>
      <w:ind w:firstLine="240"/>
      <w:jc w:val="both"/>
    </w:pPr>
    <w:rPr>
      <w:rFonts w:ascii="Times" w:eastAsia="Times New Roman" w:hAnsi="Times" w:cs="Tim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1218</Words>
  <Characters>6091</Characters>
  <Application>Microsoft Office Word</Application>
  <DocSecurity>0</DocSecurity>
  <Lines>50</Lines>
  <Paragraphs>14</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BOI</Company>
  <LinksUpToDate>false</LinksUpToDate>
  <CharactersWithSpaces>7295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יהודה פאש</dc:creator>
  <cp:lastModifiedBy>לירון דהן</cp:lastModifiedBy>
  <cp:revision>3</cp:revision>
  <dcterms:created xsi:type="dcterms:W3CDTF">2024-07-22T07:31:00Z</dcterms:created>
  <dcterms:modified xsi:type="dcterms:W3CDTF">2024-07-22T10:18:00Z</dcterms:modified>
</cp:coreProperties>
</file>