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89040A" w:rsidTr="00D87676">
        <w:trPr>
          <w:jc w:val="center"/>
        </w:trPr>
        <w:tc>
          <w:tcPr>
            <w:tcW w:w="2840" w:type="dxa"/>
            <w:tcBorders>
              <w:top w:val="nil"/>
              <w:left w:val="nil"/>
              <w:bottom w:val="nil"/>
              <w:right w:val="nil"/>
            </w:tcBorders>
            <w:vAlign w:val="center"/>
          </w:tcPr>
          <w:p w:rsidR="00DD5923" w:rsidRPr="0089040A" w:rsidRDefault="00DD5923" w:rsidP="00AC5156">
            <w:pPr>
              <w:spacing w:line="360" w:lineRule="auto"/>
              <w:jc w:val="center"/>
              <w:rPr>
                <w:rFonts w:ascii="Arial" w:hAnsi="Arial" w:cs="Arial"/>
                <w:b/>
                <w:bCs/>
                <w:sz w:val="28"/>
                <w:szCs w:val="28"/>
              </w:rPr>
            </w:pPr>
            <w:bookmarkStart w:id="0" w:name="_GoBack"/>
            <w:bookmarkEnd w:id="0"/>
            <w:r w:rsidRPr="0089040A">
              <w:rPr>
                <w:rFonts w:ascii="Arial" w:hAnsi="Arial" w:cs="Arial"/>
                <w:b/>
                <w:bCs/>
                <w:sz w:val="28"/>
                <w:szCs w:val="28"/>
                <w:rtl/>
              </w:rPr>
              <w:t>בנק יש</w:t>
            </w:r>
            <w:r w:rsidR="00286AB2" w:rsidRPr="0089040A">
              <w:rPr>
                <w:rFonts w:ascii="Arial" w:hAnsi="Arial" w:cs="Arial"/>
                <w:b/>
                <w:bCs/>
                <w:sz w:val="28"/>
                <w:szCs w:val="28"/>
                <w:rtl/>
              </w:rPr>
              <w:t>ראל</w:t>
            </w:r>
          </w:p>
          <w:p w:rsidR="00DD5923" w:rsidRPr="0089040A" w:rsidRDefault="00DD5923" w:rsidP="00AC5156">
            <w:pPr>
              <w:spacing w:line="360" w:lineRule="auto"/>
              <w:jc w:val="center"/>
              <w:rPr>
                <w:rFonts w:ascii="Arial" w:hAnsi="Arial" w:cs="Arial"/>
                <w:sz w:val="24"/>
                <w:szCs w:val="24"/>
              </w:rPr>
            </w:pPr>
            <w:r w:rsidRPr="0089040A">
              <w:rPr>
                <w:rFonts w:ascii="Arial" w:hAnsi="Arial" w:cs="Arial"/>
                <w:sz w:val="24"/>
                <w:szCs w:val="24"/>
                <w:rtl/>
              </w:rPr>
              <w:t>דוברות והסברה כלכלית</w:t>
            </w:r>
          </w:p>
        </w:tc>
        <w:tc>
          <w:tcPr>
            <w:tcW w:w="2840" w:type="dxa"/>
            <w:tcBorders>
              <w:top w:val="nil"/>
              <w:left w:val="nil"/>
              <w:bottom w:val="nil"/>
              <w:right w:val="nil"/>
            </w:tcBorders>
          </w:tcPr>
          <w:p w:rsidR="00DD5923" w:rsidRPr="0089040A" w:rsidRDefault="00E80E85" w:rsidP="00D87676">
            <w:pPr>
              <w:jc w:val="center"/>
              <w:rPr>
                <w:rFonts w:ascii="Arial" w:hAnsi="Arial" w:cs="Arial"/>
              </w:rPr>
            </w:pPr>
            <w:r w:rsidRPr="0089040A">
              <w:rPr>
                <w:rFonts w:ascii="Arial" w:hAnsi="Arial" w:cs="Arial"/>
                <w:noProof/>
                <w:lang w:eastAsia="en-US"/>
              </w:rPr>
              <w:drawing>
                <wp:inline distT="0" distB="0" distL="0" distR="0" wp14:anchorId="14307034" wp14:editId="214D3CAE">
                  <wp:extent cx="1243636" cy="704850"/>
                  <wp:effectExtent l="0" t="0" r="0" b="0"/>
                  <wp:docPr id="12" name="תמונה 12" descr="C:\Users\u20m\AppData\Local\Microsoft\Windows\Temporary Internet Files\Content.Word\60Y+bank_Color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0m\AppData\Local\Microsoft\Windows\Temporary Internet Files\Content.Word\60Y+bank_Color_RGB_72DP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636" cy="70485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89040A" w:rsidRPr="0089040A" w:rsidRDefault="0089040A" w:rsidP="00344CBC">
            <w:pPr>
              <w:spacing w:line="480" w:lineRule="auto"/>
              <w:rPr>
                <w:rFonts w:ascii="Arial" w:hAnsi="Arial" w:cs="Arial"/>
                <w:sz w:val="24"/>
                <w:szCs w:val="24"/>
              </w:rPr>
            </w:pPr>
            <w:r w:rsidRPr="0089040A">
              <w:rPr>
                <w:rFonts w:ascii="Arial" w:hAnsi="Arial" w:cs="Arial"/>
                <w:sz w:val="24"/>
                <w:szCs w:val="24"/>
                <w:rtl/>
              </w:rPr>
              <w:t xml:space="preserve">ירושלים, </w:t>
            </w:r>
            <w:r w:rsidR="00C411E7">
              <w:rPr>
                <w:rFonts w:ascii="Arial" w:hAnsi="Arial" w:cs="Arial" w:hint="cs"/>
                <w:sz w:val="24"/>
                <w:szCs w:val="24"/>
                <w:rtl/>
              </w:rPr>
              <w:t>י</w:t>
            </w:r>
            <w:r w:rsidR="00AC5156">
              <w:rPr>
                <w:rFonts w:ascii="Arial" w:hAnsi="Arial" w:cs="Arial" w:hint="cs"/>
                <w:sz w:val="24"/>
                <w:szCs w:val="24"/>
                <w:rtl/>
              </w:rPr>
              <w:t>"</w:t>
            </w:r>
            <w:r w:rsidR="00344CBC">
              <w:rPr>
                <w:rFonts w:ascii="Arial" w:hAnsi="Arial" w:cs="Arial" w:hint="cs"/>
                <w:sz w:val="24"/>
                <w:szCs w:val="24"/>
                <w:rtl/>
              </w:rPr>
              <w:t>ב</w:t>
            </w:r>
            <w:r w:rsidR="00697C2E">
              <w:rPr>
                <w:rFonts w:ascii="Arial" w:hAnsi="Arial" w:cs="Arial" w:hint="cs"/>
                <w:sz w:val="24"/>
                <w:szCs w:val="24"/>
                <w:rtl/>
              </w:rPr>
              <w:t xml:space="preserve"> ב</w:t>
            </w:r>
            <w:r w:rsidR="00C411E7">
              <w:rPr>
                <w:rFonts w:ascii="Arial" w:hAnsi="Arial" w:cs="Arial" w:hint="cs"/>
                <w:sz w:val="24"/>
                <w:szCs w:val="24"/>
                <w:rtl/>
              </w:rPr>
              <w:t xml:space="preserve">תמוז </w:t>
            </w:r>
            <w:r w:rsidRPr="0089040A">
              <w:rPr>
                <w:rFonts w:ascii="Arial" w:hAnsi="Arial" w:cs="Arial"/>
                <w:sz w:val="24"/>
                <w:szCs w:val="24"/>
                <w:rtl/>
              </w:rPr>
              <w:t>תשע"ה</w:t>
            </w:r>
          </w:p>
          <w:p w:rsidR="00DD5923" w:rsidRPr="0089040A" w:rsidRDefault="0089040A" w:rsidP="00344CBC">
            <w:pPr>
              <w:spacing w:line="480" w:lineRule="auto"/>
              <w:rPr>
                <w:rFonts w:ascii="Arial" w:hAnsi="Arial" w:cs="Arial"/>
                <w:sz w:val="24"/>
                <w:szCs w:val="24"/>
              </w:rPr>
            </w:pPr>
            <w:r w:rsidRPr="0089040A">
              <w:rPr>
                <w:rFonts w:ascii="Arial" w:hAnsi="Arial" w:cs="Arial"/>
                <w:sz w:val="24"/>
                <w:szCs w:val="24"/>
                <w:rtl/>
              </w:rPr>
              <w:t>‏‏</w:t>
            </w:r>
            <w:r w:rsidR="00344CBC">
              <w:rPr>
                <w:rFonts w:ascii="Arial" w:hAnsi="Arial" w:cs="Arial" w:hint="cs"/>
                <w:sz w:val="24"/>
                <w:szCs w:val="24"/>
                <w:rtl/>
              </w:rPr>
              <w:t>29</w:t>
            </w:r>
            <w:r w:rsidRPr="0089040A">
              <w:rPr>
                <w:rFonts w:ascii="Arial" w:hAnsi="Arial" w:cs="Arial"/>
                <w:sz w:val="24"/>
                <w:szCs w:val="24"/>
                <w:rtl/>
              </w:rPr>
              <w:t xml:space="preserve"> ב</w:t>
            </w:r>
            <w:r w:rsidR="00C411E7">
              <w:rPr>
                <w:rFonts w:ascii="Arial" w:hAnsi="Arial" w:cs="Arial" w:hint="cs"/>
                <w:sz w:val="24"/>
                <w:szCs w:val="24"/>
                <w:rtl/>
              </w:rPr>
              <w:t>יונ</w:t>
            </w:r>
            <w:r w:rsidRPr="0089040A">
              <w:rPr>
                <w:rFonts w:ascii="Arial" w:hAnsi="Arial" w:cs="Arial" w:hint="cs"/>
                <w:sz w:val="24"/>
                <w:szCs w:val="24"/>
                <w:rtl/>
              </w:rPr>
              <w:t>י</w:t>
            </w:r>
            <w:r w:rsidRPr="0089040A">
              <w:rPr>
                <w:rFonts w:ascii="Arial" w:hAnsi="Arial" w:cs="Arial"/>
                <w:sz w:val="24"/>
                <w:szCs w:val="24"/>
                <w:rtl/>
              </w:rPr>
              <w:t xml:space="preserve"> 2015</w:t>
            </w:r>
          </w:p>
        </w:tc>
      </w:tr>
    </w:tbl>
    <w:p w:rsidR="00FE034E" w:rsidRPr="0089040A" w:rsidRDefault="00FE034E" w:rsidP="007E18EE">
      <w:pPr>
        <w:bidi/>
        <w:rPr>
          <w:rFonts w:ascii="Arial" w:hAnsi="Arial" w:cs="Arial"/>
          <w:rtl/>
        </w:rPr>
      </w:pPr>
    </w:p>
    <w:p w:rsidR="007E18EE" w:rsidRPr="0089040A" w:rsidRDefault="007E18EE" w:rsidP="00286AB2">
      <w:pPr>
        <w:bidi/>
        <w:spacing w:line="360" w:lineRule="auto"/>
        <w:ind w:right="-101"/>
        <w:rPr>
          <w:rFonts w:ascii="Arial" w:hAnsi="Arial" w:cs="Arial"/>
          <w:sz w:val="24"/>
          <w:szCs w:val="24"/>
          <w:rtl/>
        </w:rPr>
      </w:pPr>
      <w:r w:rsidRPr="0089040A">
        <w:rPr>
          <w:rFonts w:ascii="Arial" w:hAnsi="Arial" w:cs="Arial"/>
          <w:sz w:val="24"/>
          <w:szCs w:val="24"/>
          <w:rtl/>
        </w:rPr>
        <w:t>הודעה לעיתונות:</w:t>
      </w:r>
    </w:p>
    <w:p w:rsidR="00C04A6B" w:rsidRPr="0089040A" w:rsidRDefault="002C7213" w:rsidP="00A65531">
      <w:pPr>
        <w:bidi/>
        <w:spacing w:line="360" w:lineRule="auto"/>
        <w:ind w:right="-101"/>
        <w:jc w:val="center"/>
        <w:rPr>
          <w:rFonts w:ascii="Arial" w:hAnsi="Arial" w:cs="Arial"/>
          <w:b/>
          <w:bCs/>
          <w:sz w:val="28"/>
          <w:szCs w:val="28"/>
          <w:u w:val="single"/>
          <w:rtl/>
        </w:rPr>
      </w:pPr>
      <w:r w:rsidRPr="0089040A">
        <w:rPr>
          <w:rFonts w:ascii="Arial" w:hAnsi="Arial" w:cs="Arial"/>
          <w:b/>
          <w:bCs/>
          <w:sz w:val="28"/>
          <w:szCs w:val="28"/>
          <w:u w:val="single"/>
          <w:rtl/>
        </w:rPr>
        <w:t xml:space="preserve">התפתחות החוב במשק </w:t>
      </w:r>
      <w:r w:rsidR="00A65531" w:rsidRPr="0089040A">
        <w:rPr>
          <w:rFonts w:ascii="Arial" w:hAnsi="Arial" w:cs="Arial"/>
          <w:b/>
          <w:bCs/>
          <w:sz w:val="28"/>
          <w:szCs w:val="28"/>
          <w:u w:val="single"/>
          <w:rtl/>
        </w:rPr>
        <w:t>בחודשים</w:t>
      </w:r>
      <w:r w:rsidRPr="0089040A">
        <w:rPr>
          <w:rFonts w:ascii="Arial" w:hAnsi="Arial" w:cs="Arial"/>
          <w:b/>
          <w:bCs/>
          <w:sz w:val="28"/>
          <w:szCs w:val="28"/>
          <w:u w:val="single"/>
          <w:rtl/>
        </w:rPr>
        <w:t xml:space="preserve"> </w:t>
      </w:r>
      <w:r w:rsidR="0090346B">
        <w:rPr>
          <w:rFonts w:ascii="Arial" w:hAnsi="Arial" w:cs="Arial"/>
          <w:b/>
          <w:bCs/>
          <w:sz w:val="28"/>
          <w:szCs w:val="28"/>
          <w:u w:val="single"/>
          <w:rtl/>
        </w:rPr>
        <w:t>אפריל</w:t>
      </w:r>
      <w:r w:rsidR="00A65531" w:rsidRPr="0089040A">
        <w:rPr>
          <w:rFonts w:ascii="Arial" w:hAnsi="Arial" w:cs="Arial"/>
          <w:b/>
          <w:bCs/>
          <w:sz w:val="28"/>
          <w:szCs w:val="28"/>
          <w:u w:val="single"/>
          <w:rtl/>
        </w:rPr>
        <w:t>-</w:t>
      </w:r>
      <w:r w:rsidR="0090346B">
        <w:rPr>
          <w:rFonts w:ascii="Arial" w:hAnsi="Arial" w:cs="Arial"/>
          <w:b/>
          <w:bCs/>
          <w:sz w:val="28"/>
          <w:szCs w:val="28"/>
          <w:u w:val="single"/>
          <w:rtl/>
        </w:rPr>
        <w:t>מאי</w:t>
      </w:r>
      <w:r w:rsidRPr="0089040A">
        <w:rPr>
          <w:rFonts w:ascii="Arial" w:hAnsi="Arial" w:cs="Arial"/>
          <w:b/>
          <w:bCs/>
          <w:sz w:val="28"/>
          <w:szCs w:val="28"/>
          <w:u w:val="single"/>
          <w:rtl/>
        </w:rPr>
        <w:t xml:space="preserve"> </w:t>
      </w:r>
      <w:r w:rsidR="00B110D9" w:rsidRPr="0089040A">
        <w:rPr>
          <w:rFonts w:ascii="Arial" w:hAnsi="Arial" w:cs="Arial"/>
          <w:b/>
          <w:bCs/>
          <w:sz w:val="28"/>
          <w:szCs w:val="28"/>
          <w:u w:val="single"/>
          <w:rtl/>
        </w:rPr>
        <w:t>2015</w:t>
      </w:r>
    </w:p>
    <w:p w:rsidR="009F574F" w:rsidRPr="00AC5156" w:rsidRDefault="009F574F" w:rsidP="00286AB2">
      <w:pPr>
        <w:bidi/>
        <w:spacing w:line="360" w:lineRule="auto"/>
        <w:jc w:val="center"/>
        <w:rPr>
          <w:rFonts w:ascii="Arial" w:hAnsi="Arial" w:cs="Arial"/>
          <w:b/>
          <w:bCs/>
          <w:sz w:val="22"/>
          <w:szCs w:val="22"/>
          <w:u w:val="single"/>
          <w:rtl/>
        </w:rPr>
      </w:pPr>
    </w:p>
    <w:p w:rsidR="009F574F" w:rsidRDefault="0089040A" w:rsidP="00283EC9">
      <w:pPr>
        <w:bidi/>
        <w:spacing w:line="360" w:lineRule="auto"/>
        <w:jc w:val="both"/>
        <w:rPr>
          <w:rFonts w:ascii="Arial" w:hAnsi="Arial" w:cs="Arial"/>
          <w:sz w:val="24"/>
          <w:szCs w:val="24"/>
          <w:rtl/>
        </w:rPr>
      </w:pPr>
      <w:r w:rsidRPr="0089040A">
        <w:rPr>
          <w:rFonts w:ascii="Arial" w:hAnsi="Arial" w:cs="Arial" w:hint="cs"/>
          <w:sz w:val="24"/>
          <w:szCs w:val="24"/>
          <w:rtl/>
        </w:rPr>
        <w:t xml:space="preserve">יתרת החוב של </w:t>
      </w:r>
      <w:r w:rsidRPr="0089040A">
        <w:rPr>
          <w:rFonts w:ascii="Arial" w:hAnsi="Arial" w:cs="Arial" w:hint="cs"/>
          <w:b/>
          <w:bCs/>
          <w:sz w:val="24"/>
          <w:szCs w:val="24"/>
          <w:rtl/>
        </w:rPr>
        <w:t>המגזר העסקי</w:t>
      </w:r>
      <w:r w:rsidRPr="0089040A">
        <w:rPr>
          <w:rFonts w:ascii="Arial" w:hAnsi="Arial" w:cs="Arial" w:hint="cs"/>
          <w:sz w:val="24"/>
          <w:szCs w:val="24"/>
          <w:rtl/>
        </w:rPr>
        <w:t xml:space="preserve"> ירדה בחודש </w:t>
      </w:r>
      <w:r w:rsidR="0090346B">
        <w:rPr>
          <w:rFonts w:ascii="Arial" w:hAnsi="Arial" w:cs="Arial" w:hint="cs"/>
          <w:sz w:val="24"/>
          <w:szCs w:val="24"/>
          <w:rtl/>
        </w:rPr>
        <w:t>אפריל</w:t>
      </w:r>
      <w:r w:rsidRPr="0089040A">
        <w:rPr>
          <w:rFonts w:ascii="Arial" w:hAnsi="Arial" w:cs="Arial" w:hint="cs"/>
          <w:sz w:val="24"/>
          <w:szCs w:val="24"/>
          <w:rtl/>
        </w:rPr>
        <w:t xml:space="preserve"> בכ-</w:t>
      </w:r>
      <w:r w:rsidR="004F4E43">
        <w:rPr>
          <w:rFonts w:ascii="Arial" w:hAnsi="Arial" w:cs="Arial" w:hint="cs"/>
          <w:sz w:val="24"/>
          <w:szCs w:val="24"/>
          <w:rtl/>
        </w:rPr>
        <w:t xml:space="preserve">0.5% </w:t>
      </w:r>
      <w:r w:rsidRPr="0089040A">
        <w:rPr>
          <w:rFonts w:ascii="Arial" w:hAnsi="Arial" w:cs="Arial" w:hint="cs"/>
          <w:sz w:val="24"/>
          <w:szCs w:val="24"/>
          <w:rtl/>
        </w:rPr>
        <w:t>לרמה של כ-</w:t>
      </w:r>
      <w:r w:rsidR="004F4E43">
        <w:rPr>
          <w:rFonts w:ascii="Arial" w:hAnsi="Arial" w:cs="Arial" w:hint="cs"/>
          <w:sz w:val="24"/>
          <w:szCs w:val="24"/>
          <w:rtl/>
        </w:rPr>
        <w:t>82</w:t>
      </w:r>
      <w:r w:rsidR="000E59A0">
        <w:rPr>
          <w:rFonts w:ascii="Arial" w:hAnsi="Arial" w:cs="Arial" w:hint="cs"/>
          <w:sz w:val="24"/>
          <w:szCs w:val="24"/>
          <w:rtl/>
        </w:rPr>
        <w:t>2</w:t>
      </w:r>
      <w:r w:rsidRPr="0089040A">
        <w:rPr>
          <w:rFonts w:ascii="Arial" w:hAnsi="Arial" w:cs="Arial" w:hint="cs"/>
          <w:sz w:val="24"/>
          <w:szCs w:val="24"/>
          <w:rtl/>
        </w:rPr>
        <w:t xml:space="preserve"> מיליארדי ש"ח. יתרת החוב של </w:t>
      </w:r>
      <w:r w:rsidRPr="0089040A">
        <w:rPr>
          <w:rFonts w:ascii="Arial" w:hAnsi="Arial" w:cs="Arial" w:hint="cs"/>
          <w:b/>
          <w:bCs/>
          <w:sz w:val="24"/>
          <w:szCs w:val="24"/>
          <w:rtl/>
        </w:rPr>
        <w:t>משקי הבית</w:t>
      </w:r>
      <w:r w:rsidRPr="0089040A">
        <w:rPr>
          <w:rFonts w:ascii="Arial" w:hAnsi="Arial" w:cs="Arial" w:hint="cs"/>
          <w:sz w:val="24"/>
          <w:szCs w:val="24"/>
          <w:rtl/>
        </w:rPr>
        <w:t xml:space="preserve"> </w:t>
      </w:r>
      <w:r w:rsidR="00251288">
        <w:rPr>
          <w:rFonts w:ascii="Arial" w:hAnsi="Arial" w:cs="Arial" w:hint="cs"/>
          <w:sz w:val="24"/>
          <w:szCs w:val="24"/>
          <w:rtl/>
        </w:rPr>
        <w:t xml:space="preserve">נותרה כמעט ללא שינוי </w:t>
      </w:r>
      <w:r w:rsidRPr="0089040A">
        <w:rPr>
          <w:rFonts w:ascii="Arial" w:hAnsi="Arial" w:cs="Arial" w:hint="cs"/>
          <w:sz w:val="24"/>
          <w:szCs w:val="24"/>
          <w:rtl/>
        </w:rPr>
        <w:t>ועמדה בסוף החודש על כ-</w:t>
      </w:r>
      <w:r w:rsidR="004F4E43">
        <w:rPr>
          <w:rFonts w:ascii="Arial" w:hAnsi="Arial" w:cs="Arial" w:hint="cs"/>
          <w:sz w:val="24"/>
          <w:szCs w:val="24"/>
          <w:rtl/>
        </w:rPr>
        <w:t>4</w:t>
      </w:r>
      <w:r w:rsidR="000E59A0">
        <w:rPr>
          <w:rFonts w:ascii="Arial" w:hAnsi="Arial" w:cs="Arial" w:hint="cs"/>
          <w:sz w:val="24"/>
          <w:szCs w:val="24"/>
          <w:rtl/>
        </w:rPr>
        <w:t>36</w:t>
      </w:r>
      <w:r w:rsidRPr="0089040A">
        <w:rPr>
          <w:rFonts w:ascii="Arial" w:hAnsi="Arial" w:cs="Arial" w:hint="cs"/>
          <w:sz w:val="24"/>
          <w:szCs w:val="24"/>
          <w:rtl/>
        </w:rPr>
        <w:t xml:space="preserve"> מיליארדים.</w:t>
      </w:r>
      <w:r w:rsidR="0088690D" w:rsidRPr="00283EC9">
        <w:rPr>
          <w:rStyle w:val="af1"/>
          <w:rFonts w:ascii="Arial" w:hAnsi="Arial" w:cs="Arial"/>
          <w:sz w:val="24"/>
          <w:szCs w:val="24"/>
          <w:rtl/>
        </w:rPr>
        <w:footnoteReference w:id="1"/>
      </w:r>
      <w:r w:rsidR="005D012F">
        <w:rPr>
          <w:rFonts w:ascii="Arial" w:hAnsi="Arial" w:cs="Arial" w:hint="cs"/>
          <w:sz w:val="24"/>
          <w:szCs w:val="24"/>
          <w:rtl/>
        </w:rPr>
        <w:t xml:space="preserve"> </w:t>
      </w:r>
    </w:p>
    <w:p w:rsidR="0089040A" w:rsidRPr="0089040A" w:rsidRDefault="0089040A" w:rsidP="0089040A">
      <w:pPr>
        <w:bidi/>
        <w:spacing w:line="360" w:lineRule="auto"/>
        <w:jc w:val="both"/>
        <w:rPr>
          <w:rFonts w:ascii="Arial" w:hAnsi="Arial" w:cs="Arial"/>
          <w:sz w:val="24"/>
          <w:szCs w:val="24"/>
          <w:rtl/>
        </w:rPr>
      </w:pPr>
    </w:p>
    <w:p w:rsidR="009F574F" w:rsidRPr="0089040A" w:rsidRDefault="00286AB2" w:rsidP="00286AB2">
      <w:pPr>
        <w:bidi/>
        <w:spacing w:line="360" w:lineRule="auto"/>
        <w:jc w:val="both"/>
        <w:rPr>
          <w:rFonts w:ascii="Arial" w:hAnsi="Arial" w:cs="Arial"/>
          <w:b/>
          <w:bCs/>
          <w:sz w:val="24"/>
          <w:szCs w:val="24"/>
          <w:u w:val="single"/>
        </w:rPr>
      </w:pPr>
      <w:r w:rsidRPr="0089040A">
        <w:rPr>
          <w:rFonts w:ascii="Arial" w:hAnsi="Arial" w:cs="Arial"/>
          <w:b/>
          <w:bCs/>
          <w:sz w:val="24"/>
          <w:szCs w:val="24"/>
          <w:u w:val="single"/>
          <w:rtl/>
        </w:rPr>
        <w:t xml:space="preserve">א. </w:t>
      </w:r>
      <w:r w:rsidR="009F574F" w:rsidRPr="0089040A">
        <w:rPr>
          <w:rFonts w:ascii="Arial" w:hAnsi="Arial" w:cs="Arial"/>
          <w:b/>
          <w:bCs/>
          <w:sz w:val="24"/>
          <w:szCs w:val="24"/>
          <w:u w:val="single"/>
          <w:rtl/>
        </w:rPr>
        <w:t>החוב של המגזר העסקי</w:t>
      </w:r>
    </w:p>
    <w:p w:rsidR="0089040A" w:rsidRPr="00D6658B" w:rsidRDefault="0089040A" w:rsidP="00636483">
      <w:pPr>
        <w:pStyle w:val="a9"/>
        <w:numPr>
          <w:ilvl w:val="0"/>
          <w:numId w:val="8"/>
        </w:numPr>
        <w:bidi/>
        <w:spacing w:before="120" w:after="120" w:line="360" w:lineRule="auto"/>
        <w:jc w:val="both"/>
        <w:rPr>
          <w:rFonts w:ascii="Arial" w:hAnsi="Arial" w:cs="Arial"/>
          <w:sz w:val="24"/>
          <w:szCs w:val="24"/>
          <w:rtl/>
        </w:rPr>
      </w:pPr>
      <w:r w:rsidRPr="007C4FA9">
        <w:rPr>
          <w:rFonts w:ascii="Arial" w:hAnsi="Arial" w:cs="Arial" w:hint="cs"/>
          <w:sz w:val="24"/>
          <w:szCs w:val="24"/>
          <w:rtl/>
        </w:rPr>
        <w:t xml:space="preserve">מהחטיבה למידע וסטטיסטיקה נמסר, כי בחודש </w:t>
      </w:r>
      <w:r w:rsidR="0090346B" w:rsidRPr="007C4FA9">
        <w:rPr>
          <w:rFonts w:ascii="Arial" w:hAnsi="Arial" w:cs="Arial" w:hint="cs"/>
          <w:sz w:val="24"/>
          <w:szCs w:val="24"/>
          <w:rtl/>
        </w:rPr>
        <w:t>אפריל</w:t>
      </w:r>
      <w:r w:rsidRPr="007C4FA9">
        <w:rPr>
          <w:rFonts w:ascii="Arial" w:hAnsi="Arial" w:cs="Arial" w:hint="cs"/>
          <w:sz w:val="24"/>
          <w:szCs w:val="24"/>
          <w:rtl/>
        </w:rPr>
        <w:t xml:space="preserve"> </w:t>
      </w:r>
      <w:r w:rsidR="00636483" w:rsidRPr="007C4FA9">
        <w:rPr>
          <w:rFonts w:ascii="Arial" w:hAnsi="Arial" w:cs="Arial" w:hint="cs"/>
          <w:sz w:val="24"/>
          <w:szCs w:val="24"/>
          <w:rtl/>
        </w:rPr>
        <w:t xml:space="preserve">נרשמו גיוסי חוב נטו של </w:t>
      </w:r>
      <w:r w:rsidR="007C6601" w:rsidRPr="007C4FA9">
        <w:rPr>
          <w:rFonts w:ascii="Arial" w:hAnsi="Arial" w:cs="Arial" w:hint="cs"/>
          <w:sz w:val="24"/>
          <w:szCs w:val="24"/>
          <w:rtl/>
        </w:rPr>
        <w:t xml:space="preserve">כ-2.2 מיליארדי ש"ח ע"י </w:t>
      </w:r>
      <w:r w:rsidR="00636483" w:rsidRPr="007C4FA9">
        <w:rPr>
          <w:rFonts w:ascii="Arial" w:hAnsi="Arial" w:cs="Arial" w:hint="cs"/>
          <w:sz w:val="24"/>
          <w:szCs w:val="24"/>
          <w:rtl/>
        </w:rPr>
        <w:t xml:space="preserve">המגזר העסקי באג"ח סחירות בישראל, </w:t>
      </w:r>
      <w:r w:rsidR="007C6601" w:rsidRPr="007C4FA9">
        <w:rPr>
          <w:rFonts w:ascii="Arial" w:hAnsi="Arial" w:cs="Arial" w:hint="cs"/>
          <w:sz w:val="24"/>
          <w:szCs w:val="24"/>
          <w:rtl/>
        </w:rPr>
        <w:t>ו</w:t>
      </w:r>
      <w:r w:rsidR="00636483" w:rsidRPr="007C4FA9">
        <w:rPr>
          <w:rFonts w:ascii="Arial" w:hAnsi="Arial" w:cs="Arial" w:hint="cs"/>
          <w:sz w:val="24"/>
          <w:szCs w:val="24"/>
          <w:rtl/>
        </w:rPr>
        <w:t>בהלוואות בנקאיות וחוץ בנקאיות. עם זאת</w:t>
      </w:r>
      <w:r w:rsidR="00636483" w:rsidRPr="00D6658B">
        <w:rPr>
          <w:rFonts w:ascii="Arial" w:hAnsi="Arial" w:cs="Arial" w:hint="cs"/>
          <w:sz w:val="24"/>
          <w:szCs w:val="24"/>
          <w:rtl/>
        </w:rPr>
        <w:t xml:space="preserve">, </w:t>
      </w:r>
      <w:r w:rsidRPr="00D6658B">
        <w:rPr>
          <w:rFonts w:ascii="Arial" w:hAnsi="Arial" w:cs="Arial" w:hint="cs"/>
          <w:sz w:val="24"/>
          <w:szCs w:val="24"/>
          <w:rtl/>
        </w:rPr>
        <w:t xml:space="preserve">יתרת החוב של המגזר העסקי </w:t>
      </w:r>
      <w:r w:rsidR="00636483" w:rsidRPr="00D6658B">
        <w:rPr>
          <w:rFonts w:ascii="Arial" w:hAnsi="Arial" w:cs="Arial" w:hint="cs"/>
          <w:sz w:val="24"/>
          <w:szCs w:val="24"/>
          <w:rtl/>
        </w:rPr>
        <w:t xml:space="preserve">ירדה </w:t>
      </w:r>
      <w:r w:rsidRPr="00D6658B">
        <w:rPr>
          <w:rFonts w:ascii="Arial" w:hAnsi="Arial" w:cs="Arial" w:hint="cs"/>
          <w:sz w:val="24"/>
          <w:szCs w:val="24"/>
          <w:rtl/>
        </w:rPr>
        <w:t>בכ</w:t>
      </w:r>
      <w:r w:rsidR="00B27269" w:rsidRPr="00D6658B">
        <w:rPr>
          <w:rFonts w:ascii="Arial" w:hAnsi="Arial" w:cs="Arial" w:hint="cs"/>
          <w:sz w:val="24"/>
          <w:szCs w:val="24"/>
          <w:rtl/>
        </w:rPr>
        <w:t>-</w:t>
      </w:r>
      <w:r w:rsidR="003B2A0D" w:rsidRPr="00D6658B">
        <w:rPr>
          <w:rFonts w:ascii="Arial" w:hAnsi="Arial" w:cs="Arial" w:hint="cs"/>
          <w:sz w:val="24"/>
          <w:szCs w:val="24"/>
          <w:rtl/>
        </w:rPr>
        <w:t>4.2</w:t>
      </w:r>
      <w:r w:rsidR="00B27269" w:rsidRPr="00D6658B">
        <w:rPr>
          <w:rFonts w:ascii="Arial" w:hAnsi="Arial" w:cs="Arial" w:hint="cs"/>
          <w:sz w:val="24"/>
          <w:szCs w:val="24"/>
          <w:rtl/>
        </w:rPr>
        <w:t xml:space="preserve"> </w:t>
      </w:r>
      <w:r w:rsidRPr="00D6658B">
        <w:rPr>
          <w:rFonts w:ascii="Arial" w:hAnsi="Arial" w:cs="Arial" w:hint="cs"/>
          <w:sz w:val="24"/>
          <w:szCs w:val="24"/>
          <w:rtl/>
        </w:rPr>
        <w:t>מיליארד</w:t>
      </w:r>
      <w:r w:rsidR="00B27269" w:rsidRPr="00D6658B">
        <w:rPr>
          <w:rFonts w:ascii="Arial" w:hAnsi="Arial" w:cs="Arial" w:hint="cs"/>
          <w:sz w:val="24"/>
          <w:szCs w:val="24"/>
          <w:rtl/>
        </w:rPr>
        <w:t>י</w:t>
      </w:r>
      <w:r w:rsidRPr="00D6658B">
        <w:rPr>
          <w:rFonts w:ascii="Arial" w:hAnsi="Arial" w:cs="Arial" w:hint="cs"/>
          <w:sz w:val="24"/>
          <w:szCs w:val="24"/>
          <w:rtl/>
        </w:rPr>
        <w:t xml:space="preserve"> ש"ח (0.</w:t>
      </w:r>
      <w:r w:rsidR="00B27269" w:rsidRPr="00D6658B">
        <w:rPr>
          <w:rFonts w:ascii="Arial" w:hAnsi="Arial" w:cs="Arial" w:hint="cs"/>
          <w:sz w:val="24"/>
          <w:szCs w:val="24"/>
          <w:rtl/>
        </w:rPr>
        <w:t>5</w:t>
      </w:r>
      <w:r w:rsidRPr="00D6658B">
        <w:rPr>
          <w:rFonts w:ascii="Arial" w:hAnsi="Arial" w:cs="Arial" w:hint="cs"/>
          <w:sz w:val="24"/>
          <w:szCs w:val="24"/>
          <w:rtl/>
        </w:rPr>
        <w:t>%-) לרמה של כ-82</w:t>
      </w:r>
      <w:r w:rsidR="003B2A0D" w:rsidRPr="00D6658B">
        <w:rPr>
          <w:rFonts w:ascii="Arial" w:hAnsi="Arial" w:cs="Arial" w:hint="cs"/>
          <w:sz w:val="24"/>
          <w:szCs w:val="24"/>
          <w:rtl/>
        </w:rPr>
        <w:t>2</w:t>
      </w:r>
      <w:r w:rsidRPr="00D6658B">
        <w:rPr>
          <w:rFonts w:ascii="Arial" w:hAnsi="Arial" w:cs="Arial" w:hint="cs"/>
          <w:sz w:val="24"/>
          <w:szCs w:val="24"/>
          <w:rtl/>
        </w:rPr>
        <w:t xml:space="preserve"> מיליארדים</w:t>
      </w:r>
      <w:r w:rsidR="003B2A0D" w:rsidRPr="00D6658B">
        <w:rPr>
          <w:rFonts w:ascii="Arial" w:hAnsi="Arial" w:cs="Arial" w:hint="cs"/>
          <w:sz w:val="24"/>
          <w:szCs w:val="24"/>
          <w:rtl/>
        </w:rPr>
        <w:t xml:space="preserve">, בעיקר </w:t>
      </w:r>
      <w:r w:rsidR="00996693" w:rsidRPr="00D6658B">
        <w:rPr>
          <w:rFonts w:ascii="Arial" w:hAnsi="Arial" w:cs="Arial" w:hint="cs"/>
          <w:sz w:val="24"/>
          <w:szCs w:val="24"/>
          <w:rtl/>
        </w:rPr>
        <w:t xml:space="preserve">בהשפעת </w:t>
      </w:r>
      <w:r w:rsidR="003B2A0D" w:rsidRPr="00D6658B">
        <w:rPr>
          <w:rFonts w:ascii="Arial" w:hAnsi="Arial" w:cs="Arial" w:hint="cs"/>
          <w:sz w:val="24"/>
          <w:szCs w:val="24"/>
          <w:rtl/>
        </w:rPr>
        <w:t xml:space="preserve">ייסוף השקל מול הדולר </w:t>
      </w:r>
      <w:r w:rsidR="00996693" w:rsidRPr="00D6658B">
        <w:rPr>
          <w:rFonts w:ascii="Arial" w:hAnsi="Arial" w:cs="Arial" w:hint="cs"/>
          <w:sz w:val="24"/>
          <w:szCs w:val="24"/>
          <w:rtl/>
        </w:rPr>
        <w:t>(</w:t>
      </w:r>
      <w:r w:rsidR="003B2A0D" w:rsidRPr="00D6658B">
        <w:rPr>
          <w:rFonts w:ascii="Arial" w:hAnsi="Arial" w:cs="Arial" w:hint="cs"/>
          <w:sz w:val="24"/>
          <w:szCs w:val="24"/>
          <w:rtl/>
        </w:rPr>
        <w:t>כ-3%</w:t>
      </w:r>
      <w:r w:rsidR="00996693" w:rsidRPr="00D6658B">
        <w:rPr>
          <w:rFonts w:ascii="Arial" w:hAnsi="Arial" w:cs="Arial" w:hint="cs"/>
          <w:sz w:val="24"/>
          <w:szCs w:val="24"/>
          <w:rtl/>
        </w:rPr>
        <w:t>)</w:t>
      </w:r>
      <w:r w:rsidR="003B2A0D" w:rsidRPr="00D6658B">
        <w:rPr>
          <w:rFonts w:ascii="Arial" w:hAnsi="Arial" w:cs="Arial" w:hint="cs"/>
          <w:sz w:val="24"/>
          <w:szCs w:val="24"/>
          <w:rtl/>
        </w:rPr>
        <w:t xml:space="preserve"> שהקטין את השווי השקלי של החוב הצמוד והנקוב במט"ח.  </w:t>
      </w:r>
    </w:p>
    <w:p w:rsidR="00286AB2" w:rsidRDefault="0089040A" w:rsidP="00A7630F">
      <w:pPr>
        <w:pStyle w:val="a9"/>
        <w:numPr>
          <w:ilvl w:val="0"/>
          <w:numId w:val="8"/>
        </w:numPr>
        <w:bidi/>
        <w:spacing w:before="120" w:after="120" w:line="360" w:lineRule="auto"/>
        <w:jc w:val="both"/>
        <w:rPr>
          <w:rFonts w:ascii="Arial" w:hAnsi="Arial" w:cs="Arial"/>
          <w:sz w:val="24"/>
          <w:szCs w:val="24"/>
          <w:u w:val="single"/>
        </w:rPr>
      </w:pPr>
      <w:r w:rsidRPr="006373FB">
        <w:rPr>
          <w:rFonts w:ascii="Arial" w:hAnsi="Arial" w:cs="Arial" w:hint="cs"/>
          <w:sz w:val="24"/>
          <w:szCs w:val="24"/>
          <w:rtl/>
        </w:rPr>
        <w:t xml:space="preserve">בחודש </w:t>
      </w:r>
      <w:r w:rsidR="0090346B">
        <w:rPr>
          <w:rFonts w:ascii="Arial" w:hAnsi="Arial" w:cs="Arial" w:hint="cs"/>
          <w:sz w:val="24"/>
          <w:szCs w:val="24"/>
          <w:rtl/>
        </w:rPr>
        <w:t>מאי</w:t>
      </w:r>
      <w:r w:rsidRPr="006373FB">
        <w:rPr>
          <w:rFonts w:ascii="Arial" w:hAnsi="Arial" w:cs="Arial" w:hint="cs"/>
          <w:sz w:val="24"/>
          <w:szCs w:val="24"/>
          <w:rtl/>
        </w:rPr>
        <w:t xml:space="preserve"> הנפיק המגזר העסקי (ללא בנקים וביטוח) אג"ח בשווי של כ-</w:t>
      </w:r>
      <w:r w:rsidR="00B27269">
        <w:rPr>
          <w:rFonts w:ascii="Arial" w:hAnsi="Arial" w:cs="Arial" w:hint="cs"/>
          <w:sz w:val="24"/>
          <w:szCs w:val="24"/>
          <w:rtl/>
        </w:rPr>
        <w:t>1.</w:t>
      </w:r>
      <w:r w:rsidR="0064196B">
        <w:rPr>
          <w:rFonts w:ascii="Arial" w:hAnsi="Arial" w:cs="Arial" w:hint="cs"/>
          <w:sz w:val="24"/>
          <w:szCs w:val="24"/>
          <w:rtl/>
        </w:rPr>
        <w:t>3 מיליארדי ש"ח, כול</w:t>
      </w:r>
      <w:r w:rsidRPr="006373FB">
        <w:rPr>
          <w:rFonts w:ascii="Arial" w:hAnsi="Arial" w:cs="Arial" w:hint="cs"/>
          <w:sz w:val="24"/>
          <w:szCs w:val="24"/>
          <w:rtl/>
        </w:rPr>
        <w:t>ן בהנפקות של אג"ח סחירות</w:t>
      </w:r>
      <w:r w:rsidRPr="006373FB">
        <w:rPr>
          <w:rFonts w:ascii="Arial" w:hAnsi="Arial" w:cs="Arial"/>
          <w:sz w:val="24"/>
          <w:szCs w:val="24"/>
        </w:rPr>
        <w:t>;</w:t>
      </w:r>
      <w:r w:rsidRPr="006373FB">
        <w:rPr>
          <w:rFonts w:ascii="Arial" w:hAnsi="Arial" w:cs="Arial" w:hint="cs"/>
          <w:sz w:val="24"/>
          <w:szCs w:val="24"/>
          <w:rtl/>
        </w:rPr>
        <w:t xml:space="preserve"> </w:t>
      </w:r>
      <w:r w:rsidR="00A7630F" w:rsidRPr="00D6658B">
        <w:rPr>
          <w:rFonts w:ascii="Arial" w:hAnsi="Arial" w:cs="Arial" w:hint="cs"/>
          <w:sz w:val="24"/>
          <w:szCs w:val="24"/>
          <w:rtl/>
        </w:rPr>
        <w:t xml:space="preserve">בהמשך לחודש הקודם </w:t>
      </w:r>
      <w:r w:rsidR="003F4002" w:rsidRPr="00D6658B">
        <w:rPr>
          <w:rFonts w:ascii="Arial" w:hAnsi="Arial" w:cs="Arial" w:hint="cs"/>
          <w:sz w:val="24"/>
          <w:szCs w:val="24"/>
          <w:rtl/>
        </w:rPr>
        <w:t xml:space="preserve">סך ההנפקות נמוך </w:t>
      </w:r>
      <w:r w:rsidRPr="00D6658B">
        <w:rPr>
          <w:rFonts w:ascii="Arial" w:hAnsi="Arial" w:cs="Arial" w:hint="cs"/>
          <w:sz w:val="24"/>
          <w:szCs w:val="24"/>
          <w:rtl/>
        </w:rPr>
        <w:t xml:space="preserve">מממוצע הגיוסים </w:t>
      </w:r>
      <w:r w:rsidR="003F4002" w:rsidRPr="00D6658B">
        <w:rPr>
          <w:rFonts w:ascii="Arial" w:hAnsi="Arial" w:cs="Arial" w:hint="cs"/>
          <w:sz w:val="24"/>
          <w:szCs w:val="24"/>
          <w:rtl/>
        </w:rPr>
        <w:t>מתחילת השנה</w:t>
      </w:r>
      <w:r w:rsidR="00B27269" w:rsidRPr="00D6658B">
        <w:rPr>
          <w:rFonts w:ascii="Arial" w:hAnsi="Arial" w:cs="Arial" w:hint="cs"/>
          <w:sz w:val="24"/>
          <w:szCs w:val="24"/>
          <w:rtl/>
        </w:rPr>
        <w:t xml:space="preserve"> המסתכם ב</w:t>
      </w:r>
      <w:r w:rsidRPr="00D6658B">
        <w:rPr>
          <w:rFonts w:ascii="Arial" w:hAnsi="Arial" w:cs="Arial" w:hint="cs"/>
          <w:sz w:val="24"/>
          <w:szCs w:val="24"/>
          <w:rtl/>
        </w:rPr>
        <w:t>כ-</w:t>
      </w:r>
      <w:r w:rsidR="0064196B" w:rsidRPr="00D6658B">
        <w:rPr>
          <w:rFonts w:ascii="Arial" w:hAnsi="Arial" w:cs="Arial" w:hint="cs"/>
          <w:sz w:val="24"/>
          <w:szCs w:val="24"/>
          <w:rtl/>
        </w:rPr>
        <w:t>2.7</w:t>
      </w:r>
      <w:r w:rsidRPr="00D6658B">
        <w:rPr>
          <w:rFonts w:ascii="Arial" w:hAnsi="Arial" w:cs="Arial" w:hint="cs"/>
          <w:sz w:val="24"/>
          <w:szCs w:val="24"/>
          <w:rtl/>
        </w:rPr>
        <w:t xml:space="preserve"> מיליארדים.</w:t>
      </w:r>
    </w:p>
    <w:p w:rsidR="00AC3E61" w:rsidRPr="00480FFC" w:rsidRDefault="00AC3E61" w:rsidP="00480FFC">
      <w:pPr>
        <w:pStyle w:val="NormalWeb"/>
        <w:bidi/>
        <w:spacing w:before="0" w:beforeAutospacing="0" w:after="0" w:afterAutospacing="0" w:line="360" w:lineRule="auto"/>
        <w:ind w:left="720"/>
        <w:jc w:val="center"/>
        <w:rPr>
          <w:rFonts w:asciiTheme="minorBidi" w:hAnsiTheme="minorBidi" w:cstheme="minorBidi"/>
          <w:rtl/>
        </w:rPr>
      </w:pPr>
      <w:r w:rsidRPr="00966322">
        <w:rPr>
          <w:rFonts w:asciiTheme="minorBidi" w:hAnsiTheme="minorBidi" w:cstheme="minorBidi"/>
          <w:b/>
          <w:bCs/>
          <w:rtl/>
        </w:rPr>
        <w:t>לוח 1: התפלגות החוב של המגזר העסקי</w:t>
      </w:r>
      <w:r w:rsidR="00303DA6">
        <w:rPr>
          <w:rFonts w:asciiTheme="minorBidi" w:hAnsiTheme="minorBidi" w:cstheme="minorBidi" w:hint="cs"/>
          <w:sz w:val="22"/>
          <w:szCs w:val="22"/>
          <w:vertAlign w:val="superscript"/>
          <w:rtl/>
        </w:rPr>
        <w:t xml:space="preserve">1,4 </w:t>
      </w:r>
    </w:p>
    <w:p w:rsidR="002A60C4" w:rsidRDefault="001F436F" w:rsidP="002A60C4">
      <w:pPr>
        <w:pStyle w:val="NormalWeb"/>
        <w:bidi/>
        <w:spacing w:before="0" w:beforeAutospacing="0" w:after="0" w:afterAutospacing="0" w:line="360" w:lineRule="auto"/>
        <w:jc w:val="center"/>
        <w:rPr>
          <w:rFonts w:asciiTheme="minorBidi" w:hAnsiTheme="minorBidi" w:cstheme="minorBidi"/>
          <w:b/>
          <w:bCs/>
          <w:rtl/>
        </w:rPr>
      </w:pPr>
      <w:r w:rsidRPr="001F436F">
        <w:rPr>
          <w:rFonts w:hint="cs"/>
          <w:noProof/>
          <w:rtl/>
        </w:rPr>
        <w:drawing>
          <wp:inline distT="0" distB="0" distL="0" distR="0" wp14:anchorId="0C5C26F8" wp14:editId="464FB409">
            <wp:extent cx="5278120" cy="2708379"/>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708379"/>
                    </a:xfrm>
                    <a:prstGeom prst="rect">
                      <a:avLst/>
                    </a:prstGeom>
                    <a:noFill/>
                    <a:ln>
                      <a:noFill/>
                    </a:ln>
                  </pic:spPr>
                </pic:pic>
              </a:graphicData>
            </a:graphic>
          </wp:inline>
        </w:drawing>
      </w:r>
    </w:p>
    <w:p w:rsidR="002A60C4" w:rsidRDefault="002A60C4" w:rsidP="002A60C4">
      <w:pPr>
        <w:pStyle w:val="NormalWeb"/>
        <w:bidi/>
        <w:spacing w:before="0" w:beforeAutospacing="0" w:after="0" w:afterAutospacing="0" w:line="360" w:lineRule="auto"/>
        <w:jc w:val="center"/>
        <w:rPr>
          <w:rFonts w:asciiTheme="minorBidi" w:hAnsiTheme="minorBidi" w:cstheme="minorBidi"/>
          <w:b/>
          <w:bCs/>
          <w:rtl/>
        </w:rPr>
      </w:pPr>
    </w:p>
    <w:p w:rsidR="002A60C4" w:rsidRDefault="002A60C4" w:rsidP="002A60C4">
      <w:pPr>
        <w:pStyle w:val="NormalWeb"/>
        <w:bidi/>
        <w:spacing w:before="0" w:beforeAutospacing="0" w:after="0" w:afterAutospacing="0" w:line="360" w:lineRule="auto"/>
        <w:jc w:val="center"/>
        <w:rPr>
          <w:rFonts w:asciiTheme="minorBidi" w:hAnsiTheme="minorBidi" w:cstheme="minorBidi"/>
          <w:b/>
          <w:bCs/>
          <w:rtl/>
        </w:rPr>
      </w:pPr>
    </w:p>
    <w:p w:rsidR="00AC3E61" w:rsidRPr="00966322" w:rsidRDefault="00AC3E61" w:rsidP="002A60C4">
      <w:pPr>
        <w:pStyle w:val="NormalWeb"/>
        <w:bidi/>
        <w:spacing w:before="0" w:beforeAutospacing="0" w:after="0" w:afterAutospacing="0" w:line="360" w:lineRule="auto"/>
        <w:jc w:val="center"/>
        <w:rPr>
          <w:rFonts w:asciiTheme="minorBidi" w:hAnsiTheme="minorBidi" w:cstheme="minorBidi"/>
        </w:rPr>
      </w:pPr>
      <w:r w:rsidRPr="00966322">
        <w:rPr>
          <w:rFonts w:asciiTheme="minorBidi" w:hAnsiTheme="minorBidi" w:cstheme="minorBidi"/>
          <w:b/>
          <w:bCs/>
          <w:rtl/>
        </w:rPr>
        <w:lastRenderedPageBreak/>
        <w:t>איור 1: החוב הבנקאי והחוץ-בנקאי של הסקטור העסקי – שיעורי השינוי לעומת החודש המקביל בשנה הקודמת</w:t>
      </w:r>
    </w:p>
    <w:p w:rsidR="002A60C4" w:rsidRDefault="000E5A37" w:rsidP="00AC3E61">
      <w:pPr>
        <w:pStyle w:val="a9"/>
        <w:spacing w:line="360" w:lineRule="auto"/>
        <w:ind w:left="0"/>
        <w:jc w:val="center"/>
        <w:rPr>
          <w:rFonts w:asciiTheme="minorBidi" w:hAnsiTheme="minorBidi" w:cstheme="minorBidi"/>
          <w:b/>
          <w:bCs/>
          <w:sz w:val="24"/>
          <w:szCs w:val="24"/>
          <w:rtl/>
        </w:rPr>
      </w:pPr>
      <w:r>
        <w:rPr>
          <w:rFonts w:asciiTheme="minorBidi" w:hAnsiTheme="minorBidi" w:cstheme="minorBidi"/>
          <w:b/>
          <w:bCs/>
          <w:noProof/>
          <w:sz w:val="24"/>
          <w:szCs w:val="24"/>
          <w:lang w:eastAsia="en-US"/>
        </w:rPr>
        <w:drawing>
          <wp:inline distT="0" distB="0" distL="0" distR="0" wp14:anchorId="297DB169">
            <wp:extent cx="5292090" cy="2603500"/>
            <wp:effectExtent l="0" t="0" r="3810" b="63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2090" cy="2603500"/>
                    </a:xfrm>
                    <a:prstGeom prst="rect">
                      <a:avLst/>
                    </a:prstGeom>
                    <a:noFill/>
                  </pic:spPr>
                </pic:pic>
              </a:graphicData>
            </a:graphic>
          </wp:inline>
        </w:drawing>
      </w:r>
    </w:p>
    <w:p w:rsidR="00AC3E61" w:rsidRDefault="00AC3E61" w:rsidP="00AC3E61">
      <w:pPr>
        <w:pStyle w:val="a9"/>
        <w:spacing w:line="360" w:lineRule="auto"/>
        <w:ind w:left="0"/>
        <w:jc w:val="center"/>
        <w:rPr>
          <w:rFonts w:asciiTheme="minorBidi" w:hAnsiTheme="minorBidi" w:cstheme="minorBidi"/>
          <w:b/>
          <w:bCs/>
          <w:sz w:val="24"/>
          <w:szCs w:val="24"/>
          <w:rtl/>
        </w:rPr>
      </w:pPr>
      <w:r w:rsidRPr="00AC3E61">
        <w:rPr>
          <w:rFonts w:asciiTheme="minorBidi" w:hAnsiTheme="minorBidi" w:cstheme="minorBidi"/>
          <w:b/>
          <w:bCs/>
          <w:sz w:val="24"/>
          <w:szCs w:val="24"/>
          <w:rtl/>
        </w:rPr>
        <w:t xml:space="preserve"> </w:t>
      </w:r>
    </w:p>
    <w:p w:rsidR="00AC3E61" w:rsidRPr="00751A3D" w:rsidRDefault="00AC3E61" w:rsidP="00AC3E61">
      <w:pPr>
        <w:pStyle w:val="a9"/>
        <w:spacing w:line="360" w:lineRule="auto"/>
        <w:ind w:left="0"/>
        <w:jc w:val="center"/>
        <w:rPr>
          <w:rFonts w:asciiTheme="minorBidi" w:hAnsiTheme="minorBidi" w:cstheme="minorBidi"/>
          <w:b/>
          <w:bCs/>
        </w:rPr>
      </w:pPr>
      <w:r w:rsidRPr="00751A3D">
        <w:rPr>
          <w:rFonts w:asciiTheme="minorBidi" w:hAnsiTheme="minorBidi" w:cstheme="minorBidi"/>
          <w:b/>
          <w:bCs/>
          <w:sz w:val="24"/>
          <w:szCs w:val="24"/>
          <w:rtl/>
        </w:rPr>
        <w:t>לוח 2: התפלגות החוב לפי בסיסי הצמדה</w:t>
      </w:r>
    </w:p>
    <w:p w:rsidR="00AC3E61" w:rsidRPr="0089040A" w:rsidRDefault="000E5A37" w:rsidP="00AC3E61">
      <w:pPr>
        <w:pStyle w:val="a9"/>
        <w:spacing w:line="360" w:lineRule="auto"/>
        <w:ind w:left="0"/>
        <w:jc w:val="center"/>
        <w:rPr>
          <w:rFonts w:ascii="Arial" w:hAnsi="Arial" w:cs="Arial"/>
          <w:b/>
          <w:bCs/>
        </w:rPr>
      </w:pPr>
      <w:r w:rsidRPr="000E5A37">
        <w:rPr>
          <w:noProof/>
          <w:lang w:eastAsia="en-US"/>
        </w:rPr>
        <w:drawing>
          <wp:inline distT="0" distB="0" distL="0" distR="0" wp14:anchorId="1E326D88" wp14:editId="0FA0B886">
            <wp:extent cx="5278120" cy="1203953"/>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120" cy="1203953"/>
                    </a:xfrm>
                    <a:prstGeom prst="rect">
                      <a:avLst/>
                    </a:prstGeom>
                    <a:noFill/>
                    <a:ln>
                      <a:noFill/>
                    </a:ln>
                  </pic:spPr>
                </pic:pic>
              </a:graphicData>
            </a:graphic>
          </wp:inline>
        </w:drawing>
      </w:r>
    </w:p>
    <w:p w:rsidR="00AC3E61" w:rsidRDefault="00AC3E61" w:rsidP="00AC3E61">
      <w:pPr>
        <w:bidi/>
        <w:spacing w:line="360" w:lineRule="auto"/>
        <w:jc w:val="center"/>
        <w:rPr>
          <w:rFonts w:asciiTheme="minorBidi" w:hAnsiTheme="minorBidi" w:cstheme="minorBidi"/>
          <w:b/>
          <w:bCs/>
          <w:sz w:val="24"/>
          <w:szCs w:val="24"/>
          <w:rtl/>
        </w:rPr>
      </w:pPr>
    </w:p>
    <w:p w:rsidR="00AC3E61" w:rsidRPr="00357818" w:rsidRDefault="00AC3E61" w:rsidP="00AC3E61">
      <w:pPr>
        <w:bidi/>
        <w:spacing w:line="360" w:lineRule="auto"/>
        <w:jc w:val="center"/>
        <w:rPr>
          <w:rFonts w:asciiTheme="minorBidi" w:hAnsiTheme="minorBidi" w:cstheme="minorBidi"/>
          <w:b/>
          <w:bCs/>
          <w:sz w:val="24"/>
          <w:szCs w:val="24"/>
        </w:rPr>
      </w:pPr>
      <w:r w:rsidRPr="00357818">
        <w:rPr>
          <w:rFonts w:asciiTheme="minorBidi" w:hAnsiTheme="minorBidi" w:cstheme="minorBidi"/>
          <w:b/>
          <w:bCs/>
          <w:sz w:val="24"/>
          <w:szCs w:val="24"/>
          <w:rtl/>
        </w:rPr>
        <w:t>איור 2: הנפקות אג"ח של הסקטור העסקי הלא פיננסי</w:t>
      </w:r>
    </w:p>
    <w:p w:rsidR="00F83505" w:rsidRPr="0089040A" w:rsidRDefault="000E5A37" w:rsidP="001F1E1B">
      <w:pPr>
        <w:pStyle w:val="a9"/>
        <w:spacing w:line="360" w:lineRule="auto"/>
        <w:ind w:left="0"/>
        <w:jc w:val="center"/>
        <w:rPr>
          <w:rFonts w:ascii="Arial" w:hAnsi="Arial" w:cs="Arial"/>
          <w:b/>
          <w:bCs/>
          <w:sz w:val="24"/>
          <w:szCs w:val="24"/>
          <w:rtl/>
        </w:rPr>
      </w:pPr>
      <w:r>
        <w:rPr>
          <w:rFonts w:ascii="Arial" w:hAnsi="Arial" w:cs="Arial"/>
          <w:b/>
          <w:bCs/>
          <w:noProof/>
          <w:sz w:val="24"/>
          <w:szCs w:val="24"/>
          <w:lang w:eastAsia="en-US"/>
        </w:rPr>
        <w:drawing>
          <wp:inline distT="0" distB="0" distL="0" distR="0" wp14:anchorId="3E57B415">
            <wp:extent cx="5292090" cy="3108960"/>
            <wp:effectExtent l="0" t="0" r="381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2090" cy="3108960"/>
                    </a:xfrm>
                    <a:prstGeom prst="rect">
                      <a:avLst/>
                    </a:prstGeom>
                    <a:noFill/>
                  </pic:spPr>
                </pic:pic>
              </a:graphicData>
            </a:graphic>
          </wp:inline>
        </w:drawing>
      </w:r>
    </w:p>
    <w:p w:rsidR="00872529" w:rsidRPr="0089040A" w:rsidRDefault="00872529" w:rsidP="00A44417">
      <w:pPr>
        <w:pStyle w:val="a9"/>
        <w:bidi/>
        <w:spacing w:line="360" w:lineRule="auto"/>
        <w:ind w:left="0"/>
        <w:jc w:val="center"/>
        <w:rPr>
          <w:rFonts w:ascii="Arial" w:hAnsi="Arial" w:cs="Arial"/>
          <w:noProof/>
          <w:sz w:val="24"/>
          <w:szCs w:val="24"/>
          <w:rtl/>
          <w:lang w:eastAsia="en-US"/>
        </w:rPr>
      </w:pPr>
    </w:p>
    <w:p w:rsidR="000911D7" w:rsidRPr="0089040A" w:rsidRDefault="000911D7" w:rsidP="000911D7">
      <w:pPr>
        <w:pStyle w:val="a9"/>
        <w:bidi/>
        <w:spacing w:line="360" w:lineRule="auto"/>
        <w:ind w:left="360" w:right="-101"/>
        <w:jc w:val="both"/>
        <w:rPr>
          <w:rFonts w:ascii="Arial" w:hAnsi="Arial" w:cs="Arial"/>
          <w:sz w:val="24"/>
          <w:szCs w:val="24"/>
          <w:u w:val="single"/>
          <w:rtl/>
        </w:rPr>
      </w:pPr>
    </w:p>
    <w:p w:rsidR="009F574F" w:rsidRPr="0089040A" w:rsidRDefault="00F83505" w:rsidP="00F83505">
      <w:pPr>
        <w:bidi/>
        <w:spacing w:line="360" w:lineRule="auto"/>
        <w:jc w:val="both"/>
        <w:rPr>
          <w:rFonts w:ascii="Arial" w:hAnsi="Arial" w:cs="Arial"/>
          <w:b/>
          <w:bCs/>
          <w:sz w:val="24"/>
          <w:szCs w:val="24"/>
          <w:u w:val="single"/>
        </w:rPr>
      </w:pPr>
      <w:r w:rsidRPr="0089040A">
        <w:rPr>
          <w:rFonts w:ascii="Arial" w:hAnsi="Arial" w:cs="Arial"/>
          <w:b/>
          <w:bCs/>
          <w:sz w:val="24"/>
          <w:szCs w:val="24"/>
          <w:u w:val="single"/>
          <w:rtl/>
        </w:rPr>
        <w:lastRenderedPageBreak/>
        <w:t xml:space="preserve">ב. </w:t>
      </w:r>
      <w:r w:rsidR="009F574F" w:rsidRPr="0089040A">
        <w:rPr>
          <w:rFonts w:ascii="Arial" w:hAnsi="Arial" w:cs="Arial"/>
          <w:b/>
          <w:bCs/>
          <w:sz w:val="24"/>
          <w:szCs w:val="24"/>
          <w:u w:val="single"/>
          <w:rtl/>
        </w:rPr>
        <w:t>החוב של משקי הבית</w:t>
      </w:r>
    </w:p>
    <w:p w:rsidR="006B0BAE" w:rsidRPr="006373FB" w:rsidRDefault="006B0BAE" w:rsidP="00977BED">
      <w:pPr>
        <w:pStyle w:val="a9"/>
        <w:numPr>
          <w:ilvl w:val="0"/>
          <w:numId w:val="9"/>
        </w:numPr>
        <w:bidi/>
        <w:spacing w:before="120" w:after="120" w:line="360" w:lineRule="auto"/>
        <w:jc w:val="both"/>
        <w:rPr>
          <w:rFonts w:ascii="Arial" w:hAnsi="Arial" w:cs="Arial"/>
          <w:sz w:val="24"/>
          <w:szCs w:val="24"/>
          <w:rtl/>
        </w:rPr>
      </w:pPr>
      <w:r w:rsidRPr="006373FB">
        <w:rPr>
          <w:rFonts w:ascii="Arial" w:hAnsi="Arial" w:cs="Arial" w:hint="cs"/>
          <w:sz w:val="24"/>
          <w:szCs w:val="24"/>
          <w:rtl/>
        </w:rPr>
        <w:t xml:space="preserve">יתרת החוב של משקי הבית </w:t>
      </w:r>
      <w:r w:rsidR="0088690D">
        <w:rPr>
          <w:rFonts w:ascii="Arial" w:hAnsi="Arial" w:cs="Arial" w:hint="cs"/>
          <w:sz w:val="24"/>
          <w:szCs w:val="24"/>
          <w:rtl/>
        </w:rPr>
        <w:t xml:space="preserve">נותרה כמעט ללא שינוי </w:t>
      </w:r>
      <w:r w:rsidRPr="006373FB">
        <w:rPr>
          <w:rFonts w:ascii="Arial" w:hAnsi="Arial" w:cs="Arial" w:hint="cs"/>
          <w:sz w:val="24"/>
          <w:szCs w:val="24"/>
          <w:rtl/>
        </w:rPr>
        <w:t xml:space="preserve">בחודש </w:t>
      </w:r>
      <w:r w:rsidR="0090346B">
        <w:rPr>
          <w:rFonts w:ascii="Arial" w:hAnsi="Arial" w:cs="Arial" w:hint="cs"/>
          <w:sz w:val="24"/>
          <w:szCs w:val="24"/>
          <w:rtl/>
        </w:rPr>
        <w:t>אפריל</w:t>
      </w:r>
      <w:r w:rsidRPr="006373FB">
        <w:rPr>
          <w:rFonts w:ascii="Arial" w:hAnsi="Arial" w:cs="Arial" w:hint="cs"/>
          <w:sz w:val="24"/>
          <w:szCs w:val="24"/>
          <w:rtl/>
        </w:rPr>
        <w:t xml:space="preserve"> </w:t>
      </w:r>
      <w:r w:rsidR="0088690D">
        <w:rPr>
          <w:rFonts w:ascii="Arial" w:hAnsi="Arial" w:cs="Arial" w:hint="cs"/>
          <w:sz w:val="24"/>
          <w:szCs w:val="24"/>
          <w:rtl/>
        </w:rPr>
        <w:t>והסתכמה בכ-436</w:t>
      </w:r>
      <w:r w:rsidRPr="006373FB">
        <w:rPr>
          <w:rFonts w:ascii="Arial" w:hAnsi="Arial" w:cs="Arial" w:hint="cs"/>
          <w:sz w:val="24"/>
          <w:szCs w:val="24"/>
          <w:rtl/>
        </w:rPr>
        <w:t xml:space="preserve"> מיליארדים. יתרת החוב לדיור מסך החוב של משקי הבית </w:t>
      </w:r>
      <w:r w:rsidR="00977BED">
        <w:rPr>
          <w:rFonts w:ascii="Arial" w:hAnsi="Arial" w:cs="Arial" w:hint="cs"/>
          <w:sz w:val="24"/>
          <w:szCs w:val="24"/>
          <w:rtl/>
        </w:rPr>
        <w:t>עלתה בכ-1.8 מיליארדי ש"ח</w:t>
      </w:r>
      <w:r w:rsidR="00B27269">
        <w:rPr>
          <w:rFonts w:ascii="Arial" w:hAnsi="Arial" w:cs="Arial" w:hint="cs"/>
          <w:sz w:val="24"/>
          <w:szCs w:val="24"/>
          <w:rtl/>
        </w:rPr>
        <w:t xml:space="preserve"> </w:t>
      </w:r>
      <w:r w:rsidR="00977BED">
        <w:rPr>
          <w:rFonts w:ascii="Arial" w:hAnsi="Arial" w:cs="Arial" w:hint="cs"/>
          <w:sz w:val="24"/>
          <w:szCs w:val="24"/>
          <w:rtl/>
        </w:rPr>
        <w:t>ועומדת על כ-306</w:t>
      </w:r>
      <w:r w:rsidRPr="006373FB">
        <w:rPr>
          <w:rFonts w:ascii="Arial" w:hAnsi="Arial" w:cs="Arial" w:hint="cs"/>
          <w:sz w:val="24"/>
          <w:szCs w:val="24"/>
          <w:rtl/>
        </w:rPr>
        <w:t xml:space="preserve"> מיליארדים.</w:t>
      </w:r>
    </w:p>
    <w:p w:rsidR="006B0BAE" w:rsidRPr="00D6658B" w:rsidRDefault="0009315D" w:rsidP="00902402">
      <w:pPr>
        <w:pStyle w:val="a9"/>
        <w:numPr>
          <w:ilvl w:val="0"/>
          <w:numId w:val="9"/>
        </w:numPr>
        <w:bidi/>
        <w:spacing w:before="240" w:after="120" w:line="360" w:lineRule="auto"/>
        <w:jc w:val="both"/>
        <w:rPr>
          <w:rFonts w:ascii="Arial" w:hAnsi="Arial" w:cs="Arial"/>
          <w:sz w:val="24"/>
          <w:szCs w:val="24"/>
        </w:rPr>
      </w:pPr>
      <w:r w:rsidRPr="00D6658B">
        <w:rPr>
          <w:rFonts w:ascii="Arial" w:hAnsi="Arial" w:cs="Arial"/>
          <w:sz w:val="24"/>
          <w:szCs w:val="24"/>
          <w:rtl/>
        </w:rPr>
        <w:t xml:space="preserve">בחודש </w:t>
      </w:r>
      <w:r w:rsidR="0090346B" w:rsidRPr="00D6658B">
        <w:rPr>
          <w:rFonts w:ascii="Arial" w:hAnsi="Arial" w:cs="Arial"/>
          <w:sz w:val="24"/>
          <w:szCs w:val="24"/>
          <w:rtl/>
        </w:rPr>
        <w:t>מאי</w:t>
      </w:r>
      <w:r w:rsidRPr="00D6658B">
        <w:rPr>
          <w:rFonts w:ascii="Arial" w:hAnsi="Arial" w:cs="Arial"/>
          <w:sz w:val="24"/>
          <w:szCs w:val="24"/>
          <w:rtl/>
        </w:rPr>
        <w:t xml:space="preserve"> חלה </w:t>
      </w:r>
      <w:r w:rsidR="00902402" w:rsidRPr="00D6658B">
        <w:rPr>
          <w:rFonts w:ascii="Arial" w:hAnsi="Arial" w:cs="Arial" w:hint="cs"/>
          <w:sz w:val="24"/>
          <w:szCs w:val="24"/>
          <w:rtl/>
        </w:rPr>
        <w:t>עליה</w:t>
      </w:r>
      <w:r w:rsidRPr="00D6658B">
        <w:rPr>
          <w:rFonts w:ascii="Arial" w:hAnsi="Arial" w:cs="Arial"/>
          <w:sz w:val="24"/>
          <w:szCs w:val="24"/>
          <w:rtl/>
        </w:rPr>
        <w:t xml:space="preserve">, עונתית בחלקה, בביצועי המשכנתאות </w:t>
      </w:r>
      <w:r w:rsidR="006B0BAE" w:rsidRPr="00D6658B">
        <w:rPr>
          <w:rFonts w:ascii="Arial" w:hAnsi="Arial" w:cs="Arial" w:hint="cs"/>
          <w:sz w:val="24"/>
          <w:szCs w:val="24"/>
          <w:rtl/>
        </w:rPr>
        <w:t>(נטילות של משכנתאות חדשות) והן הסתכמו בכ-</w:t>
      </w:r>
      <w:r w:rsidR="00902402" w:rsidRPr="00D6658B">
        <w:rPr>
          <w:rFonts w:ascii="Arial" w:hAnsi="Arial" w:cs="Arial" w:hint="cs"/>
          <w:sz w:val="24"/>
          <w:szCs w:val="24"/>
          <w:rtl/>
        </w:rPr>
        <w:t>5.8 מיליארדי ש"ח, גבוה</w:t>
      </w:r>
      <w:r w:rsidR="006B0BAE" w:rsidRPr="00D6658B">
        <w:rPr>
          <w:rFonts w:ascii="Arial" w:hAnsi="Arial" w:cs="Arial" w:hint="cs"/>
          <w:sz w:val="24"/>
          <w:szCs w:val="24"/>
          <w:rtl/>
        </w:rPr>
        <w:t xml:space="preserve"> </w:t>
      </w:r>
      <w:r w:rsidR="00902402" w:rsidRPr="00D6658B">
        <w:rPr>
          <w:rFonts w:ascii="Arial" w:hAnsi="Arial" w:cs="Arial" w:hint="cs"/>
          <w:sz w:val="24"/>
          <w:szCs w:val="24"/>
          <w:rtl/>
        </w:rPr>
        <w:t>מ</w:t>
      </w:r>
      <w:r w:rsidR="006B0BAE" w:rsidRPr="00D6658B">
        <w:rPr>
          <w:rFonts w:ascii="Arial" w:hAnsi="Arial" w:cs="Arial" w:hint="cs"/>
          <w:sz w:val="24"/>
          <w:szCs w:val="24"/>
          <w:rtl/>
        </w:rPr>
        <w:t xml:space="preserve">ממוצע הביצועים </w:t>
      </w:r>
      <w:r w:rsidR="00902402" w:rsidRPr="00D6658B">
        <w:rPr>
          <w:rFonts w:ascii="Arial" w:hAnsi="Arial" w:cs="Arial" w:hint="cs"/>
          <w:sz w:val="24"/>
          <w:szCs w:val="24"/>
          <w:rtl/>
        </w:rPr>
        <w:t>בשליש הראשון של השנה הע</w:t>
      </w:r>
      <w:r w:rsidR="006B0BAE" w:rsidRPr="00D6658B">
        <w:rPr>
          <w:rFonts w:ascii="Arial" w:hAnsi="Arial" w:cs="Arial" w:hint="cs"/>
          <w:sz w:val="24"/>
          <w:szCs w:val="24"/>
          <w:rtl/>
        </w:rPr>
        <w:t>ומד על כ-4.9 מיליארדים. (איור 3)</w:t>
      </w:r>
      <w:r w:rsidR="00CD06A0" w:rsidRPr="00D6658B">
        <w:rPr>
          <w:rFonts w:ascii="Arial" w:hAnsi="Arial" w:cs="Arial" w:hint="cs"/>
          <w:sz w:val="24"/>
          <w:szCs w:val="24"/>
          <w:rtl/>
        </w:rPr>
        <w:t xml:space="preserve">. נמשך הגידול במשקלן של נטילות המשכנתאות החדשות בריבית קבועה.  </w:t>
      </w:r>
    </w:p>
    <w:p w:rsidR="00AC3E61" w:rsidRDefault="00AC3E61" w:rsidP="00AC3E61">
      <w:pPr>
        <w:pStyle w:val="a9"/>
        <w:bidi/>
        <w:spacing w:line="360" w:lineRule="auto"/>
        <w:rPr>
          <w:rFonts w:asciiTheme="minorBidi" w:hAnsiTheme="minorBidi" w:cstheme="minorBidi"/>
          <w:b/>
          <w:bCs/>
          <w:sz w:val="24"/>
          <w:szCs w:val="24"/>
          <w:rtl/>
        </w:rPr>
      </w:pPr>
    </w:p>
    <w:p w:rsidR="00AC3E61" w:rsidRPr="00AC3E61" w:rsidRDefault="00AC3E61" w:rsidP="00AC3E61">
      <w:pPr>
        <w:pStyle w:val="a9"/>
        <w:bidi/>
        <w:spacing w:line="360" w:lineRule="auto"/>
        <w:jc w:val="center"/>
        <w:rPr>
          <w:rFonts w:asciiTheme="minorBidi" w:hAnsiTheme="minorBidi" w:cstheme="minorBidi"/>
          <w:b/>
          <w:bCs/>
          <w:sz w:val="24"/>
          <w:szCs w:val="24"/>
        </w:rPr>
      </w:pPr>
      <w:r w:rsidRPr="00AC3E61">
        <w:rPr>
          <w:rFonts w:asciiTheme="minorBidi" w:hAnsiTheme="minorBidi" w:cstheme="minorBidi"/>
          <w:b/>
          <w:bCs/>
          <w:sz w:val="24"/>
          <w:szCs w:val="24"/>
          <w:rtl/>
        </w:rPr>
        <w:t>לוח 3: יתרות החוב של משקי הבית</w:t>
      </w:r>
      <w:r w:rsidRPr="00AC3E61">
        <w:rPr>
          <w:rFonts w:asciiTheme="minorBidi" w:hAnsiTheme="minorBidi" w:cstheme="minorBidi"/>
          <w:b/>
          <w:bCs/>
          <w:sz w:val="24"/>
          <w:szCs w:val="24"/>
          <w:vertAlign w:val="superscript"/>
          <w:rtl/>
        </w:rPr>
        <w:t>1</w:t>
      </w:r>
    </w:p>
    <w:p w:rsidR="00AC3E61" w:rsidRPr="006373FB" w:rsidRDefault="00CA6DAB" w:rsidP="00AC3E61">
      <w:pPr>
        <w:pStyle w:val="a9"/>
        <w:bidi/>
        <w:spacing w:before="240" w:after="120" w:line="360" w:lineRule="auto"/>
        <w:jc w:val="both"/>
        <w:rPr>
          <w:rFonts w:ascii="Arial" w:hAnsi="Arial" w:cs="Arial"/>
          <w:sz w:val="24"/>
          <w:szCs w:val="24"/>
          <w:rtl/>
        </w:rPr>
      </w:pPr>
      <w:r w:rsidRPr="00CA6DAB">
        <w:rPr>
          <w:noProof/>
          <w:rtl/>
          <w:lang w:eastAsia="en-US"/>
        </w:rPr>
        <w:drawing>
          <wp:inline distT="0" distB="0" distL="0" distR="0" wp14:anchorId="1D659DE3" wp14:editId="5E66DA91">
            <wp:extent cx="5278120" cy="4622319"/>
            <wp:effectExtent l="0" t="0" r="0" b="698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4622319"/>
                    </a:xfrm>
                    <a:prstGeom prst="rect">
                      <a:avLst/>
                    </a:prstGeom>
                    <a:noFill/>
                    <a:ln>
                      <a:noFill/>
                    </a:ln>
                  </pic:spPr>
                </pic:pic>
              </a:graphicData>
            </a:graphic>
          </wp:inline>
        </w:drawing>
      </w:r>
    </w:p>
    <w:p w:rsidR="00BF4C2E" w:rsidRDefault="00BF4C2E" w:rsidP="00BF4C2E">
      <w:pPr>
        <w:bidi/>
        <w:spacing w:line="360" w:lineRule="auto"/>
        <w:jc w:val="center"/>
        <w:rPr>
          <w:rFonts w:asciiTheme="minorBidi" w:hAnsiTheme="minorBidi" w:cstheme="minorBidi"/>
          <w:b/>
          <w:bCs/>
          <w:sz w:val="24"/>
          <w:szCs w:val="24"/>
          <w:rtl/>
        </w:rPr>
      </w:pPr>
    </w:p>
    <w:p w:rsidR="00BF4C2E" w:rsidRDefault="00BF4C2E" w:rsidP="00BF4C2E">
      <w:pPr>
        <w:bidi/>
        <w:spacing w:line="360" w:lineRule="auto"/>
        <w:jc w:val="center"/>
        <w:rPr>
          <w:rFonts w:asciiTheme="minorBidi" w:hAnsiTheme="minorBidi" w:cstheme="minorBidi"/>
          <w:b/>
          <w:bCs/>
          <w:sz w:val="24"/>
          <w:szCs w:val="24"/>
          <w:rtl/>
        </w:rPr>
      </w:pPr>
    </w:p>
    <w:p w:rsidR="00BF4C2E" w:rsidRDefault="00BF4C2E" w:rsidP="00BF4C2E">
      <w:pPr>
        <w:bidi/>
        <w:spacing w:line="360" w:lineRule="auto"/>
        <w:jc w:val="center"/>
        <w:rPr>
          <w:rFonts w:asciiTheme="minorBidi" w:hAnsiTheme="minorBidi" w:cstheme="minorBidi"/>
          <w:b/>
          <w:bCs/>
          <w:sz w:val="24"/>
          <w:szCs w:val="24"/>
          <w:rtl/>
        </w:rPr>
      </w:pPr>
    </w:p>
    <w:p w:rsidR="00BF4C2E" w:rsidRDefault="00BF4C2E" w:rsidP="00BF4C2E">
      <w:pPr>
        <w:bidi/>
        <w:spacing w:line="360" w:lineRule="auto"/>
        <w:jc w:val="center"/>
        <w:rPr>
          <w:rFonts w:asciiTheme="minorBidi" w:hAnsiTheme="minorBidi" w:cstheme="minorBidi"/>
          <w:b/>
          <w:bCs/>
          <w:sz w:val="24"/>
          <w:szCs w:val="24"/>
          <w:rtl/>
        </w:rPr>
      </w:pPr>
    </w:p>
    <w:p w:rsidR="00BF4C2E" w:rsidRDefault="00BF4C2E" w:rsidP="00BF4C2E">
      <w:pPr>
        <w:bidi/>
        <w:spacing w:line="360" w:lineRule="auto"/>
        <w:jc w:val="center"/>
        <w:rPr>
          <w:rFonts w:asciiTheme="minorBidi" w:hAnsiTheme="minorBidi" w:cstheme="minorBidi"/>
          <w:b/>
          <w:bCs/>
          <w:sz w:val="24"/>
          <w:szCs w:val="24"/>
          <w:rtl/>
        </w:rPr>
      </w:pPr>
    </w:p>
    <w:p w:rsidR="00BF4C2E" w:rsidRDefault="00BF4C2E" w:rsidP="00BF4C2E">
      <w:pPr>
        <w:bidi/>
        <w:spacing w:line="360" w:lineRule="auto"/>
        <w:jc w:val="center"/>
        <w:rPr>
          <w:rFonts w:asciiTheme="minorBidi" w:hAnsiTheme="minorBidi" w:cstheme="minorBidi"/>
          <w:b/>
          <w:bCs/>
          <w:sz w:val="24"/>
          <w:szCs w:val="24"/>
          <w:rtl/>
        </w:rPr>
      </w:pPr>
    </w:p>
    <w:p w:rsidR="00BF4C2E" w:rsidRDefault="00BF4C2E" w:rsidP="00BF4C2E">
      <w:pPr>
        <w:bidi/>
        <w:spacing w:line="360" w:lineRule="auto"/>
        <w:jc w:val="center"/>
        <w:rPr>
          <w:rFonts w:asciiTheme="minorBidi" w:hAnsiTheme="minorBidi" w:cstheme="minorBidi"/>
          <w:b/>
          <w:bCs/>
          <w:sz w:val="24"/>
          <w:szCs w:val="24"/>
          <w:rtl/>
        </w:rPr>
      </w:pPr>
    </w:p>
    <w:p w:rsidR="00BF4C2E" w:rsidRPr="003A2FA9" w:rsidRDefault="00BF4C2E" w:rsidP="00BD1037">
      <w:pPr>
        <w:bidi/>
        <w:spacing w:line="360" w:lineRule="auto"/>
        <w:jc w:val="center"/>
        <w:rPr>
          <w:rFonts w:asciiTheme="minorBidi" w:hAnsiTheme="minorBidi" w:cstheme="minorBidi"/>
          <w:b/>
          <w:bCs/>
          <w:sz w:val="24"/>
          <w:szCs w:val="24"/>
        </w:rPr>
      </w:pPr>
      <w:r w:rsidRPr="003A2FA9">
        <w:rPr>
          <w:rFonts w:asciiTheme="minorBidi" w:hAnsiTheme="minorBidi" w:cstheme="minorBidi"/>
          <w:b/>
          <w:bCs/>
          <w:sz w:val="24"/>
          <w:szCs w:val="24"/>
          <w:rtl/>
        </w:rPr>
        <w:lastRenderedPageBreak/>
        <w:t>איור 3: נטילת משכנתאות חדשות מבנקים לפי סוגי הצמדה</w:t>
      </w:r>
    </w:p>
    <w:p w:rsidR="00546295" w:rsidRPr="00AA0C2F" w:rsidRDefault="00480FFC" w:rsidP="00AA0C2F">
      <w:pPr>
        <w:bidi/>
        <w:spacing w:before="240" w:after="120" w:line="360" w:lineRule="auto"/>
        <w:jc w:val="both"/>
        <w:rPr>
          <w:rFonts w:ascii="Arial" w:hAnsi="Arial" w:cs="Arial"/>
          <w:sz w:val="24"/>
          <w:szCs w:val="24"/>
          <w:rtl/>
        </w:rPr>
      </w:pPr>
      <w:r>
        <w:rPr>
          <w:rFonts w:ascii="Arial" w:hAnsi="Arial" w:cs="Arial"/>
          <w:noProof/>
          <w:sz w:val="24"/>
          <w:szCs w:val="24"/>
          <w:lang w:eastAsia="en-US"/>
        </w:rPr>
        <w:drawing>
          <wp:inline distT="0" distB="0" distL="0" distR="0" wp14:anchorId="2AD50B3D" wp14:editId="4A1CE5EC">
            <wp:extent cx="5224780" cy="2609215"/>
            <wp:effectExtent l="0" t="0" r="0" b="63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4780" cy="2609215"/>
                    </a:xfrm>
                    <a:prstGeom prst="rect">
                      <a:avLst/>
                    </a:prstGeom>
                    <a:noFill/>
                  </pic:spPr>
                </pic:pic>
              </a:graphicData>
            </a:graphic>
          </wp:inline>
        </w:drawing>
      </w:r>
    </w:p>
    <w:p w:rsidR="009F574F" w:rsidRPr="0089040A" w:rsidRDefault="00F452C6" w:rsidP="00F452C6">
      <w:pPr>
        <w:bidi/>
        <w:spacing w:line="360" w:lineRule="auto"/>
        <w:jc w:val="both"/>
        <w:rPr>
          <w:rFonts w:ascii="Arial" w:hAnsi="Arial" w:cs="Arial"/>
          <w:b/>
          <w:bCs/>
          <w:sz w:val="24"/>
          <w:szCs w:val="24"/>
          <w:u w:val="single"/>
        </w:rPr>
      </w:pPr>
      <w:r w:rsidRPr="0089040A">
        <w:rPr>
          <w:rFonts w:ascii="Arial" w:hAnsi="Arial" w:cs="Arial"/>
          <w:b/>
          <w:bCs/>
          <w:sz w:val="24"/>
          <w:szCs w:val="24"/>
          <w:u w:val="single"/>
          <w:rtl/>
        </w:rPr>
        <w:t xml:space="preserve">ג. </w:t>
      </w:r>
      <w:r w:rsidR="009F574F" w:rsidRPr="0089040A">
        <w:rPr>
          <w:rFonts w:ascii="Arial" w:hAnsi="Arial" w:cs="Arial"/>
          <w:b/>
          <w:bCs/>
          <w:sz w:val="24"/>
          <w:szCs w:val="24"/>
          <w:u w:val="single"/>
          <w:rtl/>
        </w:rPr>
        <w:t>עלויות החוב במשק</w:t>
      </w:r>
    </w:p>
    <w:p w:rsidR="006B0BAE" w:rsidRPr="006373FB" w:rsidRDefault="006B0BAE" w:rsidP="00051063">
      <w:pPr>
        <w:pStyle w:val="a9"/>
        <w:numPr>
          <w:ilvl w:val="0"/>
          <w:numId w:val="10"/>
        </w:numPr>
        <w:bidi/>
        <w:spacing w:before="240" w:after="120" w:line="360" w:lineRule="auto"/>
        <w:jc w:val="both"/>
        <w:rPr>
          <w:rFonts w:ascii="Arial" w:hAnsi="Arial" w:cs="Arial"/>
          <w:sz w:val="24"/>
          <w:szCs w:val="24"/>
        </w:rPr>
      </w:pPr>
      <w:r w:rsidRPr="006373FB">
        <w:rPr>
          <w:rFonts w:ascii="Arial" w:hAnsi="Arial" w:cs="Arial" w:hint="cs"/>
          <w:sz w:val="24"/>
          <w:szCs w:val="24"/>
          <w:rtl/>
        </w:rPr>
        <w:t xml:space="preserve">הפער בין הריבית על האשראי הבנקאי החדש שניתן והריבית על הפיקדונות במגזר הצמוד למדד </w:t>
      </w:r>
      <w:r w:rsidR="00051063">
        <w:rPr>
          <w:rFonts w:ascii="Arial" w:hAnsi="Arial" w:cs="Arial" w:hint="cs"/>
          <w:sz w:val="24"/>
          <w:szCs w:val="24"/>
          <w:rtl/>
        </w:rPr>
        <w:t>הצטמצם</w:t>
      </w:r>
      <w:r w:rsidRPr="006373FB">
        <w:rPr>
          <w:rFonts w:ascii="Arial" w:hAnsi="Arial" w:cs="Arial" w:hint="cs"/>
          <w:sz w:val="24"/>
          <w:szCs w:val="24"/>
          <w:rtl/>
        </w:rPr>
        <w:t xml:space="preserve"> בכ-</w:t>
      </w:r>
      <w:r w:rsidR="00051063">
        <w:rPr>
          <w:rFonts w:ascii="Arial" w:hAnsi="Arial" w:cs="Arial" w:hint="cs"/>
          <w:sz w:val="24"/>
          <w:szCs w:val="24"/>
          <w:rtl/>
        </w:rPr>
        <w:t>0.44</w:t>
      </w:r>
      <w:r w:rsidRPr="006373FB">
        <w:rPr>
          <w:rFonts w:ascii="Arial" w:hAnsi="Arial" w:cs="Arial" w:hint="cs"/>
          <w:sz w:val="24"/>
          <w:szCs w:val="24"/>
          <w:rtl/>
        </w:rPr>
        <w:t xml:space="preserve"> נק' אחוז בחודש </w:t>
      </w:r>
      <w:r w:rsidR="0090346B">
        <w:rPr>
          <w:rFonts w:ascii="Arial" w:hAnsi="Arial" w:cs="Arial" w:hint="cs"/>
          <w:sz w:val="24"/>
          <w:szCs w:val="24"/>
          <w:rtl/>
        </w:rPr>
        <w:t>אפריל</w:t>
      </w:r>
      <w:r w:rsidR="00051063">
        <w:rPr>
          <w:rFonts w:ascii="Arial" w:hAnsi="Arial" w:cs="Arial" w:hint="cs"/>
          <w:sz w:val="24"/>
          <w:szCs w:val="24"/>
          <w:rtl/>
        </w:rPr>
        <w:t xml:space="preserve"> לעומת החודש הקודם,</w:t>
      </w:r>
      <w:r w:rsidRPr="006373FB">
        <w:rPr>
          <w:rFonts w:ascii="Arial" w:hAnsi="Arial" w:cs="Arial" w:hint="cs"/>
          <w:sz w:val="24"/>
          <w:szCs w:val="24"/>
          <w:rtl/>
        </w:rPr>
        <w:t xml:space="preserve"> כתוצאה </w:t>
      </w:r>
      <w:r w:rsidR="001D364B">
        <w:rPr>
          <w:rFonts w:ascii="Arial" w:hAnsi="Arial" w:cs="Arial" w:hint="cs"/>
          <w:sz w:val="24"/>
          <w:szCs w:val="24"/>
          <w:rtl/>
        </w:rPr>
        <w:t>מ</w:t>
      </w:r>
      <w:r w:rsidR="00051063">
        <w:rPr>
          <w:rFonts w:ascii="Arial" w:hAnsi="Arial" w:cs="Arial" w:hint="cs"/>
          <w:sz w:val="24"/>
          <w:szCs w:val="24"/>
          <w:rtl/>
        </w:rPr>
        <w:t xml:space="preserve">ירידה בריבית על האשראי הצמוד שולי ועלייה </w:t>
      </w:r>
      <w:r w:rsidRPr="006373FB">
        <w:rPr>
          <w:rFonts w:ascii="Arial" w:hAnsi="Arial" w:cs="Arial" w:hint="cs"/>
          <w:sz w:val="24"/>
          <w:szCs w:val="24"/>
          <w:rtl/>
        </w:rPr>
        <w:t xml:space="preserve">בריבית על </w:t>
      </w:r>
      <w:r w:rsidR="001D364B">
        <w:rPr>
          <w:rFonts w:ascii="Arial" w:hAnsi="Arial" w:cs="Arial" w:hint="cs"/>
          <w:sz w:val="24"/>
          <w:szCs w:val="24"/>
          <w:rtl/>
        </w:rPr>
        <w:t>הפיקדון</w:t>
      </w:r>
      <w:r w:rsidRPr="006373FB">
        <w:rPr>
          <w:rFonts w:ascii="Arial" w:hAnsi="Arial" w:cs="Arial" w:hint="cs"/>
          <w:sz w:val="24"/>
          <w:szCs w:val="24"/>
          <w:rtl/>
        </w:rPr>
        <w:t xml:space="preserve"> הצמוד השולי.</w:t>
      </w:r>
    </w:p>
    <w:p w:rsidR="006B0BAE" w:rsidRPr="006373FB" w:rsidRDefault="006B0BAE" w:rsidP="005A199D">
      <w:pPr>
        <w:pStyle w:val="a9"/>
        <w:numPr>
          <w:ilvl w:val="0"/>
          <w:numId w:val="10"/>
        </w:numPr>
        <w:bidi/>
        <w:spacing w:before="240" w:after="120" w:line="360" w:lineRule="auto"/>
        <w:jc w:val="both"/>
        <w:rPr>
          <w:rFonts w:ascii="Arial" w:hAnsi="Arial" w:cs="Arial"/>
          <w:sz w:val="24"/>
          <w:szCs w:val="24"/>
        </w:rPr>
      </w:pPr>
      <w:r w:rsidRPr="006373FB">
        <w:rPr>
          <w:rFonts w:ascii="Arial" w:hAnsi="Arial" w:cs="Arial" w:hint="cs"/>
          <w:sz w:val="24"/>
          <w:szCs w:val="24"/>
          <w:rtl/>
        </w:rPr>
        <w:t xml:space="preserve">המרווח בין תשואת מדד אג"ח החברות הצמוד, תל בונד 60, לבין תשואת האג"ח הממשלתיות הצמודות הצטמצם בחודש </w:t>
      </w:r>
      <w:r w:rsidR="0090346B">
        <w:rPr>
          <w:rFonts w:ascii="Arial" w:hAnsi="Arial" w:cs="Arial" w:hint="cs"/>
          <w:sz w:val="24"/>
          <w:szCs w:val="24"/>
          <w:rtl/>
        </w:rPr>
        <w:t>מאי</w:t>
      </w:r>
      <w:r w:rsidRPr="006373FB">
        <w:rPr>
          <w:rFonts w:ascii="Arial" w:hAnsi="Arial" w:cs="Arial" w:hint="cs"/>
          <w:sz w:val="24"/>
          <w:szCs w:val="24"/>
          <w:rtl/>
        </w:rPr>
        <w:t xml:space="preserve"> עד לרמה של כ-1.</w:t>
      </w:r>
      <w:r w:rsidR="005A199D">
        <w:rPr>
          <w:rFonts w:ascii="Arial" w:hAnsi="Arial" w:cs="Arial" w:hint="cs"/>
          <w:sz w:val="24"/>
          <w:szCs w:val="24"/>
          <w:rtl/>
        </w:rPr>
        <w:t>51</w:t>
      </w:r>
      <w:r w:rsidRPr="006373FB">
        <w:rPr>
          <w:rFonts w:ascii="Arial" w:hAnsi="Arial" w:cs="Arial" w:hint="cs"/>
          <w:sz w:val="24"/>
          <w:szCs w:val="24"/>
          <w:rtl/>
        </w:rPr>
        <w:t xml:space="preserve"> נק' אחוז.   </w:t>
      </w:r>
    </w:p>
    <w:p w:rsidR="00BF4C2E" w:rsidRPr="00860503" w:rsidRDefault="006B0BAE" w:rsidP="00860503">
      <w:pPr>
        <w:pStyle w:val="a9"/>
        <w:numPr>
          <w:ilvl w:val="0"/>
          <w:numId w:val="10"/>
        </w:numPr>
        <w:bidi/>
        <w:spacing w:before="240" w:after="120" w:line="360" w:lineRule="auto"/>
        <w:jc w:val="both"/>
        <w:rPr>
          <w:rFonts w:ascii="Arial" w:hAnsi="Arial" w:cs="Arial"/>
          <w:sz w:val="24"/>
          <w:szCs w:val="24"/>
          <w:rtl/>
        </w:rPr>
      </w:pPr>
      <w:r w:rsidRPr="006373FB">
        <w:rPr>
          <w:rFonts w:ascii="Arial" w:hAnsi="Arial" w:cs="Arial" w:hint="cs"/>
          <w:sz w:val="24"/>
          <w:szCs w:val="24"/>
          <w:rtl/>
        </w:rPr>
        <w:t xml:space="preserve">בחודש </w:t>
      </w:r>
      <w:r w:rsidR="0090346B">
        <w:rPr>
          <w:rFonts w:ascii="Arial" w:hAnsi="Arial" w:cs="Arial" w:hint="cs"/>
          <w:sz w:val="24"/>
          <w:szCs w:val="24"/>
          <w:rtl/>
        </w:rPr>
        <w:t>מאי</w:t>
      </w:r>
      <w:r w:rsidRPr="006373FB">
        <w:rPr>
          <w:rFonts w:ascii="Arial" w:hAnsi="Arial" w:cs="Arial" w:hint="cs"/>
          <w:sz w:val="24"/>
          <w:szCs w:val="24"/>
          <w:rtl/>
        </w:rPr>
        <w:t xml:space="preserve"> הריבית על משכנתאות חדשות לא צמודות (ריבית משתנה) ירדה בכ-0.</w:t>
      </w:r>
      <w:r w:rsidR="001D364B">
        <w:rPr>
          <w:rFonts w:ascii="Arial" w:hAnsi="Arial" w:cs="Arial" w:hint="cs"/>
          <w:sz w:val="24"/>
          <w:szCs w:val="24"/>
          <w:rtl/>
        </w:rPr>
        <w:t>0</w:t>
      </w:r>
      <w:r w:rsidR="005A199D">
        <w:rPr>
          <w:rFonts w:ascii="Arial" w:hAnsi="Arial" w:cs="Arial" w:hint="cs"/>
          <w:sz w:val="24"/>
          <w:szCs w:val="24"/>
          <w:rtl/>
        </w:rPr>
        <w:t>7</w:t>
      </w:r>
      <w:r w:rsidRPr="006373FB">
        <w:rPr>
          <w:rFonts w:ascii="Arial" w:hAnsi="Arial" w:cs="Arial" w:hint="cs"/>
          <w:sz w:val="24"/>
          <w:szCs w:val="24"/>
          <w:rtl/>
        </w:rPr>
        <w:t xml:space="preserve"> נק' אחוז. הריבית הממוצעת על משכנתאות חדשות צמודות למדד (ריבית קבועה) ירדה גם כן בכ-0.</w:t>
      </w:r>
      <w:r w:rsidR="001D364B">
        <w:rPr>
          <w:rFonts w:ascii="Arial" w:hAnsi="Arial" w:cs="Arial" w:hint="cs"/>
          <w:sz w:val="24"/>
          <w:szCs w:val="24"/>
          <w:rtl/>
        </w:rPr>
        <w:t>0</w:t>
      </w:r>
      <w:r w:rsidR="005A199D">
        <w:rPr>
          <w:rFonts w:ascii="Arial" w:hAnsi="Arial" w:cs="Arial" w:hint="cs"/>
          <w:sz w:val="24"/>
          <w:szCs w:val="24"/>
          <w:rtl/>
        </w:rPr>
        <w:t>8</w:t>
      </w:r>
      <w:r w:rsidRPr="006373FB">
        <w:rPr>
          <w:rFonts w:ascii="Arial" w:hAnsi="Arial" w:cs="Arial" w:hint="cs"/>
          <w:sz w:val="24"/>
          <w:szCs w:val="24"/>
          <w:rtl/>
        </w:rPr>
        <w:t xml:space="preserve"> נק' אחוז.</w:t>
      </w:r>
    </w:p>
    <w:p w:rsidR="00AC5156" w:rsidRDefault="00AC5156" w:rsidP="00AC5156">
      <w:pPr>
        <w:pStyle w:val="a9"/>
        <w:bidi/>
        <w:spacing w:line="360" w:lineRule="auto"/>
        <w:ind w:left="-52"/>
        <w:jc w:val="center"/>
        <w:rPr>
          <w:rFonts w:asciiTheme="minorBidi" w:hAnsiTheme="minorBidi" w:cstheme="minorBidi"/>
          <w:b/>
          <w:bCs/>
          <w:sz w:val="24"/>
          <w:szCs w:val="24"/>
          <w:rtl/>
        </w:rPr>
      </w:pPr>
    </w:p>
    <w:p w:rsidR="00F452C6" w:rsidRDefault="00BF4C2E" w:rsidP="00AC5156">
      <w:pPr>
        <w:pStyle w:val="a9"/>
        <w:bidi/>
        <w:spacing w:line="360" w:lineRule="auto"/>
        <w:ind w:left="-52"/>
        <w:jc w:val="center"/>
        <w:rPr>
          <w:rFonts w:ascii="Arial" w:hAnsi="Arial" w:cs="Arial"/>
          <w:sz w:val="24"/>
          <w:szCs w:val="24"/>
          <w:rtl/>
        </w:rPr>
      </w:pPr>
      <w:r w:rsidRPr="003A2FA9">
        <w:rPr>
          <w:rFonts w:asciiTheme="minorBidi" w:hAnsiTheme="minorBidi" w:cstheme="minorBidi"/>
          <w:b/>
          <w:bCs/>
          <w:sz w:val="24"/>
          <w:szCs w:val="24"/>
          <w:rtl/>
        </w:rPr>
        <w:t>לוח 4: עלויות החוב והמרווחים</w:t>
      </w:r>
      <w:r w:rsidR="00AA0C2F" w:rsidRPr="00AA0C2F">
        <w:rPr>
          <w:noProof/>
          <w:rtl/>
          <w:lang w:eastAsia="en-US"/>
        </w:rPr>
        <w:drawing>
          <wp:inline distT="0" distB="0" distL="0" distR="0" wp14:anchorId="7C9A2DAA" wp14:editId="41D6BD3B">
            <wp:extent cx="5278120" cy="2531712"/>
            <wp:effectExtent l="0" t="0" r="0" b="254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8120" cy="2531712"/>
                    </a:xfrm>
                    <a:prstGeom prst="rect">
                      <a:avLst/>
                    </a:prstGeom>
                    <a:noFill/>
                    <a:ln>
                      <a:noFill/>
                    </a:ln>
                  </pic:spPr>
                </pic:pic>
              </a:graphicData>
            </a:graphic>
          </wp:inline>
        </w:drawing>
      </w:r>
    </w:p>
    <w:p w:rsidR="00031B7D" w:rsidRPr="00BF4C2E" w:rsidRDefault="00BF4C2E" w:rsidP="00AC5156">
      <w:pPr>
        <w:pStyle w:val="a9"/>
        <w:bidi/>
        <w:spacing w:line="360" w:lineRule="auto"/>
        <w:ind w:left="0"/>
        <w:jc w:val="center"/>
        <w:rPr>
          <w:rFonts w:ascii="Arial" w:hAnsi="Arial" w:cs="Arial"/>
          <w:sz w:val="24"/>
          <w:szCs w:val="24"/>
        </w:rPr>
      </w:pPr>
      <w:r w:rsidRPr="003B388A">
        <w:rPr>
          <w:rFonts w:asciiTheme="minorBidi" w:hAnsiTheme="minorBidi" w:cstheme="minorBidi"/>
          <w:b/>
          <w:bCs/>
          <w:sz w:val="24"/>
          <w:szCs w:val="24"/>
          <w:rtl/>
        </w:rPr>
        <w:lastRenderedPageBreak/>
        <w:t>איור 4: המרווח בין אג"ח חברות צמוד</w:t>
      </w:r>
      <w:r w:rsidRPr="00AC5156">
        <w:rPr>
          <w:rFonts w:asciiTheme="minorBidi" w:hAnsiTheme="minorBidi" w:cstheme="minorBidi"/>
          <w:b/>
          <w:bCs/>
          <w:rtl/>
        </w:rPr>
        <w:t xml:space="preserve"> (תל בונד 60)</w:t>
      </w:r>
      <w:r w:rsidRPr="003B388A">
        <w:rPr>
          <w:rFonts w:asciiTheme="minorBidi" w:hAnsiTheme="minorBidi" w:cstheme="minorBidi"/>
          <w:b/>
          <w:bCs/>
          <w:sz w:val="24"/>
          <w:szCs w:val="24"/>
          <w:rtl/>
        </w:rPr>
        <w:t xml:space="preserve"> לאג"ח ממשלתי צמוד </w:t>
      </w:r>
      <w:r w:rsidRPr="00AC5156">
        <w:rPr>
          <w:rFonts w:asciiTheme="minorBidi" w:hAnsiTheme="minorBidi" w:cstheme="minorBidi"/>
          <w:b/>
          <w:bCs/>
          <w:rtl/>
        </w:rPr>
        <w:t>(ממוצע חודשי)</w:t>
      </w:r>
      <w:r w:rsidR="00AA0C2F">
        <w:rPr>
          <w:rFonts w:ascii="Arial" w:hAnsi="Arial" w:cs="Arial"/>
          <w:noProof/>
          <w:sz w:val="24"/>
          <w:szCs w:val="24"/>
          <w:lang w:eastAsia="en-US"/>
        </w:rPr>
        <w:drawing>
          <wp:inline distT="0" distB="0" distL="0" distR="0" wp14:anchorId="4A68973C" wp14:editId="297EB410">
            <wp:extent cx="5292090" cy="2688590"/>
            <wp:effectExtent l="0" t="0" r="381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2090" cy="2688590"/>
                    </a:xfrm>
                    <a:prstGeom prst="rect">
                      <a:avLst/>
                    </a:prstGeom>
                    <a:noFill/>
                  </pic:spPr>
                </pic:pic>
              </a:graphicData>
            </a:graphic>
          </wp:inline>
        </w:drawing>
      </w:r>
    </w:p>
    <w:p w:rsidR="00BF4C2E" w:rsidRDefault="00BF4C2E" w:rsidP="00BF4C2E">
      <w:pPr>
        <w:pStyle w:val="a9"/>
        <w:bidi/>
        <w:spacing w:line="360" w:lineRule="auto"/>
        <w:ind w:left="0"/>
        <w:jc w:val="center"/>
        <w:rPr>
          <w:rFonts w:asciiTheme="minorBidi" w:hAnsiTheme="minorBidi" w:cstheme="minorBidi"/>
          <w:b/>
          <w:bCs/>
          <w:sz w:val="24"/>
          <w:szCs w:val="24"/>
          <w:rtl/>
        </w:rPr>
      </w:pPr>
      <w:r w:rsidRPr="00B91326">
        <w:rPr>
          <w:rFonts w:asciiTheme="minorBidi" w:hAnsiTheme="minorBidi" w:cstheme="minorBidi" w:hint="cs"/>
          <w:b/>
          <w:bCs/>
          <w:sz w:val="24"/>
          <w:szCs w:val="24"/>
          <w:rtl/>
        </w:rPr>
        <w:t xml:space="preserve">איור 5: ריביות על משכנתאות חדשות מבנקים </w:t>
      </w:r>
      <w:r w:rsidRPr="00B91326">
        <w:rPr>
          <w:rFonts w:asciiTheme="minorBidi" w:hAnsiTheme="minorBidi" w:cstheme="minorBidi"/>
          <w:b/>
          <w:bCs/>
          <w:sz w:val="24"/>
          <w:szCs w:val="24"/>
          <w:rtl/>
        </w:rPr>
        <w:t>–</w:t>
      </w:r>
      <w:r w:rsidRPr="00B91326">
        <w:rPr>
          <w:rFonts w:asciiTheme="minorBidi" w:hAnsiTheme="minorBidi" w:cstheme="minorBidi" w:hint="cs"/>
          <w:b/>
          <w:bCs/>
          <w:sz w:val="24"/>
          <w:szCs w:val="24"/>
          <w:rtl/>
        </w:rPr>
        <w:t xml:space="preserve"> המגזר הלא צמוד</w:t>
      </w:r>
    </w:p>
    <w:p w:rsidR="00BF4C2E" w:rsidRPr="00300E82" w:rsidRDefault="00AA0C2F" w:rsidP="00BF4C2E">
      <w:pPr>
        <w:pStyle w:val="a9"/>
        <w:bidi/>
        <w:spacing w:line="360" w:lineRule="auto"/>
        <w:ind w:left="0"/>
        <w:jc w:val="center"/>
        <w:rPr>
          <w:rFonts w:cs="David"/>
          <w:b/>
          <w:bCs/>
          <w:sz w:val="24"/>
          <w:szCs w:val="24"/>
        </w:rPr>
      </w:pPr>
      <w:r>
        <w:rPr>
          <w:rFonts w:cs="David"/>
          <w:b/>
          <w:bCs/>
          <w:noProof/>
          <w:sz w:val="24"/>
          <w:szCs w:val="24"/>
          <w:lang w:eastAsia="en-US"/>
        </w:rPr>
        <w:drawing>
          <wp:inline distT="0" distB="0" distL="0" distR="0" wp14:anchorId="3EB976CE">
            <wp:extent cx="5292090" cy="2725420"/>
            <wp:effectExtent l="0" t="0" r="3810" b="0"/>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90" cy="2725420"/>
                    </a:xfrm>
                    <a:prstGeom prst="rect">
                      <a:avLst/>
                    </a:prstGeom>
                    <a:noFill/>
                  </pic:spPr>
                </pic:pic>
              </a:graphicData>
            </a:graphic>
          </wp:inline>
        </w:drawing>
      </w:r>
    </w:p>
    <w:p w:rsidR="00BF4C2E" w:rsidRPr="00B91326" w:rsidRDefault="00BF4C2E" w:rsidP="002A60C4">
      <w:pPr>
        <w:pStyle w:val="a9"/>
        <w:bidi/>
        <w:spacing w:line="360" w:lineRule="auto"/>
        <w:ind w:left="0"/>
        <w:jc w:val="center"/>
        <w:rPr>
          <w:rFonts w:asciiTheme="minorBidi" w:hAnsiTheme="minorBidi" w:cstheme="minorBidi"/>
          <w:b/>
          <w:bCs/>
          <w:sz w:val="24"/>
          <w:szCs w:val="24"/>
        </w:rPr>
      </w:pPr>
      <w:r w:rsidRPr="00B91326">
        <w:rPr>
          <w:rFonts w:asciiTheme="minorBidi" w:hAnsiTheme="minorBidi" w:cstheme="minorBidi" w:hint="cs"/>
          <w:b/>
          <w:bCs/>
          <w:sz w:val="24"/>
          <w:szCs w:val="24"/>
          <w:rtl/>
        </w:rPr>
        <w:t xml:space="preserve">איור 6: ריביות על משכנתאות חדשות מבנקים </w:t>
      </w:r>
      <w:r w:rsidRPr="00B91326">
        <w:rPr>
          <w:rFonts w:asciiTheme="minorBidi" w:hAnsiTheme="minorBidi" w:cstheme="minorBidi"/>
          <w:b/>
          <w:bCs/>
          <w:sz w:val="24"/>
          <w:szCs w:val="24"/>
          <w:rtl/>
        </w:rPr>
        <w:t>–</w:t>
      </w:r>
      <w:r w:rsidRPr="00B91326">
        <w:rPr>
          <w:rFonts w:asciiTheme="minorBidi" w:hAnsiTheme="minorBidi" w:cstheme="minorBidi" w:hint="cs"/>
          <w:b/>
          <w:bCs/>
          <w:sz w:val="24"/>
          <w:szCs w:val="24"/>
          <w:rtl/>
        </w:rPr>
        <w:t xml:space="preserve"> המגזר צמוד המדד</w:t>
      </w:r>
    </w:p>
    <w:p w:rsidR="00AF2FE3" w:rsidRPr="0089040A" w:rsidRDefault="00AA0C2F" w:rsidP="00BF4C2E">
      <w:pPr>
        <w:pStyle w:val="a9"/>
        <w:bidi/>
        <w:spacing w:line="360" w:lineRule="auto"/>
        <w:ind w:left="0"/>
        <w:rPr>
          <w:rFonts w:ascii="Arial" w:hAnsi="Arial" w:cs="Arial"/>
          <w:noProof/>
          <w:sz w:val="24"/>
          <w:szCs w:val="24"/>
          <w:rtl/>
          <w:lang w:eastAsia="en-US"/>
        </w:rPr>
      </w:pPr>
      <w:r>
        <w:rPr>
          <w:rFonts w:ascii="Arial" w:hAnsi="Arial" w:cs="Arial"/>
          <w:noProof/>
          <w:sz w:val="24"/>
          <w:szCs w:val="24"/>
          <w:lang w:eastAsia="en-US"/>
        </w:rPr>
        <w:drawing>
          <wp:inline distT="0" distB="0" distL="0" distR="0" wp14:anchorId="369F2A22">
            <wp:extent cx="5292090" cy="2731135"/>
            <wp:effectExtent l="0" t="0" r="3810"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92090" cy="2731135"/>
                    </a:xfrm>
                    <a:prstGeom prst="rect">
                      <a:avLst/>
                    </a:prstGeom>
                    <a:noFill/>
                  </pic:spPr>
                </pic:pic>
              </a:graphicData>
            </a:graphic>
          </wp:inline>
        </w:drawing>
      </w:r>
    </w:p>
    <w:p w:rsidR="00AF2FE3" w:rsidRPr="0089040A" w:rsidRDefault="00AF2FE3" w:rsidP="00D240DB">
      <w:pPr>
        <w:pStyle w:val="a9"/>
        <w:bidi/>
        <w:spacing w:line="360" w:lineRule="auto"/>
        <w:ind w:left="0"/>
        <w:jc w:val="center"/>
        <w:rPr>
          <w:rFonts w:ascii="Arial" w:hAnsi="Arial" w:cs="Arial"/>
          <w:b/>
          <w:bCs/>
          <w:sz w:val="24"/>
          <w:szCs w:val="24"/>
          <w:rtl/>
        </w:rPr>
      </w:pPr>
    </w:p>
    <w:p w:rsidR="00FC1281" w:rsidRPr="0089040A" w:rsidRDefault="00FC1281" w:rsidP="00D240DB">
      <w:pPr>
        <w:pStyle w:val="a9"/>
        <w:bidi/>
        <w:spacing w:line="360" w:lineRule="auto"/>
        <w:ind w:left="0"/>
        <w:rPr>
          <w:rFonts w:ascii="Arial" w:hAnsi="Arial" w:cs="Arial"/>
          <w:b/>
          <w:bCs/>
          <w:sz w:val="24"/>
          <w:szCs w:val="24"/>
          <w:u w:val="single"/>
          <w:rtl/>
        </w:rPr>
      </w:pPr>
    </w:p>
    <w:p w:rsidR="00F2699B" w:rsidRPr="0089040A" w:rsidRDefault="006B0BAE" w:rsidP="006B0BAE">
      <w:pPr>
        <w:pStyle w:val="a9"/>
        <w:bidi/>
        <w:spacing w:line="360" w:lineRule="auto"/>
        <w:ind w:left="0"/>
        <w:rPr>
          <w:rFonts w:ascii="Arial" w:hAnsi="Arial" w:cs="Arial"/>
          <w:sz w:val="24"/>
          <w:szCs w:val="24"/>
          <w:rtl/>
        </w:rPr>
      </w:pPr>
      <w:r w:rsidRPr="006B0BAE">
        <w:rPr>
          <w:rFonts w:ascii="Arial" w:hAnsi="Arial" w:cs="Arial" w:hint="cs"/>
          <w:sz w:val="24"/>
          <w:szCs w:val="24"/>
          <w:rtl/>
        </w:rPr>
        <w:t xml:space="preserve">ראה קישור למידע נוסף בנושא המופיע באתר הבנק בדף </w:t>
      </w:r>
      <w:hyperlink r:id="rId20" w:history="1">
        <w:r w:rsidRPr="006B0BAE">
          <w:rPr>
            <w:rStyle w:val="Hyperlink"/>
            <w:rFonts w:ascii="Arial" w:hAnsi="Arial" w:cs="Arial" w:hint="cs"/>
            <w:sz w:val="24"/>
            <w:szCs w:val="24"/>
            <w:rtl/>
          </w:rPr>
          <w:t>יתרות האשראי במשק</w:t>
        </w:r>
      </w:hyperlink>
      <w:r w:rsidRPr="006B0BAE">
        <w:rPr>
          <w:rFonts w:ascii="Arial" w:hAnsi="Arial" w:cs="Arial" w:hint="cs"/>
          <w:sz w:val="24"/>
          <w:szCs w:val="24"/>
          <w:rtl/>
        </w:rPr>
        <w:t xml:space="preserve">, קישור </w:t>
      </w:r>
      <w:hyperlink r:id="rId21" w:history="1">
        <w:r w:rsidRPr="006B0BAE">
          <w:rPr>
            <w:rStyle w:val="Hyperlink"/>
            <w:rFonts w:ascii="Arial" w:hAnsi="Arial" w:cs="Arial" w:hint="cs"/>
            <w:sz w:val="24"/>
            <w:szCs w:val="24"/>
            <w:rtl/>
          </w:rPr>
          <w:t>לנתוני משכנתאות</w:t>
        </w:r>
      </w:hyperlink>
      <w:r w:rsidRPr="006B0BAE">
        <w:rPr>
          <w:rFonts w:ascii="Arial" w:hAnsi="Arial" w:cs="Arial" w:hint="cs"/>
          <w:sz w:val="24"/>
          <w:szCs w:val="24"/>
          <w:rtl/>
        </w:rPr>
        <w:t>.</w:t>
      </w:r>
    </w:p>
    <w:sectPr w:rsidR="00F2699B" w:rsidRPr="0089040A" w:rsidSect="00507193">
      <w:headerReference w:type="even" r:id="rId22"/>
      <w:headerReference w:type="default" r:id="rId23"/>
      <w:footerReference w:type="even" r:id="rId24"/>
      <w:footerReference w:type="default" r:id="rId25"/>
      <w:headerReference w:type="first" r:id="rId26"/>
      <w:footerReference w:type="first" r:id="rId27"/>
      <w:pgSz w:w="11906" w:h="16838"/>
      <w:pgMar w:top="1247" w:right="1797" w:bottom="907" w:left="1797" w:header="709" w:footer="17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9E" w:rsidRDefault="00147E9E" w:rsidP="00C04A6B">
      <w:r>
        <w:separator/>
      </w:r>
    </w:p>
  </w:endnote>
  <w:endnote w:type="continuationSeparator" w:id="0">
    <w:p w:rsidR="00147E9E" w:rsidRDefault="00147E9E"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6F" w:rsidRDefault="00C43A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tl/>
      </w:rPr>
      <w:id w:val="1001085329"/>
      <w:docPartObj>
        <w:docPartGallery w:val="Page Numbers (Bottom of Page)"/>
        <w:docPartUnique/>
      </w:docPartObj>
    </w:sdtPr>
    <w:sdtEndPr>
      <w:rPr>
        <w:cs/>
      </w:rPr>
    </w:sdtEndPr>
    <w:sdtContent>
      <w:sdt>
        <w:sdtPr>
          <w:rPr>
            <w:rFonts w:ascii="Arial" w:hAnsi="Arial" w:cs="Arial"/>
            <w:sz w:val="18"/>
            <w:szCs w:val="18"/>
            <w:rtl/>
          </w:rPr>
          <w:id w:val="98381352"/>
          <w:docPartObj>
            <w:docPartGallery w:val="Page Numbers (Top of Page)"/>
            <w:docPartUnique/>
          </w:docPartObj>
        </w:sdtPr>
        <w:sdtEndPr/>
        <w:sdtContent>
          <w:p w:rsidR="00C04A6B" w:rsidRPr="00AC5156" w:rsidRDefault="00507193" w:rsidP="00AC5156">
            <w:pPr>
              <w:pStyle w:val="a7"/>
              <w:tabs>
                <w:tab w:val="clear" w:pos="8306"/>
                <w:tab w:val="right" w:pos="8312"/>
              </w:tabs>
              <w:bidi/>
              <w:ind w:left="-625"/>
              <w:jc w:val="right"/>
              <w:rPr>
                <w:rFonts w:ascii="Arial" w:hAnsi="Arial" w:cs="Arial"/>
                <w:sz w:val="18"/>
                <w:szCs w:val="18"/>
              </w:rPr>
            </w:pPr>
            <w:r w:rsidRPr="00AC5156">
              <w:rPr>
                <w:rFonts w:ascii="Arial" w:hAnsi="Arial" w:cs="Arial"/>
                <w:sz w:val="18"/>
                <w:szCs w:val="18"/>
                <w:rtl/>
                <w:cs/>
                <w:lang w:val="he-IL"/>
              </w:rPr>
              <w:t>התפתחות החוב במשק בחודשים</w:t>
            </w:r>
            <w:r w:rsidR="002438E2" w:rsidRPr="00AC5156">
              <w:rPr>
                <w:rFonts w:ascii="Arial" w:hAnsi="Arial" w:cs="Arial"/>
                <w:sz w:val="18"/>
                <w:szCs w:val="18"/>
                <w:rtl/>
                <w:cs/>
                <w:lang w:val="he-IL"/>
              </w:rPr>
              <w:t xml:space="preserve"> </w:t>
            </w:r>
            <w:r w:rsidR="0090346B" w:rsidRPr="00AC5156">
              <w:rPr>
                <w:rFonts w:ascii="Arial" w:hAnsi="Arial" w:cs="Arial"/>
                <w:sz w:val="18"/>
                <w:szCs w:val="18"/>
                <w:rtl/>
                <w:lang w:val="he-IL"/>
              </w:rPr>
              <w:t>אפריל</w:t>
            </w:r>
            <w:r w:rsidRPr="00AC5156">
              <w:rPr>
                <w:rFonts w:ascii="Arial" w:hAnsi="Arial" w:cs="Arial"/>
                <w:sz w:val="18"/>
                <w:szCs w:val="18"/>
                <w:rtl/>
                <w:lang w:val="he-IL"/>
              </w:rPr>
              <w:t>-</w:t>
            </w:r>
            <w:r w:rsidR="0090346B" w:rsidRPr="00AC5156">
              <w:rPr>
                <w:rFonts w:ascii="Arial" w:hAnsi="Arial" w:cs="Arial"/>
                <w:sz w:val="18"/>
                <w:szCs w:val="18"/>
                <w:rtl/>
                <w:lang w:val="he-IL"/>
              </w:rPr>
              <w:t>מאי</w:t>
            </w:r>
            <w:r w:rsidR="009F574F" w:rsidRPr="00AC5156">
              <w:rPr>
                <w:rFonts w:ascii="Arial" w:hAnsi="Arial" w:cs="Arial"/>
                <w:sz w:val="18"/>
                <w:szCs w:val="18"/>
                <w:rtl/>
                <w:cs/>
                <w:lang w:val="he-IL"/>
              </w:rPr>
              <w:t xml:space="preserve"> </w:t>
            </w:r>
            <w:r w:rsidR="00B110D9" w:rsidRPr="00AC5156">
              <w:rPr>
                <w:rFonts w:ascii="Arial" w:hAnsi="Arial" w:cs="Arial"/>
                <w:sz w:val="18"/>
                <w:szCs w:val="18"/>
                <w:rtl/>
                <w:lang w:val="he-IL"/>
              </w:rPr>
              <w:t>2015</w:t>
            </w:r>
            <w:r w:rsidR="002438E2" w:rsidRPr="00AC5156">
              <w:rPr>
                <w:rFonts w:ascii="Arial" w:hAnsi="Arial" w:cs="Arial"/>
                <w:sz w:val="18"/>
                <w:szCs w:val="18"/>
                <w:rtl/>
                <w:cs/>
                <w:lang w:val="he-IL"/>
              </w:rPr>
              <w:t xml:space="preserve"> </w:t>
            </w:r>
            <w:r w:rsidR="002438E2" w:rsidRPr="00AC5156">
              <w:rPr>
                <w:rFonts w:ascii="Arial" w:hAnsi="Arial" w:cs="Arial"/>
                <w:sz w:val="18"/>
                <w:szCs w:val="18"/>
                <w:rtl/>
                <w:cs/>
                <w:lang w:val="he-IL"/>
              </w:rPr>
              <w:tab/>
            </w:r>
            <w:r w:rsidR="002438E2" w:rsidRPr="00AC5156">
              <w:rPr>
                <w:rFonts w:ascii="Arial" w:hAnsi="Arial" w:cs="Arial"/>
                <w:sz w:val="18"/>
                <w:szCs w:val="18"/>
                <w:rtl/>
                <w:cs/>
                <w:lang w:val="he-IL"/>
              </w:rPr>
              <w:tab/>
              <w:t xml:space="preserve">עמוד </w:t>
            </w:r>
            <w:r w:rsidR="002438E2" w:rsidRPr="00AC5156">
              <w:rPr>
                <w:rFonts w:ascii="Arial" w:hAnsi="Arial" w:cs="Arial"/>
                <w:sz w:val="18"/>
                <w:szCs w:val="18"/>
              </w:rPr>
              <w:fldChar w:fldCharType="begin"/>
            </w:r>
            <w:r w:rsidR="002438E2" w:rsidRPr="00AC5156">
              <w:rPr>
                <w:rFonts w:ascii="Arial" w:hAnsi="Arial" w:cs="Arial"/>
                <w:sz w:val="18"/>
                <w:szCs w:val="18"/>
                <w:rtl/>
                <w:cs/>
              </w:rPr>
              <w:instrText>PAGE</w:instrText>
            </w:r>
            <w:r w:rsidR="002438E2" w:rsidRPr="00AC5156">
              <w:rPr>
                <w:rFonts w:ascii="Arial" w:hAnsi="Arial" w:cs="Arial"/>
                <w:sz w:val="18"/>
                <w:szCs w:val="18"/>
              </w:rPr>
              <w:fldChar w:fldCharType="separate"/>
            </w:r>
            <w:r w:rsidR="00460F48">
              <w:rPr>
                <w:rFonts w:ascii="Arial" w:hAnsi="Arial" w:cs="Arial"/>
                <w:noProof/>
                <w:sz w:val="18"/>
                <w:szCs w:val="18"/>
                <w:rtl/>
              </w:rPr>
              <w:t>1</w:t>
            </w:r>
            <w:r w:rsidR="002438E2" w:rsidRPr="00AC5156">
              <w:rPr>
                <w:rFonts w:ascii="Arial" w:hAnsi="Arial" w:cs="Arial"/>
                <w:sz w:val="18"/>
                <w:szCs w:val="18"/>
              </w:rPr>
              <w:fldChar w:fldCharType="end"/>
            </w:r>
            <w:r w:rsidR="002438E2" w:rsidRPr="00AC5156">
              <w:rPr>
                <w:rFonts w:ascii="Arial" w:hAnsi="Arial" w:cs="Arial"/>
                <w:sz w:val="18"/>
                <w:szCs w:val="18"/>
                <w:rtl/>
                <w:cs/>
                <w:lang w:val="he-IL"/>
              </w:rPr>
              <w:t xml:space="preserve"> מתוך </w:t>
            </w:r>
            <w:r w:rsidR="002438E2" w:rsidRPr="00AC5156">
              <w:rPr>
                <w:rFonts w:ascii="Arial" w:hAnsi="Arial" w:cs="Arial"/>
                <w:sz w:val="18"/>
                <w:szCs w:val="18"/>
              </w:rPr>
              <w:fldChar w:fldCharType="begin"/>
            </w:r>
            <w:r w:rsidR="002438E2" w:rsidRPr="00AC5156">
              <w:rPr>
                <w:rFonts w:ascii="Arial" w:hAnsi="Arial" w:cs="Arial"/>
                <w:sz w:val="18"/>
                <w:szCs w:val="18"/>
                <w:rtl/>
                <w:cs/>
              </w:rPr>
              <w:instrText>NUMPAGES</w:instrText>
            </w:r>
            <w:r w:rsidR="002438E2" w:rsidRPr="00AC5156">
              <w:rPr>
                <w:rFonts w:ascii="Arial" w:hAnsi="Arial" w:cs="Arial"/>
                <w:sz w:val="18"/>
                <w:szCs w:val="18"/>
              </w:rPr>
              <w:fldChar w:fldCharType="separate"/>
            </w:r>
            <w:r w:rsidR="00460F48">
              <w:rPr>
                <w:rFonts w:ascii="Arial" w:hAnsi="Arial" w:cs="Arial"/>
                <w:noProof/>
                <w:sz w:val="18"/>
                <w:szCs w:val="18"/>
                <w:rtl/>
              </w:rPr>
              <w:t>6</w:t>
            </w:r>
            <w:r w:rsidR="002438E2" w:rsidRPr="00AC5156">
              <w:rPr>
                <w:rFonts w:ascii="Arial" w:hAnsi="Arial" w:cs="Arial"/>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6F" w:rsidRDefault="00C43A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9E" w:rsidRDefault="00147E9E" w:rsidP="00C04A6B">
      <w:r>
        <w:separator/>
      </w:r>
    </w:p>
  </w:footnote>
  <w:footnote w:type="continuationSeparator" w:id="0">
    <w:p w:rsidR="00147E9E" w:rsidRDefault="00147E9E" w:rsidP="00C04A6B">
      <w:r>
        <w:continuationSeparator/>
      </w:r>
    </w:p>
  </w:footnote>
  <w:footnote w:id="1">
    <w:p w:rsidR="0088690D" w:rsidRPr="00344CBC" w:rsidRDefault="0088690D" w:rsidP="00344CBC">
      <w:pPr>
        <w:pStyle w:val="af"/>
        <w:bidi/>
        <w:jc w:val="both"/>
        <w:rPr>
          <w:sz w:val="18"/>
          <w:szCs w:val="18"/>
          <w:rtl/>
        </w:rPr>
      </w:pPr>
      <w:r w:rsidRPr="00202A88">
        <w:rPr>
          <w:rStyle w:val="af1"/>
        </w:rPr>
        <w:footnoteRef/>
      </w:r>
      <w:r w:rsidRPr="00202A88">
        <w:t xml:space="preserve"> </w:t>
      </w:r>
      <w:r w:rsidRPr="00202A88">
        <w:rPr>
          <w:rFonts w:asciiTheme="minorBidi" w:hAnsiTheme="minorBidi" w:cstheme="minorBidi" w:hint="cs"/>
          <w:rtl/>
        </w:rPr>
        <w:t xml:space="preserve"> </w:t>
      </w:r>
      <w:r w:rsidR="00344CBC" w:rsidRPr="00344CBC">
        <w:rPr>
          <w:rFonts w:ascii="Arial" w:hAnsi="Arial" w:cs="Arial"/>
          <w:sz w:val="18"/>
          <w:szCs w:val="18"/>
          <w:rtl/>
        </w:rPr>
        <w:t>בחודש מאי 2015, בעקבות עריכת הדוחות הכספיים לרבעון הראשון של שנת 2015, ביצעו מספר בנקים תיקונים בדיווח השוטף שהם העבירו לבנק ישראל עבור חודש מרץ 2015. תיקונים אלה השפיעו על יתרת החוב של המגזר העסקי (עלייה של כ-5 מיליארדי ש"ח) ומשקי הבית (ירידה של כ-8 מיליארדים)</w:t>
      </w:r>
      <w:r w:rsidR="00344CBC">
        <w:rPr>
          <w:rFonts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6F" w:rsidRDefault="00C43A6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6F" w:rsidRDefault="00C43A6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6F" w:rsidRDefault="00C43A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11A"/>
    <w:multiLevelType w:val="hybridMultilevel"/>
    <w:tmpl w:val="ADAC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30283"/>
    <w:multiLevelType w:val="hybridMultilevel"/>
    <w:tmpl w:val="09067F40"/>
    <w:lvl w:ilvl="0" w:tplc="658C360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ED2C5A"/>
    <w:multiLevelType w:val="hybridMultilevel"/>
    <w:tmpl w:val="57942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AE6066"/>
    <w:multiLevelType w:val="hybridMultilevel"/>
    <w:tmpl w:val="460A4558"/>
    <w:lvl w:ilvl="0" w:tplc="B940604E">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934BD"/>
    <w:multiLevelType w:val="hybridMultilevel"/>
    <w:tmpl w:val="F672F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B70643"/>
    <w:multiLevelType w:val="hybridMultilevel"/>
    <w:tmpl w:val="6BD0A064"/>
    <w:lvl w:ilvl="0" w:tplc="F2568F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034AED"/>
    <w:multiLevelType w:val="hybridMultilevel"/>
    <w:tmpl w:val="5304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34BC4"/>
    <w:multiLevelType w:val="hybridMultilevel"/>
    <w:tmpl w:val="ADA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4B5811"/>
    <w:multiLevelType w:val="hybridMultilevel"/>
    <w:tmpl w:val="AB0EC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8036B50"/>
    <w:multiLevelType w:val="hybridMultilevel"/>
    <w:tmpl w:val="424CA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5"/>
  </w:num>
  <w:num w:numId="6">
    <w:abstractNumId w:val="8"/>
  </w:num>
  <w:num w:numId="7">
    <w:abstractNumId w:val="2"/>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772"/>
    <w:rsid w:val="00016D86"/>
    <w:rsid w:val="00017279"/>
    <w:rsid w:val="00020DFD"/>
    <w:rsid w:val="00031B7D"/>
    <w:rsid w:val="000331F5"/>
    <w:rsid w:val="00034E1E"/>
    <w:rsid w:val="00037E47"/>
    <w:rsid w:val="00040066"/>
    <w:rsid w:val="000418F2"/>
    <w:rsid w:val="00051063"/>
    <w:rsid w:val="0005169A"/>
    <w:rsid w:val="00053684"/>
    <w:rsid w:val="0005562A"/>
    <w:rsid w:val="000630AB"/>
    <w:rsid w:val="00063601"/>
    <w:rsid w:val="00064830"/>
    <w:rsid w:val="00065320"/>
    <w:rsid w:val="000713E4"/>
    <w:rsid w:val="00075FC4"/>
    <w:rsid w:val="000812AB"/>
    <w:rsid w:val="000822C2"/>
    <w:rsid w:val="000911D7"/>
    <w:rsid w:val="0009315D"/>
    <w:rsid w:val="000A588A"/>
    <w:rsid w:val="000B083E"/>
    <w:rsid w:val="000B190F"/>
    <w:rsid w:val="000B6B82"/>
    <w:rsid w:val="000B7D5E"/>
    <w:rsid w:val="000C02D1"/>
    <w:rsid w:val="000C62F4"/>
    <w:rsid w:val="000E3F1A"/>
    <w:rsid w:val="000E59A0"/>
    <w:rsid w:val="000E5A37"/>
    <w:rsid w:val="000F0D97"/>
    <w:rsid w:val="000F5653"/>
    <w:rsid w:val="000F5E2D"/>
    <w:rsid w:val="000F7FFC"/>
    <w:rsid w:val="0010106E"/>
    <w:rsid w:val="0010731B"/>
    <w:rsid w:val="00107D10"/>
    <w:rsid w:val="00115A82"/>
    <w:rsid w:val="00121FF7"/>
    <w:rsid w:val="00125E7E"/>
    <w:rsid w:val="00127335"/>
    <w:rsid w:val="00127CE7"/>
    <w:rsid w:val="001316A1"/>
    <w:rsid w:val="00137006"/>
    <w:rsid w:val="00147E9E"/>
    <w:rsid w:val="001503F7"/>
    <w:rsid w:val="001510D4"/>
    <w:rsid w:val="001543AD"/>
    <w:rsid w:val="00177686"/>
    <w:rsid w:val="00180E8A"/>
    <w:rsid w:val="0018670E"/>
    <w:rsid w:val="0019703C"/>
    <w:rsid w:val="001C5132"/>
    <w:rsid w:val="001D0A90"/>
    <w:rsid w:val="001D0E31"/>
    <w:rsid w:val="001D364B"/>
    <w:rsid w:val="001D7646"/>
    <w:rsid w:val="001D7A17"/>
    <w:rsid w:val="001E5A00"/>
    <w:rsid w:val="001E6A4B"/>
    <w:rsid w:val="001F1E1B"/>
    <w:rsid w:val="001F436F"/>
    <w:rsid w:val="001F529C"/>
    <w:rsid w:val="00202A88"/>
    <w:rsid w:val="00207EF6"/>
    <w:rsid w:val="00210333"/>
    <w:rsid w:val="00210E2D"/>
    <w:rsid w:val="0021293F"/>
    <w:rsid w:val="0022046E"/>
    <w:rsid w:val="002237E5"/>
    <w:rsid w:val="002430F6"/>
    <w:rsid w:val="002438E2"/>
    <w:rsid w:val="00251288"/>
    <w:rsid w:val="00252CD1"/>
    <w:rsid w:val="00254010"/>
    <w:rsid w:val="0025408D"/>
    <w:rsid w:val="00264230"/>
    <w:rsid w:val="00265361"/>
    <w:rsid w:val="0027192B"/>
    <w:rsid w:val="00274A6A"/>
    <w:rsid w:val="00283EC9"/>
    <w:rsid w:val="00286AB2"/>
    <w:rsid w:val="00287BE1"/>
    <w:rsid w:val="00287E45"/>
    <w:rsid w:val="00292BAD"/>
    <w:rsid w:val="00295751"/>
    <w:rsid w:val="002972B4"/>
    <w:rsid w:val="002A2B75"/>
    <w:rsid w:val="002A60C4"/>
    <w:rsid w:val="002B39A4"/>
    <w:rsid w:val="002B3FB0"/>
    <w:rsid w:val="002B447B"/>
    <w:rsid w:val="002B74E5"/>
    <w:rsid w:val="002C29DA"/>
    <w:rsid w:val="002C3A77"/>
    <w:rsid w:val="002C7213"/>
    <w:rsid w:val="002C756B"/>
    <w:rsid w:val="002D0FD7"/>
    <w:rsid w:val="002D1779"/>
    <w:rsid w:val="002D3C1F"/>
    <w:rsid w:val="002E5ADF"/>
    <w:rsid w:val="002E7A87"/>
    <w:rsid w:val="002F2629"/>
    <w:rsid w:val="002F6C4C"/>
    <w:rsid w:val="002F7B57"/>
    <w:rsid w:val="00300E82"/>
    <w:rsid w:val="003018A7"/>
    <w:rsid w:val="00303DA6"/>
    <w:rsid w:val="003055E7"/>
    <w:rsid w:val="00317948"/>
    <w:rsid w:val="00320FD1"/>
    <w:rsid w:val="0033214F"/>
    <w:rsid w:val="003439F5"/>
    <w:rsid w:val="00344CBC"/>
    <w:rsid w:val="003509EF"/>
    <w:rsid w:val="003537B9"/>
    <w:rsid w:val="00357818"/>
    <w:rsid w:val="003641D5"/>
    <w:rsid w:val="003713E8"/>
    <w:rsid w:val="003766F9"/>
    <w:rsid w:val="00377C33"/>
    <w:rsid w:val="0038353E"/>
    <w:rsid w:val="0038394F"/>
    <w:rsid w:val="00383F02"/>
    <w:rsid w:val="003901E0"/>
    <w:rsid w:val="00390EEB"/>
    <w:rsid w:val="003928D7"/>
    <w:rsid w:val="003A0C66"/>
    <w:rsid w:val="003A242C"/>
    <w:rsid w:val="003A2FA9"/>
    <w:rsid w:val="003A315C"/>
    <w:rsid w:val="003A43C0"/>
    <w:rsid w:val="003A490D"/>
    <w:rsid w:val="003B0ADC"/>
    <w:rsid w:val="003B140B"/>
    <w:rsid w:val="003B2A0D"/>
    <w:rsid w:val="003B388A"/>
    <w:rsid w:val="003B4CCA"/>
    <w:rsid w:val="003B61BA"/>
    <w:rsid w:val="003B6ADF"/>
    <w:rsid w:val="003D04A2"/>
    <w:rsid w:val="003D06D2"/>
    <w:rsid w:val="003D54D0"/>
    <w:rsid w:val="003E4002"/>
    <w:rsid w:val="003E68CF"/>
    <w:rsid w:val="003F12AD"/>
    <w:rsid w:val="003F4002"/>
    <w:rsid w:val="00400630"/>
    <w:rsid w:val="00420F93"/>
    <w:rsid w:val="004268D2"/>
    <w:rsid w:val="0043226F"/>
    <w:rsid w:val="0044713E"/>
    <w:rsid w:val="00453DD1"/>
    <w:rsid w:val="00460712"/>
    <w:rsid w:val="00460F48"/>
    <w:rsid w:val="004625EB"/>
    <w:rsid w:val="0046354A"/>
    <w:rsid w:val="00464A9A"/>
    <w:rsid w:val="00466F96"/>
    <w:rsid w:val="00470630"/>
    <w:rsid w:val="00470996"/>
    <w:rsid w:val="00472EDE"/>
    <w:rsid w:val="00480FFC"/>
    <w:rsid w:val="00484208"/>
    <w:rsid w:val="00497BD0"/>
    <w:rsid w:val="004B5D8D"/>
    <w:rsid w:val="004B6112"/>
    <w:rsid w:val="004C705A"/>
    <w:rsid w:val="004D0866"/>
    <w:rsid w:val="004D216C"/>
    <w:rsid w:val="004D285B"/>
    <w:rsid w:val="004D63EE"/>
    <w:rsid w:val="004D746B"/>
    <w:rsid w:val="004F06E0"/>
    <w:rsid w:val="004F16EA"/>
    <w:rsid w:val="004F1EB9"/>
    <w:rsid w:val="004F3279"/>
    <w:rsid w:val="004F426F"/>
    <w:rsid w:val="004F4E43"/>
    <w:rsid w:val="00502068"/>
    <w:rsid w:val="005042A9"/>
    <w:rsid w:val="00507193"/>
    <w:rsid w:val="00513C0C"/>
    <w:rsid w:val="00516A2C"/>
    <w:rsid w:val="00520122"/>
    <w:rsid w:val="00521DE3"/>
    <w:rsid w:val="0054311D"/>
    <w:rsid w:val="00546295"/>
    <w:rsid w:val="0056103E"/>
    <w:rsid w:val="0056258A"/>
    <w:rsid w:val="00572730"/>
    <w:rsid w:val="00577146"/>
    <w:rsid w:val="00585612"/>
    <w:rsid w:val="005913CE"/>
    <w:rsid w:val="005921D5"/>
    <w:rsid w:val="005958D0"/>
    <w:rsid w:val="00596389"/>
    <w:rsid w:val="005A199D"/>
    <w:rsid w:val="005A4B9C"/>
    <w:rsid w:val="005A5B31"/>
    <w:rsid w:val="005A7029"/>
    <w:rsid w:val="005C1140"/>
    <w:rsid w:val="005C32B3"/>
    <w:rsid w:val="005C5130"/>
    <w:rsid w:val="005C5F1D"/>
    <w:rsid w:val="005D012F"/>
    <w:rsid w:val="005D0E2A"/>
    <w:rsid w:val="005E409F"/>
    <w:rsid w:val="005E6AF0"/>
    <w:rsid w:val="005E77A7"/>
    <w:rsid w:val="005F482A"/>
    <w:rsid w:val="005F663A"/>
    <w:rsid w:val="006028EA"/>
    <w:rsid w:val="006038EA"/>
    <w:rsid w:val="00604E10"/>
    <w:rsid w:val="00612DAA"/>
    <w:rsid w:val="00614095"/>
    <w:rsid w:val="006176B8"/>
    <w:rsid w:val="00624A20"/>
    <w:rsid w:val="00624C40"/>
    <w:rsid w:val="00626A71"/>
    <w:rsid w:val="00632F81"/>
    <w:rsid w:val="00636483"/>
    <w:rsid w:val="00636A4D"/>
    <w:rsid w:val="006373FB"/>
    <w:rsid w:val="0064196B"/>
    <w:rsid w:val="006453AB"/>
    <w:rsid w:val="0064551B"/>
    <w:rsid w:val="00652294"/>
    <w:rsid w:val="00675FDA"/>
    <w:rsid w:val="00676F2C"/>
    <w:rsid w:val="0069062B"/>
    <w:rsid w:val="00691556"/>
    <w:rsid w:val="00695778"/>
    <w:rsid w:val="006961B2"/>
    <w:rsid w:val="00697C2E"/>
    <w:rsid w:val="006A66B4"/>
    <w:rsid w:val="006B0BAE"/>
    <w:rsid w:val="006B6ACF"/>
    <w:rsid w:val="006C01FB"/>
    <w:rsid w:val="006D7644"/>
    <w:rsid w:val="006E7116"/>
    <w:rsid w:val="006E7BF6"/>
    <w:rsid w:val="006F0620"/>
    <w:rsid w:val="007102C4"/>
    <w:rsid w:val="007140E9"/>
    <w:rsid w:val="00725208"/>
    <w:rsid w:val="00737755"/>
    <w:rsid w:val="00744938"/>
    <w:rsid w:val="00751A3D"/>
    <w:rsid w:val="00760730"/>
    <w:rsid w:val="00762D5A"/>
    <w:rsid w:val="00763347"/>
    <w:rsid w:val="0076393D"/>
    <w:rsid w:val="0077670A"/>
    <w:rsid w:val="0077779F"/>
    <w:rsid w:val="00781240"/>
    <w:rsid w:val="0078308F"/>
    <w:rsid w:val="00784F91"/>
    <w:rsid w:val="0078511C"/>
    <w:rsid w:val="0079675B"/>
    <w:rsid w:val="007A2DDB"/>
    <w:rsid w:val="007B174B"/>
    <w:rsid w:val="007B45DE"/>
    <w:rsid w:val="007C2446"/>
    <w:rsid w:val="007C3769"/>
    <w:rsid w:val="007C4FA9"/>
    <w:rsid w:val="007C6601"/>
    <w:rsid w:val="007D32BF"/>
    <w:rsid w:val="007E13A9"/>
    <w:rsid w:val="007E14D9"/>
    <w:rsid w:val="007E18EE"/>
    <w:rsid w:val="007E5070"/>
    <w:rsid w:val="007F2CEB"/>
    <w:rsid w:val="007F3842"/>
    <w:rsid w:val="007F5009"/>
    <w:rsid w:val="00802DD5"/>
    <w:rsid w:val="00811358"/>
    <w:rsid w:val="008121D7"/>
    <w:rsid w:val="00814206"/>
    <w:rsid w:val="008259B7"/>
    <w:rsid w:val="00826810"/>
    <w:rsid w:val="00835FC5"/>
    <w:rsid w:val="00843E29"/>
    <w:rsid w:val="008478AE"/>
    <w:rsid w:val="00847B21"/>
    <w:rsid w:val="00852D44"/>
    <w:rsid w:val="00860503"/>
    <w:rsid w:val="008608B4"/>
    <w:rsid w:val="0086330B"/>
    <w:rsid w:val="00872529"/>
    <w:rsid w:val="00875786"/>
    <w:rsid w:val="00877900"/>
    <w:rsid w:val="00880DF0"/>
    <w:rsid w:val="00881187"/>
    <w:rsid w:val="00881EF7"/>
    <w:rsid w:val="0088690D"/>
    <w:rsid w:val="0089040A"/>
    <w:rsid w:val="008B0765"/>
    <w:rsid w:val="008B10B8"/>
    <w:rsid w:val="008B2B4C"/>
    <w:rsid w:val="008B3B63"/>
    <w:rsid w:val="008B55E9"/>
    <w:rsid w:val="008C197C"/>
    <w:rsid w:val="008C335C"/>
    <w:rsid w:val="008C6760"/>
    <w:rsid w:val="008D2EA6"/>
    <w:rsid w:val="008D5AD7"/>
    <w:rsid w:val="008E2AE6"/>
    <w:rsid w:val="008F47C4"/>
    <w:rsid w:val="0090225A"/>
    <w:rsid w:val="00902402"/>
    <w:rsid w:val="0090346B"/>
    <w:rsid w:val="009065F1"/>
    <w:rsid w:val="00912494"/>
    <w:rsid w:val="00915424"/>
    <w:rsid w:val="00917C1C"/>
    <w:rsid w:val="009231C3"/>
    <w:rsid w:val="00925F5D"/>
    <w:rsid w:val="009311DE"/>
    <w:rsid w:val="00933604"/>
    <w:rsid w:val="00943887"/>
    <w:rsid w:val="009444D9"/>
    <w:rsid w:val="009516D8"/>
    <w:rsid w:val="00961EFC"/>
    <w:rsid w:val="00966322"/>
    <w:rsid w:val="00967A2D"/>
    <w:rsid w:val="0097338C"/>
    <w:rsid w:val="00975122"/>
    <w:rsid w:val="00977BED"/>
    <w:rsid w:val="009818C2"/>
    <w:rsid w:val="00985045"/>
    <w:rsid w:val="00995039"/>
    <w:rsid w:val="00996693"/>
    <w:rsid w:val="009A7195"/>
    <w:rsid w:val="009B0128"/>
    <w:rsid w:val="009B27C2"/>
    <w:rsid w:val="009B5DCF"/>
    <w:rsid w:val="009C1434"/>
    <w:rsid w:val="009C16BD"/>
    <w:rsid w:val="009C24AF"/>
    <w:rsid w:val="009C27D3"/>
    <w:rsid w:val="009D0E00"/>
    <w:rsid w:val="009F574F"/>
    <w:rsid w:val="00A03BFC"/>
    <w:rsid w:val="00A322B9"/>
    <w:rsid w:val="00A32A72"/>
    <w:rsid w:val="00A333C5"/>
    <w:rsid w:val="00A334F6"/>
    <w:rsid w:val="00A44417"/>
    <w:rsid w:val="00A45303"/>
    <w:rsid w:val="00A46B0C"/>
    <w:rsid w:val="00A54983"/>
    <w:rsid w:val="00A57161"/>
    <w:rsid w:val="00A65531"/>
    <w:rsid w:val="00A73792"/>
    <w:rsid w:val="00A7630F"/>
    <w:rsid w:val="00A85E92"/>
    <w:rsid w:val="00A878A6"/>
    <w:rsid w:val="00A933C6"/>
    <w:rsid w:val="00A94B36"/>
    <w:rsid w:val="00A96870"/>
    <w:rsid w:val="00A96BDC"/>
    <w:rsid w:val="00A979CF"/>
    <w:rsid w:val="00AA0C2F"/>
    <w:rsid w:val="00AA22D1"/>
    <w:rsid w:val="00AA3E80"/>
    <w:rsid w:val="00AA51B0"/>
    <w:rsid w:val="00AA70E3"/>
    <w:rsid w:val="00AB409F"/>
    <w:rsid w:val="00AB44C3"/>
    <w:rsid w:val="00AB5B06"/>
    <w:rsid w:val="00AC3E61"/>
    <w:rsid w:val="00AC5156"/>
    <w:rsid w:val="00AC75BF"/>
    <w:rsid w:val="00AD1348"/>
    <w:rsid w:val="00AD4F67"/>
    <w:rsid w:val="00AD5FFC"/>
    <w:rsid w:val="00AD655A"/>
    <w:rsid w:val="00AD759C"/>
    <w:rsid w:val="00AE591E"/>
    <w:rsid w:val="00AF0AD5"/>
    <w:rsid w:val="00AF126A"/>
    <w:rsid w:val="00AF2FE3"/>
    <w:rsid w:val="00AF5FCE"/>
    <w:rsid w:val="00B01C0D"/>
    <w:rsid w:val="00B03DCA"/>
    <w:rsid w:val="00B058F3"/>
    <w:rsid w:val="00B072ED"/>
    <w:rsid w:val="00B110D9"/>
    <w:rsid w:val="00B1299B"/>
    <w:rsid w:val="00B24F7C"/>
    <w:rsid w:val="00B24FBE"/>
    <w:rsid w:val="00B2503D"/>
    <w:rsid w:val="00B27269"/>
    <w:rsid w:val="00B2798D"/>
    <w:rsid w:val="00B27A62"/>
    <w:rsid w:val="00B31EFB"/>
    <w:rsid w:val="00B34583"/>
    <w:rsid w:val="00B474E8"/>
    <w:rsid w:val="00B478D2"/>
    <w:rsid w:val="00B51372"/>
    <w:rsid w:val="00B55813"/>
    <w:rsid w:val="00B62933"/>
    <w:rsid w:val="00B63D9F"/>
    <w:rsid w:val="00B63DC4"/>
    <w:rsid w:val="00B6415C"/>
    <w:rsid w:val="00B6481E"/>
    <w:rsid w:val="00B6578A"/>
    <w:rsid w:val="00B74551"/>
    <w:rsid w:val="00B76814"/>
    <w:rsid w:val="00B801AB"/>
    <w:rsid w:val="00B80AE5"/>
    <w:rsid w:val="00B84BD7"/>
    <w:rsid w:val="00B85D55"/>
    <w:rsid w:val="00B90D40"/>
    <w:rsid w:val="00B91326"/>
    <w:rsid w:val="00BA3AE7"/>
    <w:rsid w:val="00BA4CA3"/>
    <w:rsid w:val="00BA5E1F"/>
    <w:rsid w:val="00BB15EB"/>
    <w:rsid w:val="00BB4550"/>
    <w:rsid w:val="00BB4F5C"/>
    <w:rsid w:val="00BB7F49"/>
    <w:rsid w:val="00BD1037"/>
    <w:rsid w:val="00BD3A1C"/>
    <w:rsid w:val="00BD55EC"/>
    <w:rsid w:val="00BE235C"/>
    <w:rsid w:val="00BE3716"/>
    <w:rsid w:val="00BE49A2"/>
    <w:rsid w:val="00BF0E66"/>
    <w:rsid w:val="00BF4C2E"/>
    <w:rsid w:val="00C016F6"/>
    <w:rsid w:val="00C04A6B"/>
    <w:rsid w:val="00C05088"/>
    <w:rsid w:val="00C1139C"/>
    <w:rsid w:val="00C22E09"/>
    <w:rsid w:val="00C259B6"/>
    <w:rsid w:val="00C25C1C"/>
    <w:rsid w:val="00C411E7"/>
    <w:rsid w:val="00C43A6F"/>
    <w:rsid w:val="00C44E9B"/>
    <w:rsid w:val="00C45C9C"/>
    <w:rsid w:val="00C4703E"/>
    <w:rsid w:val="00C47A82"/>
    <w:rsid w:val="00C5174C"/>
    <w:rsid w:val="00C51835"/>
    <w:rsid w:val="00C6135C"/>
    <w:rsid w:val="00C656C3"/>
    <w:rsid w:val="00C71943"/>
    <w:rsid w:val="00C84B20"/>
    <w:rsid w:val="00C87F91"/>
    <w:rsid w:val="00C9110B"/>
    <w:rsid w:val="00C94676"/>
    <w:rsid w:val="00CA10CF"/>
    <w:rsid w:val="00CA6DAB"/>
    <w:rsid w:val="00CB040E"/>
    <w:rsid w:val="00CB1B2B"/>
    <w:rsid w:val="00CB39D9"/>
    <w:rsid w:val="00CB450C"/>
    <w:rsid w:val="00CC1A24"/>
    <w:rsid w:val="00CD06A0"/>
    <w:rsid w:val="00CD6F68"/>
    <w:rsid w:val="00CE0B3C"/>
    <w:rsid w:val="00CE2510"/>
    <w:rsid w:val="00CE3340"/>
    <w:rsid w:val="00CE36E7"/>
    <w:rsid w:val="00CE457B"/>
    <w:rsid w:val="00CE5DAC"/>
    <w:rsid w:val="00CE71DF"/>
    <w:rsid w:val="00CF1E50"/>
    <w:rsid w:val="00CF6B60"/>
    <w:rsid w:val="00CF76EE"/>
    <w:rsid w:val="00D02264"/>
    <w:rsid w:val="00D02682"/>
    <w:rsid w:val="00D04887"/>
    <w:rsid w:val="00D213B7"/>
    <w:rsid w:val="00D240DB"/>
    <w:rsid w:val="00D25967"/>
    <w:rsid w:val="00D30667"/>
    <w:rsid w:val="00D31183"/>
    <w:rsid w:val="00D34A00"/>
    <w:rsid w:val="00D3721C"/>
    <w:rsid w:val="00D40D4B"/>
    <w:rsid w:val="00D50029"/>
    <w:rsid w:val="00D541E8"/>
    <w:rsid w:val="00D56E66"/>
    <w:rsid w:val="00D577AA"/>
    <w:rsid w:val="00D57DF3"/>
    <w:rsid w:val="00D66172"/>
    <w:rsid w:val="00D6658B"/>
    <w:rsid w:val="00D71E63"/>
    <w:rsid w:val="00D80B77"/>
    <w:rsid w:val="00D81061"/>
    <w:rsid w:val="00D81660"/>
    <w:rsid w:val="00D81866"/>
    <w:rsid w:val="00D86BF0"/>
    <w:rsid w:val="00D87DC1"/>
    <w:rsid w:val="00D95186"/>
    <w:rsid w:val="00DA3CE5"/>
    <w:rsid w:val="00DB2E03"/>
    <w:rsid w:val="00DB5322"/>
    <w:rsid w:val="00DB630B"/>
    <w:rsid w:val="00DB6C55"/>
    <w:rsid w:val="00DC3899"/>
    <w:rsid w:val="00DC3BC8"/>
    <w:rsid w:val="00DD0FB0"/>
    <w:rsid w:val="00DD100F"/>
    <w:rsid w:val="00DD5923"/>
    <w:rsid w:val="00DD599F"/>
    <w:rsid w:val="00DE4BB3"/>
    <w:rsid w:val="00DE6ABB"/>
    <w:rsid w:val="00DF4120"/>
    <w:rsid w:val="00E10836"/>
    <w:rsid w:val="00E15796"/>
    <w:rsid w:val="00E20EC3"/>
    <w:rsid w:val="00E3272D"/>
    <w:rsid w:val="00E36930"/>
    <w:rsid w:val="00E46A8F"/>
    <w:rsid w:val="00E577A9"/>
    <w:rsid w:val="00E67ECB"/>
    <w:rsid w:val="00E73497"/>
    <w:rsid w:val="00E7456B"/>
    <w:rsid w:val="00E76607"/>
    <w:rsid w:val="00E80E85"/>
    <w:rsid w:val="00E85E11"/>
    <w:rsid w:val="00E870DD"/>
    <w:rsid w:val="00E91E57"/>
    <w:rsid w:val="00EB61B0"/>
    <w:rsid w:val="00EC6205"/>
    <w:rsid w:val="00EC65F0"/>
    <w:rsid w:val="00ED153D"/>
    <w:rsid w:val="00ED6D27"/>
    <w:rsid w:val="00EE57B2"/>
    <w:rsid w:val="00EE6255"/>
    <w:rsid w:val="00EF13BA"/>
    <w:rsid w:val="00F0238C"/>
    <w:rsid w:val="00F078CA"/>
    <w:rsid w:val="00F135CB"/>
    <w:rsid w:val="00F1596F"/>
    <w:rsid w:val="00F17A79"/>
    <w:rsid w:val="00F2699B"/>
    <w:rsid w:val="00F35B9D"/>
    <w:rsid w:val="00F36EA0"/>
    <w:rsid w:val="00F40978"/>
    <w:rsid w:val="00F42876"/>
    <w:rsid w:val="00F45101"/>
    <w:rsid w:val="00F452C6"/>
    <w:rsid w:val="00F45C2D"/>
    <w:rsid w:val="00F50C6B"/>
    <w:rsid w:val="00F51A34"/>
    <w:rsid w:val="00F520E2"/>
    <w:rsid w:val="00F527AF"/>
    <w:rsid w:val="00F53C31"/>
    <w:rsid w:val="00F5509B"/>
    <w:rsid w:val="00F57830"/>
    <w:rsid w:val="00F57D67"/>
    <w:rsid w:val="00F632C4"/>
    <w:rsid w:val="00F712F6"/>
    <w:rsid w:val="00F74172"/>
    <w:rsid w:val="00F74693"/>
    <w:rsid w:val="00F8033E"/>
    <w:rsid w:val="00F81C4A"/>
    <w:rsid w:val="00F8315C"/>
    <w:rsid w:val="00F83505"/>
    <w:rsid w:val="00F852D0"/>
    <w:rsid w:val="00F9053D"/>
    <w:rsid w:val="00F90780"/>
    <w:rsid w:val="00F96916"/>
    <w:rsid w:val="00FA02EF"/>
    <w:rsid w:val="00FA6355"/>
    <w:rsid w:val="00FA6451"/>
    <w:rsid w:val="00FC1281"/>
    <w:rsid w:val="00FC6CF7"/>
    <w:rsid w:val="00FD0096"/>
    <w:rsid w:val="00FE034E"/>
    <w:rsid w:val="00FE1F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F574F"/>
    <w:pPr>
      <w:ind w:left="720"/>
      <w:contextualSpacing/>
    </w:pPr>
  </w:style>
  <w:style w:type="character" w:styleId="Hyperlink">
    <w:name w:val="Hyperlink"/>
    <w:basedOn w:val="a0"/>
    <w:uiPriority w:val="99"/>
    <w:unhideWhenUsed/>
    <w:rsid w:val="00F2699B"/>
    <w:rPr>
      <w:color w:val="0000FF" w:themeColor="hyperlink"/>
      <w:u w:val="single"/>
    </w:rPr>
  </w:style>
  <w:style w:type="character" w:styleId="FollowedHyperlink">
    <w:name w:val="FollowedHyperlink"/>
    <w:basedOn w:val="a0"/>
    <w:uiPriority w:val="99"/>
    <w:semiHidden/>
    <w:unhideWhenUsed/>
    <w:rsid w:val="00F2699B"/>
    <w:rPr>
      <w:color w:val="800080" w:themeColor="followedHyperlink"/>
      <w:u w:val="single"/>
    </w:rPr>
  </w:style>
  <w:style w:type="paragraph" w:styleId="NormalWeb">
    <w:name w:val="Normal (Web)"/>
    <w:basedOn w:val="a"/>
    <w:uiPriority w:val="99"/>
    <w:unhideWhenUsed/>
    <w:rsid w:val="00F5509B"/>
    <w:pPr>
      <w:spacing w:before="100" w:beforeAutospacing="1" w:after="100" w:afterAutospacing="1"/>
    </w:pPr>
    <w:rPr>
      <w:rFonts w:cs="Times New Roman"/>
      <w:sz w:val="24"/>
      <w:szCs w:val="24"/>
      <w:lang w:eastAsia="en-US"/>
    </w:rPr>
  </w:style>
  <w:style w:type="character" w:styleId="aa">
    <w:name w:val="annotation reference"/>
    <w:basedOn w:val="a0"/>
    <w:uiPriority w:val="99"/>
    <w:semiHidden/>
    <w:unhideWhenUsed/>
    <w:rsid w:val="00317948"/>
    <w:rPr>
      <w:sz w:val="16"/>
      <w:szCs w:val="16"/>
    </w:rPr>
  </w:style>
  <w:style w:type="paragraph" w:styleId="ab">
    <w:name w:val="annotation text"/>
    <w:basedOn w:val="a"/>
    <w:link w:val="ac"/>
    <w:uiPriority w:val="99"/>
    <w:semiHidden/>
    <w:unhideWhenUsed/>
    <w:rsid w:val="00317948"/>
  </w:style>
  <w:style w:type="character" w:customStyle="1" w:styleId="ac">
    <w:name w:val="טקסט הערה תו"/>
    <w:basedOn w:val="a0"/>
    <w:link w:val="ab"/>
    <w:uiPriority w:val="99"/>
    <w:semiHidden/>
    <w:rsid w:val="00317948"/>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317948"/>
    <w:rPr>
      <w:b/>
      <w:bCs/>
    </w:rPr>
  </w:style>
  <w:style w:type="character" w:customStyle="1" w:styleId="ae">
    <w:name w:val="נושא הערה תו"/>
    <w:basedOn w:val="ac"/>
    <w:link w:val="ad"/>
    <w:uiPriority w:val="99"/>
    <w:semiHidden/>
    <w:rsid w:val="00317948"/>
    <w:rPr>
      <w:rFonts w:ascii="Times New Roman" w:eastAsia="Times New Roman" w:hAnsi="Times New Roman" w:cs="Miriam"/>
      <w:b/>
      <w:bCs/>
      <w:sz w:val="20"/>
      <w:szCs w:val="20"/>
      <w:lang w:eastAsia="he-IL"/>
    </w:rPr>
  </w:style>
  <w:style w:type="paragraph" w:styleId="af">
    <w:name w:val="footnote text"/>
    <w:basedOn w:val="a"/>
    <w:link w:val="af0"/>
    <w:uiPriority w:val="99"/>
    <w:semiHidden/>
    <w:unhideWhenUsed/>
    <w:rsid w:val="00317948"/>
  </w:style>
  <w:style w:type="character" w:customStyle="1" w:styleId="af0">
    <w:name w:val="טקסט הערת שוליים תו"/>
    <w:basedOn w:val="a0"/>
    <w:link w:val="af"/>
    <w:uiPriority w:val="99"/>
    <w:semiHidden/>
    <w:rsid w:val="00317948"/>
    <w:rPr>
      <w:rFonts w:ascii="Times New Roman" w:eastAsia="Times New Roman" w:hAnsi="Times New Roman" w:cs="Miriam"/>
      <w:sz w:val="20"/>
      <w:szCs w:val="20"/>
      <w:lang w:eastAsia="he-IL"/>
    </w:rPr>
  </w:style>
  <w:style w:type="character" w:styleId="af1">
    <w:name w:val="footnote reference"/>
    <w:basedOn w:val="a0"/>
    <w:uiPriority w:val="99"/>
    <w:semiHidden/>
    <w:unhideWhenUsed/>
    <w:rsid w:val="003179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paragraph" w:styleId="a9">
    <w:name w:val="List Paragraph"/>
    <w:basedOn w:val="a"/>
    <w:uiPriority w:val="34"/>
    <w:qFormat/>
    <w:rsid w:val="009F574F"/>
    <w:pPr>
      <w:ind w:left="720"/>
      <w:contextualSpacing/>
    </w:pPr>
  </w:style>
  <w:style w:type="character" w:styleId="Hyperlink">
    <w:name w:val="Hyperlink"/>
    <w:basedOn w:val="a0"/>
    <w:uiPriority w:val="99"/>
    <w:unhideWhenUsed/>
    <w:rsid w:val="00F2699B"/>
    <w:rPr>
      <w:color w:val="0000FF" w:themeColor="hyperlink"/>
      <w:u w:val="single"/>
    </w:rPr>
  </w:style>
  <w:style w:type="character" w:styleId="FollowedHyperlink">
    <w:name w:val="FollowedHyperlink"/>
    <w:basedOn w:val="a0"/>
    <w:uiPriority w:val="99"/>
    <w:semiHidden/>
    <w:unhideWhenUsed/>
    <w:rsid w:val="00F2699B"/>
    <w:rPr>
      <w:color w:val="800080" w:themeColor="followedHyperlink"/>
      <w:u w:val="single"/>
    </w:rPr>
  </w:style>
  <w:style w:type="paragraph" w:styleId="NormalWeb">
    <w:name w:val="Normal (Web)"/>
    <w:basedOn w:val="a"/>
    <w:uiPriority w:val="99"/>
    <w:unhideWhenUsed/>
    <w:rsid w:val="00F5509B"/>
    <w:pPr>
      <w:spacing w:before="100" w:beforeAutospacing="1" w:after="100" w:afterAutospacing="1"/>
    </w:pPr>
    <w:rPr>
      <w:rFonts w:cs="Times New Roman"/>
      <w:sz w:val="24"/>
      <w:szCs w:val="24"/>
      <w:lang w:eastAsia="en-US"/>
    </w:rPr>
  </w:style>
  <w:style w:type="character" w:styleId="aa">
    <w:name w:val="annotation reference"/>
    <w:basedOn w:val="a0"/>
    <w:uiPriority w:val="99"/>
    <w:semiHidden/>
    <w:unhideWhenUsed/>
    <w:rsid w:val="00317948"/>
    <w:rPr>
      <w:sz w:val="16"/>
      <w:szCs w:val="16"/>
    </w:rPr>
  </w:style>
  <w:style w:type="paragraph" w:styleId="ab">
    <w:name w:val="annotation text"/>
    <w:basedOn w:val="a"/>
    <w:link w:val="ac"/>
    <w:uiPriority w:val="99"/>
    <w:semiHidden/>
    <w:unhideWhenUsed/>
    <w:rsid w:val="00317948"/>
  </w:style>
  <w:style w:type="character" w:customStyle="1" w:styleId="ac">
    <w:name w:val="טקסט הערה תו"/>
    <w:basedOn w:val="a0"/>
    <w:link w:val="ab"/>
    <w:uiPriority w:val="99"/>
    <w:semiHidden/>
    <w:rsid w:val="00317948"/>
    <w:rPr>
      <w:rFonts w:ascii="Times New Roman" w:eastAsia="Times New Roman" w:hAnsi="Times New Roman" w:cs="Miriam"/>
      <w:sz w:val="20"/>
      <w:szCs w:val="20"/>
      <w:lang w:eastAsia="he-IL"/>
    </w:rPr>
  </w:style>
  <w:style w:type="paragraph" w:styleId="ad">
    <w:name w:val="annotation subject"/>
    <w:basedOn w:val="ab"/>
    <w:next w:val="ab"/>
    <w:link w:val="ae"/>
    <w:uiPriority w:val="99"/>
    <w:semiHidden/>
    <w:unhideWhenUsed/>
    <w:rsid w:val="00317948"/>
    <w:rPr>
      <w:b/>
      <w:bCs/>
    </w:rPr>
  </w:style>
  <w:style w:type="character" w:customStyle="1" w:styleId="ae">
    <w:name w:val="נושא הערה תו"/>
    <w:basedOn w:val="ac"/>
    <w:link w:val="ad"/>
    <w:uiPriority w:val="99"/>
    <w:semiHidden/>
    <w:rsid w:val="00317948"/>
    <w:rPr>
      <w:rFonts w:ascii="Times New Roman" w:eastAsia="Times New Roman" w:hAnsi="Times New Roman" w:cs="Miriam"/>
      <w:b/>
      <w:bCs/>
      <w:sz w:val="20"/>
      <w:szCs w:val="20"/>
      <w:lang w:eastAsia="he-IL"/>
    </w:rPr>
  </w:style>
  <w:style w:type="paragraph" w:styleId="af">
    <w:name w:val="footnote text"/>
    <w:basedOn w:val="a"/>
    <w:link w:val="af0"/>
    <w:uiPriority w:val="99"/>
    <w:semiHidden/>
    <w:unhideWhenUsed/>
    <w:rsid w:val="00317948"/>
  </w:style>
  <w:style w:type="character" w:customStyle="1" w:styleId="af0">
    <w:name w:val="טקסט הערת שוליים תו"/>
    <w:basedOn w:val="a0"/>
    <w:link w:val="af"/>
    <w:uiPriority w:val="99"/>
    <w:semiHidden/>
    <w:rsid w:val="00317948"/>
    <w:rPr>
      <w:rFonts w:ascii="Times New Roman" w:eastAsia="Times New Roman" w:hAnsi="Times New Roman" w:cs="Miriam"/>
      <w:sz w:val="20"/>
      <w:szCs w:val="20"/>
      <w:lang w:eastAsia="he-IL"/>
    </w:rPr>
  </w:style>
  <w:style w:type="character" w:styleId="af1">
    <w:name w:val="footnote reference"/>
    <w:basedOn w:val="a0"/>
    <w:uiPriority w:val="99"/>
    <w:semiHidden/>
    <w:unhideWhenUsed/>
    <w:rsid w:val="00317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8554">
      <w:bodyDiv w:val="1"/>
      <w:marLeft w:val="0"/>
      <w:marRight w:val="0"/>
      <w:marTop w:val="0"/>
      <w:marBottom w:val="0"/>
      <w:divBdr>
        <w:top w:val="none" w:sz="0" w:space="0" w:color="auto"/>
        <w:left w:val="none" w:sz="0" w:space="0" w:color="auto"/>
        <w:bottom w:val="none" w:sz="0" w:space="0" w:color="auto"/>
        <w:right w:val="none" w:sz="0" w:space="0" w:color="auto"/>
      </w:divBdr>
    </w:div>
    <w:div w:id="566183430">
      <w:bodyDiv w:val="1"/>
      <w:marLeft w:val="0"/>
      <w:marRight w:val="0"/>
      <w:marTop w:val="0"/>
      <w:marBottom w:val="0"/>
      <w:divBdr>
        <w:top w:val="none" w:sz="0" w:space="0" w:color="auto"/>
        <w:left w:val="none" w:sz="0" w:space="0" w:color="auto"/>
        <w:bottom w:val="none" w:sz="0" w:space="0" w:color="auto"/>
        <w:right w:val="none" w:sz="0" w:space="0" w:color="auto"/>
      </w:divBdr>
    </w:div>
    <w:div w:id="927155779">
      <w:bodyDiv w:val="1"/>
      <w:marLeft w:val="0"/>
      <w:marRight w:val="0"/>
      <w:marTop w:val="0"/>
      <w:marBottom w:val="0"/>
      <w:divBdr>
        <w:top w:val="none" w:sz="0" w:space="0" w:color="auto"/>
        <w:left w:val="none" w:sz="0" w:space="0" w:color="auto"/>
        <w:bottom w:val="none" w:sz="0" w:space="0" w:color="auto"/>
        <w:right w:val="none" w:sz="0" w:space="0" w:color="auto"/>
      </w:divBdr>
    </w:div>
    <w:div w:id="1615400956">
      <w:bodyDiv w:val="1"/>
      <w:marLeft w:val="0"/>
      <w:marRight w:val="0"/>
      <w:marTop w:val="0"/>
      <w:marBottom w:val="0"/>
      <w:divBdr>
        <w:top w:val="none" w:sz="0" w:space="0" w:color="auto"/>
        <w:left w:val="none" w:sz="0" w:space="0" w:color="auto"/>
        <w:bottom w:val="none" w:sz="0" w:space="0" w:color="auto"/>
        <w:right w:val="none" w:sz="0" w:space="0" w:color="auto"/>
      </w:divBdr>
    </w:div>
    <w:div w:id="17145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boi.org.il/he/BankingSupervision/Data/Pages/Tables.aspx?ChapterId=13"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e.boi.org.il/he/DataAndStatistics/Pages/MainPage.aspx?Level=4&amp;Sid=53&amp;SubjectType=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4A3DEAE-ECEE-4356-B0EB-D44C46A647AD}"/>
</file>

<file path=customXml/itemProps2.xml><?xml version="1.0" encoding="utf-8"?>
<ds:datastoreItem xmlns:ds="http://schemas.openxmlformats.org/officeDocument/2006/customXml" ds:itemID="{5D774E92-4D88-469B-BC56-B471F299EC66}"/>
</file>

<file path=customXml/itemProps3.xml><?xml version="1.0" encoding="utf-8"?>
<ds:datastoreItem xmlns:ds="http://schemas.openxmlformats.org/officeDocument/2006/customXml" ds:itemID="{EFCDC9F8-38E3-4E21-BC71-29F2FFC70F02}"/>
</file>

<file path=customXml/itemProps4.xml><?xml version="1.0" encoding="utf-8"?>
<ds:datastoreItem xmlns:ds="http://schemas.openxmlformats.org/officeDocument/2006/customXml" ds:itemID="{84B1551C-4CD9-409A-8C5A-CAB495F5101B}"/>
</file>

<file path=docProps/app.xml><?xml version="1.0" encoding="utf-8"?>
<Properties xmlns="http://schemas.openxmlformats.org/officeDocument/2006/extended-properties" xmlns:vt="http://schemas.openxmlformats.org/officeDocument/2006/docPropsVTypes">
  <Template>Normal.dotm</Template>
  <TotalTime>0</TotalTime>
  <Pages>6</Pages>
  <Words>449</Words>
  <Characters>2247</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2015-06-29T10:00:00Z</dcterms:created>
  <dcterms:modified xsi:type="dcterms:W3CDTF">2015-06-29T10:00:00Z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