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840"/>
        <w:gridCol w:w="2840"/>
      </w:tblGrid>
      <w:tr w:rsidR="00073D8C" w:rsidRPr="002A5A2B" w14:paraId="7917D8E7" w14:textId="77777777" w:rsidTr="006678A7">
        <w:trPr>
          <w:jc w:val="center"/>
        </w:trPr>
        <w:tc>
          <w:tcPr>
            <w:tcW w:w="2840" w:type="dxa"/>
            <w:tcBorders>
              <w:top w:val="nil"/>
              <w:left w:val="nil"/>
              <w:bottom w:val="nil"/>
              <w:right w:val="nil"/>
            </w:tcBorders>
            <w:vAlign w:val="center"/>
          </w:tcPr>
          <w:p w14:paraId="358E6E03" w14:textId="77777777" w:rsidR="00073D8C" w:rsidRPr="002A5A2B" w:rsidRDefault="00073D8C" w:rsidP="006678A7">
            <w:pPr>
              <w:rPr>
                <w:rFonts w:ascii="David" w:hAnsi="David"/>
                <w:b/>
                <w:bCs/>
                <w:sz w:val="28"/>
                <w:szCs w:val="28"/>
              </w:rPr>
            </w:pPr>
            <w:r w:rsidRPr="002A5A2B">
              <w:rPr>
                <w:rFonts w:ascii="David" w:hAnsi="David"/>
                <w:b/>
                <w:bCs/>
                <w:sz w:val="28"/>
                <w:szCs w:val="28"/>
                <w:rtl/>
              </w:rPr>
              <w:t>בנק ישראל</w:t>
            </w:r>
          </w:p>
          <w:p w14:paraId="341F361E" w14:textId="77777777" w:rsidR="00073D8C" w:rsidRPr="002A5A2B" w:rsidRDefault="00073D8C" w:rsidP="006678A7">
            <w:pPr>
              <w:rPr>
                <w:rFonts w:ascii="David" w:hAnsi="David"/>
                <w:sz w:val="24"/>
                <w:szCs w:val="24"/>
              </w:rPr>
            </w:pPr>
            <w:r w:rsidRPr="002A5A2B">
              <w:rPr>
                <w:rFonts w:ascii="David" w:hAnsi="David"/>
                <w:sz w:val="24"/>
                <w:szCs w:val="24"/>
                <w:rtl/>
              </w:rPr>
              <w:t>דוברות והסברה כלכלית</w:t>
            </w:r>
          </w:p>
        </w:tc>
        <w:tc>
          <w:tcPr>
            <w:tcW w:w="2840" w:type="dxa"/>
            <w:tcBorders>
              <w:top w:val="nil"/>
              <w:left w:val="nil"/>
              <w:bottom w:val="nil"/>
              <w:right w:val="nil"/>
            </w:tcBorders>
          </w:tcPr>
          <w:p w14:paraId="2C6BEC40" w14:textId="77777777" w:rsidR="00073D8C" w:rsidRPr="002A5A2B" w:rsidRDefault="00073D8C" w:rsidP="006678A7">
            <w:pPr>
              <w:jc w:val="center"/>
              <w:rPr>
                <w:rFonts w:ascii="David" w:hAnsi="David"/>
              </w:rPr>
            </w:pPr>
            <w:r w:rsidRPr="002A5A2B">
              <w:rPr>
                <w:rFonts w:ascii="David" w:hAnsi="David"/>
                <w:noProof/>
              </w:rPr>
              <w:drawing>
                <wp:inline distT="0" distB="0" distL="0" distR="0" wp14:anchorId="37B27AF3" wp14:editId="55239691">
                  <wp:extent cx="734291" cy="734291"/>
                  <wp:effectExtent l="0" t="0" r="8890" b="8890"/>
                  <wp:docPr id="5" name="Picture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708" cy="736708"/>
                          </a:xfrm>
                          <a:prstGeom prst="rect">
                            <a:avLst/>
                          </a:prstGeom>
                          <a:noFill/>
                          <a:ln>
                            <a:noFill/>
                          </a:ln>
                        </pic:spPr>
                      </pic:pic>
                    </a:graphicData>
                  </a:graphic>
                </wp:inline>
              </w:drawing>
            </w:r>
          </w:p>
        </w:tc>
        <w:tc>
          <w:tcPr>
            <w:tcW w:w="2840" w:type="dxa"/>
            <w:tcBorders>
              <w:top w:val="nil"/>
              <w:left w:val="nil"/>
              <w:bottom w:val="nil"/>
              <w:right w:val="nil"/>
            </w:tcBorders>
            <w:vAlign w:val="center"/>
          </w:tcPr>
          <w:p w14:paraId="43531470" w14:textId="1405A8BB" w:rsidR="00073D8C" w:rsidRPr="002A5A2B" w:rsidRDefault="00073D8C" w:rsidP="00DD1338">
            <w:pPr>
              <w:spacing w:line="480" w:lineRule="auto"/>
              <w:jc w:val="right"/>
              <w:rPr>
                <w:rFonts w:ascii="David" w:hAnsi="David"/>
                <w:sz w:val="24"/>
                <w:szCs w:val="24"/>
              </w:rPr>
            </w:pPr>
            <w:r w:rsidRPr="002A5A2B">
              <w:rPr>
                <w:rFonts w:ascii="David" w:hAnsi="David"/>
                <w:sz w:val="24"/>
                <w:szCs w:val="24"/>
                <w:rtl/>
              </w:rPr>
              <w:t xml:space="preserve">ירושלים, </w:t>
            </w:r>
            <w:r>
              <w:rPr>
                <w:rFonts w:ascii="David" w:hAnsi="David" w:hint="cs"/>
                <w:sz w:val="24"/>
                <w:szCs w:val="24"/>
                <w:rtl/>
              </w:rPr>
              <w:t>י"</w:t>
            </w:r>
            <w:r w:rsidR="00DD1338">
              <w:rPr>
                <w:rFonts w:ascii="David" w:hAnsi="David" w:hint="cs"/>
                <w:sz w:val="24"/>
                <w:szCs w:val="24"/>
                <w:rtl/>
              </w:rPr>
              <w:t>ב</w:t>
            </w:r>
            <w:r>
              <w:rPr>
                <w:rFonts w:ascii="David" w:hAnsi="David" w:hint="cs"/>
                <w:sz w:val="24"/>
                <w:szCs w:val="24"/>
                <w:rtl/>
              </w:rPr>
              <w:t xml:space="preserve"> בכסלו</w:t>
            </w:r>
            <w:r w:rsidRPr="002A5A2B">
              <w:rPr>
                <w:rFonts w:ascii="David" w:hAnsi="David"/>
                <w:sz w:val="24"/>
                <w:szCs w:val="24"/>
                <w:rtl/>
              </w:rPr>
              <w:t xml:space="preserve"> תשפ"ב</w:t>
            </w:r>
          </w:p>
          <w:p w14:paraId="6543E793" w14:textId="70913C40" w:rsidR="00073D8C" w:rsidRPr="002A5A2B" w:rsidRDefault="00073D8C" w:rsidP="00073D8C">
            <w:pPr>
              <w:spacing w:line="480" w:lineRule="auto"/>
              <w:jc w:val="right"/>
              <w:rPr>
                <w:rFonts w:ascii="David" w:hAnsi="David"/>
                <w:sz w:val="24"/>
                <w:szCs w:val="24"/>
              </w:rPr>
            </w:pPr>
            <w:r w:rsidRPr="002A5A2B">
              <w:rPr>
                <w:rFonts w:ascii="David" w:hAnsi="David"/>
                <w:sz w:val="24"/>
                <w:szCs w:val="24"/>
                <w:highlight w:val="yellow"/>
                <w:rtl/>
              </w:rPr>
              <w:t>‏‏</w:t>
            </w:r>
            <w:r>
              <w:rPr>
                <w:rFonts w:ascii="David" w:hAnsi="David" w:hint="cs"/>
                <w:sz w:val="24"/>
                <w:szCs w:val="24"/>
                <w:rtl/>
              </w:rPr>
              <w:t>16</w:t>
            </w:r>
            <w:r w:rsidRPr="002A5A2B">
              <w:rPr>
                <w:rFonts w:ascii="David" w:hAnsi="David"/>
                <w:sz w:val="24"/>
                <w:szCs w:val="24"/>
                <w:rtl/>
              </w:rPr>
              <w:t xml:space="preserve"> ב</w:t>
            </w:r>
            <w:r>
              <w:rPr>
                <w:rFonts w:ascii="David" w:hAnsi="David" w:hint="cs"/>
                <w:sz w:val="24"/>
                <w:szCs w:val="24"/>
                <w:rtl/>
              </w:rPr>
              <w:t>נובמב</w:t>
            </w:r>
            <w:r w:rsidRPr="002A5A2B">
              <w:rPr>
                <w:rFonts w:ascii="David" w:hAnsi="David"/>
                <w:sz w:val="24"/>
                <w:szCs w:val="24"/>
                <w:rtl/>
              </w:rPr>
              <w:t>ר 2021</w:t>
            </w:r>
          </w:p>
        </w:tc>
      </w:tr>
    </w:tbl>
    <w:p w14:paraId="22E90257" w14:textId="77777777" w:rsidR="00073D8C" w:rsidRPr="002A5A2B" w:rsidRDefault="00073D8C" w:rsidP="00073D8C">
      <w:pPr>
        <w:rPr>
          <w:rFonts w:ascii="David" w:hAnsi="David"/>
          <w:rtl/>
        </w:rPr>
      </w:pPr>
    </w:p>
    <w:p w14:paraId="600B9726" w14:textId="77777777" w:rsidR="00073D8C" w:rsidRPr="002A5A2B" w:rsidRDefault="00073D8C" w:rsidP="00073D8C">
      <w:pPr>
        <w:ind w:right="-101"/>
        <w:rPr>
          <w:rFonts w:ascii="David" w:hAnsi="David"/>
          <w:sz w:val="24"/>
          <w:szCs w:val="24"/>
          <w:rtl/>
        </w:rPr>
      </w:pPr>
      <w:r w:rsidRPr="002A5A2B">
        <w:rPr>
          <w:rFonts w:ascii="David" w:hAnsi="David"/>
          <w:sz w:val="24"/>
          <w:szCs w:val="24"/>
          <w:rtl/>
        </w:rPr>
        <w:t>הודעה לעיתונות:</w:t>
      </w:r>
    </w:p>
    <w:p w14:paraId="1B232DBC" w14:textId="4A191816" w:rsidR="006706DA" w:rsidRPr="00073D8C" w:rsidRDefault="006706DA" w:rsidP="006706DA">
      <w:pPr>
        <w:spacing w:before="240"/>
        <w:jc w:val="center"/>
        <w:rPr>
          <w:b/>
          <w:bCs/>
          <w:sz w:val="28"/>
          <w:szCs w:val="28"/>
          <w:rtl/>
        </w:rPr>
      </w:pPr>
      <w:r w:rsidRPr="00073D8C">
        <w:rPr>
          <w:rFonts w:hint="cs"/>
          <w:b/>
          <w:bCs/>
          <w:sz w:val="28"/>
          <w:szCs w:val="28"/>
          <w:rtl/>
        </w:rPr>
        <w:t xml:space="preserve">סקירת התקציב לשנים 2021 </w:t>
      </w:r>
      <w:r w:rsidRPr="00073D8C">
        <w:rPr>
          <w:b/>
          <w:bCs/>
          <w:sz w:val="28"/>
          <w:szCs w:val="28"/>
          <w:rtl/>
        </w:rPr>
        <w:t>–</w:t>
      </w:r>
      <w:r w:rsidRPr="00073D8C">
        <w:rPr>
          <w:rFonts w:hint="cs"/>
          <w:b/>
          <w:bCs/>
          <w:sz w:val="28"/>
          <w:szCs w:val="28"/>
          <w:rtl/>
        </w:rPr>
        <w:t xml:space="preserve"> 2022 וההתפתחויות הצפויות בשנים הבאות</w:t>
      </w:r>
    </w:p>
    <w:p w14:paraId="3D659CAA" w14:textId="1A576BA4" w:rsidR="001D5972" w:rsidRPr="0016492F" w:rsidRDefault="001D5972" w:rsidP="00616AA3">
      <w:pPr>
        <w:pStyle w:val="a3"/>
        <w:numPr>
          <w:ilvl w:val="0"/>
          <w:numId w:val="1"/>
        </w:numPr>
        <w:spacing w:before="240"/>
      </w:pPr>
      <w:r w:rsidRPr="0016492F">
        <w:rPr>
          <w:rFonts w:hint="cs"/>
          <w:rtl/>
        </w:rPr>
        <w:t xml:space="preserve">תקציב המדינה לשנים 2021 ו-2022 </w:t>
      </w:r>
      <w:bookmarkStart w:id="0" w:name="_GoBack"/>
      <w:bookmarkEnd w:id="0"/>
      <w:r w:rsidRPr="0016492F">
        <w:rPr>
          <w:rFonts w:hint="cs"/>
          <w:rtl/>
        </w:rPr>
        <w:t>מאזן בין הרצון להימנע מצמצום פיסקלי, שעלול להאט את התאוששות המשק ממשבר הקורונה, לבין הימנעות מהגדלת הגירעון המבני באופן שיקשה על ניהול המדיניות הפיסקלית בעתיד.</w:t>
      </w:r>
    </w:p>
    <w:p w14:paraId="7E37FF98" w14:textId="77777777" w:rsidR="001D5972" w:rsidRPr="0016492F" w:rsidRDefault="001D5972" w:rsidP="001D5972">
      <w:pPr>
        <w:pStyle w:val="a3"/>
        <w:numPr>
          <w:ilvl w:val="0"/>
          <w:numId w:val="1"/>
        </w:numPr>
        <w:spacing w:before="240"/>
      </w:pPr>
      <w:r w:rsidRPr="0016492F">
        <w:rPr>
          <w:rFonts w:hint="cs"/>
          <w:rtl/>
        </w:rPr>
        <w:t>הגירעון הצפוי בשנת 2021 נמוך בהרבה מזה שהיה צפוי אך לפני כמה חודשים בזכות גידול מהיר בתקבולי המסים, המשקף את התמונה המקרו כלכלית החיובית ואת ההשפעה המינורית של גל התחלואה הרביעי, וכן גידול חריג בהשקעות בסקטור ההייטק, ביבוא מוצרי צריכה ובמכירות דירות.</w:t>
      </w:r>
    </w:p>
    <w:p w14:paraId="45556241" w14:textId="77777777" w:rsidR="001D5972" w:rsidRPr="0016492F" w:rsidRDefault="001D5972" w:rsidP="001D5972">
      <w:pPr>
        <w:pStyle w:val="a3"/>
        <w:numPr>
          <w:ilvl w:val="0"/>
          <w:numId w:val="1"/>
        </w:numPr>
        <w:spacing w:before="240"/>
      </w:pPr>
      <w:r w:rsidRPr="0016492F">
        <w:rPr>
          <w:rFonts w:hint="cs"/>
          <w:rtl/>
        </w:rPr>
        <w:t xml:space="preserve">הוצאות הממשלה לטיפול במשבר הקורונה, שהגיעו ל-69 מיליארדי ₪ בשנת 2020, הצטמצמו מאוד, והן ממוקדות כעת בעיקר במערכת הבריאות, במקום בסיוע למשקי בית ולעסקים. </w:t>
      </w:r>
    </w:p>
    <w:p w14:paraId="77A73126" w14:textId="77777777" w:rsidR="001D5972" w:rsidRPr="0016492F" w:rsidRDefault="001D5972" w:rsidP="001D5972">
      <w:pPr>
        <w:pStyle w:val="a3"/>
        <w:numPr>
          <w:ilvl w:val="0"/>
          <w:numId w:val="1"/>
        </w:numPr>
        <w:spacing w:before="240"/>
      </w:pPr>
      <w:r w:rsidRPr="0016492F">
        <w:rPr>
          <w:rFonts w:hint="cs"/>
          <w:rtl/>
        </w:rPr>
        <w:t xml:space="preserve">הקפאת הסכמי השכר במגזר הציבורי במסגרת עסקת החבילה במשק הקלה על בניית התקציב לשנים 2021 – 2022. חשוב שהסכמי השכר בשנים </w:t>
      </w:r>
      <w:r>
        <w:rPr>
          <w:rFonts w:hint="cs"/>
          <w:rtl/>
        </w:rPr>
        <w:t xml:space="preserve">הבאות </w:t>
      </w:r>
      <w:r w:rsidRPr="0016492F">
        <w:rPr>
          <w:rFonts w:hint="cs"/>
          <w:rtl/>
        </w:rPr>
        <w:t>י</w:t>
      </w:r>
      <w:r>
        <w:rPr>
          <w:rFonts w:hint="cs"/>
          <w:rtl/>
        </w:rPr>
        <w:t>ת</w:t>
      </w:r>
      <w:r w:rsidRPr="0016492F">
        <w:rPr>
          <w:rFonts w:hint="cs"/>
          <w:rtl/>
        </w:rPr>
        <w:t xml:space="preserve">בססו </w:t>
      </w:r>
      <w:r>
        <w:rPr>
          <w:rFonts w:hint="cs"/>
          <w:rtl/>
        </w:rPr>
        <w:t>על</w:t>
      </w:r>
      <w:r w:rsidRPr="0016492F">
        <w:rPr>
          <w:rFonts w:hint="cs"/>
          <w:rtl/>
        </w:rPr>
        <w:t xml:space="preserve"> האמון שנוצר בין השותפים לעסקה כדי לקדם רפורמות לייעול שירותי הממשלה, בפרט באמצעות אימוץ תהליכים דיגיטליים בעבודתה.</w:t>
      </w:r>
    </w:p>
    <w:p w14:paraId="64158154" w14:textId="77777777" w:rsidR="001D5972" w:rsidRPr="0016492F" w:rsidRDefault="001D5972" w:rsidP="001D5972">
      <w:pPr>
        <w:pStyle w:val="a3"/>
        <w:numPr>
          <w:ilvl w:val="0"/>
          <w:numId w:val="1"/>
        </w:numPr>
        <w:spacing w:before="240"/>
      </w:pPr>
      <w:r w:rsidRPr="0016492F">
        <w:rPr>
          <w:rFonts w:hint="cs"/>
          <w:rtl/>
        </w:rPr>
        <w:t xml:space="preserve">בהשוואה של תקציב 2022 לתקציב 2019 </w:t>
      </w:r>
      <w:r w:rsidRPr="0016492F">
        <w:rPr>
          <w:rtl/>
        </w:rPr>
        <w:t>–</w:t>
      </w:r>
      <w:r w:rsidRPr="0016492F">
        <w:rPr>
          <w:rFonts w:hint="cs"/>
          <w:rtl/>
        </w:rPr>
        <w:t xml:space="preserve"> השנה האחרונה שעבורה אושר תקציב, וטרם השפעות הקורונה </w:t>
      </w:r>
      <w:r w:rsidRPr="0016492F">
        <w:rPr>
          <w:rtl/>
        </w:rPr>
        <w:t>–</w:t>
      </w:r>
      <w:r w:rsidRPr="0016492F">
        <w:rPr>
          <w:rFonts w:hint="cs"/>
          <w:rtl/>
        </w:rPr>
        <w:t xml:space="preserve"> בולטת הירידה בתקציב הביטחון </w:t>
      </w:r>
      <w:r>
        <w:rPr>
          <w:rFonts w:hint="cs"/>
          <w:rtl/>
        </w:rPr>
        <w:t xml:space="preserve">ביחס לתוצר, </w:t>
      </w:r>
      <w:r w:rsidRPr="0016492F">
        <w:rPr>
          <w:rFonts w:hint="cs"/>
          <w:rtl/>
        </w:rPr>
        <w:t>בהמשך למגמה הרב-שנתית</w:t>
      </w:r>
      <w:r>
        <w:rPr>
          <w:rFonts w:hint="cs"/>
          <w:rtl/>
        </w:rPr>
        <w:t>,</w:t>
      </w:r>
      <w:r w:rsidRPr="0016492F">
        <w:rPr>
          <w:rFonts w:hint="cs"/>
          <w:rtl/>
        </w:rPr>
        <w:t xml:space="preserve"> לצד עליה ניכרת של תקציב ההשקעה בתשתיות, פרי הבשלת תכניות שקודמו בשנים האחרונות.</w:t>
      </w:r>
    </w:p>
    <w:p w14:paraId="280F5D8A" w14:textId="77777777" w:rsidR="001D5972" w:rsidRPr="0016492F" w:rsidRDefault="001D5972" w:rsidP="001D5972">
      <w:pPr>
        <w:pStyle w:val="a3"/>
        <w:numPr>
          <w:ilvl w:val="0"/>
          <w:numId w:val="1"/>
        </w:numPr>
        <w:spacing w:before="240"/>
        <w:rPr>
          <w:rtl/>
        </w:rPr>
      </w:pPr>
      <w:r w:rsidRPr="0016492F">
        <w:rPr>
          <w:rFonts w:hint="cs"/>
          <w:rtl/>
        </w:rPr>
        <w:t>התכנית הכלכלית שאושרה עם התקציב כוללת רפורמות חשובות שיתמכו בצמיחה בת-קיימא של המשק ובהגדלת הפריון, לצד מתן מענה למספר סוגיות מבניות בפעילות הממשלה ומבנה התקציב שייעלו את פעילות הממשלה ויחסכו לאורך זמן בעלויות תקציביות.</w:t>
      </w:r>
    </w:p>
    <w:p w14:paraId="708451CB" w14:textId="77777777" w:rsidR="001D5972" w:rsidRDefault="001D5972" w:rsidP="001D5972">
      <w:pPr>
        <w:pStyle w:val="a3"/>
        <w:numPr>
          <w:ilvl w:val="0"/>
          <w:numId w:val="1"/>
        </w:numPr>
        <w:spacing w:before="240"/>
      </w:pPr>
      <w:r w:rsidRPr="0016492F">
        <w:rPr>
          <w:rFonts w:hint="cs"/>
          <w:rtl/>
        </w:rPr>
        <w:t xml:space="preserve">תכנית החומש לחברה הערבית מקצה משאבים ניכרים לקידום ההון האנושי, התעסוקה, התשתיות ונושאים אחרים בחברה הערבית. </w:t>
      </w:r>
      <w:r>
        <w:rPr>
          <w:rFonts w:hint="cs"/>
          <w:rtl/>
        </w:rPr>
        <w:t>בנוסף,</w:t>
      </w:r>
      <w:r w:rsidRPr="0016492F">
        <w:rPr>
          <w:rFonts w:hint="cs"/>
          <w:rtl/>
        </w:rPr>
        <w:t xml:space="preserve"> מוטמעים בה מנגנונים שיוכלו לסייע להתגבר על החסמים שהקשו על מהלכים דומים </w:t>
      </w:r>
      <w:r w:rsidRPr="0016492F">
        <w:rPr>
          <w:rtl/>
        </w:rPr>
        <w:t>–</w:t>
      </w:r>
      <w:r w:rsidRPr="0016492F">
        <w:rPr>
          <w:rFonts w:hint="cs"/>
          <w:rtl/>
        </w:rPr>
        <w:t xml:space="preserve"> גם אם קטנים יותר </w:t>
      </w:r>
      <w:r w:rsidRPr="0016492F">
        <w:rPr>
          <w:rtl/>
        </w:rPr>
        <w:t>–</w:t>
      </w:r>
      <w:r w:rsidRPr="0016492F">
        <w:rPr>
          <w:rFonts w:hint="cs"/>
          <w:rtl/>
        </w:rPr>
        <w:t xml:space="preserve"> בעבר.</w:t>
      </w:r>
    </w:p>
    <w:p w14:paraId="1F42D0B5" w14:textId="77777777" w:rsidR="001D5972" w:rsidRPr="0016492F" w:rsidRDefault="001D5972" w:rsidP="001D5972">
      <w:pPr>
        <w:pStyle w:val="a3"/>
        <w:numPr>
          <w:ilvl w:val="0"/>
          <w:numId w:val="1"/>
        </w:numPr>
        <w:spacing w:before="240"/>
      </w:pPr>
      <w:r w:rsidRPr="0016492F">
        <w:rPr>
          <w:rFonts w:hint="cs"/>
          <w:rtl/>
        </w:rPr>
        <w:t xml:space="preserve">התכנית לתקצוב המטרו בגוש דן היא מהלך חשוב לקידום תשתית קריטית זו. עם זאת, הקיבוע בחוק של </w:t>
      </w:r>
      <w:r>
        <w:rPr>
          <w:rFonts w:hint="cs"/>
          <w:rtl/>
        </w:rPr>
        <w:t>חלוקת</w:t>
      </w:r>
      <w:r w:rsidRPr="0016492F">
        <w:rPr>
          <w:rFonts w:hint="cs"/>
          <w:rtl/>
        </w:rPr>
        <w:t xml:space="preserve"> המימון של הפרויקט בין הממשלה לבין התקבולים הייעודיים, שקיימת אי-ודאות רבה לגבי היקפם ומועד קבלתם, עלולה לעכב את ביצוע </w:t>
      </w:r>
      <w:r>
        <w:rPr>
          <w:rFonts w:hint="cs"/>
          <w:rtl/>
        </w:rPr>
        <w:t>הפרויקט ואת מימוש התועלות ממנו.</w:t>
      </w:r>
    </w:p>
    <w:p w14:paraId="614D8240" w14:textId="77777777" w:rsidR="001D5972" w:rsidRPr="0016492F" w:rsidRDefault="001D5972" w:rsidP="001D5972">
      <w:pPr>
        <w:pStyle w:val="a3"/>
        <w:numPr>
          <w:ilvl w:val="0"/>
          <w:numId w:val="1"/>
        </w:numPr>
        <w:spacing w:before="240"/>
      </w:pPr>
      <w:r w:rsidRPr="0016492F">
        <w:rPr>
          <w:rFonts w:hint="cs"/>
          <w:rtl/>
        </w:rPr>
        <w:t xml:space="preserve">העלאת גיל הפרישה לנשים </w:t>
      </w:r>
      <w:r>
        <w:rPr>
          <w:rFonts w:hint="cs"/>
          <w:rtl/>
        </w:rPr>
        <w:t>תקטין לאורך זמן</w:t>
      </w:r>
      <w:r w:rsidRPr="0016492F">
        <w:rPr>
          <w:rFonts w:hint="cs"/>
          <w:rtl/>
        </w:rPr>
        <w:t xml:space="preserve"> </w:t>
      </w:r>
      <w:r>
        <w:rPr>
          <w:rFonts w:hint="cs"/>
          <w:rtl/>
        </w:rPr>
        <w:t xml:space="preserve">את </w:t>
      </w:r>
      <w:r w:rsidRPr="0016492F">
        <w:rPr>
          <w:rFonts w:hint="cs"/>
          <w:rtl/>
        </w:rPr>
        <w:t>הוצאות הביטוח הלאומי</w:t>
      </w:r>
      <w:r>
        <w:rPr>
          <w:rFonts w:hint="cs"/>
          <w:rtl/>
        </w:rPr>
        <w:t xml:space="preserve"> ותתרום להגדלת התעסוקה של נשים מבוגרות</w:t>
      </w:r>
      <w:r w:rsidRPr="0016492F">
        <w:rPr>
          <w:rFonts w:hint="cs"/>
          <w:rtl/>
        </w:rPr>
        <w:t xml:space="preserve">. יותר מהצעות קודמות, מתווה </w:t>
      </w:r>
      <w:r>
        <w:rPr>
          <w:rFonts w:hint="cs"/>
          <w:rtl/>
        </w:rPr>
        <w:t xml:space="preserve">הסיוע </w:t>
      </w:r>
      <w:r w:rsidRPr="0016492F">
        <w:rPr>
          <w:rFonts w:hint="cs"/>
          <w:rtl/>
        </w:rPr>
        <w:t>שאושר מספק מענה לחלק ניכר מהקבוצות החלשות שייפגעו מההסדר.</w:t>
      </w:r>
    </w:p>
    <w:p w14:paraId="758AAA90" w14:textId="77777777" w:rsidR="001D5972" w:rsidRPr="0016492F" w:rsidRDefault="001D5972" w:rsidP="001D5972">
      <w:pPr>
        <w:pStyle w:val="a3"/>
        <w:numPr>
          <w:ilvl w:val="0"/>
          <w:numId w:val="1"/>
        </w:numPr>
        <w:spacing w:before="240"/>
      </w:pPr>
      <w:r w:rsidRPr="0016492F">
        <w:rPr>
          <w:rFonts w:hint="cs"/>
          <w:rtl/>
        </w:rPr>
        <w:t xml:space="preserve">החלפת איגרות החוב המיועדות במנגנון הבטחת תשואה לקרנות הפנסיה </w:t>
      </w:r>
      <w:r>
        <w:rPr>
          <w:rFonts w:hint="cs"/>
          <w:rtl/>
        </w:rPr>
        <w:t xml:space="preserve">תוכל לייצר </w:t>
      </w:r>
      <w:r w:rsidRPr="0016492F">
        <w:rPr>
          <w:rFonts w:hint="cs"/>
          <w:rtl/>
        </w:rPr>
        <w:t xml:space="preserve">חיסכון תקציבי ניכר לאורך זמן, אך </w:t>
      </w:r>
      <w:r>
        <w:rPr>
          <w:rFonts w:hint="cs"/>
          <w:rtl/>
        </w:rPr>
        <w:t xml:space="preserve">טמונים בה </w:t>
      </w:r>
      <w:r w:rsidRPr="0016492F">
        <w:rPr>
          <w:rFonts w:hint="cs"/>
          <w:rtl/>
        </w:rPr>
        <w:t xml:space="preserve">גם סיכונים פיננסיים לא מבוטלים. חשוב </w:t>
      </w:r>
      <w:r>
        <w:rPr>
          <w:rFonts w:hint="cs"/>
          <w:rtl/>
        </w:rPr>
        <w:t>לנהל את ה</w:t>
      </w:r>
      <w:r w:rsidRPr="0016492F">
        <w:rPr>
          <w:rFonts w:hint="cs"/>
          <w:rtl/>
        </w:rPr>
        <w:t xml:space="preserve">סיכונים </w:t>
      </w:r>
      <w:r>
        <w:rPr>
          <w:rFonts w:hint="cs"/>
          <w:rtl/>
        </w:rPr>
        <w:t>ה</w:t>
      </w:r>
      <w:r w:rsidRPr="0016492F">
        <w:rPr>
          <w:rFonts w:hint="cs"/>
          <w:rtl/>
        </w:rPr>
        <w:t xml:space="preserve">אלה בזהירות, שכן </w:t>
      </w:r>
      <w:r>
        <w:rPr>
          <w:rFonts w:hint="cs"/>
          <w:rtl/>
        </w:rPr>
        <w:t>אופיים ו</w:t>
      </w:r>
      <w:r w:rsidRPr="0016492F">
        <w:rPr>
          <w:rFonts w:hint="cs"/>
          <w:rtl/>
        </w:rPr>
        <w:t xml:space="preserve">גודלם </w:t>
      </w:r>
      <w:r>
        <w:rPr>
          <w:rFonts w:hint="cs"/>
          <w:rtl/>
        </w:rPr>
        <w:t xml:space="preserve">שונים </w:t>
      </w:r>
      <w:r w:rsidRPr="0016492F">
        <w:rPr>
          <w:rFonts w:hint="cs"/>
          <w:rtl/>
        </w:rPr>
        <w:t xml:space="preserve">מאלו שקיימים </w:t>
      </w:r>
      <w:r>
        <w:rPr>
          <w:rFonts w:hint="cs"/>
          <w:rtl/>
        </w:rPr>
        <w:t>ברכיבים האחרים של התקציב</w:t>
      </w:r>
      <w:r w:rsidRPr="0016492F">
        <w:rPr>
          <w:rFonts w:hint="cs"/>
          <w:rtl/>
        </w:rPr>
        <w:t>.</w:t>
      </w:r>
    </w:p>
    <w:p w14:paraId="63BE43EE" w14:textId="77777777" w:rsidR="001D5972" w:rsidRPr="0016492F" w:rsidRDefault="001D5972" w:rsidP="001D5972">
      <w:pPr>
        <w:pStyle w:val="a3"/>
        <w:numPr>
          <w:ilvl w:val="0"/>
          <w:numId w:val="1"/>
        </w:numPr>
        <w:spacing w:before="240"/>
      </w:pPr>
      <w:r w:rsidRPr="0016492F">
        <w:rPr>
          <w:rFonts w:hint="cs"/>
          <w:rtl/>
        </w:rPr>
        <w:t>קיים פער לא מבוטל בין אומדן עלות המחויבויות הקיימות של הממשלה לבין רמת ההוצאה שמ</w:t>
      </w:r>
      <w:r>
        <w:rPr>
          <w:rFonts w:hint="cs"/>
          <w:rtl/>
        </w:rPr>
        <w:t>אפשר</w:t>
      </w:r>
      <w:r w:rsidRPr="0016492F">
        <w:rPr>
          <w:rFonts w:hint="cs"/>
          <w:rtl/>
        </w:rPr>
        <w:t xml:space="preserve"> כלל ההוצאה לשנים שאחרי 2022. בעבר, כמו </w:t>
      </w:r>
      <w:r>
        <w:rPr>
          <w:rFonts w:hint="cs"/>
          <w:rtl/>
        </w:rPr>
        <w:t xml:space="preserve">גם </w:t>
      </w:r>
      <w:r w:rsidRPr="0016492F">
        <w:rPr>
          <w:rFonts w:hint="cs"/>
          <w:rtl/>
        </w:rPr>
        <w:t>השנה, פערים כאלה הובילו להעלאת תקרת ההוצאה.</w:t>
      </w:r>
    </w:p>
    <w:p w14:paraId="1540F7C7" w14:textId="77777777" w:rsidR="001D5972" w:rsidRPr="0016492F" w:rsidRDefault="001D5972" w:rsidP="001D5972">
      <w:pPr>
        <w:pStyle w:val="a3"/>
        <w:numPr>
          <w:ilvl w:val="0"/>
          <w:numId w:val="1"/>
        </w:numPr>
        <w:spacing w:before="240"/>
      </w:pPr>
      <w:r w:rsidRPr="0016492F">
        <w:rPr>
          <w:rFonts w:hint="cs"/>
          <w:rtl/>
        </w:rPr>
        <w:lastRenderedPageBreak/>
        <w:t>לקראת התקציב הבא חשוב לבחון את תרומ</w:t>
      </w:r>
      <w:r>
        <w:rPr>
          <w:rFonts w:hint="cs"/>
          <w:rtl/>
        </w:rPr>
        <w:t>ת</w:t>
      </w:r>
      <w:r w:rsidRPr="0016492F">
        <w:rPr>
          <w:rFonts w:hint="cs"/>
          <w:rtl/>
        </w:rPr>
        <w:t xml:space="preserve"> תקרת ההוצאה ואת רמתה והמבנה שלה</w:t>
      </w:r>
      <w:r>
        <w:rPr>
          <w:rFonts w:hint="cs"/>
          <w:rtl/>
        </w:rPr>
        <w:t>,</w:t>
      </w:r>
      <w:r w:rsidRPr="0016492F">
        <w:rPr>
          <w:rFonts w:hint="cs"/>
          <w:rtl/>
        </w:rPr>
        <w:t xml:space="preserve"> בראי הצורך לקדם את ההשקעות הפרמננטיות הנדרשות בתשתיות והון אנושי כדי לסגור את פערי הפריון </w:t>
      </w:r>
      <w:r>
        <w:rPr>
          <w:rFonts w:hint="cs"/>
          <w:rtl/>
        </w:rPr>
        <w:t>בין ישראל</w:t>
      </w:r>
      <w:r w:rsidRPr="0016492F">
        <w:rPr>
          <w:rFonts w:hint="cs"/>
          <w:rtl/>
        </w:rPr>
        <w:t xml:space="preserve"> </w:t>
      </w:r>
      <w:r>
        <w:rPr>
          <w:rFonts w:hint="cs"/>
          <w:rtl/>
        </w:rPr>
        <w:t>ל</w:t>
      </w:r>
      <w:r w:rsidRPr="0016492F">
        <w:rPr>
          <w:rFonts w:hint="cs"/>
          <w:rtl/>
        </w:rPr>
        <w:t xml:space="preserve">מדינות המפותחות, ולאור החשיבות של שמירה על מרווח פיסקלי.  </w:t>
      </w:r>
    </w:p>
    <w:p w14:paraId="6AF0510E" w14:textId="786E397F" w:rsidR="00953EDC" w:rsidRDefault="001D5972" w:rsidP="001D5972">
      <w:pPr>
        <w:pStyle w:val="a3"/>
        <w:numPr>
          <w:ilvl w:val="0"/>
          <w:numId w:val="1"/>
        </w:numPr>
        <w:spacing w:before="240"/>
      </w:pPr>
      <w:r w:rsidRPr="0016492F">
        <w:rPr>
          <w:rFonts w:hint="cs"/>
          <w:rtl/>
        </w:rPr>
        <w:t>עדכו</w:t>
      </w:r>
      <w:r>
        <w:rPr>
          <w:rFonts w:hint="cs"/>
          <w:rtl/>
        </w:rPr>
        <w:t>ן ה</w:t>
      </w:r>
      <w:r w:rsidRPr="0016492F">
        <w:rPr>
          <w:rFonts w:hint="cs"/>
          <w:rtl/>
        </w:rPr>
        <w:t xml:space="preserve">נתונים ההיסטוריים של החשבונאות </w:t>
      </w:r>
      <w:r>
        <w:rPr>
          <w:rFonts w:hint="cs"/>
          <w:rtl/>
        </w:rPr>
        <w:t>הלאומית</w:t>
      </w:r>
      <w:r w:rsidRPr="0016492F">
        <w:rPr>
          <w:rFonts w:hint="cs"/>
          <w:rtl/>
        </w:rPr>
        <w:t xml:space="preserve"> </w:t>
      </w:r>
      <w:r>
        <w:rPr>
          <w:rFonts w:hint="cs"/>
          <w:rtl/>
        </w:rPr>
        <w:t>הביא להערכה</w:t>
      </w:r>
      <w:r w:rsidRPr="0016492F">
        <w:rPr>
          <w:rFonts w:hint="cs"/>
          <w:rtl/>
        </w:rPr>
        <w:t xml:space="preserve"> אופטימית יותר של פוטנציאל הצמיחה של המשק </w:t>
      </w:r>
      <w:r>
        <w:rPr>
          <w:rFonts w:hint="cs"/>
          <w:rtl/>
        </w:rPr>
        <w:t>ב</w:t>
      </w:r>
      <w:r w:rsidRPr="0016492F">
        <w:rPr>
          <w:rFonts w:hint="cs"/>
          <w:rtl/>
        </w:rPr>
        <w:t>המשך העשור</w:t>
      </w:r>
      <w:r>
        <w:rPr>
          <w:rFonts w:hint="cs"/>
          <w:rtl/>
        </w:rPr>
        <w:t>, ה</w:t>
      </w:r>
      <w:r w:rsidRPr="0016492F">
        <w:rPr>
          <w:rFonts w:hint="cs"/>
          <w:rtl/>
        </w:rPr>
        <w:t>מתבטא</w:t>
      </w:r>
      <w:r>
        <w:rPr>
          <w:rFonts w:hint="cs"/>
          <w:rtl/>
        </w:rPr>
        <w:t>ת</w:t>
      </w:r>
      <w:r w:rsidRPr="0016492F">
        <w:rPr>
          <w:rFonts w:hint="cs"/>
          <w:rtl/>
        </w:rPr>
        <w:t xml:space="preserve"> במרווח גדול יותר לעיצוב מדיניות התקציב. </w:t>
      </w:r>
      <w:r w:rsidRPr="0066354E">
        <w:rPr>
          <w:rFonts w:hint="cs"/>
          <w:rtl/>
        </w:rPr>
        <w:t>עם זאת,</w:t>
      </w:r>
      <w:r>
        <w:rPr>
          <w:rFonts w:hint="cs"/>
          <w:rtl/>
        </w:rPr>
        <w:t xml:space="preserve"> בשל הגירעון המבני הגבוה,</w:t>
      </w:r>
      <w:r w:rsidRPr="0016492F">
        <w:rPr>
          <w:rFonts w:hint="cs"/>
          <w:rtl/>
        </w:rPr>
        <w:t xml:space="preserve"> הרחבה ניכרת של ההשקעות תוך </w:t>
      </w:r>
      <w:r>
        <w:rPr>
          <w:rFonts w:hint="cs"/>
          <w:rtl/>
        </w:rPr>
        <w:t>שמירה על</w:t>
      </w:r>
      <w:r w:rsidRPr="0016492F">
        <w:rPr>
          <w:rFonts w:hint="cs"/>
          <w:rtl/>
        </w:rPr>
        <w:t xml:space="preserve"> יחס חוב לתוצר</w:t>
      </w:r>
      <w:r>
        <w:rPr>
          <w:rFonts w:hint="cs"/>
          <w:rtl/>
        </w:rPr>
        <w:t xml:space="preserve"> יציב, וכל שכן יורד,</w:t>
      </w:r>
      <w:r w:rsidRPr="0016492F">
        <w:rPr>
          <w:rFonts w:hint="cs"/>
          <w:rtl/>
        </w:rPr>
        <w:t xml:space="preserve"> עדיין מחייבת ל</w:t>
      </w:r>
      <w:r>
        <w:rPr>
          <w:rFonts w:hint="cs"/>
          <w:rtl/>
        </w:rPr>
        <w:t>אמץ במקביל</w:t>
      </w:r>
      <w:r w:rsidRPr="0016492F">
        <w:rPr>
          <w:rFonts w:hint="cs"/>
          <w:rtl/>
        </w:rPr>
        <w:t xml:space="preserve"> תמהיל של ריסון הגידול בהוצאות אחרות והעלאת מסים.</w:t>
      </w:r>
    </w:p>
    <w:p w14:paraId="206282B2" w14:textId="77777777" w:rsidR="00C851DE" w:rsidRDefault="00C851DE" w:rsidP="00660B42">
      <w:pPr>
        <w:spacing w:before="240"/>
        <w:rPr>
          <w:rtl/>
        </w:rPr>
      </w:pPr>
      <w:r>
        <w:rPr>
          <w:rFonts w:hint="cs"/>
          <w:rtl/>
        </w:rPr>
        <w:t xml:space="preserve">בנק ישראל מפרסם היום סקירה הבוחנת את </w:t>
      </w:r>
      <w:r w:rsidR="00660B42">
        <w:rPr>
          <w:rFonts w:hint="cs"/>
          <w:rtl/>
        </w:rPr>
        <w:t xml:space="preserve">תקציב המדינה והתכנית הכלכלית לשנים 2021 ו-2022, שאושרו בכנסת, את תמונת המצב הפיסקלית בשנה הנוכחית ואת זו הצפויה בשנים הקרובות ובהמשך העשור. </w:t>
      </w:r>
    </w:p>
    <w:p w14:paraId="7E3C9CD5" w14:textId="77777777" w:rsidR="00660B42" w:rsidRPr="00660B42" w:rsidRDefault="00660B42" w:rsidP="00660B42">
      <w:pPr>
        <w:spacing w:before="240"/>
        <w:rPr>
          <w:rtl/>
        </w:rPr>
      </w:pPr>
      <w:r w:rsidRPr="00660B42">
        <w:rPr>
          <w:rFonts w:hint="eastAsia"/>
          <w:rtl/>
        </w:rPr>
        <w:t>מסגרת</w:t>
      </w:r>
      <w:r w:rsidRPr="00660B42">
        <w:rPr>
          <w:rtl/>
        </w:rPr>
        <w:t xml:space="preserve"> </w:t>
      </w:r>
      <w:r w:rsidRPr="00660B42">
        <w:rPr>
          <w:rFonts w:hint="eastAsia"/>
          <w:rtl/>
        </w:rPr>
        <w:t>התקציב</w:t>
      </w:r>
      <w:r w:rsidRPr="00660B42">
        <w:rPr>
          <w:rtl/>
        </w:rPr>
        <w:t xml:space="preserve"> </w:t>
      </w:r>
      <w:r w:rsidRPr="00660B42">
        <w:rPr>
          <w:rFonts w:hint="eastAsia"/>
          <w:rtl/>
        </w:rPr>
        <w:t>והרכבו</w:t>
      </w:r>
      <w:r w:rsidRPr="00660B42">
        <w:rPr>
          <w:rtl/>
        </w:rPr>
        <w:t xml:space="preserve"> </w:t>
      </w:r>
      <w:r w:rsidRPr="00660B42">
        <w:rPr>
          <w:rFonts w:hint="eastAsia"/>
          <w:rtl/>
        </w:rPr>
        <w:t>משקפים</w:t>
      </w:r>
      <w:r w:rsidRPr="00660B42">
        <w:rPr>
          <w:rtl/>
        </w:rPr>
        <w:t xml:space="preserve"> </w:t>
      </w:r>
      <w:r w:rsidRPr="00660B42">
        <w:rPr>
          <w:rFonts w:hint="eastAsia"/>
          <w:rtl/>
        </w:rPr>
        <w:t>מספר</w:t>
      </w:r>
      <w:r w:rsidRPr="00660B42">
        <w:rPr>
          <w:rtl/>
        </w:rPr>
        <w:t xml:space="preserve"> </w:t>
      </w:r>
      <w:r w:rsidRPr="00660B42">
        <w:rPr>
          <w:rFonts w:hint="eastAsia"/>
          <w:rtl/>
        </w:rPr>
        <w:t>שיקולים</w:t>
      </w:r>
      <w:r w:rsidRPr="00660B42">
        <w:rPr>
          <w:rtl/>
        </w:rPr>
        <w:t xml:space="preserve"> </w:t>
      </w:r>
      <w:r w:rsidRPr="00660B42">
        <w:rPr>
          <w:rFonts w:hint="eastAsia"/>
          <w:rtl/>
        </w:rPr>
        <w:t>מקרו</w:t>
      </w:r>
      <w:r w:rsidRPr="00660B42">
        <w:rPr>
          <w:rtl/>
        </w:rPr>
        <w:t xml:space="preserve"> </w:t>
      </w:r>
      <w:r w:rsidRPr="00660B42">
        <w:rPr>
          <w:rFonts w:hint="eastAsia"/>
          <w:rtl/>
        </w:rPr>
        <w:t>כלכליים</w:t>
      </w:r>
      <w:r w:rsidRPr="00660B42">
        <w:rPr>
          <w:rtl/>
        </w:rPr>
        <w:t xml:space="preserve"> </w:t>
      </w:r>
      <w:r w:rsidRPr="00660B42">
        <w:rPr>
          <w:rFonts w:hint="eastAsia"/>
          <w:rtl/>
        </w:rPr>
        <w:t>חשובים</w:t>
      </w:r>
      <w:r w:rsidRPr="00660B42">
        <w:rPr>
          <w:rtl/>
        </w:rPr>
        <w:t>: 1. הצורך להתחשב במצב המשק</w:t>
      </w:r>
      <w:r w:rsidRPr="00660B42">
        <w:rPr>
          <w:rFonts w:hint="cs"/>
          <w:rtl/>
        </w:rPr>
        <w:t>:</w:t>
      </w:r>
      <w:r w:rsidRPr="00660B42">
        <w:rPr>
          <w:rtl/>
        </w:rPr>
        <w:t xml:space="preserve"> </w:t>
      </w:r>
      <w:r w:rsidRPr="00660B42">
        <w:rPr>
          <w:rFonts w:hint="cs"/>
          <w:rtl/>
        </w:rPr>
        <w:t>מחד, נדרש להבטיח שהתקציב</w:t>
      </w:r>
      <w:r w:rsidRPr="00660B42">
        <w:rPr>
          <w:rtl/>
        </w:rPr>
        <w:t xml:space="preserve"> לא ירסן </w:t>
      </w:r>
      <w:r w:rsidRPr="00660B42">
        <w:rPr>
          <w:rFonts w:hint="eastAsia"/>
          <w:rtl/>
        </w:rPr>
        <w:t>את</w:t>
      </w:r>
      <w:r w:rsidRPr="00660B42">
        <w:rPr>
          <w:rtl/>
        </w:rPr>
        <w:t xml:space="preserve"> הפעילות </w:t>
      </w:r>
      <w:r w:rsidRPr="00660B42">
        <w:rPr>
          <w:rFonts w:hint="eastAsia"/>
          <w:rtl/>
        </w:rPr>
        <w:t>לפני</w:t>
      </w:r>
      <w:r w:rsidRPr="00660B42">
        <w:rPr>
          <w:rtl/>
        </w:rPr>
        <w:t xml:space="preserve"> שהמשק </w:t>
      </w:r>
      <w:r w:rsidRPr="00660B42">
        <w:rPr>
          <w:rFonts w:hint="cs"/>
          <w:rtl/>
        </w:rPr>
        <w:t>נחלץ</w:t>
      </w:r>
      <w:r w:rsidRPr="00660B42">
        <w:rPr>
          <w:rtl/>
        </w:rPr>
        <w:t xml:space="preserve"> ממשבר</w:t>
      </w:r>
      <w:r w:rsidRPr="00660B42">
        <w:rPr>
          <w:rFonts w:hint="cs"/>
          <w:rtl/>
        </w:rPr>
        <w:t xml:space="preserve"> הקורונה.</w:t>
      </w:r>
      <w:r w:rsidRPr="00660B42">
        <w:rPr>
          <w:rtl/>
        </w:rPr>
        <w:t xml:space="preserve"> </w:t>
      </w:r>
      <w:r w:rsidRPr="00660B42">
        <w:rPr>
          <w:rFonts w:hint="cs"/>
          <w:rtl/>
        </w:rPr>
        <w:t>מאידך, נדרש שהתקציב</w:t>
      </w:r>
      <w:r w:rsidRPr="00660B42">
        <w:rPr>
          <w:rtl/>
        </w:rPr>
        <w:t xml:space="preserve"> לא יגדיל את הגרעון המבני – שהיה גבוה עוד לפני המשבר</w:t>
      </w:r>
      <w:r w:rsidRPr="00660B42">
        <w:rPr>
          <w:rFonts w:hint="cs"/>
          <w:rtl/>
        </w:rPr>
        <w:t xml:space="preserve">; </w:t>
      </w:r>
      <w:r w:rsidRPr="00660B42">
        <w:rPr>
          <w:rtl/>
        </w:rPr>
        <w:t xml:space="preserve">2. </w:t>
      </w:r>
      <w:r w:rsidRPr="00660B42">
        <w:rPr>
          <w:rFonts w:hint="eastAsia"/>
          <w:rtl/>
        </w:rPr>
        <w:t>מתן</w:t>
      </w:r>
      <w:r w:rsidRPr="00660B42">
        <w:rPr>
          <w:rtl/>
        </w:rPr>
        <w:t xml:space="preserve"> </w:t>
      </w:r>
      <w:r w:rsidRPr="00660B42">
        <w:rPr>
          <w:rFonts w:hint="eastAsia"/>
          <w:rtl/>
        </w:rPr>
        <w:t>מענה</w:t>
      </w:r>
      <w:r w:rsidRPr="00660B42">
        <w:rPr>
          <w:rtl/>
        </w:rPr>
        <w:t xml:space="preserve"> </w:t>
      </w:r>
      <w:r w:rsidRPr="00660B42">
        <w:rPr>
          <w:rFonts w:hint="eastAsia"/>
          <w:rtl/>
        </w:rPr>
        <w:t>לנושאים</w:t>
      </w:r>
      <w:r w:rsidRPr="00660B42">
        <w:rPr>
          <w:rtl/>
        </w:rPr>
        <w:t xml:space="preserve"> </w:t>
      </w:r>
      <w:r w:rsidRPr="00660B42">
        <w:rPr>
          <w:rFonts w:hint="eastAsia"/>
          <w:rtl/>
        </w:rPr>
        <w:t>מבניים</w:t>
      </w:r>
      <w:r w:rsidRPr="00660B42">
        <w:rPr>
          <w:rtl/>
        </w:rPr>
        <w:t xml:space="preserve"> </w:t>
      </w:r>
      <w:r w:rsidRPr="00660B42">
        <w:rPr>
          <w:rFonts w:hint="eastAsia"/>
          <w:rtl/>
        </w:rPr>
        <w:t>שחשובים</w:t>
      </w:r>
      <w:r w:rsidRPr="00660B42">
        <w:rPr>
          <w:rtl/>
        </w:rPr>
        <w:t xml:space="preserve"> </w:t>
      </w:r>
      <w:r w:rsidRPr="00660B42">
        <w:rPr>
          <w:rFonts w:hint="eastAsia"/>
          <w:rtl/>
        </w:rPr>
        <w:t>לצמיחה</w:t>
      </w:r>
      <w:r w:rsidRPr="00660B42">
        <w:rPr>
          <w:rtl/>
        </w:rPr>
        <w:t xml:space="preserve"> </w:t>
      </w:r>
      <w:r w:rsidRPr="00660B42">
        <w:rPr>
          <w:rFonts w:hint="eastAsia"/>
          <w:rtl/>
        </w:rPr>
        <w:t>ארוכת</w:t>
      </w:r>
      <w:r w:rsidRPr="00660B42">
        <w:rPr>
          <w:rtl/>
        </w:rPr>
        <w:t xml:space="preserve"> </w:t>
      </w:r>
      <w:r w:rsidRPr="00660B42">
        <w:rPr>
          <w:rFonts w:hint="eastAsia"/>
          <w:rtl/>
        </w:rPr>
        <w:t>הטווח</w:t>
      </w:r>
      <w:r w:rsidRPr="00660B42">
        <w:rPr>
          <w:rFonts w:hint="cs"/>
          <w:rtl/>
        </w:rPr>
        <w:t>,</w:t>
      </w:r>
      <w:r w:rsidRPr="00660B42">
        <w:rPr>
          <w:rtl/>
        </w:rPr>
        <w:t xml:space="preserve"> </w:t>
      </w:r>
      <w:r w:rsidRPr="00660B42">
        <w:rPr>
          <w:rFonts w:hint="eastAsia"/>
          <w:rtl/>
        </w:rPr>
        <w:t>שלא</w:t>
      </w:r>
      <w:r w:rsidRPr="00660B42">
        <w:rPr>
          <w:rtl/>
        </w:rPr>
        <w:t xml:space="preserve"> </w:t>
      </w:r>
      <w:r w:rsidRPr="00660B42">
        <w:rPr>
          <w:rFonts w:hint="eastAsia"/>
          <w:rtl/>
        </w:rPr>
        <w:t>טופלו</w:t>
      </w:r>
      <w:r w:rsidRPr="00660B42">
        <w:rPr>
          <w:rtl/>
        </w:rPr>
        <w:t xml:space="preserve"> </w:t>
      </w:r>
      <w:r w:rsidRPr="00660B42">
        <w:rPr>
          <w:rFonts w:hint="eastAsia"/>
          <w:rtl/>
        </w:rPr>
        <w:t>בשנים</w:t>
      </w:r>
      <w:r w:rsidRPr="00660B42">
        <w:rPr>
          <w:rFonts w:hint="cs"/>
          <w:rtl/>
        </w:rPr>
        <w:t xml:space="preserve"> במסגרת התקציב ההמשכי</w:t>
      </w:r>
      <w:r w:rsidRPr="00660B42">
        <w:rPr>
          <w:rtl/>
        </w:rPr>
        <w:t xml:space="preserve">; 3. </w:t>
      </w:r>
      <w:r w:rsidRPr="00660B42">
        <w:rPr>
          <w:rFonts w:hint="eastAsia"/>
          <w:rtl/>
        </w:rPr>
        <w:t>החזרת</w:t>
      </w:r>
      <w:r w:rsidRPr="00660B42">
        <w:rPr>
          <w:rtl/>
        </w:rPr>
        <w:t xml:space="preserve"> </w:t>
      </w:r>
      <w:r w:rsidRPr="00660B42">
        <w:rPr>
          <w:rFonts w:hint="eastAsia"/>
          <w:rtl/>
        </w:rPr>
        <w:t>היציבות</w:t>
      </w:r>
      <w:r w:rsidRPr="00660B42">
        <w:rPr>
          <w:rtl/>
        </w:rPr>
        <w:t xml:space="preserve"> </w:t>
      </w:r>
      <w:r w:rsidRPr="00660B42">
        <w:rPr>
          <w:rFonts w:hint="eastAsia"/>
          <w:rtl/>
        </w:rPr>
        <w:t>התפעולית</w:t>
      </w:r>
      <w:r w:rsidRPr="00660B42">
        <w:rPr>
          <w:rtl/>
        </w:rPr>
        <w:t xml:space="preserve"> </w:t>
      </w:r>
      <w:r w:rsidRPr="00660B42">
        <w:rPr>
          <w:rFonts w:hint="eastAsia"/>
          <w:rtl/>
        </w:rPr>
        <w:t>לעבודת</w:t>
      </w:r>
      <w:r w:rsidRPr="00660B42">
        <w:rPr>
          <w:rtl/>
        </w:rPr>
        <w:t xml:space="preserve"> </w:t>
      </w:r>
      <w:r w:rsidRPr="00660B42">
        <w:rPr>
          <w:rFonts w:hint="eastAsia"/>
          <w:rtl/>
        </w:rPr>
        <w:t>משרדי</w:t>
      </w:r>
      <w:r w:rsidRPr="00660B42">
        <w:rPr>
          <w:rtl/>
        </w:rPr>
        <w:t xml:space="preserve"> </w:t>
      </w:r>
      <w:r w:rsidRPr="00660B42">
        <w:rPr>
          <w:rFonts w:hint="eastAsia"/>
          <w:rtl/>
        </w:rPr>
        <w:t>הממשלה</w:t>
      </w:r>
      <w:r w:rsidRPr="00660B42">
        <w:rPr>
          <w:rtl/>
        </w:rPr>
        <w:t xml:space="preserve">, </w:t>
      </w:r>
      <w:r w:rsidRPr="00660B42">
        <w:rPr>
          <w:rFonts w:hint="cs"/>
          <w:rtl/>
        </w:rPr>
        <w:t>ששובשה בשל הפעילות הממושכת</w:t>
      </w:r>
      <w:r w:rsidRPr="00660B42">
        <w:rPr>
          <w:rtl/>
        </w:rPr>
        <w:t xml:space="preserve"> </w:t>
      </w:r>
      <w:r w:rsidRPr="00660B42">
        <w:rPr>
          <w:rFonts w:hint="eastAsia"/>
          <w:rtl/>
        </w:rPr>
        <w:t>על</w:t>
      </w:r>
      <w:r w:rsidRPr="00660B42">
        <w:rPr>
          <w:rtl/>
        </w:rPr>
        <w:t xml:space="preserve"> </w:t>
      </w:r>
      <w:r w:rsidRPr="00660B42">
        <w:rPr>
          <w:rFonts w:hint="eastAsia"/>
          <w:rtl/>
        </w:rPr>
        <w:t>בסיס</w:t>
      </w:r>
      <w:r w:rsidRPr="00660B42">
        <w:rPr>
          <w:rtl/>
        </w:rPr>
        <w:t xml:space="preserve"> </w:t>
      </w:r>
      <w:r w:rsidRPr="00660B42">
        <w:rPr>
          <w:rFonts w:hint="eastAsia"/>
          <w:rtl/>
        </w:rPr>
        <w:t>תקציב</w:t>
      </w:r>
      <w:r w:rsidRPr="00660B42">
        <w:rPr>
          <w:rtl/>
        </w:rPr>
        <w:t xml:space="preserve"> </w:t>
      </w:r>
      <w:r w:rsidRPr="00660B42">
        <w:rPr>
          <w:rFonts w:hint="eastAsia"/>
          <w:rtl/>
        </w:rPr>
        <w:t>המשכי</w:t>
      </w:r>
      <w:r w:rsidRPr="00660B42">
        <w:rPr>
          <w:rtl/>
        </w:rPr>
        <w:t>.</w:t>
      </w:r>
      <w:r w:rsidRPr="00660B42">
        <w:rPr>
          <w:rFonts w:hint="cs"/>
          <w:rtl/>
        </w:rPr>
        <w:t xml:space="preserve"> </w:t>
      </w:r>
    </w:p>
    <w:p w14:paraId="7659A417" w14:textId="77777777" w:rsidR="00660B42" w:rsidRPr="00660B42" w:rsidRDefault="00660B42" w:rsidP="00660B42">
      <w:pPr>
        <w:spacing w:before="240"/>
        <w:rPr>
          <w:rtl/>
        </w:rPr>
      </w:pPr>
      <w:r w:rsidRPr="00660B42">
        <w:rPr>
          <w:rFonts w:hint="eastAsia"/>
          <w:rtl/>
        </w:rPr>
        <w:t>התקציב</w:t>
      </w:r>
      <w:r w:rsidRPr="00660B42">
        <w:rPr>
          <w:rtl/>
        </w:rPr>
        <w:t xml:space="preserve"> </w:t>
      </w:r>
      <w:r w:rsidRPr="00660B42">
        <w:rPr>
          <w:rFonts w:hint="cs"/>
          <w:rtl/>
        </w:rPr>
        <w:t>שאושר</w:t>
      </w:r>
      <w:r w:rsidRPr="00660B42">
        <w:rPr>
          <w:rtl/>
        </w:rPr>
        <w:t xml:space="preserve"> </w:t>
      </w:r>
      <w:r w:rsidRPr="00660B42">
        <w:rPr>
          <w:rFonts w:hint="eastAsia"/>
          <w:rtl/>
        </w:rPr>
        <w:t>נותן</w:t>
      </w:r>
      <w:r w:rsidRPr="00660B42">
        <w:rPr>
          <w:rtl/>
        </w:rPr>
        <w:t xml:space="preserve"> </w:t>
      </w:r>
      <w:r w:rsidRPr="00660B42">
        <w:rPr>
          <w:rFonts w:hint="eastAsia"/>
          <w:rtl/>
        </w:rPr>
        <w:t>מענה</w:t>
      </w:r>
      <w:r w:rsidRPr="00660B42">
        <w:rPr>
          <w:rtl/>
        </w:rPr>
        <w:t xml:space="preserve"> </w:t>
      </w:r>
      <w:r w:rsidRPr="00660B42">
        <w:rPr>
          <w:rFonts w:hint="eastAsia"/>
          <w:rtl/>
        </w:rPr>
        <w:t>טוב</w:t>
      </w:r>
      <w:r w:rsidRPr="00660B42">
        <w:rPr>
          <w:rtl/>
        </w:rPr>
        <w:t xml:space="preserve"> </w:t>
      </w:r>
      <w:r w:rsidRPr="00660B42">
        <w:rPr>
          <w:rFonts w:hint="eastAsia"/>
          <w:rtl/>
        </w:rPr>
        <w:t>לסוגיות</w:t>
      </w:r>
      <w:r w:rsidRPr="00660B42">
        <w:rPr>
          <w:rtl/>
        </w:rPr>
        <w:t xml:space="preserve"> </w:t>
      </w:r>
      <w:r w:rsidRPr="00660B42">
        <w:rPr>
          <w:rFonts w:hint="eastAsia"/>
          <w:rtl/>
        </w:rPr>
        <w:t>אלה</w:t>
      </w:r>
      <w:r w:rsidRPr="00660B42">
        <w:rPr>
          <w:rtl/>
        </w:rPr>
        <w:t xml:space="preserve">. </w:t>
      </w:r>
      <w:r w:rsidRPr="00660B42">
        <w:rPr>
          <w:rFonts w:hint="eastAsia"/>
          <w:rtl/>
        </w:rPr>
        <w:t>יעד</w:t>
      </w:r>
      <w:r w:rsidRPr="00660B42">
        <w:rPr>
          <w:rtl/>
        </w:rPr>
        <w:t xml:space="preserve"> </w:t>
      </w:r>
      <w:r w:rsidRPr="00660B42">
        <w:rPr>
          <w:rFonts w:hint="eastAsia"/>
          <w:rtl/>
        </w:rPr>
        <w:t>הגרעון</w:t>
      </w:r>
      <w:r w:rsidRPr="00660B42">
        <w:rPr>
          <w:rtl/>
        </w:rPr>
        <w:t xml:space="preserve"> </w:t>
      </w:r>
      <w:r w:rsidRPr="00660B42">
        <w:rPr>
          <w:rFonts w:hint="eastAsia"/>
          <w:rtl/>
        </w:rPr>
        <w:t>נקבע</w:t>
      </w:r>
      <w:r w:rsidRPr="00660B42">
        <w:rPr>
          <w:rtl/>
        </w:rPr>
        <w:t xml:space="preserve"> </w:t>
      </w:r>
      <w:r w:rsidRPr="00660B42">
        <w:rPr>
          <w:rFonts w:hint="eastAsia"/>
          <w:rtl/>
        </w:rPr>
        <w:t>ברמה</w:t>
      </w:r>
      <w:r w:rsidRPr="00660B42">
        <w:rPr>
          <w:rtl/>
        </w:rPr>
        <w:t xml:space="preserve"> </w:t>
      </w:r>
      <w:r w:rsidRPr="00660B42">
        <w:rPr>
          <w:rFonts w:hint="eastAsia"/>
          <w:rtl/>
        </w:rPr>
        <w:t>דומה</w:t>
      </w:r>
      <w:r w:rsidRPr="00660B42">
        <w:rPr>
          <w:rtl/>
        </w:rPr>
        <w:t xml:space="preserve"> </w:t>
      </w:r>
      <w:r w:rsidRPr="00660B42">
        <w:rPr>
          <w:rFonts w:hint="eastAsia"/>
          <w:rtl/>
        </w:rPr>
        <w:t>לגרעון</w:t>
      </w:r>
      <w:r w:rsidRPr="00660B42">
        <w:rPr>
          <w:rtl/>
        </w:rPr>
        <w:t xml:space="preserve"> </w:t>
      </w:r>
      <w:r w:rsidRPr="00660B42">
        <w:rPr>
          <w:rFonts w:hint="eastAsia"/>
          <w:rtl/>
        </w:rPr>
        <w:t>המבני</w:t>
      </w:r>
      <w:r w:rsidRPr="00660B42">
        <w:rPr>
          <w:rtl/>
        </w:rPr>
        <w:t xml:space="preserve"> </w:t>
      </w:r>
      <w:r w:rsidRPr="00660B42">
        <w:rPr>
          <w:rFonts w:hint="eastAsia"/>
          <w:rtl/>
        </w:rPr>
        <w:t>ששרר</w:t>
      </w:r>
      <w:r w:rsidRPr="00660B42">
        <w:rPr>
          <w:rtl/>
        </w:rPr>
        <w:t xml:space="preserve"> </w:t>
      </w:r>
      <w:r w:rsidRPr="00660B42">
        <w:rPr>
          <w:rFonts w:hint="eastAsia"/>
          <w:rtl/>
        </w:rPr>
        <w:t>במשק</w:t>
      </w:r>
      <w:r w:rsidRPr="00660B42">
        <w:rPr>
          <w:rtl/>
        </w:rPr>
        <w:t xml:space="preserve"> </w:t>
      </w:r>
      <w:r w:rsidRPr="00660B42">
        <w:rPr>
          <w:rFonts w:hint="eastAsia"/>
          <w:rtl/>
        </w:rPr>
        <w:t>לפני</w:t>
      </w:r>
      <w:r w:rsidRPr="00660B42">
        <w:rPr>
          <w:rtl/>
        </w:rPr>
        <w:t xml:space="preserve"> </w:t>
      </w:r>
      <w:r w:rsidRPr="00660B42">
        <w:rPr>
          <w:rFonts w:hint="eastAsia"/>
          <w:rtl/>
        </w:rPr>
        <w:t>משבר</w:t>
      </w:r>
      <w:r w:rsidRPr="00660B42">
        <w:rPr>
          <w:rtl/>
        </w:rPr>
        <w:t xml:space="preserve"> </w:t>
      </w:r>
      <w:r w:rsidRPr="00660B42">
        <w:rPr>
          <w:rFonts w:hint="eastAsia"/>
          <w:rtl/>
        </w:rPr>
        <w:t>הקורונה</w:t>
      </w:r>
      <w:r w:rsidRPr="00660B42">
        <w:rPr>
          <w:rtl/>
        </w:rPr>
        <w:t xml:space="preserve">, </w:t>
      </w:r>
      <w:r w:rsidRPr="00660B42">
        <w:rPr>
          <w:rFonts w:hint="eastAsia"/>
          <w:rtl/>
        </w:rPr>
        <w:t>מה</w:t>
      </w:r>
      <w:r w:rsidRPr="00660B42">
        <w:rPr>
          <w:rtl/>
        </w:rPr>
        <w:t xml:space="preserve"> </w:t>
      </w:r>
      <w:r w:rsidRPr="00660B42">
        <w:rPr>
          <w:rFonts w:hint="eastAsia"/>
          <w:rtl/>
        </w:rPr>
        <w:t>שמאפשר</w:t>
      </w:r>
      <w:r w:rsidRPr="00660B42">
        <w:rPr>
          <w:rtl/>
        </w:rPr>
        <w:t xml:space="preserve"> </w:t>
      </w:r>
      <w:r w:rsidRPr="00660B42">
        <w:rPr>
          <w:rFonts w:hint="eastAsia"/>
          <w:rtl/>
        </w:rPr>
        <w:t>להימנע</w:t>
      </w:r>
      <w:r w:rsidRPr="00660B42">
        <w:rPr>
          <w:rtl/>
        </w:rPr>
        <w:t xml:space="preserve"> </w:t>
      </w:r>
      <w:r w:rsidRPr="00660B42">
        <w:rPr>
          <w:rFonts w:hint="eastAsia"/>
          <w:rtl/>
        </w:rPr>
        <w:t>מריסון</w:t>
      </w:r>
      <w:r w:rsidRPr="00660B42">
        <w:rPr>
          <w:rtl/>
        </w:rPr>
        <w:t xml:space="preserve"> </w:t>
      </w:r>
      <w:r w:rsidRPr="00660B42">
        <w:rPr>
          <w:rFonts w:hint="eastAsia"/>
          <w:rtl/>
        </w:rPr>
        <w:t>פיסקלי</w:t>
      </w:r>
      <w:r w:rsidRPr="00660B42">
        <w:rPr>
          <w:rtl/>
        </w:rPr>
        <w:t xml:space="preserve"> </w:t>
      </w:r>
      <w:r w:rsidRPr="00660B42">
        <w:rPr>
          <w:rFonts w:hint="eastAsia"/>
          <w:rtl/>
        </w:rPr>
        <w:t>בשנת</w:t>
      </w:r>
      <w:r w:rsidRPr="00660B42">
        <w:rPr>
          <w:rtl/>
        </w:rPr>
        <w:t xml:space="preserve"> 2022 </w:t>
      </w:r>
      <w:r w:rsidRPr="00660B42">
        <w:rPr>
          <w:rFonts w:hint="eastAsia"/>
          <w:rtl/>
        </w:rPr>
        <w:t>עד</w:t>
      </w:r>
      <w:r w:rsidRPr="00660B42">
        <w:rPr>
          <w:rtl/>
        </w:rPr>
        <w:t xml:space="preserve"> </w:t>
      </w:r>
      <w:r w:rsidRPr="00660B42">
        <w:rPr>
          <w:rFonts w:hint="eastAsia"/>
          <w:rtl/>
        </w:rPr>
        <w:t>שיתברר</w:t>
      </w:r>
      <w:r w:rsidRPr="00660B42">
        <w:rPr>
          <w:rtl/>
        </w:rPr>
        <w:t xml:space="preserve"> </w:t>
      </w:r>
      <w:r w:rsidRPr="00660B42">
        <w:rPr>
          <w:rFonts w:hint="eastAsia"/>
          <w:rtl/>
        </w:rPr>
        <w:t>שהמשק</w:t>
      </w:r>
      <w:r w:rsidRPr="00660B42">
        <w:rPr>
          <w:rtl/>
        </w:rPr>
        <w:t xml:space="preserve"> </w:t>
      </w:r>
      <w:r w:rsidRPr="00660B42">
        <w:rPr>
          <w:rFonts w:hint="eastAsia"/>
          <w:rtl/>
        </w:rPr>
        <w:t>אכן</w:t>
      </w:r>
      <w:r w:rsidRPr="00660B42">
        <w:rPr>
          <w:rtl/>
        </w:rPr>
        <w:t xml:space="preserve"> </w:t>
      </w:r>
      <w:r w:rsidRPr="00660B42">
        <w:rPr>
          <w:rFonts w:hint="eastAsia"/>
          <w:rtl/>
        </w:rPr>
        <w:t>נחלץ</w:t>
      </w:r>
      <w:r w:rsidRPr="00660B42">
        <w:rPr>
          <w:rtl/>
        </w:rPr>
        <w:t xml:space="preserve"> </w:t>
      </w:r>
      <w:r w:rsidRPr="00660B42">
        <w:rPr>
          <w:rFonts w:hint="eastAsia"/>
          <w:rtl/>
        </w:rPr>
        <w:t>ממשבר</w:t>
      </w:r>
      <w:r w:rsidRPr="00660B42">
        <w:rPr>
          <w:rtl/>
        </w:rPr>
        <w:t xml:space="preserve"> </w:t>
      </w:r>
      <w:r w:rsidRPr="00660B42">
        <w:rPr>
          <w:rFonts w:hint="eastAsia"/>
          <w:rtl/>
        </w:rPr>
        <w:t>הקורונה</w:t>
      </w:r>
      <w:r w:rsidRPr="00660B42">
        <w:rPr>
          <w:rtl/>
        </w:rPr>
        <w:t xml:space="preserve">. </w:t>
      </w:r>
      <w:r w:rsidRPr="00660B42">
        <w:rPr>
          <w:rFonts w:hint="eastAsia"/>
          <w:rtl/>
        </w:rPr>
        <w:t>מאידך</w:t>
      </w:r>
      <w:r w:rsidRPr="00660B42">
        <w:rPr>
          <w:rtl/>
        </w:rPr>
        <w:t xml:space="preserve">, </w:t>
      </w:r>
      <w:r w:rsidRPr="00660B42">
        <w:rPr>
          <w:rFonts w:hint="eastAsia"/>
          <w:rtl/>
        </w:rPr>
        <w:t>התקציב</w:t>
      </w:r>
      <w:r w:rsidRPr="00660B42">
        <w:rPr>
          <w:rtl/>
        </w:rPr>
        <w:t xml:space="preserve"> </w:t>
      </w:r>
      <w:r w:rsidRPr="00660B42">
        <w:rPr>
          <w:rFonts w:hint="eastAsia"/>
          <w:rtl/>
        </w:rPr>
        <w:t>אינו</w:t>
      </w:r>
      <w:r w:rsidRPr="00660B42">
        <w:rPr>
          <w:rtl/>
        </w:rPr>
        <w:t xml:space="preserve"> </w:t>
      </w:r>
      <w:r w:rsidRPr="00660B42">
        <w:rPr>
          <w:rFonts w:hint="eastAsia"/>
          <w:rtl/>
        </w:rPr>
        <w:t>מגדיל</w:t>
      </w:r>
      <w:r w:rsidRPr="00660B42">
        <w:rPr>
          <w:rtl/>
        </w:rPr>
        <w:t xml:space="preserve"> </w:t>
      </w:r>
      <w:r w:rsidRPr="00660B42">
        <w:rPr>
          <w:rFonts w:hint="eastAsia"/>
          <w:rtl/>
        </w:rPr>
        <w:t>את</w:t>
      </w:r>
      <w:r w:rsidRPr="00660B42">
        <w:rPr>
          <w:rtl/>
        </w:rPr>
        <w:t xml:space="preserve"> </w:t>
      </w:r>
      <w:r w:rsidRPr="00660B42">
        <w:rPr>
          <w:rFonts w:hint="eastAsia"/>
          <w:rtl/>
        </w:rPr>
        <w:t>הגרעון</w:t>
      </w:r>
      <w:r w:rsidRPr="00660B42">
        <w:rPr>
          <w:rtl/>
        </w:rPr>
        <w:t xml:space="preserve"> </w:t>
      </w:r>
      <w:r w:rsidRPr="00660B42">
        <w:rPr>
          <w:rFonts w:hint="eastAsia"/>
          <w:rtl/>
        </w:rPr>
        <w:t>המבני</w:t>
      </w:r>
      <w:r w:rsidRPr="00660B42">
        <w:rPr>
          <w:rtl/>
        </w:rPr>
        <w:t xml:space="preserve"> </w:t>
      </w:r>
      <w:r w:rsidRPr="00660B42">
        <w:rPr>
          <w:rFonts w:hint="eastAsia"/>
          <w:rtl/>
        </w:rPr>
        <w:t>כך</w:t>
      </w:r>
      <w:r w:rsidRPr="00660B42">
        <w:rPr>
          <w:rtl/>
        </w:rPr>
        <w:t xml:space="preserve"> </w:t>
      </w:r>
      <w:r w:rsidRPr="00660B42">
        <w:rPr>
          <w:rFonts w:hint="eastAsia"/>
          <w:rtl/>
        </w:rPr>
        <w:t>שהוא</w:t>
      </w:r>
      <w:r w:rsidRPr="00660B42">
        <w:rPr>
          <w:rtl/>
        </w:rPr>
        <w:t xml:space="preserve"> </w:t>
      </w:r>
      <w:r w:rsidRPr="00660B42">
        <w:rPr>
          <w:rFonts w:hint="eastAsia"/>
          <w:rtl/>
        </w:rPr>
        <w:t>מאפשר</w:t>
      </w:r>
      <w:r w:rsidRPr="00660B42">
        <w:rPr>
          <w:rtl/>
        </w:rPr>
        <w:t xml:space="preserve"> </w:t>
      </w:r>
      <w:r w:rsidRPr="00660B42">
        <w:rPr>
          <w:rFonts w:hint="eastAsia"/>
          <w:rtl/>
        </w:rPr>
        <w:t>ל</w:t>
      </w:r>
      <w:r w:rsidRPr="00660B42">
        <w:rPr>
          <w:rFonts w:hint="cs"/>
          <w:rtl/>
        </w:rPr>
        <w:t>י</w:t>
      </w:r>
      <w:r w:rsidRPr="00660B42">
        <w:rPr>
          <w:rFonts w:hint="eastAsia"/>
          <w:rtl/>
        </w:rPr>
        <w:t>יצב</w:t>
      </w:r>
      <w:r w:rsidRPr="00660B42">
        <w:rPr>
          <w:rtl/>
        </w:rPr>
        <w:t xml:space="preserve"> </w:t>
      </w:r>
      <w:r w:rsidRPr="00660B42">
        <w:rPr>
          <w:rFonts w:hint="eastAsia"/>
          <w:rtl/>
        </w:rPr>
        <w:t>את</w:t>
      </w:r>
      <w:r w:rsidRPr="00660B42">
        <w:rPr>
          <w:rtl/>
        </w:rPr>
        <w:t xml:space="preserve"> </w:t>
      </w:r>
      <w:r w:rsidRPr="00660B42">
        <w:rPr>
          <w:rFonts w:hint="eastAsia"/>
          <w:rtl/>
        </w:rPr>
        <w:t>יחס</w:t>
      </w:r>
      <w:r w:rsidRPr="00660B42">
        <w:rPr>
          <w:rtl/>
        </w:rPr>
        <w:t xml:space="preserve"> </w:t>
      </w:r>
      <w:r w:rsidRPr="00660B42">
        <w:rPr>
          <w:rFonts w:hint="eastAsia"/>
          <w:rtl/>
        </w:rPr>
        <w:t>החוב</w:t>
      </w:r>
      <w:r w:rsidRPr="00660B42">
        <w:rPr>
          <w:rtl/>
        </w:rPr>
        <w:t xml:space="preserve"> </w:t>
      </w:r>
      <w:r w:rsidRPr="00660B42">
        <w:rPr>
          <w:rFonts w:hint="eastAsia"/>
          <w:rtl/>
        </w:rPr>
        <w:t>לתוצר</w:t>
      </w:r>
      <w:r w:rsidRPr="00660B42">
        <w:rPr>
          <w:rtl/>
        </w:rPr>
        <w:t xml:space="preserve"> </w:t>
      </w:r>
      <w:r w:rsidRPr="00660B42">
        <w:rPr>
          <w:rFonts w:hint="eastAsia"/>
          <w:rtl/>
        </w:rPr>
        <w:t>ולהיערך</w:t>
      </w:r>
      <w:r w:rsidRPr="00660B42">
        <w:rPr>
          <w:rtl/>
        </w:rPr>
        <w:t xml:space="preserve"> </w:t>
      </w:r>
      <w:r w:rsidRPr="00660B42">
        <w:rPr>
          <w:rFonts w:hint="eastAsia"/>
          <w:rtl/>
        </w:rPr>
        <w:t>לתכנון</w:t>
      </w:r>
      <w:r w:rsidRPr="00660B42">
        <w:rPr>
          <w:rtl/>
        </w:rPr>
        <w:t xml:space="preserve"> </w:t>
      </w:r>
      <w:r w:rsidRPr="00660B42">
        <w:rPr>
          <w:rFonts w:hint="eastAsia"/>
          <w:rtl/>
        </w:rPr>
        <w:t>פיסקלי</w:t>
      </w:r>
      <w:r w:rsidRPr="00660B42">
        <w:rPr>
          <w:rtl/>
        </w:rPr>
        <w:t xml:space="preserve"> </w:t>
      </w:r>
      <w:r w:rsidRPr="00660B42">
        <w:rPr>
          <w:rFonts w:hint="eastAsia"/>
          <w:rtl/>
        </w:rPr>
        <w:t>לטווח</w:t>
      </w:r>
      <w:r w:rsidRPr="00660B42">
        <w:rPr>
          <w:rtl/>
        </w:rPr>
        <w:t xml:space="preserve"> </w:t>
      </w:r>
      <w:r w:rsidRPr="00660B42">
        <w:rPr>
          <w:rFonts w:hint="eastAsia"/>
          <w:rtl/>
        </w:rPr>
        <w:t>הארוך</w:t>
      </w:r>
      <w:r w:rsidRPr="00660B42">
        <w:rPr>
          <w:rtl/>
        </w:rPr>
        <w:t xml:space="preserve"> </w:t>
      </w:r>
      <w:r w:rsidRPr="00660B42">
        <w:rPr>
          <w:rFonts w:hint="eastAsia"/>
          <w:rtl/>
        </w:rPr>
        <w:t>יותר</w:t>
      </w:r>
      <w:r w:rsidRPr="00660B42">
        <w:rPr>
          <w:rtl/>
        </w:rPr>
        <w:t xml:space="preserve"> </w:t>
      </w:r>
      <w:r w:rsidRPr="00660B42">
        <w:rPr>
          <w:rFonts w:hint="eastAsia"/>
          <w:rtl/>
        </w:rPr>
        <w:t>בתקציב</w:t>
      </w:r>
      <w:r w:rsidRPr="00660B42">
        <w:rPr>
          <w:rtl/>
        </w:rPr>
        <w:t xml:space="preserve"> </w:t>
      </w:r>
      <w:r w:rsidRPr="00660B42">
        <w:rPr>
          <w:rFonts w:hint="eastAsia"/>
          <w:rtl/>
        </w:rPr>
        <w:t>הבא</w:t>
      </w:r>
      <w:r w:rsidRPr="00660B42">
        <w:rPr>
          <w:rtl/>
        </w:rPr>
        <w:t xml:space="preserve">. </w:t>
      </w:r>
      <w:r w:rsidRPr="00660B42">
        <w:rPr>
          <w:rFonts w:hint="eastAsia"/>
          <w:rtl/>
        </w:rPr>
        <w:t>התכנית</w:t>
      </w:r>
      <w:r w:rsidRPr="00660B42">
        <w:rPr>
          <w:rtl/>
        </w:rPr>
        <w:t xml:space="preserve"> </w:t>
      </w:r>
      <w:r w:rsidRPr="00660B42">
        <w:rPr>
          <w:rFonts w:hint="eastAsia"/>
          <w:rtl/>
        </w:rPr>
        <w:t>הכלכלית</w:t>
      </w:r>
      <w:r w:rsidRPr="00660B42">
        <w:rPr>
          <w:rtl/>
        </w:rPr>
        <w:t xml:space="preserve"> </w:t>
      </w:r>
      <w:r w:rsidRPr="00660B42">
        <w:rPr>
          <w:rFonts w:hint="eastAsia"/>
          <w:rtl/>
        </w:rPr>
        <w:t>המלווה</w:t>
      </w:r>
      <w:r w:rsidRPr="00660B42">
        <w:rPr>
          <w:rtl/>
        </w:rPr>
        <w:t xml:space="preserve"> </w:t>
      </w:r>
      <w:r w:rsidRPr="00660B42">
        <w:rPr>
          <w:rFonts w:hint="eastAsia"/>
          <w:rtl/>
        </w:rPr>
        <w:t>את</w:t>
      </w:r>
      <w:r w:rsidRPr="00660B42">
        <w:rPr>
          <w:rtl/>
        </w:rPr>
        <w:t xml:space="preserve"> </w:t>
      </w:r>
      <w:r w:rsidRPr="00660B42">
        <w:rPr>
          <w:rFonts w:hint="eastAsia"/>
          <w:rtl/>
        </w:rPr>
        <w:t>התקציב</w:t>
      </w:r>
      <w:r w:rsidRPr="00660B42">
        <w:rPr>
          <w:rtl/>
        </w:rPr>
        <w:t xml:space="preserve"> </w:t>
      </w:r>
      <w:r w:rsidRPr="00660B42">
        <w:rPr>
          <w:rFonts w:hint="eastAsia"/>
          <w:rtl/>
        </w:rPr>
        <w:t>כוללת</w:t>
      </w:r>
      <w:r w:rsidRPr="00660B42">
        <w:rPr>
          <w:rtl/>
        </w:rPr>
        <w:t xml:space="preserve"> </w:t>
      </w:r>
      <w:r w:rsidRPr="00660B42">
        <w:rPr>
          <w:rFonts w:hint="eastAsia"/>
          <w:rtl/>
        </w:rPr>
        <w:t>רפורמות</w:t>
      </w:r>
      <w:r w:rsidRPr="00660B42">
        <w:rPr>
          <w:rtl/>
        </w:rPr>
        <w:t xml:space="preserve"> </w:t>
      </w:r>
      <w:r w:rsidRPr="00660B42">
        <w:rPr>
          <w:rFonts w:hint="eastAsia"/>
          <w:rtl/>
        </w:rPr>
        <w:t>חשובות</w:t>
      </w:r>
      <w:r w:rsidRPr="00660B42">
        <w:rPr>
          <w:rtl/>
        </w:rPr>
        <w:t xml:space="preserve"> </w:t>
      </w:r>
      <w:r w:rsidRPr="00660B42">
        <w:rPr>
          <w:rFonts w:hint="eastAsia"/>
          <w:rtl/>
        </w:rPr>
        <w:t>שיסייעו</w:t>
      </w:r>
      <w:r w:rsidRPr="00660B42">
        <w:rPr>
          <w:rtl/>
        </w:rPr>
        <w:t xml:space="preserve"> </w:t>
      </w:r>
      <w:r w:rsidRPr="00660B42">
        <w:rPr>
          <w:rFonts w:hint="eastAsia"/>
          <w:rtl/>
        </w:rPr>
        <w:t>להאצה</w:t>
      </w:r>
      <w:r w:rsidRPr="00660B42">
        <w:rPr>
          <w:rtl/>
        </w:rPr>
        <w:t xml:space="preserve"> </w:t>
      </w:r>
      <w:r w:rsidRPr="00660B42">
        <w:rPr>
          <w:rFonts w:hint="eastAsia"/>
          <w:rtl/>
        </w:rPr>
        <w:t>בת</w:t>
      </w:r>
      <w:r w:rsidRPr="00660B42">
        <w:rPr>
          <w:rtl/>
        </w:rPr>
        <w:t xml:space="preserve">-קיימא </w:t>
      </w:r>
      <w:r w:rsidRPr="00660B42">
        <w:rPr>
          <w:rFonts w:hint="eastAsia"/>
          <w:rtl/>
        </w:rPr>
        <w:t>של</w:t>
      </w:r>
      <w:r w:rsidRPr="00660B42">
        <w:rPr>
          <w:rtl/>
        </w:rPr>
        <w:t xml:space="preserve"> </w:t>
      </w:r>
      <w:r w:rsidRPr="00660B42">
        <w:rPr>
          <w:rFonts w:hint="eastAsia"/>
          <w:rtl/>
        </w:rPr>
        <w:t>גידול</w:t>
      </w:r>
      <w:r w:rsidRPr="00660B42">
        <w:rPr>
          <w:rtl/>
        </w:rPr>
        <w:t xml:space="preserve"> </w:t>
      </w:r>
      <w:r w:rsidRPr="00660B42">
        <w:rPr>
          <w:rFonts w:hint="eastAsia"/>
          <w:rtl/>
        </w:rPr>
        <w:t>התוצר</w:t>
      </w:r>
      <w:r w:rsidRPr="00660B42">
        <w:rPr>
          <w:rtl/>
        </w:rPr>
        <w:t xml:space="preserve"> </w:t>
      </w:r>
      <w:r w:rsidRPr="00660B42">
        <w:rPr>
          <w:rFonts w:hint="eastAsia"/>
          <w:rtl/>
        </w:rPr>
        <w:t>והפריון</w:t>
      </w:r>
      <w:r w:rsidRPr="00660B42">
        <w:rPr>
          <w:rtl/>
        </w:rPr>
        <w:t xml:space="preserve"> </w:t>
      </w:r>
      <w:r w:rsidRPr="00660B42">
        <w:rPr>
          <w:rFonts w:hint="eastAsia"/>
          <w:rtl/>
        </w:rPr>
        <w:t>ולהתמודדות</w:t>
      </w:r>
      <w:r w:rsidRPr="00660B42">
        <w:rPr>
          <w:rtl/>
        </w:rPr>
        <w:t xml:space="preserve"> </w:t>
      </w:r>
      <w:r w:rsidRPr="00660B42">
        <w:rPr>
          <w:rFonts w:hint="eastAsia"/>
          <w:rtl/>
        </w:rPr>
        <w:t>עם</w:t>
      </w:r>
      <w:r w:rsidRPr="00660B42">
        <w:rPr>
          <w:rtl/>
        </w:rPr>
        <w:t xml:space="preserve"> </w:t>
      </w:r>
      <w:r w:rsidRPr="00660B42">
        <w:rPr>
          <w:rFonts w:hint="eastAsia"/>
          <w:rtl/>
        </w:rPr>
        <w:t>סוגיות</w:t>
      </w:r>
      <w:r w:rsidRPr="00660B42">
        <w:rPr>
          <w:rtl/>
        </w:rPr>
        <w:t xml:space="preserve"> </w:t>
      </w:r>
      <w:r w:rsidRPr="00660B42">
        <w:rPr>
          <w:rFonts w:hint="eastAsia"/>
          <w:rtl/>
        </w:rPr>
        <w:t>חברתיות</w:t>
      </w:r>
      <w:r w:rsidRPr="00660B42">
        <w:rPr>
          <w:rtl/>
        </w:rPr>
        <w:t xml:space="preserve"> </w:t>
      </w:r>
      <w:r w:rsidRPr="00660B42">
        <w:rPr>
          <w:rFonts w:hint="eastAsia"/>
          <w:rtl/>
        </w:rPr>
        <w:t>אקוטיות</w:t>
      </w:r>
      <w:r w:rsidRPr="00660B42">
        <w:rPr>
          <w:rtl/>
        </w:rPr>
        <w:t xml:space="preserve">, </w:t>
      </w:r>
      <w:r w:rsidRPr="00660B42">
        <w:rPr>
          <w:rFonts w:hint="eastAsia"/>
          <w:rtl/>
        </w:rPr>
        <w:t>ומסגרות</w:t>
      </w:r>
      <w:r w:rsidRPr="00660B42">
        <w:rPr>
          <w:rtl/>
        </w:rPr>
        <w:t xml:space="preserve"> </w:t>
      </w:r>
      <w:r w:rsidRPr="00660B42">
        <w:rPr>
          <w:rFonts w:hint="eastAsia"/>
          <w:rtl/>
        </w:rPr>
        <w:t>התקציב</w:t>
      </w:r>
      <w:r w:rsidRPr="00660B42">
        <w:rPr>
          <w:rtl/>
        </w:rPr>
        <w:t xml:space="preserve"> </w:t>
      </w:r>
      <w:r w:rsidRPr="00660B42">
        <w:rPr>
          <w:rFonts w:hint="eastAsia"/>
          <w:rtl/>
        </w:rPr>
        <w:t>מסדירות</w:t>
      </w:r>
      <w:r w:rsidRPr="00660B42">
        <w:rPr>
          <w:rtl/>
        </w:rPr>
        <w:t xml:space="preserve"> </w:t>
      </w:r>
      <w:r w:rsidRPr="00660B42">
        <w:rPr>
          <w:rFonts w:hint="eastAsia"/>
          <w:rtl/>
        </w:rPr>
        <w:t>חלק</w:t>
      </w:r>
      <w:r w:rsidRPr="00660B42">
        <w:rPr>
          <w:rtl/>
        </w:rPr>
        <w:t xml:space="preserve"> </w:t>
      </w:r>
      <w:r w:rsidRPr="00660B42">
        <w:rPr>
          <w:rFonts w:hint="eastAsia"/>
          <w:rtl/>
        </w:rPr>
        <w:t>חשוב</w:t>
      </w:r>
      <w:r w:rsidRPr="00660B42">
        <w:rPr>
          <w:rtl/>
        </w:rPr>
        <w:t xml:space="preserve"> </w:t>
      </w:r>
      <w:r w:rsidRPr="00660B42">
        <w:rPr>
          <w:rFonts w:hint="eastAsia"/>
          <w:rtl/>
        </w:rPr>
        <w:t>מההתאמות</w:t>
      </w:r>
      <w:r w:rsidRPr="00660B42">
        <w:rPr>
          <w:rtl/>
        </w:rPr>
        <w:t xml:space="preserve"> </w:t>
      </w:r>
      <w:r w:rsidRPr="00660B42">
        <w:rPr>
          <w:rFonts w:hint="eastAsia"/>
          <w:rtl/>
        </w:rPr>
        <w:t>שנדרשו</w:t>
      </w:r>
      <w:r w:rsidRPr="00660B42">
        <w:rPr>
          <w:rtl/>
        </w:rPr>
        <w:t xml:space="preserve"> </w:t>
      </w:r>
      <w:r w:rsidRPr="00660B42">
        <w:rPr>
          <w:rFonts w:hint="eastAsia"/>
          <w:rtl/>
        </w:rPr>
        <w:t>בתקציבי</w:t>
      </w:r>
      <w:r w:rsidRPr="00660B42">
        <w:rPr>
          <w:rtl/>
        </w:rPr>
        <w:t xml:space="preserve"> </w:t>
      </w:r>
      <w:r w:rsidRPr="00660B42">
        <w:rPr>
          <w:rFonts w:hint="eastAsia"/>
          <w:rtl/>
        </w:rPr>
        <w:t>המשרדים</w:t>
      </w:r>
      <w:r w:rsidRPr="00660B42">
        <w:rPr>
          <w:rtl/>
        </w:rPr>
        <w:t xml:space="preserve"> </w:t>
      </w:r>
      <w:r w:rsidRPr="00660B42">
        <w:rPr>
          <w:rFonts w:hint="eastAsia"/>
          <w:rtl/>
        </w:rPr>
        <w:t>מאז</w:t>
      </w:r>
      <w:r w:rsidRPr="00660B42">
        <w:rPr>
          <w:rtl/>
        </w:rPr>
        <w:t xml:space="preserve"> </w:t>
      </w:r>
      <w:r w:rsidRPr="00660B42">
        <w:rPr>
          <w:rFonts w:hint="eastAsia"/>
          <w:rtl/>
        </w:rPr>
        <w:t>שאושר</w:t>
      </w:r>
      <w:r w:rsidRPr="00660B42">
        <w:rPr>
          <w:rtl/>
        </w:rPr>
        <w:t xml:space="preserve"> </w:t>
      </w:r>
      <w:r w:rsidRPr="00660B42">
        <w:rPr>
          <w:rFonts w:hint="eastAsia"/>
          <w:rtl/>
        </w:rPr>
        <w:t>התקציב</w:t>
      </w:r>
      <w:r w:rsidRPr="00660B42">
        <w:rPr>
          <w:rtl/>
        </w:rPr>
        <w:t xml:space="preserve"> </w:t>
      </w:r>
      <w:r w:rsidRPr="00660B42">
        <w:rPr>
          <w:rFonts w:hint="eastAsia"/>
          <w:rtl/>
        </w:rPr>
        <w:t>האחרון</w:t>
      </w:r>
      <w:r w:rsidRPr="00660B42">
        <w:rPr>
          <w:rtl/>
        </w:rPr>
        <w:t>.</w:t>
      </w:r>
      <w:r w:rsidRPr="00660B42">
        <w:rPr>
          <w:rFonts w:hint="cs"/>
          <w:rtl/>
        </w:rPr>
        <w:t xml:space="preserve"> בכך נוצרה גם תשתית לקידום שלב נוסף ברפורמות הדרושות לקידום המשק בתקציבי השנים 2023 ואילך.</w:t>
      </w:r>
    </w:p>
    <w:p w14:paraId="67F90B5A" w14:textId="4B43B290" w:rsidR="00F83F95" w:rsidRDefault="00EC1295" w:rsidP="00036BC3">
      <w:pPr>
        <w:spacing w:before="240"/>
        <w:rPr>
          <w:rtl/>
        </w:rPr>
      </w:pPr>
      <w:r>
        <w:rPr>
          <w:rFonts w:hint="cs"/>
          <w:rtl/>
        </w:rPr>
        <w:t xml:space="preserve">במהלך הדיונים על אישור התקציב הצטמצם מאוד </w:t>
      </w:r>
      <w:r w:rsidRPr="0016492F">
        <w:rPr>
          <w:rFonts w:hint="cs"/>
          <w:rtl/>
        </w:rPr>
        <w:t>הגירעון הצפוי בשנת 2021</w:t>
      </w:r>
      <w:r w:rsidR="006861EB">
        <w:rPr>
          <w:rFonts w:hint="cs"/>
          <w:rtl/>
        </w:rPr>
        <w:t>,</w:t>
      </w:r>
      <w:r w:rsidRPr="0016492F">
        <w:rPr>
          <w:rFonts w:hint="cs"/>
          <w:rtl/>
        </w:rPr>
        <w:t xml:space="preserve"> </w:t>
      </w:r>
      <w:r w:rsidR="006861EB">
        <w:rPr>
          <w:rFonts w:hint="cs"/>
          <w:rtl/>
        </w:rPr>
        <w:t xml:space="preserve">בעיקר </w:t>
      </w:r>
      <w:r w:rsidRPr="0016492F">
        <w:rPr>
          <w:rFonts w:hint="cs"/>
          <w:rtl/>
        </w:rPr>
        <w:t>בזכות גידול מהיר בתקבולי המסים</w:t>
      </w:r>
      <w:r w:rsidR="006861EB">
        <w:rPr>
          <w:rFonts w:hint="cs"/>
          <w:rtl/>
        </w:rPr>
        <w:t>, והוא צפוי כעת להסתכם ב-5 עד 5.5 אחוזי תוצר, לעומת היעד של 6.8 אחוזי תוצר שנקבע בעת אישורו בממשלה</w:t>
      </w:r>
      <w:r>
        <w:rPr>
          <w:rFonts w:hint="cs"/>
          <w:rtl/>
        </w:rPr>
        <w:t xml:space="preserve">. גידול זה </w:t>
      </w:r>
      <w:r w:rsidRPr="0016492F">
        <w:rPr>
          <w:rFonts w:hint="cs"/>
          <w:rtl/>
        </w:rPr>
        <w:t>משקף את התמונה המקרו כלכלית החיובית ואת ההשפעה המינורית של גל התחלואה הרביעי</w:t>
      </w:r>
      <w:r>
        <w:rPr>
          <w:rFonts w:hint="cs"/>
          <w:rtl/>
        </w:rPr>
        <w:t xml:space="preserve"> על המשק</w:t>
      </w:r>
      <w:r w:rsidRPr="0016492F">
        <w:rPr>
          <w:rFonts w:hint="cs"/>
          <w:rtl/>
        </w:rPr>
        <w:t xml:space="preserve">, </w:t>
      </w:r>
      <w:r w:rsidR="00A672C5">
        <w:rPr>
          <w:rFonts w:hint="cs"/>
          <w:rtl/>
        </w:rPr>
        <w:t>בזכות</w:t>
      </w:r>
      <w:r>
        <w:rPr>
          <w:rFonts w:hint="cs"/>
          <w:rtl/>
        </w:rPr>
        <w:t xml:space="preserve"> מיעוט ההגבלות שהטילה הממשלה על הפעילות הכלכלית</w:t>
      </w:r>
      <w:r w:rsidR="00A672C5">
        <w:rPr>
          <w:rFonts w:hint="cs"/>
          <w:rtl/>
        </w:rPr>
        <w:t>,</w:t>
      </w:r>
      <w:r>
        <w:rPr>
          <w:rFonts w:hint="cs"/>
          <w:rtl/>
        </w:rPr>
        <w:t xml:space="preserve"> ואת </w:t>
      </w:r>
      <w:r w:rsidR="00A672C5">
        <w:rPr>
          <w:rFonts w:hint="cs"/>
          <w:rtl/>
        </w:rPr>
        <w:t>ה</w:t>
      </w:r>
      <w:r>
        <w:rPr>
          <w:rFonts w:hint="cs"/>
          <w:rtl/>
        </w:rPr>
        <w:t>התאמות שביצע המגזר העסקי לאור לקחי גלי התחלואה הקודמים. הצמיחה הגבוהה שיקפה גם</w:t>
      </w:r>
      <w:r w:rsidRPr="0016492F">
        <w:rPr>
          <w:rFonts w:hint="cs"/>
          <w:rtl/>
        </w:rPr>
        <w:t xml:space="preserve"> גידול חריג בהשקעות בסקטור ההייטק, ביבוא מוצרי </w:t>
      </w:r>
      <w:r>
        <w:rPr>
          <w:rFonts w:hint="cs"/>
          <w:rtl/>
        </w:rPr>
        <w:t>ה</w:t>
      </w:r>
      <w:r w:rsidRPr="0016492F">
        <w:rPr>
          <w:rFonts w:hint="cs"/>
          <w:rtl/>
        </w:rPr>
        <w:t>צריכה ובמכירות דירות.</w:t>
      </w:r>
      <w:r>
        <w:rPr>
          <w:rFonts w:hint="cs"/>
          <w:rtl/>
        </w:rPr>
        <w:t xml:space="preserve"> כל אלה התבטאו בכך שמשקל תקבולי המסים בתוצר היה גבוה בכ-1.5 -</w:t>
      </w:r>
      <w:r w:rsidR="001125C3">
        <w:rPr>
          <w:rFonts w:hint="cs"/>
          <w:rtl/>
        </w:rPr>
        <w:t xml:space="preserve"> </w:t>
      </w:r>
      <w:r>
        <w:rPr>
          <w:rFonts w:hint="cs"/>
          <w:rtl/>
        </w:rPr>
        <w:t xml:space="preserve">2.0 נקודות אחוז בהשוואה לשנים שקדמו למשבר הקורונה, </w:t>
      </w:r>
      <w:r w:rsidR="00A672C5">
        <w:rPr>
          <w:rFonts w:hint="cs"/>
          <w:rtl/>
        </w:rPr>
        <w:t>אף</w:t>
      </w:r>
      <w:r>
        <w:rPr>
          <w:rFonts w:hint="cs"/>
          <w:rtl/>
        </w:rPr>
        <w:t xml:space="preserve"> ששיעור</w:t>
      </w:r>
      <w:r w:rsidR="006A66F9">
        <w:rPr>
          <w:rFonts w:hint="cs"/>
          <w:rtl/>
        </w:rPr>
        <w:t>י</w:t>
      </w:r>
      <w:r>
        <w:rPr>
          <w:rFonts w:hint="cs"/>
          <w:rtl/>
        </w:rPr>
        <w:t xml:space="preserve"> המס לא הועלו בשנים אלה.</w:t>
      </w:r>
      <w:r w:rsidR="00F83F95">
        <w:rPr>
          <w:rFonts w:hint="cs"/>
          <w:rtl/>
        </w:rPr>
        <w:t xml:space="preserve"> למרות </w:t>
      </w:r>
      <w:r w:rsidR="00036BC3">
        <w:rPr>
          <w:rFonts w:hint="cs"/>
          <w:rtl/>
        </w:rPr>
        <w:t>ש</w:t>
      </w:r>
      <w:r w:rsidR="00F83F95">
        <w:rPr>
          <w:rFonts w:hint="cs"/>
          <w:rtl/>
        </w:rPr>
        <w:t xml:space="preserve">תקבולי המס </w:t>
      </w:r>
      <w:r w:rsidR="00036BC3">
        <w:rPr>
          <w:rFonts w:hint="cs"/>
          <w:rtl/>
        </w:rPr>
        <w:t xml:space="preserve">נותרו </w:t>
      </w:r>
      <w:r w:rsidR="00F83F95">
        <w:rPr>
          <w:rFonts w:hint="cs"/>
          <w:rtl/>
        </w:rPr>
        <w:t>גבוהים בחודשים האחרונים, עליות כאלה בתקבולי המסים נוטות להתמתן, ובהתאם לכך הממשלה אימצה תחזית הכנסות מתונה לשנת 2022.</w:t>
      </w:r>
      <w:r>
        <w:rPr>
          <w:rFonts w:hint="cs"/>
          <w:rtl/>
        </w:rPr>
        <w:t xml:space="preserve"> </w:t>
      </w:r>
      <w:r w:rsidR="00F83F95">
        <w:rPr>
          <w:rFonts w:hint="cs"/>
          <w:rtl/>
        </w:rPr>
        <w:t>תחזית בנק ישראל לשנת 2022 משקפת התמתנות דומה.</w:t>
      </w:r>
    </w:p>
    <w:p w14:paraId="5835656B" w14:textId="7328E575" w:rsidR="00660B42" w:rsidRDefault="00F83F95" w:rsidP="006A66F9">
      <w:pPr>
        <w:spacing w:before="240"/>
        <w:rPr>
          <w:rtl/>
        </w:rPr>
      </w:pPr>
      <w:r>
        <w:rPr>
          <w:rFonts w:hint="cs"/>
          <w:rtl/>
        </w:rPr>
        <w:t xml:space="preserve">לצד ההכנסות הגבוהות, </w:t>
      </w:r>
      <w:r w:rsidR="00EC1295" w:rsidRPr="0016492F">
        <w:rPr>
          <w:rFonts w:hint="cs"/>
          <w:rtl/>
        </w:rPr>
        <w:t xml:space="preserve">הוצאות הממשלה </w:t>
      </w:r>
      <w:r>
        <w:rPr>
          <w:rFonts w:hint="cs"/>
          <w:rtl/>
        </w:rPr>
        <w:t>בשנת 2021 גדלו עד כה בשיעור מתון המשקף את מגבלות הפעילות במסגרת תקציב המשכי. בתקופה שנותרה בין אישור התקציב לסוף השנה צפויה האצה ניכרת בביצוע תקציבי המשרדים</w:t>
      </w:r>
      <w:r w:rsidR="00367E29">
        <w:rPr>
          <w:rFonts w:hint="cs"/>
          <w:rtl/>
        </w:rPr>
        <w:t>, אך קיים ספק אם ניתן יהיה למצות השנה את ההוצאה התקציבית שאושרה. ככל שיוותרו עודפים, משמעות הדבר תהיה שהגירעון התקציבי יקטן עוד יותר. בנוסף, ההוצאות</w:t>
      </w:r>
      <w:r>
        <w:rPr>
          <w:rFonts w:hint="cs"/>
          <w:rtl/>
        </w:rPr>
        <w:t xml:space="preserve"> </w:t>
      </w:r>
      <w:r w:rsidR="00367E29">
        <w:rPr>
          <w:rFonts w:hint="cs"/>
          <w:rtl/>
        </w:rPr>
        <w:t xml:space="preserve">הייעודיות </w:t>
      </w:r>
      <w:r w:rsidR="00EC1295" w:rsidRPr="0016492F">
        <w:rPr>
          <w:rFonts w:hint="cs"/>
          <w:rtl/>
        </w:rPr>
        <w:t xml:space="preserve">לטיפול במשבר הקורונה, שהגיעו ל-69 מיליארדי ₪ בשנת 2020, הצטמצמו </w:t>
      </w:r>
      <w:r w:rsidR="00367E29">
        <w:rPr>
          <w:rFonts w:hint="cs"/>
          <w:rtl/>
        </w:rPr>
        <w:t>השנה</w:t>
      </w:r>
      <w:r w:rsidR="00EC1295" w:rsidRPr="0016492F">
        <w:rPr>
          <w:rFonts w:hint="cs"/>
          <w:rtl/>
        </w:rPr>
        <w:t xml:space="preserve">, והן </w:t>
      </w:r>
      <w:r w:rsidR="00367E29">
        <w:rPr>
          <w:rFonts w:hint="cs"/>
          <w:rtl/>
        </w:rPr>
        <w:t>צפויות להיות נמוכות מכפי שתוקצב בראשית השנה</w:t>
      </w:r>
      <w:r w:rsidR="00EC1295" w:rsidRPr="0016492F">
        <w:rPr>
          <w:rFonts w:hint="cs"/>
          <w:rtl/>
        </w:rPr>
        <w:t xml:space="preserve">. </w:t>
      </w:r>
      <w:r w:rsidR="006861EB">
        <w:rPr>
          <w:rFonts w:hint="cs"/>
          <w:rtl/>
        </w:rPr>
        <w:t xml:space="preserve">לריסון הוצאות הממשלה תרמה גם </w:t>
      </w:r>
      <w:r w:rsidR="00EC1295" w:rsidRPr="0016492F">
        <w:rPr>
          <w:rFonts w:hint="cs"/>
          <w:rtl/>
        </w:rPr>
        <w:t xml:space="preserve">הקפאת הסכמי השכר במגזר הציבורי </w:t>
      </w:r>
      <w:r w:rsidR="00EC1295" w:rsidRPr="0016492F">
        <w:rPr>
          <w:rFonts w:hint="cs"/>
          <w:rtl/>
        </w:rPr>
        <w:lastRenderedPageBreak/>
        <w:t>במסגרת עסקת החבילה במשק</w:t>
      </w:r>
      <w:r w:rsidR="006861EB">
        <w:rPr>
          <w:rFonts w:hint="cs"/>
          <w:rtl/>
        </w:rPr>
        <w:t xml:space="preserve">. לצד היציבות והחיסכון שהושגו באמצעות העסקה </w:t>
      </w:r>
      <w:r w:rsidR="00EC1295" w:rsidRPr="0016492F">
        <w:rPr>
          <w:rFonts w:hint="cs"/>
          <w:rtl/>
        </w:rPr>
        <w:t xml:space="preserve">חשוב שהסכמי השכר בשנים </w:t>
      </w:r>
      <w:r w:rsidR="00EC1295">
        <w:rPr>
          <w:rFonts w:hint="cs"/>
          <w:rtl/>
        </w:rPr>
        <w:t xml:space="preserve">הבאות </w:t>
      </w:r>
      <w:r w:rsidR="00EC1295" w:rsidRPr="0016492F">
        <w:rPr>
          <w:rFonts w:hint="cs"/>
          <w:rtl/>
        </w:rPr>
        <w:t>י</w:t>
      </w:r>
      <w:r w:rsidR="00EC1295">
        <w:rPr>
          <w:rFonts w:hint="cs"/>
          <w:rtl/>
        </w:rPr>
        <w:t>ת</w:t>
      </w:r>
      <w:r w:rsidR="00EC1295" w:rsidRPr="0016492F">
        <w:rPr>
          <w:rFonts w:hint="cs"/>
          <w:rtl/>
        </w:rPr>
        <w:t xml:space="preserve">בססו </w:t>
      </w:r>
      <w:r w:rsidR="00EC1295">
        <w:rPr>
          <w:rFonts w:hint="cs"/>
          <w:rtl/>
        </w:rPr>
        <w:t>על</w:t>
      </w:r>
      <w:r w:rsidR="00EC1295" w:rsidRPr="0016492F">
        <w:rPr>
          <w:rFonts w:hint="cs"/>
          <w:rtl/>
        </w:rPr>
        <w:t xml:space="preserve"> האמון שנוצר בין השותפים לה כדי לקדם רפורמות לייעול שירותי הממשלה, בפרט באמצעות אימוץ תהליכים דיגיטליים בעבודתה.</w:t>
      </w:r>
    </w:p>
    <w:p w14:paraId="13809F07" w14:textId="77777777" w:rsidR="00EE028B" w:rsidRPr="0016492F" w:rsidRDefault="00EE028B" w:rsidP="00EE028B">
      <w:pPr>
        <w:spacing w:before="240"/>
      </w:pPr>
      <w:r>
        <w:rPr>
          <w:rFonts w:hint="cs"/>
          <w:rtl/>
        </w:rPr>
        <w:t>בחינה של הרכב התקציב לשנת</w:t>
      </w:r>
      <w:r w:rsidRPr="0016492F">
        <w:rPr>
          <w:rFonts w:hint="cs"/>
          <w:rtl/>
        </w:rPr>
        <w:t xml:space="preserve"> 2022 </w:t>
      </w:r>
      <w:r w:rsidRPr="00EE028B">
        <w:rPr>
          <w:rFonts w:hint="cs"/>
          <w:rtl/>
        </w:rPr>
        <w:t>(ללא הוצאות הקורונה)</w:t>
      </w:r>
      <w:r>
        <w:rPr>
          <w:rFonts w:hint="cs"/>
          <w:rtl/>
        </w:rPr>
        <w:t xml:space="preserve"> בהשוואה </w:t>
      </w:r>
      <w:r w:rsidRPr="0016492F">
        <w:rPr>
          <w:rFonts w:hint="cs"/>
          <w:rtl/>
        </w:rPr>
        <w:t xml:space="preserve">לתקציב 2019 </w:t>
      </w:r>
      <w:r>
        <w:rPr>
          <w:rFonts w:hint="cs"/>
          <w:rtl/>
        </w:rPr>
        <w:t xml:space="preserve"> </w:t>
      </w:r>
      <w:r w:rsidRPr="0016492F">
        <w:rPr>
          <w:rtl/>
        </w:rPr>
        <w:t>–</w:t>
      </w:r>
      <w:r w:rsidRPr="0016492F">
        <w:rPr>
          <w:rFonts w:hint="cs"/>
          <w:rtl/>
        </w:rPr>
        <w:t xml:space="preserve"> השנה האחרונה שעבורה אושר תקציב, וטרם השפעות הקורונה </w:t>
      </w:r>
      <w:r>
        <w:rPr>
          <w:rtl/>
        </w:rPr>
        <w:t>–</w:t>
      </w:r>
      <w:r>
        <w:rPr>
          <w:rFonts w:hint="cs"/>
          <w:rtl/>
        </w:rPr>
        <w:t xml:space="preserve"> מצביעה על כך שמשקלם בתוצר של מרבית סעיפי ההוצאה העיקריים כגון בריאות, חינוך והעברות הממשלה למוסד לביטוח לאומי לא השתנה מהותית. שני השינויים הבולטים בהרכב התקציב הם </w:t>
      </w:r>
      <w:r w:rsidRPr="0016492F">
        <w:rPr>
          <w:rFonts w:hint="cs"/>
          <w:rtl/>
        </w:rPr>
        <w:t xml:space="preserve">ירידה בתקציב הביטחון </w:t>
      </w:r>
      <w:r>
        <w:rPr>
          <w:rFonts w:hint="cs"/>
          <w:rtl/>
        </w:rPr>
        <w:t xml:space="preserve">ביותר מחצי אחוז תוצר, </w:t>
      </w:r>
      <w:r w:rsidRPr="0016492F">
        <w:rPr>
          <w:rFonts w:hint="cs"/>
          <w:rtl/>
        </w:rPr>
        <w:t>בהמשך למגמה הרב-שנתית</w:t>
      </w:r>
      <w:r>
        <w:rPr>
          <w:rFonts w:hint="cs"/>
          <w:rtl/>
        </w:rPr>
        <w:t>,</w:t>
      </w:r>
      <w:r w:rsidRPr="0016492F">
        <w:rPr>
          <w:rFonts w:hint="cs"/>
          <w:rtl/>
        </w:rPr>
        <w:t xml:space="preserve"> </w:t>
      </w:r>
      <w:r>
        <w:rPr>
          <w:rFonts w:hint="cs"/>
          <w:rtl/>
        </w:rPr>
        <w:t>ו</w:t>
      </w:r>
      <w:r w:rsidRPr="0016492F">
        <w:rPr>
          <w:rFonts w:hint="cs"/>
          <w:rtl/>
        </w:rPr>
        <w:t xml:space="preserve">עליה ניכרת של </w:t>
      </w:r>
      <w:r>
        <w:rPr>
          <w:rFonts w:hint="cs"/>
          <w:rtl/>
        </w:rPr>
        <w:t>0.6 אחוז תוצר ב</w:t>
      </w:r>
      <w:r w:rsidRPr="0016492F">
        <w:rPr>
          <w:rFonts w:hint="cs"/>
          <w:rtl/>
        </w:rPr>
        <w:t>תקציב ההשקעה בתשתיות, פרי הבשלת תכניות שקודמו בשנים האחרונות.</w:t>
      </w:r>
      <w:r>
        <w:rPr>
          <w:rFonts w:hint="cs"/>
          <w:rtl/>
        </w:rPr>
        <w:t xml:space="preserve"> גידול זה של ההשקעות בתשתית התחבורה הציבורית, ככל שיתממש</w:t>
      </w:r>
      <w:r w:rsidR="006A7145">
        <w:rPr>
          <w:rFonts w:hint="cs"/>
          <w:rtl/>
        </w:rPr>
        <w:t xml:space="preserve"> ויימשך בשנים הבאות</w:t>
      </w:r>
      <w:r>
        <w:rPr>
          <w:rFonts w:hint="cs"/>
          <w:rtl/>
        </w:rPr>
        <w:t xml:space="preserve">, הוא מפתח חשוב </w:t>
      </w:r>
      <w:r w:rsidR="006A7145">
        <w:rPr>
          <w:rFonts w:hint="cs"/>
          <w:rtl/>
        </w:rPr>
        <w:t>להעלאת פריון העבודה במשק, להרחבת</w:t>
      </w:r>
      <w:r w:rsidR="00A672C5">
        <w:rPr>
          <w:rFonts w:hint="cs"/>
          <w:rtl/>
        </w:rPr>
        <w:t xml:space="preserve"> והגמשת</w:t>
      </w:r>
      <w:r w:rsidR="006A7145">
        <w:rPr>
          <w:rFonts w:hint="cs"/>
          <w:rtl/>
        </w:rPr>
        <w:t xml:space="preserve"> היצע הדיור ולשיפור איכות ורמת החיים במשק.</w:t>
      </w:r>
    </w:p>
    <w:p w14:paraId="48618B43" w14:textId="77777777" w:rsidR="004D53D7" w:rsidRDefault="004D53D7" w:rsidP="004D53D7">
      <w:pPr>
        <w:spacing w:before="240"/>
        <w:rPr>
          <w:rtl/>
        </w:rPr>
      </w:pPr>
      <w:r>
        <w:rPr>
          <w:rFonts w:hint="cs"/>
          <w:rtl/>
        </w:rPr>
        <w:t xml:space="preserve">לצד התקציב אושרה בכנסת גם תכנית כלכלית רחבת היקף, שלה פוטנציאל לתרום משמעותית לצמיחת המשק, להגדלת פריון העבודה ולצמצום הפערים בין מגזרים שונים </w:t>
      </w:r>
      <w:proofErr w:type="spellStart"/>
      <w:r>
        <w:rPr>
          <w:rFonts w:hint="cs"/>
          <w:rtl/>
        </w:rPr>
        <w:t>באוכלוסיה</w:t>
      </w:r>
      <w:proofErr w:type="spellEnd"/>
      <w:r>
        <w:rPr>
          <w:rFonts w:hint="cs"/>
          <w:rtl/>
        </w:rPr>
        <w:t xml:space="preserve">. חלקים חשובים של התכנית עולים בקנה אחד עם המלצות בנק ישראל שהוגשו לממשלה עם הקמתה. אמנם יש תועלת רבה בקידום רפורמות כאלו בחקיקה סדורה במהלך השנה, אך בגלל הקושי לקדם מהלכים כלכליים מבניים בשנים האחרונות, נצבר פער. לכן חשוב שהתכנית הכלכלית אושרה במועד זה ומהווה תכנית עבודה לממשלה ומפת דרכים למשק. לצד זאת, חשוב שהדיון ברפורמות נוספות שהדיון בהן נדחה בינתיים יקודם כבר עתה ולא יתעכב עד התקציב הבא.  </w:t>
      </w:r>
    </w:p>
    <w:p w14:paraId="61285A43" w14:textId="6A720B43" w:rsidR="00307739" w:rsidRPr="00307739" w:rsidRDefault="00A02E83" w:rsidP="0022125D">
      <w:pPr>
        <w:spacing w:before="240"/>
        <w:rPr>
          <w:highlight w:val="yellow"/>
          <w:rtl/>
        </w:rPr>
      </w:pPr>
      <w:r>
        <w:rPr>
          <w:rFonts w:hint="cs"/>
          <w:rtl/>
        </w:rPr>
        <w:t xml:space="preserve">הרפורמות </w:t>
      </w:r>
      <w:r w:rsidR="004D53D7">
        <w:rPr>
          <w:rFonts w:hint="cs"/>
          <w:rtl/>
        </w:rPr>
        <w:t xml:space="preserve">הגדולות </w:t>
      </w:r>
      <w:r>
        <w:rPr>
          <w:rFonts w:hint="cs"/>
          <w:rtl/>
        </w:rPr>
        <w:t xml:space="preserve">שאושרו עם התקציב </w:t>
      </w:r>
      <w:r w:rsidR="004D53D7">
        <w:rPr>
          <w:rFonts w:hint="cs"/>
          <w:rtl/>
        </w:rPr>
        <w:t>כוללות את התנעת תכנית הקמת הרכבת התחתית במטרופולין גוש דן, תכנית החומש לחברה הערבית, הסרת חסמי יבוא, טיוב הרגולציה הממשלתית וצעדים להרחבת השימוש באמצעים דיגיטליים בשירותי הממשלה</w:t>
      </w:r>
      <w:r w:rsidR="004D53D7" w:rsidRPr="0026216E">
        <w:rPr>
          <w:rFonts w:hint="cs"/>
          <w:rtl/>
        </w:rPr>
        <w:t>.</w:t>
      </w:r>
      <w:r w:rsidR="004D53D7">
        <w:rPr>
          <w:rFonts w:hint="cs"/>
          <w:rtl/>
        </w:rPr>
        <w:t xml:space="preserve"> גם אם צפוי שבחלק מהרפורמות יידרשו התאמות לאורך זמן, מדובר במהלכים חשובים שבכוחם להניע גם השקעות והתייעלות של המגזר העסקי</w:t>
      </w:r>
      <w:r>
        <w:rPr>
          <w:rFonts w:hint="cs"/>
          <w:rtl/>
        </w:rPr>
        <w:t>,</w:t>
      </w:r>
      <w:r w:rsidR="004D53D7">
        <w:rPr>
          <w:rFonts w:hint="cs"/>
          <w:rtl/>
        </w:rPr>
        <w:t xml:space="preserve"> ובכך להאיץ את יציאת המשק ממשבר הקורונה ולקדם התייעלות שתשפר את רמת החיים באופן בר-קיימא. לצד תכניות מבניות חשובות אלו נותרו פערים בתחום ההשקעה בהון האנושי, שבתכנית הנוכחית ניתן להם מענה מוגבל. חשוב כי סוגיות אלו יטופלו במסגרת התקציבים העתידיים משום שמדובר בתהליכים ארוכי טווח שהתועלות מהם לצמיחה ארוכת הטווח בישראל גדולות.</w:t>
      </w:r>
    </w:p>
    <w:p w14:paraId="641B9CC5" w14:textId="77777777" w:rsidR="004D53D7" w:rsidRDefault="004D53D7" w:rsidP="000E3655">
      <w:pPr>
        <w:spacing w:before="240"/>
        <w:rPr>
          <w:rtl/>
        </w:rPr>
      </w:pPr>
      <w:r w:rsidRPr="000E3655">
        <w:rPr>
          <w:rFonts w:hint="cs"/>
          <w:rtl/>
        </w:rPr>
        <w:t>אחד המהלכים החשובים ש</w:t>
      </w:r>
      <w:r w:rsidR="000E3655">
        <w:rPr>
          <w:rFonts w:hint="cs"/>
          <w:rtl/>
        </w:rPr>
        <w:t>מקודם בעזרת התקציב</w:t>
      </w:r>
      <w:r w:rsidRPr="000E3655">
        <w:rPr>
          <w:rFonts w:hint="cs"/>
          <w:rtl/>
        </w:rPr>
        <w:t xml:space="preserve"> היא תכנית החומש לחברה הערבית</w:t>
      </w:r>
      <w:r w:rsidR="000E3655" w:rsidRPr="000E3655">
        <w:rPr>
          <w:rFonts w:hint="cs"/>
          <w:rtl/>
        </w:rPr>
        <w:t xml:space="preserve"> </w:t>
      </w:r>
      <w:r w:rsidR="000E3655">
        <w:rPr>
          <w:rFonts w:hint="cs"/>
          <w:rtl/>
        </w:rPr>
        <w:t xml:space="preserve">בהיקף של </w:t>
      </w:r>
      <w:r w:rsidR="000E3655" w:rsidRPr="000E3655">
        <w:rPr>
          <w:rFonts w:hint="cs"/>
          <w:rtl/>
        </w:rPr>
        <w:t>כ-30 מיליארדי ₪</w:t>
      </w:r>
      <w:r w:rsidRPr="000E3655">
        <w:rPr>
          <w:rFonts w:hint="cs"/>
          <w:rtl/>
        </w:rPr>
        <w:t xml:space="preserve">. תכנית זו מקצה משאבים ניכרים </w:t>
      </w:r>
      <w:r w:rsidR="000E3655">
        <w:rPr>
          <w:rFonts w:hint="cs"/>
          <w:rtl/>
        </w:rPr>
        <w:t xml:space="preserve">בעיקר </w:t>
      </w:r>
      <w:r w:rsidRPr="000E3655">
        <w:rPr>
          <w:rFonts w:hint="cs"/>
          <w:rtl/>
        </w:rPr>
        <w:t>לקידום ההון האנושי, התעסוקה והתשתיות בחברה הערבית, נושאים שבכולם הצטברו פערים המקשים על השתלבותם של ערביי ישראל במשק ופוגעים ברמת ואיכות החיים של ערביי ישראל. מעבר ל</w:t>
      </w:r>
      <w:r w:rsidR="000E3655">
        <w:rPr>
          <w:rFonts w:hint="cs"/>
          <w:rtl/>
        </w:rPr>
        <w:t>תקציבים הגדולים</w:t>
      </w:r>
      <w:r w:rsidRPr="000E3655">
        <w:rPr>
          <w:rFonts w:hint="cs"/>
          <w:rtl/>
        </w:rPr>
        <w:t xml:space="preserve">, </w:t>
      </w:r>
      <w:r w:rsidR="000E3655">
        <w:rPr>
          <w:rFonts w:hint="cs"/>
          <w:rtl/>
        </w:rPr>
        <w:t xml:space="preserve">בתכנית </w:t>
      </w:r>
      <w:r w:rsidRPr="000E3655">
        <w:rPr>
          <w:rFonts w:hint="cs"/>
          <w:rtl/>
        </w:rPr>
        <w:t xml:space="preserve">מוטמעים </w:t>
      </w:r>
      <w:r w:rsidR="000E3655">
        <w:rPr>
          <w:rFonts w:hint="cs"/>
          <w:rtl/>
        </w:rPr>
        <w:t>מ</w:t>
      </w:r>
      <w:r w:rsidRPr="000E3655">
        <w:rPr>
          <w:rFonts w:hint="cs"/>
          <w:rtl/>
        </w:rPr>
        <w:t>נגנונים שיוכלו לסייע להתגבר על החסמים שהקשו על מימוש מהלכים דומים שקודמו בעבר. הצלחת התכנית חשובה לא רק לחברה הערבית, אלא גם למימוש והעלאת הפוטנציאל הכלכלי הטמון בחברה הערבית, המהווה חלק ניכר מהאוכלוסייה בגילי העבודה.</w:t>
      </w:r>
    </w:p>
    <w:p w14:paraId="125A2901" w14:textId="77777777" w:rsidR="00953EDC" w:rsidRPr="000E3655" w:rsidRDefault="000E3655" w:rsidP="00A02E83">
      <w:pPr>
        <w:spacing w:before="240"/>
        <w:rPr>
          <w:rtl/>
        </w:rPr>
      </w:pPr>
      <w:r>
        <w:rPr>
          <w:rFonts w:hint="cs"/>
          <w:rtl/>
        </w:rPr>
        <w:t>מהלך אסטרטגי חשוב לקידום הפריון במשק הוא בניית המטרו בגוש דן</w:t>
      </w:r>
      <w:r w:rsidR="00A02E83">
        <w:rPr>
          <w:rFonts w:hint="cs"/>
          <w:rtl/>
        </w:rPr>
        <w:t>,</w:t>
      </w:r>
      <w:r>
        <w:rPr>
          <w:rFonts w:hint="cs"/>
          <w:rtl/>
        </w:rPr>
        <w:t xml:space="preserve"> כחלק מיצירת פתרון מערכתי לסוגיית הצפיפות והניידות במטרופולין. בחוק ההסדרים אושרה המסגרת</w:t>
      </w:r>
      <w:r w:rsidRPr="000E3655">
        <w:rPr>
          <w:rFonts w:hint="cs"/>
          <w:rtl/>
        </w:rPr>
        <w:t xml:space="preserve"> לתקצוב המטרו</w:t>
      </w:r>
      <w:r>
        <w:rPr>
          <w:rFonts w:hint="cs"/>
          <w:rtl/>
        </w:rPr>
        <w:t>, ש</w:t>
      </w:r>
      <w:r w:rsidRPr="000E3655">
        <w:rPr>
          <w:rFonts w:hint="cs"/>
          <w:rtl/>
        </w:rPr>
        <w:t>היא מהלך חשוב לקידום תשתית קריטית זו</w:t>
      </w:r>
      <w:r>
        <w:rPr>
          <w:rFonts w:hint="cs"/>
          <w:rtl/>
        </w:rPr>
        <w:t>,</w:t>
      </w:r>
      <w:r w:rsidRPr="000E3655">
        <w:rPr>
          <w:rFonts w:hint="cs"/>
          <w:rtl/>
        </w:rPr>
        <w:t xml:space="preserve"> </w:t>
      </w:r>
      <w:r>
        <w:rPr>
          <w:rFonts w:hint="cs"/>
          <w:rtl/>
        </w:rPr>
        <w:t xml:space="preserve">ולצידה כמה מהלכים ספציפיים לגיוס הכנסות ייעודיות למימון הפרויקט. </w:t>
      </w:r>
      <w:r w:rsidRPr="000E3655">
        <w:rPr>
          <w:rFonts w:hint="cs"/>
          <w:rtl/>
        </w:rPr>
        <w:t xml:space="preserve">עם זאת, </w:t>
      </w:r>
      <w:r>
        <w:rPr>
          <w:rFonts w:hint="cs"/>
          <w:rtl/>
        </w:rPr>
        <w:t>אחד מרכיבי החוק הוא ק</w:t>
      </w:r>
      <w:r w:rsidRPr="000E3655">
        <w:rPr>
          <w:rFonts w:hint="cs"/>
          <w:rtl/>
        </w:rPr>
        <w:t xml:space="preserve">יבוע של </w:t>
      </w:r>
      <w:r w:rsidR="00A02E83">
        <w:rPr>
          <w:rFonts w:hint="cs"/>
          <w:rtl/>
        </w:rPr>
        <w:t>חלוקת שיעורי</w:t>
      </w:r>
      <w:r w:rsidRPr="000E3655">
        <w:rPr>
          <w:rFonts w:hint="cs"/>
          <w:rtl/>
        </w:rPr>
        <w:t xml:space="preserve"> המימון של הפרויקט בין</w:t>
      </w:r>
      <w:r>
        <w:rPr>
          <w:rFonts w:hint="cs"/>
          <w:rtl/>
        </w:rPr>
        <w:t xml:space="preserve"> הממשלה לבין התקבולים הייעודיים. מכיוון</w:t>
      </w:r>
      <w:r w:rsidRPr="000E3655">
        <w:rPr>
          <w:rFonts w:hint="cs"/>
          <w:rtl/>
        </w:rPr>
        <w:t xml:space="preserve"> שקיימת אי-ודאות רבה לגבי היקפ</w:t>
      </w:r>
      <w:r w:rsidR="00A02E83">
        <w:rPr>
          <w:rFonts w:hint="cs"/>
          <w:rtl/>
        </w:rPr>
        <w:t>ם ומועד קבלתם</w:t>
      </w:r>
      <w:r>
        <w:rPr>
          <w:rFonts w:hint="cs"/>
          <w:rtl/>
        </w:rPr>
        <w:t xml:space="preserve"> של </w:t>
      </w:r>
      <w:r w:rsidR="00A02E83">
        <w:rPr>
          <w:rFonts w:hint="cs"/>
          <w:rtl/>
        </w:rPr>
        <w:t>תקבולים</w:t>
      </w:r>
      <w:r>
        <w:rPr>
          <w:rFonts w:hint="cs"/>
          <w:rtl/>
        </w:rPr>
        <w:t xml:space="preserve"> אלה</w:t>
      </w:r>
      <w:r w:rsidRPr="000E3655">
        <w:rPr>
          <w:rFonts w:hint="cs"/>
          <w:rtl/>
        </w:rPr>
        <w:t xml:space="preserve">, </w:t>
      </w:r>
      <w:r>
        <w:rPr>
          <w:rFonts w:hint="cs"/>
          <w:rtl/>
        </w:rPr>
        <w:t xml:space="preserve">קיבוע מבנה המימון </w:t>
      </w:r>
      <w:r w:rsidRPr="000E3655">
        <w:rPr>
          <w:rFonts w:hint="cs"/>
          <w:rtl/>
        </w:rPr>
        <w:t>עלול לעכב את ביצוע הפרויקט ואת מימוש התועלות ממנו.</w:t>
      </w:r>
      <w:r>
        <w:rPr>
          <w:rFonts w:hint="cs"/>
          <w:rtl/>
        </w:rPr>
        <w:t xml:space="preserve"> </w:t>
      </w:r>
      <w:r w:rsidR="00AD2013">
        <w:rPr>
          <w:rFonts w:hint="cs"/>
          <w:rtl/>
        </w:rPr>
        <w:t>ל</w:t>
      </w:r>
      <w:r w:rsidR="00AD2013" w:rsidRPr="00AD2013">
        <w:rPr>
          <w:rtl/>
        </w:rPr>
        <w:t xml:space="preserve">כן עדיף </w:t>
      </w:r>
      <w:r w:rsidR="00AD2013" w:rsidRPr="00AD2013">
        <w:rPr>
          <w:rFonts w:hint="cs"/>
          <w:rtl/>
        </w:rPr>
        <w:t>שבמסגרת השלמת החקיקה</w:t>
      </w:r>
      <w:r w:rsidR="00AD2013" w:rsidRPr="00AD2013">
        <w:rPr>
          <w:rtl/>
        </w:rPr>
        <w:t xml:space="preserve"> </w:t>
      </w:r>
      <w:r w:rsidR="00AD2013" w:rsidRPr="00AD2013">
        <w:rPr>
          <w:rFonts w:hint="cs"/>
          <w:rtl/>
        </w:rPr>
        <w:t>י</w:t>
      </w:r>
      <w:r w:rsidR="00AD2013" w:rsidRPr="00AD2013">
        <w:rPr>
          <w:rtl/>
        </w:rPr>
        <w:t>יקבע כי הממשלה תממן את ההוצאות הנדרשות לקידום הפרויקט בכל שנה, ב</w:t>
      </w:r>
      <w:r w:rsidR="00A02E83">
        <w:rPr>
          <w:rFonts w:hint="cs"/>
          <w:rtl/>
        </w:rPr>
        <w:t>היקף</w:t>
      </w:r>
      <w:r w:rsidR="00AD2013" w:rsidRPr="00AD2013">
        <w:rPr>
          <w:rtl/>
        </w:rPr>
        <w:t xml:space="preserve"> שיידרש כדי </w:t>
      </w:r>
      <w:r w:rsidR="00AD2013" w:rsidRPr="00AD2013">
        <w:rPr>
          <w:rtl/>
        </w:rPr>
        <w:lastRenderedPageBreak/>
        <w:t>להשלים את התקבולים מההכנסות הייעודיות</w:t>
      </w:r>
      <w:r w:rsidR="00AD2013">
        <w:rPr>
          <w:rFonts w:hint="cs"/>
          <w:rtl/>
        </w:rPr>
        <w:t xml:space="preserve"> שנקבעו. זאת לצד </w:t>
      </w:r>
      <w:r w:rsidR="00AD2013" w:rsidRPr="00AD2013">
        <w:rPr>
          <w:rFonts w:hint="cs"/>
          <w:rtl/>
        </w:rPr>
        <w:t>דבקות</w:t>
      </w:r>
      <w:r w:rsidR="00AD2013" w:rsidRPr="00AD2013">
        <w:rPr>
          <w:rtl/>
        </w:rPr>
        <w:t xml:space="preserve"> </w:t>
      </w:r>
      <w:r w:rsidR="00AD2013" w:rsidRPr="00AD2013">
        <w:rPr>
          <w:rFonts w:hint="cs"/>
          <w:rtl/>
        </w:rPr>
        <w:t>ב</w:t>
      </w:r>
      <w:r w:rsidR="00AD2013" w:rsidRPr="00AD2013">
        <w:rPr>
          <w:rtl/>
        </w:rPr>
        <w:t>מסגרת הכוללת של העלויות</w:t>
      </w:r>
      <w:r w:rsidR="00AD2013">
        <w:rPr>
          <w:rFonts w:hint="cs"/>
          <w:rtl/>
        </w:rPr>
        <w:t xml:space="preserve"> והפעלת מנגנון ההתאמות והעדכונים שנקבע בחוק.</w:t>
      </w:r>
      <w:r>
        <w:rPr>
          <w:rFonts w:hint="cs"/>
          <w:rtl/>
        </w:rPr>
        <w:t xml:space="preserve"> </w:t>
      </w:r>
    </w:p>
    <w:p w14:paraId="27E3D35F" w14:textId="39148A91" w:rsidR="00A02E83" w:rsidRDefault="00D62F38" w:rsidP="00F87844">
      <w:pPr>
        <w:spacing w:before="240"/>
        <w:rPr>
          <w:rtl/>
        </w:rPr>
      </w:pPr>
      <w:r>
        <w:rPr>
          <w:rFonts w:hint="cs"/>
          <w:rtl/>
        </w:rPr>
        <w:t xml:space="preserve">חוק ההסדרים </w:t>
      </w:r>
      <w:r w:rsidR="00F87844">
        <w:rPr>
          <w:rFonts w:hint="cs"/>
          <w:rtl/>
        </w:rPr>
        <w:t>כולל</w:t>
      </w:r>
      <w:r>
        <w:rPr>
          <w:rFonts w:hint="cs"/>
          <w:rtl/>
        </w:rPr>
        <w:t xml:space="preserve"> שני מהלכים כלכליים שעשויים לחסוך סכומים ניכרים לתקציב המדינה בטווח הארוך:</w:t>
      </w:r>
    </w:p>
    <w:p w14:paraId="6A30AC57" w14:textId="77777777" w:rsidR="00A02E83" w:rsidRDefault="007F6187" w:rsidP="00A02E83">
      <w:pPr>
        <w:spacing w:before="240"/>
        <w:rPr>
          <w:rtl/>
        </w:rPr>
      </w:pPr>
      <w:r>
        <w:rPr>
          <w:rFonts w:hint="cs"/>
          <w:rtl/>
        </w:rPr>
        <w:t xml:space="preserve"> 1.</w:t>
      </w:r>
      <w:r w:rsidRPr="007F6187">
        <w:rPr>
          <w:rFonts w:hint="cs"/>
          <w:rtl/>
        </w:rPr>
        <w:t xml:space="preserve"> העלאת גיל הפרישה לנשים</w:t>
      </w:r>
      <w:r>
        <w:rPr>
          <w:rFonts w:hint="cs"/>
          <w:rtl/>
        </w:rPr>
        <w:t xml:space="preserve"> ל-65 עד שנת 2032 </w:t>
      </w:r>
      <w:r>
        <w:rPr>
          <w:rtl/>
        </w:rPr>
        <w:t>–</w:t>
      </w:r>
      <w:r>
        <w:rPr>
          <w:rFonts w:hint="cs"/>
          <w:rtl/>
        </w:rPr>
        <w:t xml:space="preserve"> מהלך זה, שיישומו נדחה במשך שנים רבות, והוא צפוי לתרום גם להגדלת התעסוקה של נשים מבוגרות,</w:t>
      </w:r>
      <w:r w:rsidRPr="007F6187">
        <w:rPr>
          <w:rFonts w:hint="cs"/>
          <w:rtl/>
        </w:rPr>
        <w:t xml:space="preserve"> </w:t>
      </w:r>
      <w:r>
        <w:rPr>
          <w:rFonts w:hint="cs"/>
          <w:rtl/>
        </w:rPr>
        <w:t xml:space="preserve">אושר הפעם. אישור המהלך התאפשר בשל הגדלת הסיוע המוצע </w:t>
      </w:r>
      <w:r w:rsidRPr="007F6187">
        <w:rPr>
          <w:rFonts w:hint="cs"/>
          <w:rtl/>
        </w:rPr>
        <w:t>לחלק ניכר מהקבוצות החלשות ש</w:t>
      </w:r>
      <w:r>
        <w:rPr>
          <w:rFonts w:hint="cs"/>
          <w:rtl/>
        </w:rPr>
        <w:t>עלולות להיפגע</w:t>
      </w:r>
      <w:r w:rsidRPr="007F6187">
        <w:rPr>
          <w:rFonts w:hint="cs"/>
          <w:rtl/>
        </w:rPr>
        <w:t xml:space="preserve"> מההסדר</w:t>
      </w:r>
      <w:r>
        <w:rPr>
          <w:rFonts w:hint="cs"/>
          <w:rtl/>
        </w:rPr>
        <w:t>,</w:t>
      </w:r>
      <w:r w:rsidRPr="007F6187">
        <w:rPr>
          <w:rFonts w:hint="cs"/>
          <w:rtl/>
        </w:rPr>
        <w:t xml:space="preserve"> ביחס להצעות קודמות</w:t>
      </w:r>
      <w:r w:rsidR="00A02E83">
        <w:rPr>
          <w:rFonts w:hint="cs"/>
          <w:rtl/>
        </w:rPr>
        <w:t>;</w:t>
      </w:r>
    </w:p>
    <w:p w14:paraId="685074B9" w14:textId="77777777" w:rsidR="00C61015" w:rsidRDefault="007F6187" w:rsidP="00A02E83">
      <w:pPr>
        <w:spacing w:before="240"/>
        <w:rPr>
          <w:rtl/>
        </w:rPr>
      </w:pPr>
      <w:r>
        <w:rPr>
          <w:rFonts w:hint="cs"/>
          <w:rtl/>
        </w:rPr>
        <w:t>2.</w:t>
      </w:r>
      <w:r w:rsidRPr="007F6187">
        <w:rPr>
          <w:rFonts w:hint="cs"/>
          <w:rtl/>
        </w:rPr>
        <w:t xml:space="preserve"> ה</w:t>
      </w:r>
      <w:r w:rsidR="00307739" w:rsidRPr="007F6187">
        <w:rPr>
          <w:rFonts w:hint="cs"/>
          <w:rtl/>
        </w:rPr>
        <w:t>חלפת איגרות החוב המיועדות במנגנון הבטחת תשואה לקרנות הפנסיה</w:t>
      </w:r>
      <w:r w:rsidRPr="007F6187">
        <w:rPr>
          <w:rFonts w:hint="cs"/>
          <w:rtl/>
        </w:rPr>
        <w:t>. מהלך זה צפוי</w:t>
      </w:r>
      <w:r w:rsidR="00307739" w:rsidRPr="007F6187">
        <w:rPr>
          <w:rFonts w:hint="cs"/>
          <w:rtl/>
        </w:rPr>
        <w:t xml:space="preserve"> לייצר חיסכון תקציבי ניכר לאורך זמן, אך טמונים ב</w:t>
      </w:r>
      <w:r w:rsidRPr="007F6187">
        <w:rPr>
          <w:rFonts w:hint="cs"/>
          <w:rtl/>
        </w:rPr>
        <w:t>ו</w:t>
      </w:r>
      <w:r w:rsidR="00307739" w:rsidRPr="007F6187">
        <w:rPr>
          <w:rFonts w:hint="cs"/>
          <w:rtl/>
        </w:rPr>
        <w:t xml:space="preserve"> גם סיכונים פיננסיים לא מבוטלים</w:t>
      </w:r>
      <w:r w:rsidRPr="007F6187">
        <w:rPr>
          <w:rFonts w:hint="cs"/>
          <w:rtl/>
        </w:rPr>
        <w:t xml:space="preserve"> בשל גודל הסכומים המבוטחים ועוצמת הזעזועים הפוטנציאליים בשוק ההון</w:t>
      </w:r>
      <w:r w:rsidR="00307739" w:rsidRPr="007F6187">
        <w:rPr>
          <w:rFonts w:hint="cs"/>
          <w:rtl/>
        </w:rPr>
        <w:t>. חשוב לנהל את הסיכונים האלה בזהירות, שכן אופיים וגודלם שונים מאלו שקיימים במבנה הנוכחי של פעילות הממשלה.</w:t>
      </w:r>
    </w:p>
    <w:p w14:paraId="719AC55B" w14:textId="77777777" w:rsidR="00C61015" w:rsidRDefault="00A02E83" w:rsidP="00940F5E">
      <w:pPr>
        <w:spacing w:before="240"/>
        <w:rPr>
          <w:rtl/>
        </w:rPr>
      </w:pPr>
      <w:r w:rsidRPr="00A02E83">
        <w:rPr>
          <w:rFonts w:hint="cs"/>
          <w:rtl/>
        </w:rPr>
        <w:t xml:space="preserve">הסקירה מציגה ניתוח של התוואי הצפוי של המצרפים הפיסקליים </w:t>
      </w:r>
      <w:r w:rsidR="00940F5E" w:rsidRPr="00940F5E">
        <w:rPr>
          <w:rFonts w:hint="cs"/>
          <w:rtl/>
        </w:rPr>
        <w:t xml:space="preserve">בטווחים הבינוני והארוך </w:t>
      </w:r>
      <w:r w:rsidR="00940F5E">
        <w:rPr>
          <w:rtl/>
        </w:rPr>
        <w:t>–</w:t>
      </w:r>
      <w:r w:rsidR="00940F5E">
        <w:rPr>
          <w:rFonts w:hint="cs"/>
          <w:rtl/>
        </w:rPr>
        <w:t xml:space="preserve"> בפרט, הגירעון ויחס החוב לתוצר - </w:t>
      </w:r>
      <w:r w:rsidRPr="00A02E83">
        <w:rPr>
          <w:rFonts w:hint="cs"/>
          <w:rtl/>
        </w:rPr>
        <w:t xml:space="preserve">בתרחישי מדיניות שונים. על רקע </w:t>
      </w:r>
      <w:r w:rsidR="00C61015" w:rsidRPr="00A02E83">
        <w:rPr>
          <w:rFonts w:hint="cs"/>
          <w:rtl/>
        </w:rPr>
        <w:t xml:space="preserve">עדכון הנתונים ההיסטוריים של החשבונאות הלאומית </w:t>
      </w:r>
      <w:r w:rsidRPr="00A02E83">
        <w:rPr>
          <w:rFonts w:hint="cs"/>
          <w:rtl/>
        </w:rPr>
        <w:t>באוגוסט 2021, עולה</w:t>
      </w:r>
      <w:r w:rsidR="00C61015" w:rsidRPr="00A02E83">
        <w:rPr>
          <w:rFonts w:hint="cs"/>
          <w:rtl/>
        </w:rPr>
        <w:t xml:space="preserve"> תמונה אופטימית יותר של פוטנציאל הצמיחה של המשק בהמשך העשור, המתבטא</w:t>
      </w:r>
      <w:r w:rsidRPr="00A02E83">
        <w:rPr>
          <w:rFonts w:hint="cs"/>
          <w:rtl/>
        </w:rPr>
        <w:t>ת</w:t>
      </w:r>
      <w:r w:rsidR="00C61015" w:rsidRPr="00A02E83">
        <w:rPr>
          <w:rFonts w:hint="cs"/>
          <w:rtl/>
        </w:rPr>
        <w:t xml:space="preserve"> במרווח גדול יותר לעיצוב מדיניות התקציב. עם זאת, </w:t>
      </w:r>
      <w:r w:rsidRPr="00A02E83">
        <w:rPr>
          <w:rFonts w:hint="cs"/>
          <w:rtl/>
        </w:rPr>
        <w:t xml:space="preserve">גם בתמונה האופטימית יותר נמצא כי </w:t>
      </w:r>
      <w:r w:rsidR="00C61015" w:rsidRPr="00A02E83">
        <w:rPr>
          <w:rFonts w:hint="cs"/>
          <w:rtl/>
        </w:rPr>
        <w:t>הרחבה ניכרת של ההשקעות תוך שמירה על יחס חוב לתוצר יציב, וכל שכן יורד, עדיין מחייבת לאמץ במקביל תמהיל של ריסון הגידול בהוצאות אחרות והעלאת מסים.</w:t>
      </w:r>
    </w:p>
    <w:p w14:paraId="59922054" w14:textId="77777777" w:rsidR="00C61015" w:rsidRPr="00C61015" w:rsidRDefault="00940F5E" w:rsidP="00940F5E">
      <w:pPr>
        <w:spacing w:before="240"/>
      </w:pPr>
      <w:r w:rsidRPr="00940F5E">
        <w:rPr>
          <w:rFonts w:hint="cs"/>
          <w:rtl/>
        </w:rPr>
        <w:t>ניתוח נוסף שמוצג בסקירה מוצא כי</w:t>
      </w:r>
      <w:r w:rsidR="00C61015">
        <w:rPr>
          <w:rFonts w:hint="cs"/>
          <w:rtl/>
        </w:rPr>
        <w:t xml:space="preserve"> </w:t>
      </w:r>
      <w:r w:rsidR="00C61015" w:rsidRPr="00940F5E">
        <w:rPr>
          <w:rFonts w:hint="cs"/>
          <w:rtl/>
        </w:rPr>
        <w:t xml:space="preserve">קיים פער לא מבוטל בין אומדן עלות המחויבויות הקיימות של הממשלה לבין רמת ההוצאה שמאפשר כלל ההוצאה לשנים שאחרי 2022. בעבר, כמו גם השנה, פערים כאלה הובילו להעלאת תקרת ההוצאה. לקראת התקציב הבא חשוב לבחון את תרומת תקרת ההוצאה ואת רמתה והמבנה שלה, בראי הצורך לקדם את ההשקעות הפרמננטיות בתשתיות והון אנושי </w:t>
      </w:r>
      <w:r w:rsidRPr="00940F5E">
        <w:rPr>
          <w:rFonts w:hint="cs"/>
          <w:rtl/>
        </w:rPr>
        <w:t xml:space="preserve">שנדרשות </w:t>
      </w:r>
      <w:r w:rsidR="00C61015" w:rsidRPr="00940F5E">
        <w:rPr>
          <w:rFonts w:hint="cs"/>
          <w:rtl/>
        </w:rPr>
        <w:t>כדי לסגור את פערי הפריון בין ישראל למדינות המפותחות, ולאור החשיבות של שמירה על מרווח פיסקלי.</w:t>
      </w:r>
    </w:p>
    <w:sectPr w:rsidR="00C61015" w:rsidRPr="00C61015" w:rsidSect="00C34D6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D9DA" w14:textId="77777777" w:rsidR="001A5ABE" w:rsidRDefault="001A5ABE" w:rsidP="00660B42">
      <w:pPr>
        <w:spacing w:line="240" w:lineRule="auto"/>
      </w:pPr>
      <w:r>
        <w:separator/>
      </w:r>
    </w:p>
  </w:endnote>
  <w:endnote w:type="continuationSeparator" w:id="0">
    <w:p w14:paraId="09D33025" w14:textId="77777777" w:rsidR="001A5ABE" w:rsidRDefault="001A5ABE" w:rsidP="0066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4D4C" w14:textId="77777777" w:rsidR="00E60C0B" w:rsidRDefault="00E60C0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E554" w14:textId="77777777" w:rsidR="00E60C0B" w:rsidRDefault="00E60C0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0145" w14:textId="77777777" w:rsidR="00E60C0B" w:rsidRDefault="00E60C0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41638" w14:textId="77777777" w:rsidR="001A5ABE" w:rsidRDefault="001A5ABE" w:rsidP="00660B42">
      <w:pPr>
        <w:spacing w:line="240" w:lineRule="auto"/>
      </w:pPr>
      <w:r>
        <w:separator/>
      </w:r>
    </w:p>
  </w:footnote>
  <w:footnote w:type="continuationSeparator" w:id="0">
    <w:p w14:paraId="5CE34A8F" w14:textId="77777777" w:rsidR="001A5ABE" w:rsidRDefault="001A5ABE" w:rsidP="00660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D668" w14:textId="77777777" w:rsidR="00E60C0B" w:rsidRDefault="00E60C0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1DA5" w14:textId="77777777" w:rsidR="00E60C0B" w:rsidRDefault="00E60C0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6713" w14:textId="77777777" w:rsidR="00E60C0B" w:rsidRDefault="00E60C0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32C0"/>
    <w:multiLevelType w:val="hybridMultilevel"/>
    <w:tmpl w:val="D92E6D1C"/>
    <w:lvl w:ilvl="0" w:tplc="D2EA02BE">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3FFAB1A6">
      <w:start w:val="1"/>
      <w:numFmt w:val="bullet"/>
      <w:lvlText w:val=""/>
      <w:lvlJc w:val="left"/>
      <w:pPr>
        <w:ind w:left="2160" w:hanging="360"/>
      </w:pPr>
      <w:rPr>
        <w:rFonts w:ascii="Wingdings" w:hAnsi="Wingdings" w:hint="default"/>
        <w:lang w:bidi="he-IL"/>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5739C"/>
    <w:multiLevelType w:val="hybridMultilevel"/>
    <w:tmpl w:val="99E43324"/>
    <w:lvl w:ilvl="0" w:tplc="77880D8A">
      <w:numFmt w:val="bullet"/>
      <w:lvlText w:val=""/>
      <w:lvlJc w:val="left"/>
      <w:pPr>
        <w:ind w:left="360" w:hanging="360"/>
      </w:pPr>
      <w:rPr>
        <w:rFonts w:ascii="Symbol" w:eastAsiaTheme="minorHAnsi" w:hAnsi="Symbol" w:cs="David"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A"/>
    <w:rsid w:val="00036BC3"/>
    <w:rsid w:val="0006528D"/>
    <w:rsid w:val="00073D8C"/>
    <w:rsid w:val="000E3655"/>
    <w:rsid w:val="001125C3"/>
    <w:rsid w:val="00127230"/>
    <w:rsid w:val="00156B9F"/>
    <w:rsid w:val="001A5ABE"/>
    <w:rsid w:val="001D5972"/>
    <w:rsid w:val="0022125D"/>
    <w:rsid w:val="00307739"/>
    <w:rsid w:val="00343C5C"/>
    <w:rsid w:val="00367E29"/>
    <w:rsid w:val="003854C6"/>
    <w:rsid w:val="004D53D7"/>
    <w:rsid w:val="005214DC"/>
    <w:rsid w:val="00616AA3"/>
    <w:rsid w:val="00660B42"/>
    <w:rsid w:val="006706DA"/>
    <w:rsid w:val="00672A63"/>
    <w:rsid w:val="006861EB"/>
    <w:rsid w:val="006A66F9"/>
    <w:rsid w:val="006A7145"/>
    <w:rsid w:val="00792741"/>
    <w:rsid w:val="007F6187"/>
    <w:rsid w:val="00875EE9"/>
    <w:rsid w:val="00940F5E"/>
    <w:rsid w:val="009A7745"/>
    <w:rsid w:val="00A02E83"/>
    <w:rsid w:val="00A0707E"/>
    <w:rsid w:val="00A672C5"/>
    <w:rsid w:val="00AD2013"/>
    <w:rsid w:val="00B6421D"/>
    <w:rsid w:val="00C34D6E"/>
    <w:rsid w:val="00C61015"/>
    <w:rsid w:val="00C81DE4"/>
    <w:rsid w:val="00C851DE"/>
    <w:rsid w:val="00CA21CF"/>
    <w:rsid w:val="00D62F38"/>
    <w:rsid w:val="00DD1338"/>
    <w:rsid w:val="00E60C0B"/>
    <w:rsid w:val="00EC1295"/>
    <w:rsid w:val="00EE028B"/>
    <w:rsid w:val="00F54709"/>
    <w:rsid w:val="00F81C9F"/>
    <w:rsid w:val="00F83F95"/>
    <w:rsid w:val="00F87844"/>
    <w:rsid w:val="00FB3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EB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DA"/>
    <w:pPr>
      <w:bidi/>
      <w:spacing w:after="0"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6DA"/>
    <w:pPr>
      <w:ind w:left="720"/>
      <w:contextualSpacing/>
    </w:pPr>
  </w:style>
  <w:style w:type="paragraph" w:styleId="a4">
    <w:name w:val="footnote text"/>
    <w:basedOn w:val="a"/>
    <w:link w:val="a5"/>
    <w:uiPriority w:val="99"/>
    <w:unhideWhenUsed/>
    <w:rsid w:val="00660B42"/>
    <w:pPr>
      <w:spacing w:line="240" w:lineRule="auto"/>
    </w:pPr>
    <w:rPr>
      <w:sz w:val="20"/>
      <w:szCs w:val="20"/>
    </w:rPr>
  </w:style>
  <w:style w:type="character" w:customStyle="1" w:styleId="a5">
    <w:name w:val="טקסט הערת שוליים תו"/>
    <w:basedOn w:val="a0"/>
    <w:link w:val="a4"/>
    <w:uiPriority w:val="99"/>
    <w:rsid w:val="00660B42"/>
    <w:rPr>
      <w:rFonts w:cs="David"/>
      <w:sz w:val="20"/>
      <w:szCs w:val="20"/>
    </w:rPr>
  </w:style>
  <w:style w:type="character" w:styleId="a6">
    <w:name w:val="footnote reference"/>
    <w:basedOn w:val="a0"/>
    <w:uiPriority w:val="99"/>
    <w:semiHidden/>
    <w:unhideWhenUsed/>
    <w:rsid w:val="00660B42"/>
    <w:rPr>
      <w:vertAlign w:val="superscript"/>
    </w:rPr>
  </w:style>
  <w:style w:type="paragraph" w:styleId="a7">
    <w:name w:val="Balloon Text"/>
    <w:basedOn w:val="a"/>
    <w:link w:val="a8"/>
    <w:uiPriority w:val="99"/>
    <w:semiHidden/>
    <w:unhideWhenUsed/>
    <w:rsid w:val="006A66F9"/>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6A66F9"/>
    <w:rPr>
      <w:rFonts w:ascii="Tahoma" w:hAnsi="Tahoma" w:cs="Tahoma"/>
      <w:sz w:val="18"/>
      <w:szCs w:val="18"/>
    </w:rPr>
  </w:style>
  <w:style w:type="character" w:styleId="a9">
    <w:name w:val="annotation reference"/>
    <w:basedOn w:val="a0"/>
    <w:uiPriority w:val="99"/>
    <w:semiHidden/>
    <w:unhideWhenUsed/>
    <w:rsid w:val="006A66F9"/>
    <w:rPr>
      <w:sz w:val="16"/>
      <w:szCs w:val="16"/>
    </w:rPr>
  </w:style>
  <w:style w:type="paragraph" w:styleId="aa">
    <w:name w:val="annotation text"/>
    <w:basedOn w:val="a"/>
    <w:link w:val="ab"/>
    <w:uiPriority w:val="99"/>
    <w:semiHidden/>
    <w:unhideWhenUsed/>
    <w:rsid w:val="006A66F9"/>
    <w:pPr>
      <w:spacing w:line="240" w:lineRule="auto"/>
    </w:pPr>
    <w:rPr>
      <w:sz w:val="20"/>
      <w:szCs w:val="20"/>
    </w:rPr>
  </w:style>
  <w:style w:type="character" w:customStyle="1" w:styleId="ab">
    <w:name w:val="טקסט הערה תו"/>
    <w:basedOn w:val="a0"/>
    <w:link w:val="aa"/>
    <w:uiPriority w:val="99"/>
    <w:semiHidden/>
    <w:rsid w:val="006A66F9"/>
    <w:rPr>
      <w:rFonts w:cs="David"/>
      <w:sz w:val="20"/>
      <w:szCs w:val="20"/>
    </w:rPr>
  </w:style>
  <w:style w:type="paragraph" w:styleId="ac">
    <w:name w:val="annotation subject"/>
    <w:basedOn w:val="aa"/>
    <w:next w:val="aa"/>
    <w:link w:val="ad"/>
    <w:uiPriority w:val="99"/>
    <w:semiHidden/>
    <w:unhideWhenUsed/>
    <w:rsid w:val="006A66F9"/>
    <w:rPr>
      <w:b/>
      <w:bCs/>
    </w:rPr>
  </w:style>
  <w:style w:type="character" w:customStyle="1" w:styleId="ad">
    <w:name w:val="נושא הערה תו"/>
    <w:basedOn w:val="ab"/>
    <w:link w:val="ac"/>
    <w:uiPriority w:val="99"/>
    <w:semiHidden/>
    <w:rsid w:val="006A66F9"/>
    <w:rPr>
      <w:rFonts w:cs="David"/>
      <w:b/>
      <w:bCs/>
      <w:sz w:val="20"/>
      <w:szCs w:val="20"/>
    </w:rPr>
  </w:style>
  <w:style w:type="paragraph" w:styleId="ae">
    <w:name w:val="Revision"/>
    <w:hidden/>
    <w:uiPriority w:val="99"/>
    <w:semiHidden/>
    <w:rsid w:val="0006528D"/>
    <w:pPr>
      <w:spacing w:after="0" w:line="240" w:lineRule="auto"/>
    </w:pPr>
    <w:rPr>
      <w:rFonts w:cs="David"/>
    </w:rPr>
  </w:style>
  <w:style w:type="paragraph" w:styleId="af">
    <w:name w:val="header"/>
    <w:basedOn w:val="a"/>
    <w:link w:val="af0"/>
    <w:uiPriority w:val="99"/>
    <w:unhideWhenUsed/>
    <w:rsid w:val="00E60C0B"/>
    <w:pPr>
      <w:tabs>
        <w:tab w:val="center" w:pos="4153"/>
        <w:tab w:val="right" w:pos="8306"/>
      </w:tabs>
      <w:spacing w:line="240" w:lineRule="auto"/>
    </w:pPr>
  </w:style>
  <w:style w:type="character" w:customStyle="1" w:styleId="af0">
    <w:name w:val="כותרת עליונה תו"/>
    <w:basedOn w:val="a0"/>
    <w:link w:val="af"/>
    <w:uiPriority w:val="99"/>
    <w:rsid w:val="00E60C0B"/>
    <w:rPr>
      <w:rFonts w:cs="David"/>
    </w:rPr>
  </w:style>
  <w:style w:type="paragraph" w:styleId="af1">
    <w:name w:val="footer"/>
    <w:basedOn w:val="a"/>
    <w:link w:val="af2"/>
    <w:uiPriority w:val="99"/>
    <w:unhideWhenUsed/>
    <w:rsid w:val="00E60C0B"/>
    <w:pPr>
      <w:tabs>
        <w:tab w:val="center" w:pos="4153"/>
        <w:tab w:val="right" w:pos="8306"/>
      </w:tabs>
      <w:spacing w:line="240" w:lineRule="auto"/>
    </w:pPr>
  </w:style>
  <w:style w:type="character" w:customStyle="1" w:styleId="af2">
    <w:name w:val="כותרת תחתונה תו"/>
    <w:basedOn w:val="a0"/>
    <w:link w:val="af1"/>
    <w:uiPriority w:val="99"/>
    <w:rsid w:val="00E60C0B"/>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A609360-9FDE-4800-B078-433280178F48}"/>
</file>

<file path=customXml/itemProps2.xml><?xml version="1.0" encoding="utf-8"?>
<ds:datastoreItem xmlns:ds="http://schemas.openxmlformats.org/officeDocument/2006/customXml" ds:itemID="{7D05D043-0260-4198-B1A7-FFFDD205738F}"/>
</file>

<file path=customXml/itemProps3.xml><?xml version="1.0" encoding="utf-8"?>
<ds:datastoreItem xmlns:ds="http://schemas.openxmlformats.org/officeDocument/2006/customXml" ds:itemID="{BFB0D9B8-257F-44B0-9C20-0826422E0A4D}"/>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8874</Characters>
  <Application>Microsoft Office Word</Application>
  <DocSecurity>0</DocSecurity>
  <Lines>73</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2021-11-16T08:16:00Z</dcterms:created>
  <dcterms:modified xsi:type="dcterms:W3CDTF">2021-11-16T09:13:00Z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