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FC171A" w:rsidRPr="00B9169C" w:rsidTr="007520D5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71A" w:rsidRPr="00B9169C" w:rsidRDefault="00FC171A" w:rsidP="00FC171A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 w:colFirst="0" w:colLast="2"/>
            <w:r w:rsidRPr="00B9169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FC171A" w:rsidRPr="00B9169C" w:rsidRDefault="00FC171A" w:rsidP="00FC171A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C171A" w:rsidRPr="00B9169C" w:rsidRDefault="00FC171A" w:rsidP="00FC171A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B9169C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4C5FDDC4" wp14:editId="14CB79BA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71A" w:rsidRPr="00B9169C" w:rsidRDefault="00FC171A" w:rsidP="00C90122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9970EF" w:rsidRPr="00B9169C">
              <w:rPr>
                <w:rFonts w:ascii="David" w:hAnsi="David" w:cs="David" w:hint="cs"/>
                <w:sz w:val="24"/>
                <w:szCs w:val="24"/>
                <w:rtl/>
              </w:rPr>
              <w:t>ח' תשרי</w:t>
            </w:r>
            <w:r w:rsidRPr="00B9169C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9970EF" w:rsidRPr="00B9169C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FC171A" w:rsidRPr="00B9169C" w:rsidRDefault="00FC171A" w:rsidP="001B6940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‏‏‏‏‏‏</w:t>
            </w:r>
            <w:r w:rsidR="001B6940" w:rsidRPr="00B9169C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 w:rsidR="009970EF" w:rsidRPr="00B9169C">
              <w:rPr>
                <w:rFonts w:ascii="David" w:hAnsi="David" w:cs="David" w:hint="cs"/>
                <w:sz w:val="24"/>
                <w:szCs w:val="24"/>
                <w:rtl/>
              </w:rPr>
              <w:t xml:space="preserve">3 </w:t>
            </w:r>
            <w:r w:rsidR="001B6940" w:rsidRPr="00B9169C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9970EF" w:rsidRPr="00B9169C">
              <w:rPr>
                <w:rFonts w:ascii="David" w:hAnsi="David" w:cs="David" w:hint="cs"/>
                <w:sz w:val="24"/>
                <w:szCs w:val="24"/>
                <w:rtl/>
              </w:rPr>
              <w:t>אוקטובר</w:t>
            </w:r>
            <w:r w:rsidRPr="00B9169C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  <w:bookmarkEnd w:id="0"/>
    </w:tbl>
    <w:p w:rsidR="002311A2" w:rsidRPr="00B9169C" w:rsidRDefault="002311A2" w:rsidP="00A251DD">
      <w:pPr>
        <w:jc w:val="both"/>
        <w:rPr>
          <w:rFonts w:ascii="David" w:hAnsi="David" w:cs="David"/>
          <w:sz w:val="24"/>
          <w:szCs w:val="24"/>
          <w:rtl/>
        </w:rPr>
      </w:pPr>
    </w:p>
    <w:p w:rsidR="00BB518C" w:rsidRPr="00B9169C" w:rsidRDefault="00BB518C" w:rsidP="006330EA">
      <w:pPr>
        <w:spacing w:before="120" w:after="0" w:line="360" w:lineRule="auto"/>
        <w:ind w:left="23"/>
        <w:contextualSpacing/>
        <w:jc w:val="center"/>
        <w:rPr>
          <w:rFonts w:ascii="David" w:hAnsi="David" w:cs="David"/>
          <w:b/>
          <w:bCs/>
          <w:spacing w:val="5"/>
          <w:kern w:val="28"/>
          <w:sz w:val="28"/>
          <w:szCs w:val="28"/>
          <w:rtl/>
        </w:rPr>
      </w:pPr>
      <w:r w:rsidRPr="00B9169C">
        <w:rPr>
          <w:rFonts w:ascii="David" w:hAnsi="David" w:cs="David"/>
          <w:b/>
          <w:bCs/>
          <w:spacing w:val="5"/>
          <w:kern w:val="28"/>
          <w:sz w:val="28"/>
          <w:szCs w:val="28"/>
          <w:rtl/>
        </w:rPr>
        <w:t xml:space="preserve">התחזית המקרו-כלכלית של חטיבת המחקר, </w:t>
      </w:r>
      <w:r w:rsidR="006330EA" w:rsidRPr="00B9169C">
        <w:rPr>
          <w:rFonts w:ascii="David" w:hAnsi="David" w:cs="David" w:hint="cs"/>
          <w:b/>
          <w:bCs/>
          <w:spacing w:val="5"/>
          <w:kern w:val="28"/>
          <w:sz w:val="28"/>
          <w:szCs w:val="28"/>
          <w:rtl/>
        </w:rPr>
        <w:t>אוקטובר</w:t>
      </w:r>
      <w:r w:rsidRPr="00B9169C">
        <w:rPr>
          <w:rFonts w:ascii="David" w:hAnsi="David" w:cs="David"/>
          <w:b/>
          <w:bCs/>
          <w:spacing w:val="5"/>
          <w:kern w:val="28"/>
          <w:sz w:val="28"/>
          <w:szCs w:val="28"/>
          <w:rtl/>
        </w:rPr>
        <w:t xml:space="preserve"> 2022</w:t>
      </w:r>
    </w:p>
    <w:p w:rsidR="00BB518C" w:rsidRPr="00B9169C" w:rsidRDefault="00BB518C" w:rsidP="00BB518C">
      <w:pPr>
        <w:keepNext/>
        <w:keepLines/>
        <w:spacing w:before="120" w:after="120" w:line="360" w:lineRule="auto"/>
        <w:ind w:left="23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תמצית</w:t>
      </w:r>
    </w:p>
    <w:p w:rsidR="00BB518C" w:rsidRPr="00B9169C" w:rsidRDefault="00BB518C" w:rsidP="009972D4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9169C">
        <w:rPr>
          <w:rFonts w:ascii="David" w:hAnsi="David" w:cs="David"/>
          <w:sz w:val="24"/>
          <w:szCs w:val="24"/>
          <w:rtl/>
        </w:rPr>
        <w:t xml:space="preserve">מסמך זה מציג את התחזית המקרו-כלכלית שחטיבת המחקר בבנק ישראל גיבשה </w:t>
      </w:r>
      <w:r w:rsidR="007D5AC1" w:rsidRPr="00B9169C">
        <w:rPr>
          <w:rFonts w:ascii="David" w:hAnsi="David" w:cs="David" w:hint="cs"/>
          <w:sz w:val="24"/>
          <w:szCs w:val="24"/>
          <w:rtl/>
        </w:rPr>
        <w:t>באוקטובר</w:t>
      </w:r>
      <w:r w:rsidRPr="00B9169C">
        <w:rPr>
          <w:rFonts w:ascii="David" w:hAnsi="David" w:cs="David"/>
          <w:sz w:val="24"/>
          <w:szCs w:val="24"/>
          <w:rtl/>
        </w:rPr>
        <w:t xml:space="preserve"> 2022</w:t>
      </w:r>
      <w:r w:rsidRPr="00B9169C">
        <w:rPr>
          <w:rFonts w:ascii="David" w:hAnsi="David" w:cs="David"/>
          <w:sz w:val="24"/>
          <w:szCs w:val="24"/>
          <w:vertAlign w:val="superscript"/>
          <w:rtl/>
        </w:rPr>
        <w:footnoteReference w:id="1"/>
      </w:r>
      <w:r w:rsidRPr="00B9169C">
        <w:rPr>
          <w:rFonts w:ascii="David" w:hAnsi="David" w:cs="David"/>
          <w:sz w:val="24"/>
          <w:szCs w:val="24"/>
          <w:rtl/>
        </w:rPr>
        <w:t xml:space="preserve"> בנוגע למשתני המקרו העיקריים – התוצר, האינפלציה והריבית. על פי התחזית, התוצר צפוי לצמוח בשיעור של </w:t>
      </w:r>
      <w:r w:rsidR="007D5AC1" w:rsidRPr="00B9169C">
        <w:rPr>
          <w:rFonts w:ascii="David" w:hAnsi="David" w:cs="David" w:hint="cs"/>
          <w:sz w:val="24"/>
          <w:szCs w:val="24"/>
          <w:rtl/>
        </w:rPr>
        <w:t>6</w:t>
      </w:r>
      <w:r w:rsidRPr="00B9169C">
        <w:rPr>
          <w:rFonts w:ascii="David" w:hAnsi="David" w:cs="David"/>
          <w:sz w:val="24"/>
          <w:szCs w:val="24"/>
          <w:rtl/>
        </w:rPr>
        <w:t>% ב-2022, ובשיעור של 3% ב-2023. שיעור האינפלציה בארבעת הרבעונים הקרובים</w:t>
      </w:r>
      <w:r w:rsidRPr="00B9169C">
        <w:rPr>
          <w:rFonts w:ascii="David" w:hAnsi="David" w:cs="David"/>
          <w:sz w:val="24"/>
          <w:szCs w:val="24"/>
          <w:vertAlign w:val="superscript"/>
          <w:rtl/>
        </w:rPr>
        <w:footnoteReference w:id="2"/>
      </w:r>
      <w:r w:rsidRPr="00B9169C">
        <w:rPr>
          <w:rFonts w:ascii="David" w:hAnsi="David" w:cs="David"/>
          <w:sz w:val="24"/>
          <w:szCs w:val="24"/>
          <w:rtl/>
        </w:rPr>
        <w:t xml:space="preserve"> צפוי להיות </w:t>
      </w:r>
      <w:r w:rsidR="007D5AC1" w:rsidRPr="00B9169C">
        <w:rPr>
          <w:rFonts w:ascii="David" w:hAnsi="David" w:cs="David" w:hint="cs"/>
          <w:sz w:val="24"/>
          <w:szCs w:val="24"/>
          <w:rtl/>
        </w:rPr>
        <w:t>2.7</w:t>
      </w:r>
      <w:r w:rsidRPr="00B9169C">
        <w:rPr>
          <w:rFonts w:ascii="David" w:hAnsi="David" w:cs="David"/>
          <w:sz w:val="24"/>
          <w:szCs w:val="24"/>
          <w:rtl/>
        </w:rPr>
        <w:t>%. ב-2022 צפוי שיעור האינפלציה לעמוד על 4.</w:t>
      </w:r>
      <w:r w:rsidR="000B6DF5" w:rsidRPr="00B9169C">
        <w:rPr>
          <w:rFonts w:ascii="David" w:hAnsi="David" w:cs="David" w:hint="cs"/>
          <w:sz w:val="24"/>
          <w:szCs w:val="24"/>
          <w:rtl/>
        </w:rPr>
        <w:t>6</w:t>
      </w:r>
      <w:r w:rsidRPr="00B9169C">
        <w:rPr>
          <w:rFonts w:ascii="David" w:hAnsi="David" w:cs="David"/>
          <w:sz w:val="24"/>
          <w:szCs w:val="24"/>
          <w:rtl/>
        </w:rPr>
        <w:t>%, וב-2023 הוא צפוי לעמוד על 2.</w:t>
      </w:r>
      <w:r w:rsidR="000B6DF5" w:rsidRPr="00B9169C">
        <w:rPr>
          <w:rFonts w:ascii="David" w:hAnsi="David" w:cs="David" w:hint="cs"/>
          <w:sz w:val="24"/>
          <w:szCs w:val="24"/>
          <w:rtl/>
        </w:rPr>
        <w:t>5</w:t>
      </w:r>
      <w:r w:rsidRPr="00B9169C">
        <w:rPr>
          <w:rFonts w:ascii="David" w:hAnsi="David" w:cs="David"/>
          <w:sz w:val="24"/>
          <w:szCs w:val="24"/>
          <w:rtl/>
        </w:rPr>
        <w:t xml:space="preserve">%. על פי התחזית, הריבית המוניטרית צפויה לעמוד על </w:t>
      </w:r>
      <w:r w:rsidR="007D5AC1" w:rsidRPr="00B9169C">
        <w:rPr>
          <w:rFonts w:ascii="David" w:hAnsi="David" w:cs="David" w:hint="cs"/>
          <w:sz w:val="24"/>
          <w:szCs w:val="24"/>
          <w:rtl/>
        </w:rPr>
        <w:t>3.50</w:t>
      </w:r>
      <w:r w:rsidRPr="00B9169C">
        <w:rPr>
          <w:rFonts w:ascii="David" w:hAnsi="David" w:cs="David" w:hint="cs"/>
          <w:sz w:val="24"/>
          <w:szCs w:val="24"/>
          <w:rtl/>
        </w:rPr>
        <w:t>%</w:t>
      </w:r>
      <w:r w:rsidRPr="00B9169C">
        <w:rPr>
          <w:rFonts w:ascii="David" w:hAnsi="David" w:cs="David"/>
          <w:sz w:val="24"/>
          <w:szCs w:val="24"/>
          <w:rtl/>
        </w:rPr>
        <w:t xml:space="preserve"> </w:t>
      </w:r>
      <w:r w:rsidR="005D00A1" w:rsidRPr="00B9169C">
        <w:rPr>
          <w:rFonts w:ascii="David" w:hAnsi="David" w:cs="David" w:hint="cs"/>
          <w:sz w:val="24"/>
          <w:szCs w:val="24"/>
          <w:rtl/>
        </w:rPr>
        <w:t>בממוצע ב</w:t>
      </w:r>
      <w:r w:rsidRPr="00B9169C">
        <w:rPr>
          <w:rFonts w:ascii="David" w:hAnsi="David" w:cs="David" w:hint="cs"/>
          <w:sz w:val="24"/>
          <w:szCs w:val="24"/>
          <w:rtl/>
        </w:rPr>
        <w:t xml:space="preserve">רבעון </w:t>
      </w:r>
      <w:r w:rsidR="007D5AC1" w:rsidRPr="00B9169C">
        <w:rPr>
          <w:rFonts w:ascii="David" w:hAnsi="David" w:cs="David" w:hint="cs"/>
          <w:sz w:val="24"/>
          <w:szCs w:val="24"/>
          <w:rtl/>
        </w:rPr>
        <w:t>השלישי</w:t>
      </w:r>
      <w:r w:rsidRPr="00B9169C">
        <w:rPr>
          <w:rFonts w:ascii="David" w:hAnsi="David" w:cs="David" w:hint="cs"/>
          <w:sz w:val="24"/>
          <w:szCs w:val="24"/>
          <w:rtl/>
        </w:rPr>
        <w:t xml:space="preserve"> של 2023.</w:t>
      </w:r>
    </w:p>
    <w:p w:rsidR="00BB518C" w:rsidRPr="00B9169C" w:rsidRDefault="00BB518C" w:rsidP="00BB518C">
      <w:pPr>
        <w:keepNext/>
        <w:keepLines/>
        <w:spacing w:before="120" w:after="120" w:line="360" w:lineRule="auto"/>
        <w:ind w:left="23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התחזית</w:t>
      </w:r>
    </w:p>
    <w:p w:rsidR="00BB518C" w:rsidRPr="00B9169C" w:rsidRDefault="00BB518C" w:rsidP="00BB518C">
      <w:pPr>
        <w:spacing w:before="120" w:after="12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sz w:val="24"/>
          <w:szCs w:val="24"/>
          <w:rtl/>
        </w:rPr>
        <w:t>חטיבת המחקר של בנק ישראל עורכת בכל רבעון תחזית מקרו-כלכלית שמתבססת על כמה מודלים, על מקורות מידע שונים ועל הערכות שיפוטיות. בתהליך זה יש תפקיד מרכזי למודל ה-</w:t>
      </w:r>
      <w:r w:rsidRPr="00B9169C">
        <w:rPr>
          <w:rFonts w:ascii="David" w:eastAsia="Calibri" w:hAnsi="David" w:cs="David"/>
          <w:sz w:val="24"/>
          <w:szCs w:val="24"/>
        </w:rPr>
        <w:t>DSGE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(</w:t>
      </w:r>
      <w:r w:rsidRPr="00B9169C">
        <w:rPr>
          <w:rFonts w:ascii="David" w:eastAsia="Calibri" w:hAnsi="David" w:cs="David"/>
          <w:sz w:val="24"/>
          <w:szCs w:val="24"/>
        </w:rPr>
        <w:t>Dynamic Stochastic General Equilibrium</w:t>
      </w:r>
      <w:r w:rsidRPr="00B9169C">
        <w:rPr>
          <w:rFonts w:ascii="David" w:eastAsia="Calibri" w:hAnsi="David" w:cs="David"/>
          <w:sz w:val="24"/>
          <w:szCs w:val="24"/>
          <w:rtl/>
        </w:rPr>
        <w:t>) שפותח בחטיבת המחקר – מודל מבני שמבוסס על יסודות מיקרו-כלכליים.</w:t>
      </w:r>
      <w:r w:rsidRPr="00B9169C">
        <w:rPr>
          <w:rFonts w:ascii="David" w:eastAsia="Calibri" w:hAnsi="David" w:cs="David"/>
          <w:sz w:val="24"/>
          <w:szCs w:val="24"/>
          <w:vertAlign w:val="superscript"/>
          <w:rtl/>
        </w:rPr>
        <w:footnoteReference w:id="3"/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המודל מספק מסגרת לניתוח הכוחות המשפיעים על הכלכלה ומאפשר לגבש את המידע מהמקורות השונים לכדי תחזית מקרו-כלכלית למשתנים ריאליים ונומינליים, המתאפיינת בעקביות פנימית ובסיפור כלכלי. </w:t>
      </w:r>
    </w:p>
    <w:p w:rsidR="00BB518C" w:rsidRPr="00B9169C" w:rsidRDefault="00BB518C" w:rsidP="009D3119">
      <w:pPr>
        <w:keepNext/>
        <w:keepLines/>
        <w:numPr>
          <w:ilvl w:val="0"/>
          <w:numId w:val="1"/>
        </w:numPr>
        <w:tabs>
          <w:tab w:val="left" w:pos="680"/>
        </w:tabs>
        <w:spacing w:before="240" w:after="120" w:line="360" w:lineRule="auto"/>
        <w:ind w:left="23" w:firstLine="0"/>
        <w:jc w:val="both"/>
        <w:outlineLvl w:val="1"/>
        <w:rPr>
          <w:rFonts w:ascii="David" w:hAnsi="David" w:cs="David"/>
          <w:b/>
          <w:bCs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הסביבה העולמית</w:t>
      </w:r>
    </w:p>
    <w:p w:rsidR="00BB518C" w:rsidRPr="00B9169C" w:rsidRDefault="00BB518C" w:rsidP="00573622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sz w:val="24"/>
          <w:szCs w:val="24"/>
          <w:rtl/>
        </w:rPr>
        <w:t xml:space="preserve">הערכותינו לגבי ההתפתחויות בסביבה העולמית מתבססות בעיקרן על התחזיות שמגבשים מוסדות בין-לאומיים ובתי השקעות זרים.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התחזיות לצמיחה </w:t>
      </w:r>
      <w:r w:rsidR="00A148A1" w:rsidRPr="00B9169C">
        <w:rPr>
          <w:rFonts w:ascii="David" w:eastAsia="Calibri" w:hAnsi="David" w:cs="David" w:hint="cs"/>
          <w:sz w:val="24"/>
          <w:szCs w:val="24"/>
          <w:rtl/>
        </w:rPr>
        <w:t>ממקורות אלה ל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>משקים המפותחים עודכנו כלפי מטה</w:t>
      </w:r>
      <w:r w:rsidR="0062006E" w:rsidRPr="00B9169C">
        <w:rPr>
          <w:rFonts w:ascii="David" w:eastAsia="Calibri" w:hAnsi="David" w:cs="David" w:hint="cs"/>
          <w:sz w:val="24"/>
          <w:szCs w:val="24"/>
          <w:rtl/>
        </w:rPr>
        <w:t>, בעיקר לשנת 2023</w:t>
      </w:r>
      <w:r w:rsidR="002F29C7" w:rsidRPr="00B9169C">
        <w:rPr>
          <w:rFonts w:ascii="David" w:eastAsia="Calibri" w:hAnsi="David" w:cs="David" w:hint="cs"/>
          <w:sz w:val="24"/>
          <w:szCs w:val="24"/>
          <w:rtl/>
        </w:rPr>
        <w:t>.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/>
          <w:sz w:val="24"/>
          <w:szCs w:val="24"/>
          <w:rtl/>
        </w:rPr>
        <w:t>בהתאם לכך אנו מניחים כי הצמיחה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B9169C">
        <w:rPr>
          <w:rFonts w:cs="David" w:hint="cs"/>
          <w:sz w:val="24"/>
          <w:szCs w:val="24"/>
          <w:rtl/>
        </w:rPr>
        <w:t xml:space="preserve">במשקים </w:t>
      </w:r>
      <w:r w:rsidR="002B6066" w:rsidRPr="00B9169C">
        <w:rPr>
          <w:rFonts w:cs="David" w:hint="cs"/>
          <w:sz w:val="24"/>
          <w:szCs w:val="24"/>
          <w:rtl/>
        </w:rPr>
        <w:t>אלו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תסתכם </w:t>
      </w:r>
      <w:r w:rsidRPr="00B9169C">
        <w:rPr>
          <w:rFonts w:ascii="David" w:eastAsia="Calibri" w:hAnsi="David" w:cs="David"/>
          <w:sz w:val="24"/>
          <w:szCs w:val="24"/>
          <w:rtl/>
        </w:rPr>
        <w:t>ב-2</w:t>
      </w:r>
      <w:r w:rsidR="0083181A" w:rsidRPr="00B9169C">
        <w:rPr>
          <w:rFonts w:ascii="David" w:eastAsia="Calibri" w:hAnsi="David" w:cs="David" w:hint="cs"/>
          <w:sz w:val="24"/>
          <w:szCs w:val="24"/>
          <w:rtl/>
        </w:rPr>
        <w:t>.4</w:t>
      </w:r>
      <w:r w:rsidR="00A148A1" w:rsidRPr="00B9169C">
        <w:rPr>
          <w:rFonts w:ascii="David" w:eastAsia="Calibri" w:hAnsi="David" w:cs="David"/>
          <w:sz w:val="24"/>
          <w:szCs w:val="24"/>
          <w:rtl/>
        </w:rPr>
        <w:t>%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573622">
        <w:rPr>
          <w:rFonts w:ascii="David" w:eastAsia="Calibri" w:hAnsi="David" w:cs="David" w:hint="cs"/>
          <w:sz w:val="24"/>
          <w:szCs w:val="24"/>
          <w:rtl/>
        </w:rPr>
        <w:t xml:space="preserve">בשנת 2022 </w:t>
      </w:r>
      <w:r w:rsidRPr="00B9169C">
        <w:rPr>
          <w:rFonts w:ascii="David" w:eastAsia="Calibri" w:hAnsi="David" w:cs="David"/>
          <w:sz w:val="24"/>
          <w:szCs w:val="24"/>
          <w:rtl/>
        </w:rPr>
        <w:t>וב-</w:t>
      </w:r>
      <w:r w:rsidR="0083181A" w:rsidRPr="00B9169C">
        <w:rPr>
          <w:rFonts w:ascii="David" w:eastAsia="Calibri" w:hAnsi="David" w:cs="David" w:hint="cs"/>
          <w:sz w:val="24"/>
          <w:szCs w:val="24"/>
          <w:rtl/>
        </w:rPr>
        <w:t>0.4%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573622">
        <w:rPr>
          <w:rFonts w:ascii="David" w:eastAsia="Calibri" w:hAnsi="David" w:cs="David" w:hint="cs"/>
          <w:sz w:val="24"/>
          <w:szCs w:val="24"/>
          <w:rtl/>
        </w:rPr>
        <w:t xml:space="preserve">בשנת 2023 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(בהשוואה ל-2.7% ו-1.9% בתחזית הקודמת</w:t>
      </w:r>
      <w:r w:rsidR="00CF7BF4" w:rsidRPr="00B9169C">
        <w:rPr>
          <w:rFonts w:ascii="David" w:eastAsia="Calibri" w:hAnsi="David" w:cs="David" w:hint="cs"/>
          <w:sz w:val="24"/>
          <w:szCs w:val="24"/>
          <w:rtl/>
        </w:rPr>
        <w:t xml:space="preserve"> מיולי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).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403216" w:rsidRPr="00B9169C">
        <w:rPr>
          <w:rFonts w:ascii="David" w:eastAsia="Calibri" w:hAnsi="David" w:cs="David" w:hint="cs"/>
          <w:sz w:val="24"/>
          <w:szCs w:val="24"/>
          <w:rtl/>
        </w:rPr>
        <w:t xml:space="preserve">ההאטה בצמיחה צפויה להתבטא גם בסחר העולמי, לגביו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אנו מניחים </w:t>
      </w:r>
      <w:r w:rsidR="00403216" w:rsidRPr="00B9169C">
        <w:rPr>
          <w:rFonts w:ascii="David" w:eastAsia="Calibri" w:hAnsi="David" w:cs="David" w:hint="cs"/>
          <w:sz w:val="24"/>
          <w:szCs w:val="24"/>
          <w:rtl/>
        </w:rPr>
        <w:t xml:space="preserve">צמיחה של 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4.0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% בשנת 2022 </w:t>
      </w:r>
      <w:r w:rsidR="00403216" w:rsidRPr="00B9169C">
        <w:rPr>
          <w:rFonts w:ascii="David" w:eastAsia="Calibri" w:hAnsi="David" w:cs="David" w:hint="cs"/>
          <w:sz w:val="24"/>
          <w:szCs w:val="24"/>
          <w:rtl/>
        </w:rPr>
        <w:t>אשר תתמתן ל-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2.5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% ב-2023 (לעומת </w:t>
      </w:r>
      <w:r w:rsidR="009A765F" w:rsidRPr="00B9169C">
        <w:rPr>
          <w:rFonts w:ascii="David" w:eastAsia="Calibri" w:hAnsi="David" w:cs="David" w:hint="cs"/>
          <w:sz w:val="24"/>
          <w:szCs w:val="24"/>
          <w:rtl/>
        </w:rPr>
        <w:t>5.0</w:t>
      </w:r>
      <w:r w:rsidR="00A148A1" w:rsidRPr="00B9169C">
        <w:rPr>
          <w:rFonts w:ascii="David" w:eastAsia="Calibri" w:hAnsi="David" w:cs="David" w:hint="cs"/>
          <w:sz w:val="24"/>
          <w:szCs w:val="24"/>
          <w:rtl/>
        </w:rPr>
        <w:t>% ו-</w:t>
      </w:r>
      <w:r w:rsidR="009A765F" w:rsidRPr="00B9169C">
        <w:rPr>
          <w:rFonts w:ascii="David" w:eastAsia="Calibri" w:hAnsi="David" w:cs="David" w:hint="cs"/>
          <w:sz w:val="24"/>
          <w:szCs w:val="24"/>
          <w:rtl/>
        </w:rPr>
        <w:t>4.0</w:t>
      </w:r>
      <w:r w:rsidR="00A148A1" w:rsidRPr="00B9169C">
        <w:rPr>
          <w:rFonts w:ascii="David" w:eastAsia="Calibri" w:hAnsi="David" w:cs="David" w:hint="cs"/>
          <w:sz w:val="24"/>
          <w:szCs w:val="24"/>
          <w:rtl/>
        </w:rPr>
        <w:t>%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 בתחזית הקודמת).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תחזיות האינפלציה 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במשקים המפותחים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>עודכנו כלפי מעלה ו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אנו מניחים כי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האינפלציה במשקים אלו תעמוד 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על 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8.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3</w:t>
      </w:r>
      <w:r w:rsidRPr="00B9169C">
        <w:rPr>
          <w:rFonts w:ascii="David" w:eastAsia="Calibri" w:hAnsi="David" w:cs="David"/>
          <w:sz w:val="24"/>
          <w:szCs w:val="24"/>
          <w:rtl/>
        </w:rPr>
        <w:t>% ועל 2.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9</w:t>
      </w:r>
      <w:r w:rsidRPr="00B9169C">
        <w:rPr>
          <w:rFonts w:ascii="David" w:eastAsia="Calibri" w:hAnsi="David" w:cs="David"/>
          <w:sz w:val="24"/>
          <w:szCs w:val="24"/>
          <w:rtl/>
        </w:rPr>
        <w:t>% בשנים 2022 ו-2023</w:t>
      </w:r>
      <w:r w:rsidR="005630F0" w:rsidRPr="00B9169C">
        <w:rPr>
          <w:rFonts w:ascii="David" w:eastAsia="Calibri" w:hAnsi="David" w:cs="David" w:hint="cs"/>
          <w:sz w:val="24"/>
          <w:szCs w:val="24"/>
          <w:rtl/>
        </w:rPr>
        <w:t>,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בהתאמה (בהשוואה ל-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6.7</w:t>
      </w:r>
      <w:r w:rsidRPr="00B9169C">
        <w:rPr>
          <w:rFonts w:ascii="David" w:eastAsia="Calibri" w:hAnsi="David" w:cs="David"/>
          <w:sz w:val="24"/>
          <w:szCs w:val="24"/>
          <w:rtl/>
        </w:rPr>
        <w:t>% ו-2.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3</w:t>
      </w:r>
      <w:r w:rsidRPr="00B9169C">
        <w:rPr>
          <w:rFonts w:ascii="David" w:eastAsia="Calibri" w:hAnsi="David" w:cs="David"/>
          <w:sz w:val="24"/>
          <w:szCs w:val="24"/>
          <w:rtl/>
        </w:rPr>
        <w:t>% בתחזית הקודמת). העלייה בתחזית האינפלציה לוותה גם בעדכון</w:t>
      </w:r>
      <w:r w:rsidR="005D00A1" w:rsidRPr="00B9169C">
        <w:rPr>
          <w:rFonts w:ascii="David" w:eastAsia="Calibri" w:hAnsi="David" w:cs="David" w:hint="cs"/>
          <w:sz w:val="24"/>
          <w:szCs w:val="24"/>
          <w:rtl/>
        </w:rPr>
        <w:t xml:space="preserve"> כלפי מעלה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של התחזית לריביות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בעולם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, כך שבסוף 2022 הריבית הממוצעת של המשקים </w:t>
      </w:r>
      <w:r w:rsidRPr="00B9169C">
        <w:rPr>
          <w:rFonts w:cs="David" w:hint="cs"/>
          <w:sz w:val="24"/>
          <w:szCs w:val="24"/>
          <w:rtl/>
        </w:rPr>
        <w:t>המפותחים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צפויה לעמוד על 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כ-3.0</w:t>
      </w:r>
      <w:r w:rsidR="002B6066" w:rsidRPr="00B9169C">
        <w:rPr>
          <w:rFonts w:ascii="David" w:eastAsia="Calibri" w:hAnsi="David" w:cs="David"/>
          <w:sz w:val="24"/>
          <w:szCs w:val="24"/>
          <w:rtl/>
        </w:rPr>
        <w:t>%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>ולהישאר ברמה דומה עד סוף 2023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/>
          <w:sz w:val="24"/>
          <w:szCs w:val="24"/>
          <w:rtl/>
        </w:rPr>
        <w:lastRenderedPageBreak/>
        <w:t>(לעומת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 2.2% ו-</w:t>
      </w:r>
      <w:r w:rsidR="0042647D" w:rsidRPr="00B9169C">
        <w:rPr>
          <w:rFonts w:ascii="David" w:eastAsia="Calibri" w:hAnsi="David" w:cs="David" w:hint="cs"/>
          <w:sz w:val="24"/>
          <w:szCs w:val="24"/>
          <w:rtl/>
        </w:rPr>
        <w:t>2.4%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347E8" w:rsidRPr="00B9169C">
        <w:rPr>
          <w:rFonts w:ascii="David" w:eastAsia="Calibri" w:hAnsi="David" w:cs="David" w:hint="cs"/>
          <w:sz w:val="24"/>
          <w:szCs w:val="24"/>
          <w:rtl/>
        </w:rPr>
        <w:t xml:space="preserve">בסוף </w:t>
      </w:r>
      <w:r w:rsidR="00E6536D" w:rsidRPr="00B9169C">
        <w:rPr>
          <w:rFonts w:ascii="David" w:eastAsia="Calibri" w:hAnsi="David" w:cs="David" w:hint="cs"/>
          <w:sz w:val="24"/>
          <w:szCs w:val="24"/>
          <w:rtl/>
        </w:rPr>
        <w:t xml:space="preserve">2022 ו-2023, בהתאמה, 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בתחזית הקודמת). </w:t>
      </w:r>
      <w:r w:rsidR="005D00A1" w:rsidRPr="00B9169C">
        <w:rPr>
          <w:rFonts w:ascii="David" w:eastAsia="Calibri" w:hAnsi="David" w:cs="David" w:hint="cs"/>
          <w:sz w:val="24"/>
          <w:szCs w:val="24"/>
          <w:rtl/>
        </w:rPr>
        <w:t xml:space="preserve">מנגד,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מחירה של 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חבית נפט מסוג "ברנט"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>ירד לרמה של כ-</w:t>
      </w:r>
      <w:r w:rsidR="0021472D" w:rsidRPr="00B9169C">
        <w:rPr>
          <w:rFonts w:ascii="David" w:eastAsia="Calibri" w:hAnsi="David" w:cs="David" w:hint="cs"/>
          <w:sz w:val="24"/>
          <w:szCs w:val="24"/>
          <w:rtl/>
        </w:rPr>
        <w:t>85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$ </w:t>
      </w:r>
      <w:r w:rsidR="0021472D" w:rsidRPr="00B9169C">
        <w:rPr>
          <w:rFonts w:ascii="David" w:eastAsia="Calibri" w:hAnsi="David" w:cs="David" w:hint="cs"/>
          <w:sz w:val="24"/>
          <w:szCs w:val="24"/>
          <w:rtl/>
        </w:rPr>
        <w:t xml:space="preserve">בסוף ספטמבר </w:t>
      </w:r>
      <w:r w:rsidR="002B6066" w:rsidRPr="00B9169C">
        <w:rPr>
          <w:rFonts w:ascii="David" w:eastAsia="Calibri" w:hAnsi="David" w:cs="David" w:hint="cs"/>
          <w:sz w:val="24"/>
          <w:szCs w:val="24"/>
          <w:rtl/>
        </w:rPr>
        <w:t xml:space="preserve">(לעומת 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118$ </w:t>
      </w:r>
      <w:r w:rsidRPr="00B9169C">
        <w:rPr>
          <w:rFonts w:ascii="David" w:hAnsi="David" w:cs="David"/>
          <w:sz w:val="24"/>
          <w:szCs w:val="24"/>
          <w:rtl/>
        </w:rPr>
        <w:t>בעת עריכת התחזית הקודמת</w:t>
      </w:r>
      <w:r w:rsidR="002B6066" w:rsidRPr="00B9169C">
        <w:rPr>
          <w:rFonts w:ascii="David" w:hAnsi="David" w:cs="David" w:hint="cs"/>
          <w:sz w:val="24"/>
          <w:szCs w:val="24"/>
          <w:rtl/>
        </w:rPr>
        <w:t>)</w:t>
      </w:r>
      <w:r w:rsidRPr="00B9169C">
        <w:rPr>
          <w:rFonts w:ascii="David" w:hAnsi="David" w:cs="David"/>
          <w:sz w:val="24"/>
          <w:szCs w:val="24"/>
          <w:rtl/>
        </w:rPr>
        <w:t>.</w:t>
      </w:r>
    </w:p>
    <w:p w:rsidR="00BB518C" w:rsidRPr="00B9169C" w:rsidRDefault="00BB518C" w:rsidP="00BB518C">
      <w:pPr>
        <w:keepNext/>
        <w:keepLines/>
        <w:numPr>
          <w:ilvl w:val="0"/>
          <w:numId w:val="1"/>
        </w:numPr>
        <w:tabs>
          <w:tab w:val="left" w:pos="680"/>
        </w:tabs>
        <w:spacing w:before="240" w:after="120" w:line="360" w:lineRule="auto"/>
        <w:ind w:left="23" w:firstLine="0"/>
        <w:jc w:val="both"/>
        <w:outlineLvl w:val="1"/>
        <w:rPr>
          <w:rFonts w:ascii="David" w:hAnsi="David" w:cs="David"/>
          <w:b/>
          <w:bCs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הפעילות הריאלית בישראל</w:t>
      </w:r>
    </w:p>
    <w:p w:rsidR="00CF3DA6" w:rsidRPr="00B9169C" w:rsidRDefault="00BB518C" w:rsidP="00573622">
      <w:pPr>
        <w:spacing w:before="120" w:after="120" w:line="360" w:lineRule="auto"/>
        <w:ind w:left="35" w:hanging="12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b/>
          <w:bCs/>
          <w:sz w:val="24"/>
          <w:szCs w:val="24"/>
          <w:rtl/>
        </w:rPr>
        <w:t xml:space="preserve">התוצר צפוי לצמוח בשיעור של </w:t>
      </w:r>
      <w:r w:rsidR="002B6066" w:rsidRPr="00B9169C">
        <w:rPr>
          <w:rFonts w:ascii="David" w:eastAsia="Calibri" w:hAnsi="David" w:cs="David" w:hint="cs"/>
          <w:b/>
          <w:bCs/>
          <w:sz w:val="24"/>
          <w:szCs w:val="24"/>
          <w:rtl/>
        </w:rPr>
        <w:t>6</w:t>
      </w:r>
      <w:r w:rsidRPr="00B9169C">
        <w:rPr>
          <w:rFonts w:ascii="David" w:eastAsia="Calibri" w:hAnsi="David" w:cs="David"/>
          <w:b/>
          <w:bCs/>
          <w:sz w:val="24"/>
          <w:szCs w:val="24"/>
          <w:rtl/>
        </w:rPr>
        <w:t xml:space="preserve">% בשנת 2022, ובשיעור של 3% בשנת 2023 </w:t>
      </w:r>
      <w:r w:rsidRPr="00B9169C">
        <w:rPr>
          <w:rFonts w:ascii="David" w:eastAsia="Calibri" w:hAnsi="David" w:cs="David"/>
          <w:sz w:val="24"/>
          <w:szCs w:val="24"/>
          <w:rtl/>
        </w:rPr>
        <w:t>(</w:t>
      </w:r>
      <w:r w:rsidRPr="00B9169C">
        <w:rPr>
          <w:rFonts w:ascii="David" w:eastAsia="Calibri" w:hAnsi="David" w:cs="David"/>
          <w:sz w:val="24"/>
          <w:szCs w:val="24"/>
          <w:rtl/>
        </w:rPr>
        <w:fldChar w:fldCharType="begin"/>
      </w:r>
      <w:r w:rsidRPr="00B9169C">
        <w:rPr>
          <w:rFonts w:ascii="David" w:eastAsia="Calibri" w:hAnsi="David" w:cs="David"/>
          <w:sz w:val="24"/>
          <w:szCs w:val="24"/>
          <w:rtl/>
        </w:rPr>
        <w:instrText xml:space="preserve"> </w:instrText>
      </w:r>
      <w:r w:rsidRPr="00B9169C">
        <w:rPr>
          <w:rFonts w:ascii="David" w:eastAsia="Calibri" w:hAnsi="David" w:cs="David"/>
          <w:sz w:val="24"/>
          <w:szCs w:val="24"/>
        </w:rPr>
        <w:instrText>REF</w:instrText>
      </w:r>
      <w:r w:rsidRPr="00B9169C">
        <w:rPr>
          <w:rFonts w:ascii="David" w:eastAsia="Calibri" w:hAnsi="David" w:cs="David"/>
          <w:sz w:val="24"/>
          <w:szCs w:val="24"/>
          <w:rtl/>
        </w:rPr>
        <w:instrText xml:space="preserve"> _</w:instrText>
      </w:r>
      <w:r w:rsidRPr="00B9169C">
        <w:rPr>
          <w:rFonts w:ascii="David" w:eastAsia="Calibri" w:hAnsi="David" w:cs="David"/>
          <w:sz w:val="24"/>
          <w:szCs w:val="24"/>
        </w:rPr>
        <w:instrText>Ref503088307 \h</w:instrText>
      </w:r>
      <w:r w:rsidRPr="00B9169C">
        <w:rPr>
          <w:rFonts w:ascii="David" w:eastAsia="Calibri" w:hAnsi="David" w:cs="David"/>
          <w:sz w:val="24"/>
          <w:szCs w:val="24"/>
          <w:rtl/>
        </w:rPr>
        <w:instrText xml:space="preserve">  \* </w:instrText>
      </w:r>
      <w:r w:rsidRPr="00B9169C">
        <w:rPr>
          <w:rFonts w:ascii="David" w:eastAsia="Calibri" w:hAnsi="David" w:cs="David"/>
          <w:sz w:val="24"/>
          <w:szCs w:val="24"/>
        </w:rPr>
        <w:instrText>MERGEFORMAT</w:instrText>
      </w:r>
      <w:r w:rsidRPr="00B9169C">
        <w:rPr>
          <w:rFonts w:ascii="David" w:eastAsia="Calibri" w:hAnsi="David" w:cs="David"/>
          <w:sz w:val="24"/>
          <w:szCs w:val="24"/>
          <w:rtl/>
        </w:rPr>
        <w:instrText xml:space="preserve"> </w:instrText>
      </w:r>
      <w:r w:rsidRPr="00B9169C">
        <w:rPr>
          <w:rFonts w:ascii="David" w:eastAsia="Calibri" w:hAnsi="David" w:cs="David"/>
          <w:sz w:val="24"/>
          <w:szCs w:val="24"/>
          <w:rtl/>
        </w:rPr>
      </w:r>
      <w:r w:rsidRPr="00B9169C">
        <w:rPr>
          <w:rFonts w:ascii="David" w:eastAsia="Calibri" w:hAnsi="David" w:cs="David"/>
          <w:sz w:val="24"/>
          <w:szCs w:val="24"/>
          <w:rtl/>
        </w:rPr>
        <w:fldChar w:fldCharType="separate"/>
      </w:r>
      <w:r w:rsidR="00FD6208" w:rsidRPr="00B9169C">
        <w:rPr>
          <w:rFonts w:ascii="David" w:eastAsia="Calibri" w:hAnsi="David" w:cs="David"/>
          <w:sz w:val="24"/>
          <w:szCs w:val="24"/>
          <w:rtl/>
        </w:rPr>
        <w:t xml:space="preserve">לוח </w:t>
      </w:r>
      <w:r w:rsidR="00FD6208" w:rsidRPr="00B9169C">
        <w:rPr>
          <w:rFonts w:ascii="David" w:eastAsia="Calibri" w:hAnsi="David" w:cs="David"/>
          <w:noProof/>
          <w:sz w:val="24"/>
          <w:szCs w:val="24"/>
          <w:rtl/>
        </w:rPr>
        <w:t>1</w:t>
      </w:r>
      <w:r w:rsidRPr="00B9169C">
        <w:rPr>
          <w:rFonts w:ascii="David" w:eastAsia="Calibri" w:hAnsi="David" w:cs="David"/>
          <w:sz w:val="24"/>
          <w:szCs w:val="24"/>
          <w:rtl/>
        </w:rPr>
        <w:fldChar w:fldCharType="end"/>
      </w:r>
      <w:r w:rsidRPr="00B9169C">
        <w:rPr>
          <w:rFonts w:ascii="David" w:eastAsia="Calibri" w:hAnsi="David" w:cs="David"/>
          <w:sz w:val="24"/>
          <w:szCs w:val="24"/>
          <w:rtl/>
        </w:rPr>
        <w:t>).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551AA" w:rsidRPr="00B9169C">
        <w:rPr>
          <w:rFonts w:ascii="David" w:eastAsia="Calibri" w:hAnsi="David" w:cs="David"/>
          <w:sz w:val="24"/>
          <w:szCs w:val="24"/>
          <w:rtl/>
        </w:rPr>
        <w:t xml:space="preserve">נתוני החשבונאות הלאומית </w:t>
      </w:r>
      <w:r w:rsidR="00A551AA" w:rsidRPr="00B9169C">
        <w:rPr>
          <w:rFonts w:ascii="David" w:eastAsia="Calibri" w:hAnsi="David" w:cs="David" w:hint="cs"/>
          <w:sz w:val="24"/>
          <w:szCs w:val="24"/>
          <w:rtl/>
        </w:rPr>
        <w:t>שהתפרסמו מאז התחזית הקודמת</w:t>
      </w:r>
      <w:r w:rsidR="009972D4" w:rsidRPr="00B9169C">
        <w:rPr>
          <w:rFonts w:ascii="David" w:eastAsia="Calibri" w:hAnsi="David" w:cs="David" w:hint="cs"/>
          <w:color w:val="FF0000"/>
          <w:sz w:val="24"/>
          <w:szCs w:val="24"/>
          <w:rtl/>
        </w:rPr>
        <w:t xml:space="preserve"> </w:t>
      </w:r>
      <w:r w:rsidR="009972D4" w:rsidRPr="00B9169C">
        <w:rPr>
          <w:rFonts w:ascii="David" w:eastAsia="Calibri" w:hAnsi="David" w:cs="David" w:hint="cs"/>
          <w:sz w:val="24"/>
          <w:szCs w:val="24"/>
          <w:rtl/>
        </w:rPr>
        <w:t>(</w:t>
      </w:r>
      <w:r w:rsidR="00573622">
        <w:rPr>
          <w:rFonts w:ascii="David" w:eastAsia="Calibri" w:hAnsi="David" w:cs="David" w:hint="cs"/>
          <w:sz w:val="24"/>
          <w:szCs w:val="24"/>
          <w:rtl/>
        </w:rPr>
        <w:t>לתקופה שמסתיימת ב</w:t>
      </w:r>
      <w:r w:rsidR="009972D4" w:rsidRPr="00B9169C">
        <w:rPr>
          <w:rFonts w:ascii="David" w:eastAsia="Calibri" w:hAnsi="David" w:cs="David" w:hint="cs"/>
          <w:sz w:val="24"/>
          <w:szCs w:val="24"/>
          <w:rtl/>
        </w:rPr>
        <w:t>רבעון השני של 2022)</w:t>
      </w:r>
      <w:r w:rsidR="00A551AA" w:rsidRPr="00B9169C">
        <w:rPr>
          <w:rFonts w:ascii="David" w:eastAsia="Calibri" w:hAnsi="David" w:cs="David" w:hint="cs"/>
          <w:sz w:val="24"/>
          <w:szCs w:val="24"/>
          <w:rtl/>
        </w:rPr>
        <w:t xml:space="preserve"> מעידים</w:t>
      </w:r>
      <w:r w:rsidR="00A551AA" w:rsidRPr="00B9169C">
        <w:rPr>
          <w:rFonts w:ascii="David" w:eastAsia="Calibri" w:hAnsi="David" w:cs="David"/>
          <w:sz w:val="24"/>
          <w:szCs w:val="24"/>
          <w:rtl/>
        </w:rPr>
        <w:t xml:space="preserve"> כי מזה שלושה רב</w:t>
      </w:r>
      <w:r w:rsidR="005D00A1" w:rsidRPr="00B9169C">
        <w:rPr>
          <w:rFonts w:ascii="David" w:eastAsia="Calibri" w:hAnsi="David" w:cs="David" w:hint="cs"/>
          <w:sz w:val="24"/>
          <w:szCs w:val="24"/>
          <w:rtl/>
        </w:rPr>
        <w:t>עונים</w:t>
      </w:r>
      <w:r w:rsidR="00A551AA" w:rsidRPr="00B9169C">
        <w:rPr>
          <w:rFonts w:ascii="David" w:eastAsia="Calibri" w:hAnsi="David" w:cs="David"/>
          <w:sz w:val="24"/>
          <w:szCs w:val="24"/>
          <w:rtl/>
        </w:rPr>
        <w:t xml:space="preserve"> רמת התוצר במשק גבוהה מקו המגמה טרום משבר הקורונה</w:t>
      </w:r>
      <w:r w:rsidR="0022586C" w:rsidRPr="00B9169C">
        <w:rPr>
          <w:rFonts w:ascii="David" w:eastAsia="Calibri" w:hAnsi="David" w:cs="David" w:hint="cs"/>
          <w:sz w:val="24"/>
          <w:szCs w:val="24"/>
          <w:rtl/>
        </w:rPr>
        <w:t>.</w:t>
      </w:r>
      <w:r w:rsidR="009972D4" w:rsidRPr="00B9169C">
        <w:rPr>
          <w:rFonts w:ascii="David" w:eastAsia="Calibri" w:hAnsi="David" w:cs="David" w:hint="cs"/>
          <w:sz w:val="24"/>
          <w:szCs w:val="24"/>
          <w:rtl/>
        </w:rPr>
        <w:t xml:space="preserve"> בנוסף</w:t>
      </w:r>
      <w:r w:rsidR="0022586C" w:rsidRPr="00B9169C">
        <w:rPr>
          <w:rFonts w:ascii="David" w:eastAsia="Calibri" w:hAnsi="David" w:cs="David" w:hint="cs"/>
          <w:sz w:val="24"/>
          <w:szCs w:val="24"/>
          <w:rtl/>
        </w:rPr>
        <w:t>,</w:t>
      </w:r>
      <w:r w:rsidR="009972D4" w:rsidRPr="00B9169C">
        <w:rPr>
          <w:rFonts w:ascii="David" w:eastAsia="Calibri" w:hAnsi="David" w:cs="David" w:hint="cs"/>
          <w:sz w:val="24"/>
          <w:szCs w:val="24"/>
          <w:rtl/>
        </w:rPr>
        <w:t xml:space="preserve"> האינדיקטורים לרבעון השלישי של 2022 ממשיכים להעיד על רמת פעילות גבוהה</w:t>
      </w:r>
      <w:r w:rsidR="00A551AA" w:rsidRPr="00B9169C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לאור זאת, 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>תחזית הצמיחה ל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שנת 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>2022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 עודכנה כלפי מעלה. </w:t>
      </w:r>
      <w:r w:rsidR="00CF7BF4" w:rsidRPr="00B9169C">
        <w:rPr>
          <w:rFonts w:ascii="David" w:eastAsia="Calibri" w:hAnsi="David" w:cs="David" w:hint="cs"/>
          <w:sz w:val="24"/>
          <w:szCs w:val="24"/>
          <w:rtl/>
        </w:rPr>
        <w:t xml:space="preserve">לעומת זאת, 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אנו מעריכים כי צמיחת התוצר </w:t>
      </w:r>
      <w:r w:rsidR="00A148A1" w:rsidRPr="00B9169C">
        <w:rPr>
          <w:rFonts w:ascii="David" w:eastAsia="Calibri" w:hAnsi="David" w:cs="David" w:hint="cs"/>
          <w:sz w:val="24"/>
          <w:szCs w:val="24"/>
          <w:rtl/>
        </w:rPr>
        <w:t>תתמתן</w:t>
      </w:r>
      <w:r w:rsidR="00F85901" w:rsidRPr="00B9169C">
        <w:rPr>
          <w:rFonts w:ascii="David" w:eastAsia="Calibri" w:hAnsi="David" w:cs="David" w:hint="cs"/>
          <w:sz w:val="24"/>
          <w:szCs w:val="24"/>
          <w:rtl/>
        </w:rPr>
        <w:t xml:space="preserve"> בשנת 2023 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>כך ש</w:t>
      </w:r>
      <w:r w:rsidR="00553972" w:rsidRPr="00B9169C">
        <w:rPr>
          <w:rFonts w:ascii="David" w:eastAsia="Calibri" w:hAnsi="David" w:cs="David"/>
          <w:sz w:val="24"/>
          <w:szCs w:val="24"/>
          <w:rtl/>
        </w:rPr>
        <w:t xml:space="preserve">רמתו 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>תהיה</w:t>
      </w:r>
      <w:r w:rsidR="00553972" w:rsidRPr="00B9169C">
        <w:rPr>
          <w:rFonts w:ascii="David" w:eastAsia="Calibri" w:hAnsi="David" w:cs="David"/>
          <w:sz w:val="24"/>
          <w:szCs w:val="24"/>
          <w:rtl/>
        </w:rPr>
        <w:t xml:space="preserve"> בסביבת קו המגמה או מעט מתחתיה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>.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 ההאטה בצמיחה נובעת מהצפי להתמתנות ב</w:t>
      </w:r>
      <w:r w:rsidR="00CF7BF4" w:rsidRPr="00B9169C">
        <w:rPr>
          <w:rFonts w:ascii="David" w:eastAsia="Calibri" w:hAnsi="David" w:cs="David" w:hint="cs"/>
          <w:sz w:val="24"/>
          <w:szCs w:val="24"/>
          <w:rtl/>
        </w:rPr>
        <w:t>צמיחת הסחר העולמי ובצמיחת התוצר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 במדינות המפותחות וכן </w:t>
      </w:r>
      <w:r w:rsidR="006F14DE" w:rsidRPr="00B9169C">
        <w:rPr>
          <w:rFonts w:ascii="David" w:eastAsia="Calibri" w:hAnsi="David" w:cs="David" w:hint="cs"/>
          <w:sz w:val="24"/>
          <w:szCs w:val="24"/>
          <w:rtl/>
        </w:rPr>
        <w:t>מ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>עליית הריבית הריאלית</w:t>
      </w:r>
      <w:r w:rsidR="00CE63E3" w:rsidRPr="00B9169C">
        <w:rPr>
          <w:rFonts w:ascii="David" w:eastAsia="Calibri" w:hAnsi="David" w:cs="David" w:hint="cs"/>
          <w:sz w:val="24"/>
          <w:szCs w:val="24"/>
          <w:rtl/>
        </w:rPr>
        <w:t xml:space="preserve"> בישראל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 בטווח התחזית. בהשוואה לתחזית הקודמת, </w:t>
      </w:r>
      <w:r w:rsidR="00CF7BF4" w:rsidRPr="00B9169C">
        <w:rPr>
          <w:rFonts w:ascii="David" w:eastAsia="Calibri" w:hAnsi="David" w:cs="David" w:hint="cs"/>
          <w:sz w:val="24"/>
          <w:szCs w:val="24"/>
          <w:rtl/>
        </w:rPr>
        <w:t>התחזית הנוכחית משקפת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רמת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פעילות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גבוהה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יותר</w:t>
      </w:r>
      <w:r w:rsidR="00F670E2" w:rsidRPr="00B9169C">
        <w:rPr>
          <w:rFonts w:ascii="David" w:eastAsia="Calibri" w:hAnsi="David" w:cs="David" w:hint="cs"/>
          <w:sz w:val="24"/>
          <w:szCs w:val="24"/>
          <w:rtl/>
        </w:rPr>
        <w:t xml:space="preserve"> בשנים 2022-23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כפי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שמשתקף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בעדכון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כלפי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מעלה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בתחזית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לסטיית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התוצר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3DA6" w:rsidRPr="00B9169C">
        <w:rPr>
          <w:rFonts w:ascii="David" w:eastAsia="Calibri" w:hAnsi="David" w:cs="David" w:hint="eastAsia"/>
          <w:sz w:val="24"/>
          <w:szCs w:val="24"/>
          <w:rtl/>
        </w:rPr>
        <w:t>מהמגמה</w:t>
      </w:r>
      <w:r w:rsidR="00CF3DA6" w:rsidRPr="00B9169C">
        <w:rPr>
          <w:rFonts w:ascii="David" w:eastAsia="Calibri" w:hAnsi="David" w:cs="David"/>
          <w:sz w:val="24"/>
          <w:szCs w:val="24"/>
          <w:rtl/>
        </w:rPr>
        <w:t>.</w:t>
      </w:r>
      <w:r w:rsidR="00CF3DA6"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:rsidR="00886200" w:rsidRPr="00B9169C" w:rsidRDefault="006F14DE" w:rsidP="00ED68E4">
      <w:pPr>
        <w:spacing w:before="120" w:after="120" w:line="360" w:lineRule="auto"/>
        <w:ind w:left="35" w:hanging="12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בנקודת המוצא של התחזית שוק העבודה הדוק עם שיעור תעסוקה 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>בגילאי העבודה העיקריים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>גבוה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>מ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זה ששרר ערב משבר הקורונה 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>ו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שיעור אבטלה 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 xml:space="preserve">נמוך מזה ששרר באותה תקופה. בטווח התחזית אנו מעריכים כי שוק העבודה יוותר הדוק אך יחזור בהדרגה לרמות שאפיינו אותו טרם משבר הקורונה. בפרט, </w:t>
      </w:r>
      <w:r w:rsidR="00223474" w:rsidRPr="00B9169C">
        <w:rPr>
          <w:rFonts w:ascii="David" w:eastAsia="Calibri" w:hAnsi="David" w:cs="David" w:hint="cs"/>
          <w:sz w:val="24"/>
          <w:szCs w:val="24"/>
          <w:rtl/>
        </w:rPr>
        <w:t>אנו צופים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 xml:space="preserve"> כי שיעור התעסוקה בגילאי העבודה העיקריים </w:t>
      </w:r>
      <w:proofErr w:type="spellStart"/>
      <w:r w:rsidR="00ED68E4" w:rsidRPr="00B9169C">
        <w:rPr>
          <w:rFonts w:ascii="David" w:eastAsia="Calibri" w:hAnsi="David" w:cs="David" w:hint="cs"/>
          <w:sz w:val="24"/>
          <w:szCs w:val="24"/>
          <w:rtl/>
        </w:rPr>
        <w:t>יירד</w:t>
      </w:r>
      <w:proofErr w:type="spellEnd"/>
      <w:r w:rsidR="00553972" w:rsidRPr="00B9169C">
        <w:rPr>
          <w:rFonts w:ascii="David" w:eastAsia="Calibri" w:hAnsi="David" w:cs="David" w:hint="cs"/>
          <w:sz w:val="24"/>
          <w:szCs w:val="24"/>
          <w:rtl/>
        </w:rPr>
        <w:t xml:space="preserve"> ל-77.9% בממוצע בשנת 2023 ושיעור האבטלה </w:t>
      </w:r>
      <w:r w:rsidR="00223474" w:rsidRPr="00B9169C">
        <w:rPr>
          <w:rFonts w:ascii="David" w:eastAsia="Calibri" w:hAnsi="David" w:cs="David" w:hint="cs"/>
          <w:sz w:val="24"/>
          <w:szCs w:val="24"/>
          <w:rtl/>
        </w:rPr>
        <w:t>י</w:t>
      </w:r>
      <w:r w:rsidR="00ED68E4" w:rsidRPr="00B9169C">
        <w:rPr>
          <w:rFonts w:ascii="David" w:eastAsia="Calibri" w:hAnsi="David" w:cs="David" w:hint="cs"/>
          <w:sz w:val="24"/>
          <w:szCs w:val="24"/>
          <w:rtl/>
        </w:rPr>
        <w:t>עלה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 xml:space="preserve"> ל-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>3.5%</w:t>
      </w:r>
      <w:r w:rsidR="00553972" w:rsidRPr="00B9169C">
        <w:rPr>
          <w:rFonts w:ascii="David" w:eastAsia="Calibri" w:hAnsi="David" w:cs="David" w:hint="cs"/>
          <w:sz w:val="24"/>
          <w:szCs w:val="24"/>
          <w:rtl/>
        </w:rPr>
        <w:t xml:space="preserve"> בממוצע באותה שנה</w:t>
      </w:r>
      <w:r w:rsidR="00886200" w:rsidRPr="00B9169C">
        <w:rPr>
          <w:rFonts w:ascii="David" w:eastAsia="Calibri" w:hAnsi="David" w:cs="David" w:hint="cs"/>
          <w:sz w:val="24"/>
          <w:szCs w:val="24"/>
          <w:rtl/>
        </w:rPr>
        <w:t xml:space="preserve">. </w:t>
      </w:r>
    </w:p>
    <w:p w:rsidR="00573622" w:rsidRDefault="00BB518C" w:rsidP="00FD6208">
      <w:pPr>
        <w:spacing w:before="120" w:after="120" w:line="360" w:lineRule="auto"/>
        <w:ind w:left="35" w:hanging="12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sz w:val="24"/>
          <w:szCs w:val="24"/>
          <w:rtl/>
        </w:rPr>
        <w:t>באשר ל</w:t>
      </w:r>
      <w:r w:rsidRPr="00B9169C">
        <w:rPr>
          <w:rFonts w:ascii="David" w:eastAsia="Calibri" w:hAnsi="David" w:cs="David" w:hint="eastAsia"/>
          <w:sz w:val="24"/>
          <w:szCs w:val="24"/>
          <w:rtl/>
        </w:rPr>
        <w:t>תקציב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 w:hint="eastAsia"/>
          <w:sz w:val="24"/>
          <w:szCs w:val="24"/>
          <w:rtl/>
        </w:rPr>
        <w:t>המדינה</w:t>
      </w:r>
      <w:r w:rsidR="008936C0" w:rsidRPr="00B9169C">
        <w:rPr>
          <w:rFonts w:ascii="David" w:eastAsia="Calibri" w:hAnsi="David" w:cs="David" w:hint="cs"/>
          <w:sz w:val="24"/>
          <w:szCs w:val="24"/>
          <w:rtl/>
        </w:rPr>
        <w:t xml:space="preserve">, לאור תקבולי מסים גבוהים מהצפוי והוצאות </w:t>
      </w:r>
      <w:r w:rsidR="00871B3E" w:rsidRPr="00B9169C">
        <w:rPr>
          <w:rFonts w:ascii="David" w:eastAsia="Calibri" w:hAnsi="David" w:cs="David" w:hint="cs"/>
          <w:sz w:val="24"/>
          <w:szCs w:val="24"/>
          <w:rtl/>
        </w:rPr>
        <w:t xml:space="preserve">נמוכות מהצפוי, </w:t>
      </w:r>
      <w:r w:rsidRPr="00B9169C">
        <w:rPr>
          <w:rFonts w:ascii="David" w:eastAsia="Calibri" w:hAnsi="David" w:cs="David"/>
          <w:sz w:val="24"/>
          <w:szCs w:val="24"/>
          <w:rtl/>
        </w:rPr>
        <w:t>הגירעון צפוי להיות</w:t>
      </w:r>
      <w:r w:rsidR="00871B3E" w:rsidRPr="00B9169C">
        <w:rPr>
          <w:rFonts w:ascii="David" w:eastAsia="Calibri" w:hAnsi="David" w:cs="David" w:hint="cs"/>
          <w:sz w:val="24"/>
          <w:szCs w:val="24"/>
          <w:rtl/>
        </w:rPr>
        <w:t xml:space="preserve"> נמוך מהערכתנו בתחזית הקודמת. בשנת 2022 </w:t>
      </w:r>
      <w:r w:rsidR="002242D8" w:rsidRPr="00B9169C">
        <w:rPr>
          <w:rFonts w:ascii="David" w:eastAsia="Calibri" w:hAnsi="David" w:cs="David" w:hint="cs"/>
          <w:sz w:val="24"/>
          <w:szCs w:val="24"/>
          <w:rtl/>
        </w:rPr>
        <w:t>הוא</w:t>
      </w:r>
      <w:r w:rsidR="00871B3E" w:rsidRPr="00B9169C">
        <w:rPr>
          <w:rFonts w:ascii="David" w:eastAsia="Calibri" w:hAnsi="David" w:cs="David" w:hint="cs"/>
          <w:sz w:val="24"/>
          <w:szCs w:val="24"/>
          <w:rtl/>
        </w:rPr>
        <w:t xml:space="preserve"> צפוי להיות 0.3 אחוזי תוצר, וב-2023</w:t>
      </w:r>
      <w:r w:rsidR="00CE63E3" w:rsidRPr="00B9169C">
        <w:rPr>
          <w:rFonts w:ascii="David" w:eastAsia="Calibri" w:hAnsi="David" w:cs="David" w:hint="cs"/>
          <w:sz w:val="24"/>
          <w:szCs w:val="24"/>
          <w:rtl/>
        </w:rPr>
        <w:t xml:space="preserve"> הוא צפוי </w:t>
      </w:r>
      <w:r w:rsidR="00403216" w:rsidRPr="00B9169C">
        <w:rPr>
          <w:rFonts w:ascii="David" w:eastAsia="Calibri" w:hAnsi="David" w:cs="David" w:hint="cs"/>
          <w:sz w:val="24"/>
          <w:szCs w:val="24"/>
          <w:rtl/>
        </w:rPr>
        <w:t>להיות כ</w:t>
      </w:r>
      <w:r w:rsidR="00871B3E" w:rsidRPr="00B9169C">
        <w:rPr>
          <w:rFonts w:ascii="David" w:eastAsia="Calibri" w:hAnsi="David" w:cs="David" w:hint="cs"/>
          <w:sz w:val="24"/>
          <w:szCs w:val="24"/>
          <w:rtl/>
        </w:rPr>
        <w:t xml:space="preserve">אחוז תוצר. </w:t>
      </w:r>
      <w:r w:rsidR="00403216" w:rsidRPr="00B9169C">
        <w:rPr>
          <w:rFonts w:ascii="David" w:eastAsia="Calibri" w:hAnsi="David" w:cs="David"/>
          <w:sz w:val="24"/>
          <w:szCs w:val="24"/>
          <w:rtl/>
        </w:rPr>
        <w:t>לאור אי הוודאות לגבי מועד והרכב התקציב שיאושר, התחזית ל-2023 נערכה על בסיס הנחת עבודה שתקציב 2023 יכלול הגדלה מסוימת של תקרת ההוצאה. הנחה זו משקפת אומדן של עלות תכניות ופעולות שונות שהממשלה אישרה או צפויה לאשר</w:t>
      </w:r>
      <w:r w:rsidR="00403216" w:rsidRPr="00B9169C">
        <w:rPr>
          <w:rFonts w:ascii="David" w:eastAsia="Calibri" w:hAnsi="David" w:cs="David" w:hint="cs"/>
          <w:sz w:val="24"/>
          <w:szCs w:val="24"/>
          <w:rtl/>
        </w:rPr>
        <w:t>.</w:t>
      </w:r>
      <w:bookmarkStart w:id="1" w:name="_Ref503088307"/>
    </w:p>
    <w:p w:rsidR="00573622" w:rsidRDefault="00573622">
      <w:pPr>
        <w:bidi w:val="0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/>
          <w:sz w:val="24"/>
          <w:szCs w:val="24"/>
          <w:rtl/>
        </w:rPr>
        <w:br w:type="page"/>
      </w:r>
    </w:p>
    <w:p w:rsidR="00BB518C" w:rsidRPr="00B9169C" w:rsidRDefault="00BB518C" w:rsidP="00FD6208">
      <w:pPr>
        <w:spacing w:before="120" w:after="0" w:line="360" w:lineRule="auto"/>
        <w:ind w:left="35" w:hanging="12"/>
        <w:jc w:val="center"/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</w:pP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lastRenderedPageBreak/>
        <w:t xml:space="preserve">לוח </w: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fldChar w:fldCharType="begin"/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instrText xml:space="preserve"> </w:instrTex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</w:rPr>
        <w:instrText>SEQ</w:instrTex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instrText xml:space="preserve"> לוח \* </w:instrTex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</w:rPr>
        <w:instrText>ARABIC</w:instrTex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instrText xml:space="preserve"> </w:instrTex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fldChar w:fldCharType="separate"/>
      </w:r>
      <w:r w:rsidR="00FD6208" w:rsidRPr="00B9169C">
        <w:rPr>
          <w:rFonts w:ascii="David" w:eastAsia="Calibri" w:hAnsi="David" w:cs="David"/>
          <w:b/>
          <w:bCs/>
          <w:noProof/>
          <w:color w:val="4F81BD"/>
          <w:sz w:val="24"/>
          <w:szCs w:val="24"/>
          <w:rtl/>
        </w:rPr>
        <w:t>1</w:t>
      </w: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fldChar w:fldCharType="end"/>
      </w:r>
      <w:bookmarkEnd w:id="1"/>
    </w:p>
    <w:p w:rsidR="00BB518C" w:rsidRPr="00B9169C" w:rsidRDefault="00BB518C" w:rsidP="00FD6208">
      <w:pPr>
        <w:keepNext/>
        <w:keepLines/>
        <w:spacing w:before="120" w:after="200" w:line="360" w:lineRule="auto"/>
        <w:ind w:left="113"/>
        <w:contextualSpacing/>
        <w:jc w:val="center"/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</w:pPr>
      <w:r w:rsidRPr="00B9169C">
        <w:rPr>
          <w:rFonts w:ascii="David" w:eastAsia="Calibri" w:hAnsi="David" w:cs="David"/>
          <w:b/>
          <w:bCs/>
          <w:color w:val="4F81BD"/>
          <w:sz w:val="24"/>
          <w:szCs w:val="24"/>
          <w:rtl/>
        </w:rPr>
        <w:t>תחזית חטיבת המחקר ל-2022—2023</w:t>
      </w:r>
    </w:p>
    <w:p w:rsidR="00BB518C" w:rsidRPr="00B9169C" w:rsidRDefault="00BB518C" w:rsidP="00FD6208">
      <w:pPr>
        <w:spacing w:before="120" w:after="120" w:line="360" w:lineRule="auto"/>
        <w:ind w:left="35" w:hanging="12"/>
        <w:jc w:val="center"/>
        <w:rPr>
          <w:rFonts w:ascii="David" w:eastAsia="Calibri" w:hAnsi="David" w:cs="David"/>
          <w:color w:val="4F81BD"/>
          <w:sz w:val="24"/>
          <w:szCs w:val="24"/>
          <w:rtl/>
        </w:rPr>
      </w:pPr>
      <w:r w:rsidRPr="00B9169C">
        <w:rPr>
          <w:rFonts w:ascii="David" w:eastAsia="Calibri" w:hAnsi="David" w:cs="David"/>
          <w:color w:val="4F81BD"/>
          <w:sz w:val="24"/>
          <w:szCs w:val="24"/>
          <w:rtl/>
        </w:rPr>
        <w:t>(שיעורי השינוי באחוזים</w:t>
      </w:r>
      <w:r w:rsidRPr="00B9169C">
        <w:rPr>
          <w:rFonts w:ascii="David" w:eastAsia="Calibri" w:hAnsi="David" w:cs="David"/>
          <w:color w:val="4F81BD"/>
          <w:vertAlign w:val="superscript"/>
          <w:rtl/>
        </w:rPr>
        <w:t>1</w:t>
      </w:r>
      <w:r w:rsidRPr="00B9169C">
        <w:rPr>
          <w:rFonts w:ascii="David" w:eastAsia="Calibri" w:hAnsi="David" w:cs="David"/>
          <w:color w:val="4F81BD"/>
          <w:sz w:val="24"/>
          <w:szCs w:val="24"/>
          <w:rtl/>
        </w:rPr>
        <w:t>, אלא אם צוין אחרת)</w:t>
      </w:r>
    </w:p>
    <w:tbl>
      <w:tblPr>
        <w:bidiVisual/>
        <w:tblW w:w="7487" w:type="dxa"/>
        <w:tblInd w:w="6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4"/>
        <w:gridCol w:w="709"/>
        <w:gridCol w:w="79"/>
        <w:gridCol w:w="696"/>
        <w:gridCol w:w="715"/>
        <w:gridCol w:w="136"/>
        <w:gridCol w:w="708"/>
        <w:gridCol w:w="684"/>
        <w:gridCol w:w="136"/>
      </w:tblGrid>
      <w:tr w:rsidR="00BF46A3" w:rsidRPr="00B9169C" w:rsidTr="00BF46A3">
        <w:trPr>
          <w:trHeight w:val="30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A3" w:rsidRPr="00B9169C" w:rsidRDefault="00BF46A3" w:rsidP="00BB518C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</w:rPr>
              <w:t>2022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</w:rPr>
              <w:t>2023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413"/>
        </w:trPr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BB518C">
            <w:pPr>
              <w:bidi w:val="0"/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בפועל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  <w:rtl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התחזית ל-2022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0068E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Calibri" w:hAnsi="David" w:cs="David"/>
                <w:color w:val="4F81BD"/>
                <w:sz w:val="20"/>
                <w:szCs w:val="20"/>
                <w:rtl/>
              </w:rPr>
              <w:t xml:space="preserve">השינוי מתחזית </w:t>
            </w:r>
            <w:r w:rsidRPr="00B9169C">
              <w:rPr>
                <w:rFonts w:ascii="David" w:eastAsia="Calibri" w:hAnsi="David" w:cs="David" w:hint="cs"/>
                <w:color w:val="4F81BD"/>
                <w:sz w:val="20"/>
                <w:szCs w:val="20"/>
                <w:rtl/>
              </w:rPr>
              <w:t>יולי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התחזית ל-2023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0068E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Calibri" w:hAnsi="David" w:cs="David"/>
                <w:color w:val="4F81BD"/>
                <w:sz w:val="20"/>
                <w:szCs w:val="20"/>
                <w:rtl/>
              </w:rPr>
              <w:t xml:space="preserve">השינוי מתחזית </w:t>
            </w:r>
            <w:r w:rsidRPr="00B9169C">
              <w:rPr>
                <w:rFonts w:ascii="David" w:eastAsia="Calibri" w:hAnsi="David" w:cs="David" w:hint="cs"/>
                <w:color w:val="4F81BD"/>
                <w:sz w:val="20"/>
                <w:szCs w:val="20"/>
                <w:rtl/>
              </w:rPr>
              <w:t>יולי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BF46A3" w:rsidRPr="00B9169C" w:rsidTr="00BF46A3">
        <w:trPr>
          <w:trHeight w:val="279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תוצר מקומי גולמי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8.6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6.0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hAnsi="David" w:cs="David"/>
                <w:color w:val="4F81BD"/>
                <w:sz w:val="20"/>
                <w:szCs w:val="20"/>
              </w:rPr>
              <w:t>1.</w:t>
            </w:r>
            <w:r w:rsidRPr="00B9169C">
              <w:rPr>
                <w:rFonts w:ascii="David" w:hAnsi="David" w:cs="David" w:hint="cs"/>
                <w:color w:val="4F81BD"/>
                <w:sz w:val="20"/>
                <w:szCs w:val="20"/>
                <w:rtl/>
              </w:rPr>
              <w:t>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hAnsi="David" w:cs="David"/>
                <w:color w:val="4F81B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hAnsi="David" w:cs="David"/>
                <w:sz w:val="20"/>
                <w:szCs w:val="20"/>
                <w:rtl/>
              </w:rPr>
              <w:t>3.</w:t>
            </w:r>
            <w:r w:rsidRPr="00B9169C">
              <w:rPr>
                <w:rFonts w:ascii="David" w:hAnsi="David" w:cs="David" w:hint="cs"/>
                <w:sz w:val="20"/>
                <w:szCs w:val="20"/>
                <w:rtl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hAnsi="David" w:cs="David"/>
                <w:color w:val="4F81BD"/>
                <w:sz w:val="20"/>
                <w:szCs w:val="20"/>
              </w:rPr>
              <w:t>-0.</w:t>
            </w:r>
            <w:r w:rsidRPr="00B9169C">
              <w:rPr>
                <w:rFonts w:ascii="David" w:hAnsi="David" w:cs="David" w:hint="cs"/>
                <w:color w:val="4F81BD"/>
                <w:sz w:val="20"/>
                <w:szCs w:val="20"/>
                <w:rtl/>
              </w:rPr>
              <w:t>5</w:t>
            </w: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BF46A3" w:rsidRPr="00B9169C" w:rsidRDefault="00BF46A3" w:rsidP="002F110F">
            <w:pPr>
              <w:spacing w:after="0" w:line="240" w:lineRule="auto"/>
              <w:jc w:val="center"/>
              <w:rPr>
                <w:rFonts w:ascii="David" w:hAnsi="David" w:cs="David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צריכה פרטית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11.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0.5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3.5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1.0-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 xml:space="preserve">השקעה בנכסים קבועים (ללא </w:t>
            </w:r>
            <w:proofErr w:type="spellStart"/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אוניות</w:t>
            </w:r>
            <w:proofErr w:type="spellEnd"/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 xml:space="preserve"> ומטוסים)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1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2.2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3.0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צריכה ציבורית (ללא יבוא ביטחוני)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3.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4.0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  <w:t>0.0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4.0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1.0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יצוא (ללא יהלומים והזנק)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1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1.8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5.0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0.0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 xml:space="preserve">יבוא אזרחי (ללא יהלומים, </w:t>
            </w:r>
            <w:proofErr w:type="spellStart"/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אוניות</w:t>
            </w:r>
            <w:proofErr w:type="spellEnd"/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 xml:space="preserve"> ומטוסים)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18.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12.5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5.0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3.5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0.5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סטיית התוצר ממגמת טרום המשבר (אחוזים)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1.4-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1.1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sz w:val="20"/>
                <w:szCs w:val="20"/>
                <w:rtl/>
              </w:rPr>
              <w:t>0.5-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1527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0.</w:t>
            </w: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4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שיעור אבטלה – ממוצע שנתי (גילאי 25-64)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4.6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3.1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-0.</w:t>
            </w: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2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3.</w:t>
            </w: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0.0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שיעור תעסוקה  – ממוצע שנתי</w:t>
            </w:r>
            <w:r w:rsidRPr="00B9169C"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(גילאי 25-64</w:t>
            </w:r>
            <w:r w:rsidRPr="00B9169C"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75</w:t>
            </w: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.7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78</w:t>
            </w: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.7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0.4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4F81BD"/>
                <w:sz w:val="20"/>
                <w:szCs w:val="20"/>
              </w:rPr>
              <w:t>0.2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גירעון הממשלה (אחוזי תוצר)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sz w:val="20"/>
                <w:szCs w:val="20"/>
              </w:rPr>
              <w:t>4.4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0D65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0.3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0.4-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1.0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0.2-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יחס חוב לתוצר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</w:tcPr>
          <w:p w:rsidR="00BF46A3" w:rsidRPr="00B9169C" w:rsidRDefault="009B459F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sz w:val="20"/>
                <w:szCs w:val="20"/>
                <w:rtl/>
              </w:rPr>
              <w:t>68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65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1.0-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1.0-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  <w:tr w:rsidR="00BF46A3" w:rsidRPr="00B9169C" w:rsidTr="00BF46A3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BB518C">
            <w:pPr>
              <w:spacing w:after="0" w:line="240" w:lineRule="auto"/>
              <w:jc w:val="both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Calibri" w:hAnsi="David" w:cs="David"/>
                <w:color w:val="000000"/>
                <w:sz w:val="20"/>
                <w:szCs w:val="20"/>
                <w:rtl/>
              </w:rPr>
              <w:t>אינפלציה</w:t>
            </w:r>
            <w:r w:rsidRPr="00B9169C">
              <w:rPr>
                <w:rFonts w:ascii="David" w:eastAsia="Calibri" w:hAnsi="David" w:cs="David" w:hint="cs"/>
                <w:color w:val="000000"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  <w:t>2.5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0.1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2.5</w:t>
            </w:r>
          </w:p>
        </w:tc>
        <w:tc>
          <w:tcPr>
            <w:tcW w:w="684" w:type="dxa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4F81BD"/>
                <w:sz w:val="20"/>
                <w:szCs w:val="20"/>
              </w:rPr>
            </w:pPr>
            <w:r w:rsidRPr="00B9169C">
              <w:rPr>
                <w:rFonts w:ascii="David" w:eastAsia="Times New Roman" w:hAnsi="David" w:cs="David" w:hint="cs"/>
                <w:color w:val="4F81BD"/>
                <w:sz w:val="20"/>
                <w:szCs w:val="20"/>
                <w:rtl/>
              </w:rPr>
              <w:t>0.1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BF46A3" w:rsidRPr="00B9169C" w:rsidRDefault="00BF46A3" w:rsidP="002F110F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0"/>
                <w:szCs w:val="20"/>
              </w:rPr>
            </w:pPr>
          </w:p>
        </w:tc>
      </w:tr>
    </w:tbl>
    <w:p w:rsidR="00BB518C" w:rsidRPr="00B9169C" w:rsidRDefault="00BB518C" w:rsidP="00FD6208">
      <w:pPr>
        <w:numPr>
          <w:ilvl w:val="0"/>
          <w:numId w:val="2"/>
        </w:numPr>
        <w:spacing w:before="120" w:after="0" w:line="360" w:lineRule="auto"/>
        <w:ind w:left="509" w:hanging="284"/>
        <w:contextualSpacing/>
        <w:jc w:val="both"/>
        <w:rPr>
          <w:rFonts w:ascii="David" w:eastAsia="Calibri" w:hAnsi="David" w:cs="David"/>
          <w:sz w:val="18"/>
          <w:szCs w:val="18"/>
        </w:rPr>
      </w:pPr>
      <w:r w:rsidRPr="00B9169C">
        <w:rPr>
          <w:rFonts w:ascii="David" w:eastAsia="Calibri" w:hAnsi="David" w:cs="David"/>
          <w:sz w:val="18"/>
          <w:szCs w:val="18"/>
          <w:rtl/>
        </w:rPr>
        <w:t>בתחזית לרכיבי החשבונאות הלאומית, שיעור השינוי מעוגל לחצי נקודת אחוז.</w:t>
      </w:r>
    </w:p>
    <w:p w:rsidR="00BB518C" w:rsidRPr="00B9169C" w:rsidRDefault="00BB518C" w:rsidP="00FD6208">
      <w:pPr>
        <w:numPr>
          <w:ilvl w:val="0"/>
          <w:numId w:val="2"/>
        </w:numPr>
        <w:spacing w:before="120" w:after="0" w:line="360" w:lineRule="auto"/>
        <w:ind w:left="509" w:hanging="284"/>
        <w:contextualSpacing/>
        <w:jc w:val="both"/>
        <w:rPr>
          <w:rFonts w:ascii="David" w:eastAsia="Calibri" w:hAnsi="David" w:cs="David"/>
          <w:sz w:val="18"/>
          <w:szCs w:val="18"/>
        </w:rPr>
      </w:pPr>
      <w:r w:rsidRPr="00B9169C">
        <w:rPr>
          <w:rFonts w:ascii="David" w:eastAsia="Calibri" w:hAnsi="David" w:cs="David"/>
          <w:sz w:val="18"/>
          <w:szCs w:val="18"/>
          <w:rtl/>
        </w:rPr>
        <w:t>הממוצע של מדד המחירים לצרכן ברבעון האחרון בשנה לעומת הממוצע ברבעון האחרון בשנה הקודמת.</w:t>
      </w:r>
    </w:p>
    <w:p w:rsidR="00BB518C" w:rsidRPr="00B9169C" w:rsidRDefault="00BB518C" w:rsidP="00BB518C">
      <w:pPr>
        <w:keepNext/>
        <w:keepLines/>
        <w:numPr>
          <w:ilvl w:val="0"/>
          <w:numId w:val="1"/>
        </w:numPr>
        <w:tabs>
          <w:tab w:val="num" w:pos="360"/>
          <w:tab w:val="left" w:pos="680"/>
        </w:tabs>
        <w:spacing w:before="240" w:after="120" w:line="360" w:lineRule="auto"/>
        <w:ind w:left="23" w:firstLine="0"/>
        <w:jc w:val="both"/>
        <w:outlineLvl w:val="1"/>
        <w:rPr>
          <w:rFonts w:ascii="David" w:hAnsi="David" w:cs="David"/>
          <w:b/>
          <w:bCs/>
          <w:sz w:val="24"/>
          <w:szCs w:val="24"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האינפלציה והריבית</w:t>
      </w:r>
    </w:p>
    <w:p w:rsidR="001F7E2B" w:rsidRPr="00B9169C" w:rsidRDefault="00BB518C" w:rsidP="00553972">
      <w:pPr>
        <w:spacing w:before="120" w:after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 xml:space="preserve">שיעור האינפלציה בארבעת הרבעונים הקרובים </w:t>
      </w:r>
      <w:r w:rsidR="00573622">
        <w:rPr>
          <w:rFonts w:ascii="David" w:hAnsi="David" w:cs="David" w:hint="cs"/>
          <w:b/>
          <w:bCs/>
          <w:sz w:val="24"/>
          <w:szCs w:val="24"/>
          <w:rtl/>
        </w:rPr>
        <w:t>המסתיימים ברב</w:t>
      </w:r>
      <w:r w:rsidRPr="00B9169C">
        <w:rPr>
          <w:rFonts w:ascii="David" w:hAnsi="David" w:cs="David" w:hint="cs"/>
          <w:b/>
          <w:bCs/>
          <w:sz w:val="24"/>
          <w:szCs w:val="24"/>
          <w:rtl/>
        </w:rPr>
        <w:t>ע</w:t>
      </w:r>
      <w:r w:rsidR="00573622">
        <w:rPr>
          <w:rFonts w:ascii="David" w:hAnsi="David" w:cs="David" w:hint="cs"/>
          <w:b/>
          <w:bCs/>
          <w:sz w:val="24"/>
          <w:szCs w:val="24"/>
          <w:rtl/>
        </w:rPr>
        <w:t>ון</w:t>
      </w:r>
      <w:r w:rsidRPr="00B9169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679E3" w:rsidRPr="00B9169C">
        <w:rPr>
          <w:rFonts w:ascii="David" w:hAnsi="David" w:cs="David" w:hint="cs"/>
          <w:b/>
          <w:bCs/>
          <w:sz w:val="24"/>
          <w:szCs w:val="24"/>
          <w:rtl/>
        </w:rPr>
        <w:t>השלישי</w:t>
      </w:r>
      <w:r w:rsidRPr="00B9169C">
        <w:rPr>
          <w:rFonts w:ascii="David" w:hAnsi="David" w:cs="David" w:hint="cs"/>
          <w:b/>
          <w:bCs/>
          <w:sz w:val="24"/>
          <w:szCs w:val="24"/>
          <w:rtl/>
        </w:rPr>
        <w:t xml:space="preserve"> של 2023 </w:t>
      </w:r>
      <w:r w:rsidRPr="00B9169C">
        <w:rPr>
          <w:rFonts w:ascii="David" w:hAnsi="David" w:cs="David"/>
          <w:b/>
          <w:bCs/>
          <w:sz w:val="24"/>
          <w:szCs w:val="24"/>
          <w:rtl/>
        </w:rPr>
        <w:t xml:space="preserve">צפוי לעמוד על </w:t>
      </w:r>
      <w:r w:rsidR="005679E3" w:rsidRPr="00B9169C">
        <w:rPr>
          <w:rFonts w:ascii="David" w:hAnsi="David" w:cs="David" w:hint="cs"/>
          <w:b/>
          <w:bCs/>
          <w:sz w:val="24"/>
          <w:szCs w:val="24"/>
          <w:rtl/>
        </w:rPr>
        <w:t>2.7</w:t>
      </w:r>
      <w:r w:rsidRPr="00B9169C">
        <w:rPr>
          <w:rFonts w:ascii="David" w:hAnsi="David" w:cs="David"/>
          <w:b/>
          <w:bCs/>
          <w:sz w:val="24"/>
          <w:szCs w:val="24"/>
          <w:rtl/>
        </w:rPr>
        <w:t xml:space="preserve">%. </w:t>
      </w:r>
      <w:r w:rsidRPr="00B9169C">
        <w:rPr>
          <w:rFonts w:ascii="David" w:hAnsi="David" w:cs="David"/>
          <w:sz w:val="24"/>
          <w:szCs w:val="24"/>
          <w:rtl/>
        </w:rPr>
        <w:t xml:space="preserve">ב-2022 צפוי שיעור האינפלציה לעמוד על </w:t>
      </w:r>
      <w:r w:rsidR="005679E3" w:rsidRPr="00B9169C">
        <w:rPr>
          <w:rFonts w:ascii="David" w:hAnsi="David" w:cs="David" w:hint="cs"/>
          <w:sz w:val="24"/>
          <w:szCs w:val="24"/>
          <w:rtl/>
        </w:rPr>
        <w:t>4.</w:t>
      </w:r>
      <w:r w:rsidR="000C77FE" w:rsidRPr="00B9169C">
        <w:rPr>
          <w:rFonts w:ascii="David" w:hAnsi="David" w:cs="David" w:hint="cs"/>
          <w:sz w:val="24"/>
          <w:szCs w:val="24"/>
          <w:rtl/>
        </w:rPr>
        <w:t>6</w:t>
      </w:r>
      <w:r w:rsidRPr="00B9169C">
        <w:rPr>
          <w:rFonts w:ascii="David" w:hAnsi="David" w:cs="David"/>
          <w:sz w:val="24"/>
          <w:szCs w:val="24"/>
          <w:rtl/>
        </w:rPr>
        <w:t xml:space="preserve">% </w:t>
      </w:r>
      <w:r w:rsidR="005679E3" w:rsidRPr="00B9169C">
        <w:rPr>
          <w:rFonts w:ascii="David" w:hAnsi="David" w:cs="David" w:hint="cs"/>
          <w:sz w:val="24"/>
          <w:szCs w:val="24"/>
          <w:rtl/>
        </w:rPr>
        <w:t>וב-2023 על 2.</w:t>
      </w:r>
      <w:r w:rsidR="000C77FE" w:rsidRPr="00B9169C">
        <w:rPr>
          <w:rFonts w:ascii="David" w:hAnsi="David" w:cs="David" w:hint="cs"/>
          <w:sz w:val="24"/>
          <w:szCs w:val="24"/>
          <w:rtl/>
        </w:rPr>
        <w:t>5</w:t>
      </w:r>
      <w:r w:rsidR="001F7E2B" w:rsidRPr="00B9169C">
        <w:rPr>
          <w:rFonts w:ascii="David" w:hAnsi="David" w:cs="David" w:hint="cs"/>
          <w:sz w:val="24"/>
          <w:szCs w:val="24"/>
          <w:rtl/>
        </w:rPr>
        <w:t xml:space="preserve">% </w:t>
      </w:r>
      <w:r w:rsidR="005679E3" w:rsidRPr="00B9169C">
        <w:rPr>
          <w:rFonts w:ascii="David" w:hAnsi="David" w:cs="David" w:hint="cs"/>
          <w:sz w:val="24"/>
          <w:szCs w:val="24"/>
          <w:rtl/>
        </w:rPr>
        <w:t>(לעומת 4.5% ו-2.4% בתחזית הקודמת)</w:t>
      </w:r>
      <w:r w:rsidR="001F7E2B" w:rsidRPr="00B9169C">
        <w:rPr>
          <w:rFonts w:ascii="David" w:hAnsi="David" w:cs="David" w:hint="cs"/>
          <w:sz w:val="24"/>
          <w:szCs w:val="24"/>
          <w:rtl/>
        </w:rPr>
        <w:t xml:space="preserve">. </w:t>
      </w:r>
      <w:r w:rsidR="00767519" w:rsidRPr="00B9169C">
        <w:rPr>
          <w:rFonts w:ascii="David" w:hAnsi="David" w:cs="David" w:hint="cs"/>
          <w:sz w:val="24"/>
          <w:szCs w:val="24"/>
          <w:rtl/>
        </w:rPr>
        <w:t xml:space="preserve">להערכתנו, עליית האינפלציה בתקופה האחרונה נבעה הן מלחצים מצד ההיצע שמקורם מחוץ למשק המקומי והן מביקוש מקומי גבוה. בטווח התחזית, </w:t>
      </w:r>
      <w:r w:rsidR="003651E3" w:rsidRPr="00B9169C">
        <w:rPr>
          <w:rFonts w:ascii="David" w:hAnsi="David" w:cs="David" w:hint="cs"/>
          <w:sz w:val="24"/>
          <w:szCs w:val="24"/>
          <w:rtl/>
        </w:rPr>
        <w:t xml:space="preserve">אנו צופים כי ריבית בנק ישראל </w:t>
      </w:r>
      <w:r w:rsidR="00F85901" w:rsidRPr="00B9169C">
        <w:rPr>
          <w:rFonts w:ascii="David" w:hAnsi="David" w:cs="David" w:hint="cs"/>
          <w:sz w:val="24"/>
          <w:szCs w:val="24"/>
          <w:rtl/>
        </w:rPr>
        <w:t>תוסיף לעלות</w:t>
      </w:r>
      <w:r w:rsidR="003651E3" w:rsidRPr="00B9169C">
        <w:rPr>
          <w:rFonts w:ascii="David" w:hAnsi="David" w:cs="David" w:hint="cs"/>
          <w:sz w:val="24"/>
          <w:szCs w:val="24"/>
          <w:rtl/>
        </w:rPr>
        <w:t xml:space="preserve"> </w:t>
      </w:r>
      <w:r w:rsidR="00553972" w:rsidRPr="00B9169C">
        <w:rPr>
          <w:rFonts w:ascii="David" w:hAnsi="David" w:cs="David" w:hint="cs"/>
          <w:sz w:val="24"/>
          <w:szCs w:val="24"/>
          <w:rtl/>
        </w:rPr>
        <w:t>ותסייע</w:t>
      </w:r>
      <w:r w:rsidR="000158A4" w:rsidRPr="00B9169C">
        <w:rPr>
          <w:rFonts w:ascii="David" w:hAnsi="David" w:cs="David" w:hint="cs"/>
          <w:sz w:val="24"/>
          <w:szCs w:val="24"/>
          <w:rtl/>
        </w:rPr>
        <w:t xml:space="preserve"> לייצוב האינפלציה.</w:t>
      </w:r>
      <w:r w:rsidR="00767519" w:rsidRPr="00B9169C">
        <w:rPr>
          <w:rFonts w:ascii="David" w:hAnsi="David" w:cs="David" w:hint="cs"/>
          <w:sz w:val="24"/>
          <w:szCs w:val="24"/>
          <w:rtl/>
        </w:rPr>
        <w:t xml:space="preserve"> </w:t>
      </w:r>
      <w:r w:rsidR="000158A4" w:rsidRPr="00B9169C">
        <w:rPr>
          <w:rFonts w:ascii="David" w:hAnsi="David" w:cs="David" w:hint="cs"/>
          <w:sz w:val="24"/>
          <w:szCs w:val="24"/>
          <w:rtl/>
        </w:rPr>
        <w:t xml:space="preserve">בנוסף, אנו מעריכים כי </w:t>
      </w:r>
      <w:r w:rsidR="00215275" w:rsidRPr="00B9169C">
        <w:rPr>
          <w:rFonts w:ascii="David" w:hAnsi="David" w:cs="David" w:hint="cs"/>
          <w:sz w:val="24"/>
          <w:szCs w:val="24"/>
          <w:rtl/>
        </w:rPr>
        <w:t>ה</w:t>
      </w:r>
      <w:r w:rsidR="00767519" w:rsidRPr="00B9169C">
        <w:rPr>
          <w:rFonts w:ascii="David" w:hAnsi="David" w:cs="David" w:hint="cs"/>
          <w:sz w:val="24"/>
          <w:szCs w:val="24"/>
          <w:rtl/>
        </w:rPr>
        <w:t>ירידה שהתרחשה במחירי הנפט והסחורות והתחזיות להתמתנות האינפלציה במדינות המפותחות</w:t>
      </w:r>
      <w:r w:rsidR="003651E3" w:rsidRPr="00B9169C">
        <w:rPr>
          <w:rFonts w:ascii="David" w:hAnsi="David" w:cs="David" w:hint="cs"/>
          <w:sz w:val="24"/>
          <w:szCs w:val="24"/>
          <w:rtl/>
        </w:rPr>
        <w:t xml:space="preserve"> ימתנו</w:t>
      </w:r>
      <w:r w:rsidR="000158A4" w:rsidRPr="00B9169C">
        <w:rPr>
          <w:rFonts w:ascii="David" w:hAnsi="David" w:cs="David" w:hint="cs"/>
          <w:sz w:val="24"/>
          <w:szCs w:val="24"/>
          <w:rtl/>
        </w:rPr>
        <w:t xml:space="preserve"> </w:t>
      </w:r>
      <w:r w:rsidR="005D00A1" w:rsidRPr="00B9169C">
        <w:rPr>
          <w:rFonts w:ascii="David" w:hAnsi="David" w:cs="David" w:hint="cs"/>
          <w:sz w:val="24"/>
          <w:szCs w:val="24"/>
          <w:rtl/>
        </w:rPr>
        <w:t xml:space="preserve">את </w:t>
      </w:r>
      <w:r w:rsidR="000158A4" w:rsidRPr="00B9169C">
        <w:rPr>
          <w:rFonts w:ascii="David" w:hAnsi="David" w:cs="David" w:hint="cs"/>
          <w:sz w:val="24"/>
          <w:szCs w:val="24"/>
          <w:rtl/>
        </w:rPr>
        <w:t xml:space="preserve">האינפלציה במוצרים הסחירים. </w:t>
      </w:r>
      <w:r w:rsidR="00767519" w:rsidRPr="00B9169C">
        <w:rPr>
          <w:rFonts w:ascii="David" w:hAnsi="David" w:cs="David" w:hint="cs"/>
          <w:sz w:val="24"/>
          <w:szCs w:val="24"/>
          <w:rtl/>
        </w:rPr>
        <w:t xml:space="preserve">בהשוואה לתחזית הקודמת, תחזית האינפלציה עודכנה </w:t>
      </w:r>
      <w:r w:rsidR="000C77FE" w:rsidRPr="00B9169C">
        <w:rPr>
          <w:rFonts w:ascii="David" w:hAnsi="David" w:cs="David" w:hint="cs"/>
          <w:sz w:val="24"/>
          <w:szCs w:val="24"/>
          <w:rtl/>
        </w:rPr>
        <w:t xml:space="preserve">מעט </w:t>
      </w:r>
      <w:r w:rsidR="00767519" w:rsidRPr="00B9169C">
        <w:rPr>
          <w:rFonts w:ascii="David" w:hAnsi="David" w:cs="David" w:hint="cs"/>
          <w:sz w:val="24"/>
          <w:szCs w:val="24"/>
          <w:rtl/>
        </w:rPr>
        <w:t xml:space="preserve">כלפי מעלה. </w:t>
      </w:r>
      <w:r w:rsidR="0043619E" w:rsidRPr="00B9169C">
        <w:rPr>
          <w:rFonts w:ascii="David" w:hAnsi="David" w:cs="David" w:hint="cs"/>
          <w:sz w:val="24"/>
          <w:szCs w:val="24"/>
          <w:rtl/>
        </w:rPr>
        <w:t>מצד אחד, העדכון הושפע</w:t>
      </w:r>
      <w:r w:rsidR="001F7E2B" w:rsidRPr="00B9169C">
        <w:rPr>
          <w:rFonts w:ascii="David" w:hAnsi="David" w:cs="David" w:hint="cs"/>
          <w:sz w:val="24"/>
          <w:szCs w:val="24"/>
          <w:rtl/>
        </w:rPr>
        <w:t xml:space="preserve"> מהעלייה בתחזיות האינפלציה במדינות המפותחות. </w:t>
      </w:r>
      <w:r w:rsidR="0043619E" w:rsidRPr="00B9169C">
        <w:rPr>
          <w:rFonts w:ascii="David" w:hAnsi="David" w:cs="David" w:hint="cs"/>
          <w:sz w:val="24"/>
          <w:szCs w:val="24"/>
          <w:rtl/>
        </w:rPr>
        <w:t>מצד שני</w:t>
      </w:r>
      <w:r w:rsidR="006C0104" w:rsidRPr="00B9169C">
        <w:rPr>
          <w:rFonts w:ascii="David" w:hAnsi="David" w:cs="David" w:hint="cs"/>
          <w:sz w:val="24"/>
          <w:szCs w:val="24"/>
          <w:rtl/>
        </w:rPr>
        <w:t xml:space="preserve">, </w:t>
      </w:r>
      <w:r w:rsidR="00B35A80" w:rsidRPr="00B9169C">
        <w:rPr>
          <w:rFonts w:ascii="David" w:hAnsi="David" w:cs="David" w:hint="cs"/>
          <w:sz w:val="24"/>
          <w:szCs w:val="24"/>
          <w:rtl/>
        </w:rPr>
        <w:t>התחזית לריבית בנק ישראל עודכנה כלפי מעלה ו</w:t>
      </w:r>
      <w:r w:rsidR="006C0104" w:rsidRPr="00B9169C">
        <w:rPr>
          <w:rFonts w:ascii="David" w:hAnsi="David" w:cs="David" w:hint="cs"/>
          <w:sz w:val="24"/>
          <w:szCs w:val="24"/>
          <w:rtl/>
        </w:rPr>
        <w:t>מחירי הנפט ירדו</w:t>
      </w:r>
      <w:r w:rsidR="00B35A80" w:rsidRPr="00B9169C">
        <w:rPr>
          <w:rFonts w:ascii="David" w:hAnsi="David" w:cs="David" w:hint="cs"/>
          <w:sz w:val="24"/>
          <w:szCs w:val="24"/>
          <w:rtl/>
        </w:rPr>
        <w:t xml:space="preserve"> מאז פורסמה התחזית הקודמת</w:t>
      </w:r>
      <w:r w:rsidR="006C0104" w:rsidRPr="00B9169C">
        <w:rPr>
          <w:rFonts w:ascii="David" w:hAnsi="David" w:cs="David" w:hint="cs"/>
          <w:sz w:val="24"/>
          <w:szCs w:val="24"/>
          <w:rtl/>
        </w:rPr>
        <w:t>.</w:t>
      </w:r>
    </w:p>
    <w:p w:rsidR="000158A4" w:rsidRPr="00B9169C" w:rsidRDefault="00BB518C" w:rsidP="00B35A80">
      <w:pPr>
        <w:spacing w:before="120" w:after="24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b/>
          <w:bCs/>
          <w:sz w:val="24"/>
          <w:szCs w:val="24"/>
          <w:rtl/>
        </w:rPr>
        <w:t xml:space="preserve">הריבית צפויה לעמוד על </w:t>
      </w:r>
      <w:r w:rsidR="000158A4" w:rsidRPr="00B9169C">
        <w:rPr>
          <w:rFonts w:ascii="David" w:eastAsia="Calibri" w:hAnsi="David" w:cs="David" w:hint="cs"/>
          <w:b/>
          <w:bCs/>
          <w:sz w:val="24"/>
          <w:szCs w:val="24"/>
          <w:rtl/>
        </w:rPr>
        <w:t>3.50%</w:t>
      </w:r>
      <w:r w:rsidRPr="00B9169C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 w:hint="cs"/>
          <w:b/>
          <w:bCs/>
          <w:sz w:val="24"/>
          <w:szCs w:val="24"/>
          <w:rtl/>
        </w:rPr>
        <w:t>בממוצע הרבעון ה</w:t>
      </w:r>
      <w:r w:rsidR="000158A4" w:rsidRPr="00B9169C">
        <w:rPr>
          <w:rFonts w:ascii="David" w:eastAsia="Calibri" w:hAnsi="David" w:cs="David" w:hint="cs"/>
          <w:b/>
          <w:bCs/>
          <w:sz w:val="24"/>
          <w:szCs w:val="24"/>
          <w:rtl/>
        </w:rPr>
        <w:t>שלישי</w:t>
      </w:r>
      <w:r w:rsidRPr="00B9169C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של 2023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(לוח 2)</w:t>
      </w:r>
      <w:r w:rsidRPr="00B9169C">
        <w:rPr>
          <w:rFonts w:ascii="David" w:eastAsia="Calibri" w:hAnsi="David" w:cs="David"/>
          <w:b/>
          <w:bCs/>
          <w:sz w:val="24"/>
          <w:szCs w:val="24"/>
          <w:rtl/>
        </w:rPr>
        <w:t xml:space="preserve">. 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הערכה זו מבטאת </w:t>
      </w:r>
      <w:r w:rsidR="00F85901" w:rsidRPr="00B9169C">
        <w:rPr>
          <w:rFonts w:ascii="David" w:eastAsia="Calibri" w:hAnsi="David" w:cs="David" w:hint="cs"/>
          <w:sz w:val="24"/>
          <w:szCs w:val="24"/>
          <w:rtl/>
        </w:rPr>
        <w:t xml:space="preserve">המשך עלייה </w:t>
      </w:r>
      <w:r w:rsidR="00AF777E" w:rsidRPr="00B9169C">
        <w:rPr>
          <w:rFonts w:ascii="David" w:eastAsia="Calibri" w:hAnsi="David" w:cs="David"/>
          <w:sz w:val="24"/>
          <w:szCs w:val="24"/>
          <w:rtl/>
        </w:rPr>
        <w:t>של הריבית</w:t>
      </w:r>
      <w:r w:rsidR="00F85901" w:rsidRPr="00B9169C">
        <w:rPr>
          <w:rFonts w:ascii="David" w:eastAsia="Calibri" w:hAnsi="David" w:cs="David" w:hint="cs"/>
          <w:sz w:val="24"/>
          <w:szCs w:val="24"/>
          <w:rtl/>
        </w:rPr>
        <w:t xml:space="preserve"> מרמתה הנוכחית</w:t>
      </w:r>
      <w:r w:rsidR="00AF777E" w:rsidRPr="00B9169C">
        <w:rPr>
          <w:rFonts w:ascii="David" w:eastAsia="Calibri" w:hAnsi="David" w:cs="David" w:hint="cs"/>
          <w:sz w:val="24"/>
          <w:szCs w:val="24"/>
          <w:rtl/>
        </w:rPr>
        <w:t xml:space="preserve">, לאור רמת האינפלציה שגבוהה מהגבול העליון של היעד ורמת הפעילות הגבוהה. </w:t>
      </w:r>
    </w:p>
    <w:p w:rsidR="00BB518C" w:rsidRPr="00B9169C" w:rsidRDefault="00BB518C" w:rsidP="0033619A">
      <w:pPr>
        <w:spacing w:before="120" w:after="24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B9169C">
        <w:rPr>
          <w:rFonts w:ascii="David" w:eastAsia="Calibri" w:hAnsi="David" w:cs="David"/>
          <w:sz w:val="24"/>
          <w:szCs w:val="24"/>
          <w:rtl/>
        </w:rPr>
        <w:t>מלוח 2 עולה כי תחזית חטיבת המחקר לגבי ה</w:t>
      </w:r>
      <w:r w:rsidR="0033619A" w:rsidRPr="00B9169C">
        <w:rPr>
          <w:rFonts w:ascii="David" w:eastAsia="Calibri" w:hAnsi="David" w:cs="David" w:hint="cs"/>
          <w:sz w:val="24"/>
          <w:szCs w:val="24"/>
          <w:rtl/>
        </w:rPr>
        <w:t>ריבית בעוד שנה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33619A" w:rsidRPr="00B9169C">
        <w:rPr>
          <w:rFonts w:ascii="David" w:eastAsia="Calibri" w:hAnsi="David" w:cs="David" w:hint="cs"/>
          <w:sz w:val="24"/>
          <w:szCs w:val="24"/>
          <w:rtl/>
        </w:rPr>
        <w:t>גבוהה</w:t>
      </w:r>
      <w:r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6A321B" w:rsidRPr="00B9169C">
        <w:rPr>
          <w:rFonts w:ascii="David" w:eastAsia="Calibri" w:hAnsi="David" w:cs="David" w:hint="cs"/>
          <w:sz w:val="24"/>
          <w:szCs w:val="24"/>
          <w:rtl/>
        </w:rPr>
        <w:t>מ</w:t>
      </w:r>
      <w:r w:rsidR="0033619A" w:rsidRPr="00B9169C">
        <w:rPr>
          <w:rFonts w:ascii="David" w:eastAsia="Calibri" w:hAnsi="David" w:cs="David" w:hint="cs"/>
          <w:sz w:val="24"/>
          <w:szCs w:val="24"/>
          <w:rtl/>
        </w:rPr>
        <w:t>מ</w:t>
      </w:r>
      <w:r w:rsidR="006A321B" w:rsidRPr="00B9169C">
        <w:rPr>
          <w:rFonts w:ascii="David" w:eastAsia="Calibri" w:hAnsi="David" w:cs="David" w:hint="cs"/>
          <w:sz w:val="24"/>
          <w:szCs w:val="24"/>
          <w:rtl/>
        </w:rPr>
        <w:t xml:space="preserve">מוצע </w:t>
      </w:r>
      <w:r w:rsidRPr="00B9169C">
        <w:rPr>
          <w:rFonts w:ascii="David" w:eastAsia="Calibri" w:hAnsi="David" w:cs="David"/>
          <w:sz w:val="24"/>
          <w:szCs w:val="24"/>
          <w:rtl/>
        </w:rPr>
        <w:t>תחזיות החזאים</w:t>
      </w:r>
      <w:r w:rsidR="0033619A" w:rsidRPr="00B9169C">
        <w:rPr>
          <w:rFonts w:ascii="David" w:eastAsia="Calibri" w:hAnsi="David" w:cs="David" w:hint="cs"/>
          <w:sz w:val="24"/>
          <w:szCs w:val="24"/>
          <w:rtl/>
        </w:rPr>
        <w:t xml:space="preserve"> ותחזית האינפלציה נמוכה יותר. בהשוואה לשוק ההון, תחזיות החטיבה הן לריבית והן לאינפלציה בעוד שנה נמוכות מאלו הנגזרות </w:t>
      </w:r>
      <w:r w:rsidRPr="00B9169C">
        <w:rPr>
          <w:rFonts w:ascii="David" w:eastAsia="Calibri" w:hAnsi="David" w:cs="David"/>
          <w:sz w:val="24"/>
          <w:szCs w:val="24"/>
          <w:rtl/>
        </w:rPr>
        <w:t>משוק ההון.</w:t>
      </w:r>
    </w:p>
    <w:tbl>
      <w:tblPr>
        <w:tblStyle w:val="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לוח 2"/>
        <w:tblDescription w:val="השוואת התחזיות לאינפלציה ולריבית לשנה הקרובה"/>
      </w:tblPr>
      <w:tblGrid>
        <w:gridCol w:w="1541"/>
        <w:gridCol w:w="2255"/>
        <w:gridCol w:w="2255"/>
        <w:gridCol w:w="2255"/>
      </w:tblGrid>
      <w:tr w:rsidR="00BB518C" w:rsidRPr="00B9169C" w:rsidTr="004555DB">
        <w:trPr>
          <w:cantSplit/>
          <w:trHeight w:val="283"/>
          <w:tblHeader/>
          <w:jc w:val="center"/>
        </w:trPr>
        <w:tc>
          <w:tcPr>
            <w:tcW w:w="8306" w:type="dxa"/>
            <w:gridSpan w:val="4"/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200" w:line="360" w:lineRule="auto"/>
              <w:ind w:left="113"/>
              <w:contextualSpacing/>
              <w:jc w:val="center"/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</w:pPr>
            <w:bookmarkStart w:id="2" w:name="_Ref503164928"/>
            <w:r w:rsidRPr="00B9169C">
              <w:rPr>
                <w:rFonts w:ascii="David" w:eastAsia="Calibri" w:hAnsi="David" w:cs="David"/>
                <w:b/>
                <w:bCs/>
                <w:sz w:val="24"/>
                <w:szCs w:val="24"/>
              </w:rPr>
              <w:lastRenderedPageBreak/>
              <w:br w:type="page"/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  <w:t xml:space="preserve">לוח </w:t>
            </w:r>
            <w:r w:rsidRPr="00B9169C">
              <w:rPr>
                <w:rFonts w:ascii="David" w:hAnsi="David" w:cs="David"/>
                <w:b/>
                <w:bCs/>
                <w:color w:val="4F81BD"/>
                <w:sz w:val="24"/>
                <w:szCs w:val="24"/>
                <w:rtl/>
              </w:rPr>
              <w:fldChar w:fldCharType="begin"/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  <w:instrText xml:space="preserve"> </w:instrText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</w:rPr>
              <w:instrText>SEQ</w:instrText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  <w:instrText xml:space="preserve"> לוח \* </w:instrText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</w:rPr>
              <w:instrText>ARABIC</w:instrText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  <w:instrText xml:space="preserve"> </w:instrText>
            </w:r>
            <w:r w:rsidRPr="00B9169C">
              <w:rPr>
                <w:rFonts w:ascii="David" w:hAnsi="David" w:cs="David"/>
                <w:b/>
                <w:bCs/>
                <w:color w:val="4F81BD"/>
                <w:sz w:val="24"/>
                <w:szCs w:val="24"/>
                <w:rtl/>
              </w:rPr>
              <w:fldChar w:fldCharType="separate"/>
            </w:r>
            <w:r w:rsidR="00FD6208" w:rsidRPr="00B9169C">
              <w:rPr>
                <w:rFonts w:ascii="David" w:eastAsia="Calibri" w:hAnsi="David" w:cs="David"/>
                <w:b/>
                <w:bCs/>
                <w:noProof/>
                <w:color w:val="4F81BD"/>
                <w:sz w:val="24"/>
                <w:szCs w:val="24"/>
                <w:rtl/>
              </w:rPr>
              <w:t>2</w:t>
            </w:r>
            <w:r w:rsidRPr="00B9169C">
              <w:rPr>
                <w:rFonts w:ascii="David" w:hAnsi="David" w:cs="David"/>
                <w:b/>
                <w:bCs/>
                <w:color w:val="4F81BD"/>
                <w:sz w:val="24"/>
                <w:szCs w:val="24"/>
                <w:rtl/>
              </w:rPr>
              <w:fldChar w:fldCharType="end"/>
            </w:r>
            <w:bookmarkEnd w:id="2"/>
          </w:p>
          <w:p w:rsidR="00BB518C" w:rsidRPr="00B9169C" w:rsidRDefault="00BB518C" w:rsidP="00BB518C">
            <w:pPr>
              <w:keepNext/>
              <w:keepLines/>
              <w:spacing w:before="120" w:after="200" w:line="360" w:lineRule="auto"/>
              <w:ind w:left="113"/>
              <w:contextualSpacing/>
              <w:jc w:val="center"/>
              <w:rPr>
                <w:rFonts w:ascii="David" w:hAnsi="David" w:cs="David"/>
                <w:color w:val="4F81BD"/>
                <w:sz w:val="24"/>
                <w:szCs w:val="24"/>
                <w:rtl/>
              </w:rPr>
            </w:pP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  <w:rtl/>
              </w:rPr>
              <w:t>התחזיות לגבי האינפלציה במהלך השנה הקרובה ולגבי הריבית בעוד שנה</w:t>
            </w:r>
            <w:r w:rsidRPr="00B9169C">
              <w:rPr>
                <w:rFonts w:ascii="David" w:eastAsia="Calibri" w:hAnsi="David" w:cs="David"/>
                <w:b/>
                <w:bCs/>
                <w:color w:val="4F81BD"/>
                <w:sz w:val="24"/>
                <w:szCs w:val="24"/>
              </w:rPr>
              <w:t xml:space="preserve"> </w:t>
            </w:r>
            <w:r w:rsidRPr="00B9169C">
              <w:rPr>
                <w:rFonts w:ascii="David" w:eastAsia="Calibri" w:hAnsi="David" w:cs="David"/>
                <w:color w:val="4F81BD"/>
                <w:sz w:val="24"/>
                <w:szCs w:val="24"/>
                <w:rtl/>
              </w:rPr>
              <w:t>(אחוזים)</w:t>
            </w:r>
          </w:p>
        </w:tc>
      </w:tr>
      <w:tr w:rsidR="00BB518C" w:rsidRPr="00B9169C" w:rsidTr="004555DB">
        <w:trPr>
          <w:cantSplit/>
          <w:trHeight w:val="28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חטיבת המחקר של בנק ישראל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שוק ההון</w:t>
            </w:r>
            <w:r w:rsidRPr="00B9169C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החזאים הפרטיים</w:t>
            </w:r>
            <w:r w:rsidRPr="00B9169C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2</w:t>
            </w:r>
          </w:p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(טווח התחזיות)</w:t>
            </w:r>
            <w:r w:rsidRPr="00B9169C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</w:tr>
      <w:tr w:rsidR="00BB518C" w:rsidRPr="00B9169C" w:rsidTr="004555DB">
        <w:trPr>
          <w:cantSplit/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האינפלציה</w:t>
            </w:r>
            <w:r w:rsidRPr="00B9169C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3</w:t>
            </w:r>
            <w:r w:rsidRPr="00B9169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264C50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2.7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E3066A" w:rsidP="00B9169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  <w:r w:rsidR="00B9169C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420C53" w:rsidP="009D3119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2.9</w:t>
            </w:r>
            <w:r w:rsidR="00BB518C" w:rsidRPr="00B9169C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1.2</w:t>
            </w:r>
            <w:r w:rsidR="00C2267B" w:rsidRPr="00B9169C">
              <w:rPr>
                <w:rFonts w:ascii="David" w:hAnsi="David" w:cs="David"/>
                <w:sz w:val="24"/>
                <w:szCs w:val="24"/>
                <w:rtl/>
              </w:rPr>
              <w:t>—</w:t>
            </w:r>
            <w:r w:rsidR="00C2267B" w:rsidRPr="00B9169C">
              <w:rPr>
                <w:rFonts w:ascii="David" w:hAnsi="David" w:cs="David" w:hint="cs"/>
                <w:sz w:val="24"/>
                <w:szCs w:val="24"/>
                <w:rtl/>
              </w:rPr>
              <w:t>3.3</w:t>
            </w:r>
            <w:r w:rsidR="00BB518C" w:rsidRPr="00B9169C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BB518C" w:rsidRPr="00B9169C" w:rsidTr="004555DB">
        <w:trPr>
          <w:cantSplit/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113"/>
              <w:jc w:val="both"/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</w:pPr>
            <w:r w:rsidRPr="00B9169C">
              <w:rPr>
                <w:rFonts w:ascii="David" w:hAnsi="David" w:cs="David"/>
                <w:sz w:val="24"/>
                <w:szCs w:val="24"/>
                <w:rtl/>
              </w:rPr>
              <w:t>הריבית</w:t>
            </w:r>
            <w:r w:rsidRPr="00B9169C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264C50" w:rsidP="00BB518C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6A321B" w:rsidP="000D6502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8C" w:rsidRPr="00B9169C" w:rsidRDefault="00E3066A" w:rsidP="000D6502">
            <w:pPr>
              <w:keepNext/>
              <w:keepLines/>
              <w:spacing w:before="120" w:after="120" w:line="360" w:lineRule="auto"/>
              <w:ind w:left="113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9169C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  <w:r w:rsidR="009A765F" w:rsidRPr="00B9169C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9A765F" w:rsidRPr="00B9169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B518C" w:rsidRPr="00B9169C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C2267B" w:rsidRPr="00B9169C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  <w:r w:rsidR="009A765F" w:rsidRPr="00B9169C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="00C2267B" w:rsidRPr="00B9169C">
              <w:rPr>
                <w:rFonts w:ascii="David" w:hAnsi="David" w:cs="David"/>
                <w:sz w:val="24"/>
                <w:szCs w:val="24"/>
                <w:rtl/>
              </w:rPr>
              <w:t>—</w:t>
            </w:r>
            <w:r w:rsidR="00C2267B" w:rsidRPr="00B9169C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  <w:r w:rsidR="009A765F" w:rsidRPr="00B9169C">
              <w:rPr>
                <w:rFonts w:ascii="David" w:hAnsi="David" w:cs="David" w:hint="cs"/>
                <w:sz w:val="24"/>
                <w:szCs w:val="24"/>
                <w:rtl/>
              </w:rPr>
              <w:t>75</w:t>
            </w:r>
            <w:r w:rsidR="00BB518C" w:rsidRPr="00B9169C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BB518C" w:rsidRPr="00B9169C" w:rsidTr="004555DB">
        <w:trPr>
          <w:cantSplit/>
          <w:trHeight w:val="283"/>
          <w:jc w:val="center"/>
        </w:trPr>
        <w:tc>
          <w:tcPr>
            <w:tcW w:w="8306" w:type="dxa"/>
            <w:gridSpan w:val="4"/>
            <w:tcBorders>
              <w:top w:val="single" w:sz="4" w:space="0" w:color="auto"/>
            </w:tcBorders>
            <w:vAlign w:val="center"/>
          </w:tcPr>
          <w:p w:rsidR="00BB518C" w:rsidRPr="00B9169C" w:rsidRDefault="00BB518C" w:rsidP="006A321B">
            <w:pPr>
              <w:keepNext/>
              <w:keepLines/>
              <w:numPr>
                <w:ilvl w:val="0"/>
                <w:numId w:val="3"/>
              </w:numPr>
              <w:spacing w:before="120" w:line="360" w:lineRule="auto"/>
              <w:ind w:left="423" w:hanging="283"/>
              <w:jc w:val="both"/>
              <w:rPr>
                <w:rFonts w:ascii="David" w:hAnsi="David" w:cs="David"/>
                <w:sz w:val="18"/>
                <w:szCs w:val="18"/>
              </w:rPr>
            </w:pP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ציפיות האינפלציה מנוכות עונתיות (ממוצע  </w:t>
            </w:r>
            <w:r w:rsidR="006A321B" w:rsidRPr="00B9169C">
              <w:rPr>
                <w:rFonts w:ascii="David" w:hAnsi="David" w:cs="David" w:hint="cs"/>
                <w:sz w:val="18"/>
                <w:szCs w:val="18"/>
                <w:rtl/>
              </w:rPr>
              <w:t>25</w:t>
            </w:r>
            <w:r w:rsidR="00264C50" w:rsidRPr="00B9169C">
              <w:rPr>
                <w:rFonts w:ascii="David" w:hAnsi="David" w:cs="David" w:hint="cs"/>
                <w:sz w:val="18"/>
                <w:szCs w:val="18"/>
                <w:rtl/>
              </w:rPr>
              <w:t>.9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.22 עד </w:t>
            </w:r>
            <w:r w:rsidRPr="00B9169C">
              <w:rPr>
                <w:rFonts w:ascii="David" w:hAnsi="David" w:cs="David"/>
                <w:sz w:val="18"/>
                <w:szCs w:val="18"/>
              </w:rPr>
              <w:t>22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>.</w:t>
            </w:r>
            <w:r w:rsidR="006A321B" w:rsidRPr="00B9169C">
              <w:rPr>
                <w:rFonts w:ascii="David" w:hAnsi="David" w:cs="David" w:hint="cs"/>
                <w:sz w:val="18"/>
                <w:szCs w:val="18"/>
                <w:rtl/>
              </w:rPr>
              <w:t>2.10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>).</w:t>
            </w:r>
          </w:p>
          <w:p w:rsidR="00BB518C" w:rsidRPr="00B9169C" w:rsidRDefault="00BB518C" w:rsidP="009D3119">
            <w:pPr>
              <w:keepNext/>
              <w:keepLines/>
              <w:numPr>
                <w:ilvl w:val="0"/>
                <w:numId w:val="3"/>
              </w:numPr>
              <w:spacing w:before="120" w:line="360" w:lineRule="auto"/>
              <w:ind w:left="423" w:hanging="283"/>
              <w:jc w:val="both"/>
              <w:rPr>
                <w:rFonts w:ascii="David" w:hAnsi="David" w:cs="David"/>
                <w:sz w:val="18"/>
                <w:szCs w:val="18"/>
              </w:rPr>
            </w:pP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התחזיות שפורסמו לאחר פרסום מדד המחירים לצרכן לחודש </w:t>
            </w:r>
            <w:r w:rsidR="00C2267B" w:rsidRPr="00B9169C">
              <w:rPr>
                <w:rFonts w:ascii="David" w:hAnsi="David" w:cs="David" w:hint="cs"/>
                <w:sz w:val="18"/>
                <w:szCs w:val="18"/>
                <w:rtl/>
              </w:rPr>
              <w:t>אוגוסט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BB518C" w:rsidRPr="00B9169C" w:rsidRDefault="00BB518C" w:rsidP="00C2267B">
            <w:pPr>
              <w:keepNext/>
              <w:keepLines/>
              <w:numPr>
                <w:ilvl w:val="0"/>
                <w:numId w:val="3"/>
              </w:numPr>
              <w:spacing w:before="120" w:line="360" w:lineRule="auto"/>
              <w:ind w:left="423" w:hanging="283"/>
              <w:jc w:val="both"/>
              <w:rPr>
                <w:rFonts w:ascii="David" w:hAnsi="David" w:cs="David"/>
                <w:sz w:val="18"/>
                <w:szCs w:val="18"/>
              </w:rPr>
            </w:pPr>
            <w:r w:rsidRPr="00B9169C">
              <w:rPr>
                <w:rFonts w:ascii="David" w:hAnsi="David" w:cs="David"/>
                <w:sz w:val="18"/>
                <w:szCs w:val="18"/>
                <w:rtl/>
              </w:rPr>
              <w:t>חטיבת המחקר – בארבעת הרבעונים המסתיימים ברבעון הש</w:t>
            </w:r>
            <w:r w:rsidR="00C2267B" w:rsidRPr="00B9169C">
              <w:rPr>
                <w:rFonts w:ascii="David" w:hAnsi="David" w:cs="David" w:hint="cs"/>
                <w:sz w:val="18"/>
                <w:szCs w:val="18"/>
                <w:rtl/>
              </w:rPr>
              <w:t>ליש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>י של 2023.</w:t>
            </w:r>
          </w:p>
          <w:p w:rsidR="00BB518C" w:rsidRPr="00B9169C" w:rsidRDefault="00BB518C" w:rsidP="00CD7B40">
            <w:pPr>
              <w:keepNext/>
              <w:keepLines/>
              <w:numPr>
                <w:ilvl w:val="0"/>
                <w:numId w:val="3"/>
              </w:numPr>
              <w:spacing w:before="120" w:line="360" w:lineRule="auto"/>
              <w:ind w:left="423" w:hanging="283"/>
              <w:jc w:val="both"/>
              <w:rPr>
                <w:rFonts w:ascii="David" w:hAnsi="David" w:cs="David"/>
                <w:sz w:val="18"/>
                <w:szCs w:val="18"/>
              </w:rPr>
            </w:pP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חטיבת המחקר – הריבית הממוצעת ברבעון </w:t>
            </w:r>
            <w:r w:rsidR="00CD7B40" w:rsidRPr="00B9169C">
              <w:rPr>
                <w:rFonts w:ascii="David" w:hAnsi="David" w:cs="David" w:hint="cs"/>
                <w:sz w:val="18"/>
                <w:szCs w:val="18"/>
                <w:rtl/>
              </w:rPr>
              <w:t>השלישי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 של 2023. הציפיות משוק ההון מבוססות על שוק </w:t>
            </w:r>
            <w:proofErr w:type="spellStart"/>
            <w:r w:rsidRPr="00B9169C">
              <w:rPr>
                <w:rFonts w:ascii="David" w:hAnsi="David" w:cs="David"/>
                <w:sz w:val="18"/>
                <w:szCs w:val="18"/>
                <w:rtl/>
              </w:rPr>
              <w:t>התלבור</w:t>
            </w:r>
            <w:proofErr w:type="spellEnd"/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 (ממוצע </w:t>
            </w:r>
            <w:r w:rsidR="00C2267B" w:rsidRPr="00B9169C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6A321B" w:rsidRPr="00B9169C">
              <w:rPr>
                <w:rFonts w:ascii="David" w:hAnsi="David" w:cs="David" w:hint="cs"/>
                <w:sz w:val="18"/>
                <w:szCs w:val="18"/>
                <w:rtl/>
              </w:rPr>
              <w:t>25.9</w:t>
            </w:r>
            <w:r w:rsidR="006A321B" w:rsidRPr="00B9169C">
              <w:rPr>
                <w:rFonts w:ascii="David" w:hAnsi="David" w:cs="David"/>
                <w:sz w:val="18"/>
                <w:szCs w:val="18"/>
                <w:rtl/>
              </w:rPr>
              <w:t xml:space="preserve">.22 עד </w:t>
            </w:r>
            <w:r w:rsidR="006A321B" w:rsidRPr="00B9169C">
              <w:rPr>
                <w:rFonts w:ascii="David" w:hAnsi="David" w:cs="David"/>
                <w:sz w:val="18"/>
                <w:szCs w:val="18"/>
              </w:rPr>
              <w:t>22</w:t>
            </w:r>
            <w:r w:rsidR="006A321B" w:rsidRPr="00B9169C">
              <w:rPr>
                <w:rFonts w:ascii="David" w:hAnsi="David" w:cs="David"/>
                <w:sz w:val="18"/>
                <w:szCs w:val="18"/>
                <w:rtl/>
              </w:rPr>
              <w:t>.</w:t>
            </w:r>
            <w:r w:rsidR="006A321B" w:rsidRPr="00B9169C">
              <w:rPr>
                <w:rFonts w:ascii="David" w:hAnsi="David" w:cs="David" w:hint="cs"/>
                <w:sz w:val="18"/>
                <w:szCs w:val="18"/>
                <w:rtl/>
              </w:rPr>
              <w:t>2.10</w:t>
            </w:r>
            <w:r w:rsidRPr="00B9169C">
              <w:rPr>
                <w:rFonts w:ascii="David" w:hAnsi="David" w:cs="David"/>
                <w:sz w:val="18"/>
                <w:szCs w:val="18"/>
                <w:rtl/>
              </w:rPr>
              <w:t>).</w:t>
            </w:r>
          </w:p>
          <w:p w:rsidR="00BB518C" w:rsidRPr="00B9169C" w:rsidRDefault="00BB518C" w:rsidP="00BB518C">
            <w:pPr>
              <w:keepNext/>
              <w:keepLines/>
              <w:spacing w:before="120" w:after="120" w:line="360" w:lineRule="auto"/>
              <w:ind w:left="423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 w:rsidRPr="00B9169C">
              <w:rPr>
                <w:rFonts w:ascii="David" w:hAnsi="David" w:cs="David"/>
                <w:sz w:val="18"/>
                <w:szCs w:val="18"/>
                <w:rtl/>
              </w:rPr>
              <w:t xml:space="preserve"> המקור: בנק ישראל.</w:t>
            </w:r>
          </w:p>
        </w:tc>
      </w:tr>
    </w:tbl>
    <w:p w:rsidR="00BB518C" w:rsidRPr="00B9169C" w:rsidRDefault="00BB518C" w:rsidP="00BB518C">
      <w:pPr>
        <w:keepNext/>
        <w:keepLines/>
        <w:numPr>
          <w:ilvl w:val="0"/>
          <w:numId w:val="1"/>
        </w:numPr>
        <w:tabs>
          <w:tab w:val="num" w:pos="360"/>
          <w:tab w:val="left" w:pos="680"/>
        </w:tabs>
        <w:spacing w:before="240" w:after="120" w:line="360" w:lineRule="auto"/>
        <w:ind w:left="23" w:firstLine="0"/>
        <w:jc w:val="both"/>
        <w:outlineLvl w:val="1"/>
        <w:rPr>
          <w:rFonts w:ascii="David" w:hAnsi="David" w:cs="David"/>
          <w:b/>
          <w:bCs/>
          <w:sz w:val="24"/>
          <w:szCs w:val="24"/>
          <w:rtl/>
        </w:rPr>
      </w:pPr>
      <w:r w:rsidRPr="00B9169C">
        <w:rPr>
          <w:rFonts w:ascii="David" w:hAnsi="David" w:cs="David"/>
          <w:b/>
          <w:bCs/>
          <w:sz w:val="24"/>
          <w:szCs w:val="24"/>
          <w:rtl/>
        </w:rPr>
        <w:t>הסיכונים העיקריים לתחזית</w:t>
      </w:r>
    </w:p>
    <w:p w:rsidR="00BB518C" w:rsidRPr="00BB518C" w:rsidRDefault="001E08D0" w:rsidP="00F029EA">
      <w:pPr>
        <w:spacing w:before="120" w:after="120" w:line="360" w:lineRule="auto"/>
        <w:jc w:val="both"/>
        <w:rPr>
          <w:rFonts w:ascii="David" w:eastAsia="Calibri" w:hAnsi="David" w:cs="David"/>
          <w:sz w:val="24"/>
          <w:szCs w:val="24"/>
        </w:rPr>
      </w:pP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סיכון משמעותי לתחזית מגיע מכיוון הסביבה העולמית. קיימת אי וודאות רבה באשר להתמשכות העימות בין רוסיה ואוקראינה והשפעתו על מחירי האנרגיה </w:t>
      </w:r>
      <w:r w:rsidR="00F029EA" w:rsidRPr="00B9169C">
        <w:rPr>
          <w:rFonts w:ascii="David" w:eastAsia="Calibri" w:hAnsi="David" w:cs="David" w:hint="cs"/>
          <w:sz w:val="24"/>
          <w:szCs w:val="24"/>
          <w:rtl/>
        </w:rPr>
        <w:t>והמזון</w:t>
      </w:r>
      <w:r w:rsidRPr="00B9169C">
        <w:rPr>
          <w:rFonts w:ascii="David" w:eastAsia="Calibri" w:hAnsi="David" w:cs="David" w:hint="cs"/>
          <w:sz w:val="24"/>
          <w:szCs w:val="24"/>
          <w:rtl/>
        </w:rPr>
        <w:t>. לכך מתווספ</w:t>
      </w:r>
      <w:r w:rsidR="00CB5F93" w:rsidRPr="00B9169C">
        <w:rPr>
          <w:rFonts w:ascii="David" w:eastAsia="Calibri" w:hAnsi="David" w:cs="David" w:hint="cs"/>
          <w:sz w:val="24"/>
          <w:szCs w:val="24"/>
          <w:rtl/>
        </w:rPr>
        <w:t xml:space="preserve">ת </w:t>
      </w:r>
      <w:r w:rsidRPr="00B9169C">
        <w:rPr>
          <w:rFonts w:ascii="David" w:eastAsia="Calibri" w:hAnsi="David" w:cs="David" w:hint="cs"/>
          <w:sz w:val="24"/>
          <w:szCs w:val="24"/>
          <w:rtl/>
        </w:rPr>
        <w:t>הבצורת באירופה אשר צפויה לתרום למגבלות ההיצע</w:t>
      </w:r>
      <w:r w:rsidR="00681EAC" w:rsidRPr="00B9169C">
        <w:rPr>
          <w:rFonts w:ascii="David" w:eastAsia="Calibri" w:hAnsi="David" w:cs="David" w:hint="cs"/>
          <w:sz w:val="24"/>
          <w:szCs w:val="24"/>
          <w:rtl/>
        </w:rPr>
        <w:t xml:space="preserve"> ביבשת</w:t>
      </w:r>
      <w:r w:rsidRPr="00B9169C">
        <w:rPr>
          <w:rFonts w:ascii="David" w:eastAsia="Calibri" w:hAnsi="David" w:cs="David" w:hint="cs"/>
          <w:sz w:val="24"/>
          <w:szCs w:val="24"/>
          <w:rtl/>
        </w:rPr>
        <w:t>. על אף שהנחות מסוימות לגבי התפתחויות אלו מג</w:t>
      </w:r>
      <w:r w:rsidR="002F29C7" w:rsidRPr="00B9169C">
        <w:rPr>
          <w:rFonts w:ascii="David" w:eastAsia="Calibri" w:hAnsi="David" w:cs="David" w:hint="cs"/>
          <w:sz w:val="24"/>
          <w:szCs w:val="24"/>
          <w:rtl/>
        </w:rPr>
        <w:t>ו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למות בתחזיות של בתי ההשקעות והגופים הבינלאומיים </w:t>
      </w:r>
      <w:r w:rsidR="00CB5F93" w:rsidRPr="00B9169C">
        <w:rPr>
          <w:rFonts w:ascii="David" w:eastAsia="Calibri" w:hAnsi="David" w:cs="David" w:hint="cs"/>
          <w:sz w:val="24"/>
          <w:szCs w:val="24"/>
          <w:rtl/>
        </w:rPr>
        <w:t xml:space="preserve">שבבסיס התחזית 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שלנו, </w:t>
      </w:r>
      <w:r w:rsidR="00CB5F93" w:rsidRPr="00B9169C">
        <w:rPr>
          <w:rFonts w:ascii="David" w:eastAsia="Calibri" w:hAnsi="David" w:cs="David" w:hint="cs"/>
          <w:sz w:val="24"/>
          <w:szCs w:val="24"/>
          <w:rtl/>
        </w:rPr>
        <w:t xml:space="preserve">קיימת לגביהן 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 אי וודאות רבה</w:t>
      </w:r>
      <w:r w:rsidR="00FE01B4" w:rsidRPr="00B9169C">
        <w:rPr>
          <w:rFonts w:ascii="David" w:eastAsia="Calibri" w:hAnsi="David" w:cs="David" w:hint="cs"/>
          <w:sz w:val="24"/>
          <w:szCs w:val="24"/>
          <w:rtl/>
        </w:rPr>
        <w:t xml:space="preserve">. משבר חמור מזה שמגלמות התחזיות </w:t>
      </w:r>
      <w:r w:rsidR="006036C9" w:rsidRPr="00B9169C">
        <w:rPr>
          <w:rFonts w:ascii="David" w:eastAsia="Calibri" w:hAnsi="David" w:cs="David" w:hint="cs"/>
          <w:sz w:val="24"/>
          <w:szCs w:val="24"/>
          <w:rtl/>
        </w:rPr>
        <w:t xml:space="preserve">הנוכחיות </w:t>
      </w:r>
      <w:r w:rsidR="00FE01B4" w:rsidRPr="00B9169C">
        <w:rPr>
          <w:rFonts w:ascii="David" w:eastAsia="Calibri" w:hAnsi="David" w:cs="David" w:hint="cs"/>
          <w:sz w:val="24"/>
          <w:szCs w:val="24"/>
          <w:rtl/>
        </w:rPr>
        <w:t xml:space="preserve">צפוי לתרום לעלייה במחירי המוצרים הסחירים בישראל מעבר למגולם בתחזית וכן הוא </w:t>
      </w:r>
      <w:r w:rsidR="002F29C7" w:rsidRPr="00B9169C">
        <w:rPr>
          <w:rFonts w:ascii="David" w:eastAsia="Calibri" w:hAnsi="David" w:cs="David" w:hint="cs"/>
          <w:sz w:val="24"/>
          <w:szCs w:val="24"/>
          <w:rtl/>
        </w:rPr>
        <w:t>עלול</w:t>
      </w:r>
      <w:r w:rsidR="00FE01B4" w:rsidRPr="00B9169C">
        <w:rPr>
          <w:rFonts w:ascii="David" w:eastAsia="Calibri" w:hAnsi="David" w:cs="David" w:hint="cs"/>
          <w:sz w:val="24"/>
          <w:szCs w:val="24"/>
          <w:rtl/>
        </w:rPr>
        <w:t xml:space="preserve"> לפגוע בביקוש ליצוא הישראלי</w:t>
      </w:r>
      <w:r w:rsidRPr="00B9169C">
        <w:rPr>
          <w:rFonts w:ascii="David" w:eastAsia="Calibri" w:hAnsi="David" w:cs="David" w:hint="cs"/>
          <w:sz w:val="24"/>
          <w:szCs w:val="24"/>
          <w:rtl/>
        </w:rPr>
        <w:t>.</w:t>
      </w:r>
      <w:r w:rsidR="00CB5F93" w:rsidRPr="00B9169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B9169C">
        <w:rPr>
          <w:rFonts w:ascii="David" w:eastAsia="Calibri" w:hAnsi="David" w:cs="David" w:hint="cs"/>
          <w:sz w:val="24"/>
          <w:szCs w:val="24"/>
          <w:rtl/>
        </w:rPr>
        <w:t xml:space="preserve">אשר לסביבה המקומית, </w:t>
      </w:r>
      <w:r w:rsidR="004306DE" w:rsidRPr="00B9169C">
        <w:rPr>
          <w:rFonts w:ascii="David" w:eastAsia="Calibri" w:hAnsi="David" w:cs="David" w:hint="cs"/>
          <w:sz w:val="24"/>
          <w:szCs w:val="24"/>
          <w:rtl/>
        </w:rPr>
        <w:t xml:space="preserve">קיימת </w:t>
      </w:r>
      <w:r w:rsidR="00BB518C" w:rsidRPr="00B9169C">
        <w:rPr>
          <w:rFonts w:ascii="David" w:eastAsia="Calibri" w:hAnsi="David" w:cs="David"/>
          <w:sz w:val="24"/>
          <w:szCs w:val="24"/>
          <w:rtl/>
        </w:rPr>
        <w:t xml:space="preserve">אי-וודאות </w:t>
      </w:r>
      <w:r w:rsidR="004306DE" w:rsidRPr="00B9169C">
        <w:rPr>
          <w:rFonts w:ascii="David" w:eastAsia="Calibri" w:hAnsi="David" w:cs="David" w:hint="cs"/>
          <w:sz w:val="24"/>
          <w:szCs w:val="24"/>
          <w:rtl/>
        </w:rPr>
        <w:t>לגבי</w:t>
      </w:r>
      <w:r w:rsidR="00BB518C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4306DE" w:rsidRPr="00B9169C">
        <w:rPr>
          <w:rFonts w:ascii="David" w:eastAsia="Calibri" w:hAnsi="David" w:cs="David" w:hint="cs"/>
          <w:sz w:val="24"/>
          <w:szCs w:val="24"/>
          <w:rtl/>
        </w:rPr>
        <w:t>צעדי המדיניות</w:t>
      </w:r>
      <w:r w:rsidR="00BB518C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4306DE" w:rsidRPr="00B9169C">
        <w:rPr>
          <w:rFonts w:ascii="David" w:eastAsia="Calibri" w:hAnsi="David" w:cs="David" w:hint="cs"/>
          <w:sz w:val="24"/>
          <w:szCs w:val="24"/>
          <w:rtl/>
        </w:rPr>
        <w:t>שתנקוט הממשלה הבאה בכל תחומי פעילותה</w:t>
      </w:r>
      <w:r w:rsidR="00BB518C" w:rsidRPr="00B9169C">
        <w:rPr>
          <w:rFonts w:ascii="David" w:eastAsia="Calibri" w:hAnsi="David" w:cs="David" w:hint="cs"/>
          <w:sz w:val="24"/>
          <w:szCs w:val="24"/>
          <w:rtl/>
        </w:rPr>
        <w:t>.</w:t>
      </w:r>
      <w:r w:rsidR="00BB518C" w:rsidRPr="00B9169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75BB1" w:rsidRPr="00B9169C">
        <w:rPr>
          <w:rFonts w:ascii="David" w:eastAsia="Calibri" w:hAnsi="David" w:cs="David" w:hint="cs"/>
          <w:sz w:val="24"/>
          <w:szCs w:val="24"/>
          <w:rtl/>
        </w:rPr>
        <w:t xml:space="preserve">בפרט, קיימת אי וודאות לגבי הסכמי השכר שייחתמו בטווח התחזית ומידת </w:t>
      </w:r>
      <w:r w:rsidR="00F85901" w:rsidRPr="00B9169C">
        <w:rPr>
          <w:rFonts w:ascii="David" w:eastAsia="Calibri" w:hAnsi="David" w:cs="David" w:hint="cs"/>
          <w:sz w:val="24"/>
          <w:szCs w:val="24"/>
          <w:rtl/>
        </w:rPr>
        <w:t>התאמתם</w:t>
      </w:r>
      <w:r w:rsidR="00C75BB1" w:rsidRPr="00B9169C">
        <w:rPr>
          <w:rFonts w:ascii="David" w:eastAsia="Calibri" w:hAnsi="David" w:cs="David" w:hint="cs"/>
          <w:sz w:val="24"/>
          <w:szCs w:val="24"/>
          <w:rtl/>
        </w:rPr>
        <w:t xml:space="preserve"> לאינפלציה שהתרחשה ולזו הצפויה.</w:t>
      </w:r>
      <w:r w:rsidR="004306DE"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:rsidR="00A251DD" w:rsidRPr="00BB518C" w:rsidRDefault="00A251DD" w:rsidP="00A251DD">
      <w:pPr>
        <w:spacing w:before="120" w:after="0" w:line="360" w:lineRule="auto"/>
        <w:ind w:left="23"/>
        <w:contextualSpacing/>
        <w:jc w:val="center"/>
        <w:rPr>
          <w:rFonts w:ascii="David" w:hAnsi="David" w:cs="David"/>
          <w:b/>
          <w:bCs/>
          <w:spacing w:val="5"/>
          <w:kern w:val="28"/>
          <w:sz w:val="28"/>
          <w:szCs w:val="28"/>
          <w:rtl/>
        </w:rPr>
      </w:pPr>
    </w:p>
    <w:sectPr w:rsidR="00A251DD" w:rsidRPr="00BB518C" w:rsidSect="00E55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37" w:rsidRDefault="00292537" w:rsidP="00A251DD">
      <w:pPr>
        <w:spacing w:after="0" w:line="240" w:lineRule="auto"/>
      </w:pPr>
      <w:r>
        <w:separator/>
      </w:r>
    </w:p>
  </w:endnote>
  <w:endnote w:type="continuationSeparator" w:id="0">
    <w:p w:rsidR="00292537" w:rsidRDefault="00292537" w:rsidP="00A2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37" w:rsidRDefault="00292537" w:rsidP="00A251DD">
      <w:pPr>
        <w:spacing w:after="0" w:line="240" w:lineRule="auto"/>
      </w:pPr>
      <w:r>
        <w:separator/>
      </w:r>
    </w:p>
  </w:footnote>
  <w:footnote w:type="continuationSeparator" w:id="0">
    <w:p w:rsidR="00292537" w:rsidRDefault="00292537" w:rsidP="00A251DD">
      <w:pPr>
        <w:spacing w:after="0" w:line="240" w:lineRule="auto"/>
      </w:pPr>
      <w:r>
        <w:continuationSeparator/>
      </w:r>
    </w:p>
  </w:footnote>
  <w:footnote w:id="1">
    <w:p w:rsidR="00BB518C" w:rsidRPr="00355EB1" w:rsidRDefault="00BB518C" w:rsidP="007D5AC1">
      <w:pPr>
        <w:pStyle w:val="a3"/>
        <w:spacing w:before="60"/>
        <w:ind w:left="19"/>
        <w:rPr>
          <w:rFonts w:ascii="David" w:hAnsi="David" w:cs="David"/>
          <w:sz w:val="18"/>
          <w:szCs w:val="18"/>
          <w:rtl/>
        </w:rPr>
      </w:pPr>
      <w:r w:rsidRPr="00355EB1">
        <w:rPr>
          <w:rStyle w:val="a5"/>
          <w:rFonts w:ascii="David" w:hAnsi="David" w:cs="David"/>
        </w:rPr>
        <w:footnoteRef/>
      </w:r>
      <w:r w:rsidRPr="00355EB1">
        <w:rPr>
          <w:rFonts w:ascii="David" w:hAnsi="David" w:cs="David"/>
          <w:rtl/>
        </w:rPr>
        <w:t xml:space="preserve"> התחזית הוצגה לוועדה המוניטרית ב-</w:t>
      </w:r>
      <w:r w:rsidR="007D5AC1">
        <w:rPr>
          <w:rFonts w:ascii="David" w:hAnsi="David" w:cs="David" w:hint="cs"/>
          <w:rtl/>
        </w:rPr>
        <w:t>2/10</w:t>
      </w:r>
      <w:r w:rsidRPr="00355EB1">
        <w:rPr>
          <w:rFonts w:ascii="David" w:hAnsi="David" w:cs="David"/>
          <w:rtl/>
        </w:rPr>
        <w:t>/2022, לקראת החלטת הריבית שהתקבלה ב-</w:t>
      </w:r>
      <w:r w:rsidR="007D5AC1">
        <w:rPr>
          <w:rFonts w:ascii="David" w:hAnsi="David" w:cs="David" w:hint="cs"/>
          <w:rtl/>
        </w:rPr>
        <w:t>3/10</w:t>
      </w:r>
      <w:r w:rsidRPr="00355EB1">
        <w:rPr>
          <w:rFonts w:ascii="David" w:hAnsi="David" w:cs="David"/>
          <w:rtl/>
        </w:rPr>
        <w:t>/2022.</w:t>
      </w:r>
    </w:p>
  </w:footnote>
  <w:footnote w:id="2">
    <w:p w:rsidR="00BB518C" w:rsidRPr="00355EB1" w:rsidRDefault="00BB518C" w:rsidP="007D5AC1">
      <w:pPr>
        <w:pStyle w:val="a3"/>
        <w:spacing w:before="60"/>
        <w:rPr>
          <w:rFonts w:ascii="David" w:hAnsi="David" w:cs="David"/>
        </w:rPr>
      </w:pPr>
      <w:r w:rsidRPr="00355EB1">
        <w:rPr>
          <w:rStyle w:val="a5"/>
          <w:rFonts w:ascii="David" w:hAnsi="David" w:cs="David"/>
        </w:rPr>
        <w:footnoteRef/>
      </w:r>
      <w:r w:rsidRPr="00355EB1">
        <w:rPr>
          <w:rFonts w:ascii="David" w:hAnsi="David" w:cs="David"/>
          <w:rtl/>
        </w:rPr>
        <w:t xml:space="preserve"> </w:t>
      </w:r>
      <w:r w:rsidRPr="00355EB1">
        <w:rPr>
          <w:rFonts w:ascii="David" w:hAnsi="David" w:cs="David"/>
          <w:rtl/>
        </w:rPr>
        <w:t xml:space="preserve">ארבעת הרבעונים המסתיימים ברבעון </w:t>
      </w:r>
      <w:r w:rsidR="007D5AC1">
        <w:rPr>
          <w:rFonts w:ascii="David" w:hAnsi="David" w:cs="David" w:hint="cs"/>
          <w:rtl/>
        </w:rPr>
        <w:t>השלישי</w:t>
      </w:r>
      <w:r w:rsidRPr="00355EB1">
        <w:rPr>
          <w:rFonts w:ascii="David" w:hAnsi="David" w:cs="David"/>
          <w:rtl/>
        </w:rPr>
        <w:t xml:space="preserve"> של שנת 2023.</w:t>
      </w:r>
    </w:p>
  </w:footnote>
  <w:footnote w:id="3">
    <w:p w:rsidR="00BB518C" w:rsidRPr="00355EB1" w:rsidRDefault="00BB518C" w:rsidP="00BB518C">
      <w:pPr>
        <w:pStyle w:val="a3"/>
        <w:spacing w:before="60"/>
        <w:ind w:left="5"/>
        <w:rPr>
          <w:rFonts w:ascii="David" w:hAnsi="David" w:cs="David"/>
          <w:rtl/>
        </w:rPr>
      </w:pPr>
      <w:r w:rsidRPr="00355EB1">
        <w:rPr>
          <w:rFonts w:ascii="David" w:hAnsi="David" w:cs="David"/>
          <w:vertAlign w:val="superscript"/>
        </w:rPr>
        <w:footnoteRef/>
      </w:r>
      <w:r w:rsidRPr="00355EB1">
        <w:rPr>
          <w:rFonts w:ascii="David" w:hAnsi="David" w:cs="David"/>
          <w:rtl/>
        </w:rPr>
        <w:t xml:space="preserve"> </w:t>
      </w:r>
      <w:r w:rsidRPr="00355EB1">
        <w:rPr>
          <w:rFonts w:ascii="David" w:hAnsi="David" w:cs="David"/>
          <w:rtl/>
        </w:rPr>
        <w:t>הסבר על התחזיות המקרו-כלכליות שחטיבת המחקר מגבשת, וכן סקירה של המודלים שהן מושתתות עליהם, מופיעים בדוח האינפלציה 31 (לרבעון השני של 2010), סעיף 3ג. נייר העבודה על מודל ה-</w:t>
      </w:r>
      <w:r w:rsidRPr="00355EB1">
        <w:rPr>
          <w:rFonts w:ascii="David" w:hAnsi="David" w:cs="David"/>
        </w:rPr>
        <w:t>DSGE</w:t>
      </w:r>
      <w:r w:rsidRPr="00355EB1">
        <w:rPr>
          <w:rFonts w:ascii="David" w:hAnsi="David" w:cs="David"/>
          <w:rtl/>
        </w:rPr>
        <w:t xml:space="preserve"> זמין באתר האינטרנט של בנק ישראל. כותרתו</w:t>
      </w:r>
    </w:p>
    <w:p w:rsidR="00BB518C" w:rsidRPr="0070314E" w:rsidRDefault="00BB518C" w:rsidP="00BB518C">
      <w:pPr>
        <w:pStyle w:val="a3"/>
        <w:bidi w:val="0"/>
        <w:spacing w:before="60"/>
        <w:ind w:left="14"/>
        <w:rPr>
          <w:rFonts w:ascii="David" w:hAnsi="David"/>
          <w:sz w:val="22"/>
          <w:szCs w:val="22"/>
        </w:rPr>
      </w:pPr>
      <w:r w:rsidRPr="00355EB1">
        <w:rPr>
          <w:rFonts w:ascii="David" w:hAnsi="David" w:cs="David"/>
        </w:rPr>
        <w:t>MOISE: A DSGE Model for the Israeli Economy</w:t>
      </w:r>
      <w:r w:rsidRPr="0070314E">
        <w:rPr>
          <w:rFonts w:ascii="David" w:hAnsi="David"/>
        </w:rPr>
        <w:t>, Discussion Paper No. 2012.06.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DC" w:rsidRDefault="00F445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543E"/>
    <w:multiLevelType w:val="hybridMultilevel"/>
    <w:tmpl w:val="E24C07EE"/>
    <w:lvl w:ilvl="0" w:tplc="372CF83C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0" w:hanging="360"/>
      </w:pPr>
    </w:lvl>
    <w:lvl w:ilvl="2" w:tplc="0409001B" w:tentative="1">
      <w:start w:val="1"/>
      <w:numFmt w:val="lowerRoman"/>
      <w:lvlText w:val="%3."/>
      <w:lvlJc w:val="right"/>
      <w:pPr>
        <w:ind w:left="2830" w:hanging="180"/>
      </w:pPr>
    </w:lvl>
    <w:lvl w:ilvl="3" w:tplc="0409000F" w:tentative="1">
      <w:start w:val="1"/>
      <w:numFmt w:val="decimal"/>
      <w:lvlText w:val="%4."/>
      <w:lvlJc w:val="left"/>
      <w:pPr>
        <w:ind w:left="3550" w:hanging="360"/>
      </w:pPr>
    </w:lvl>
    <w:lvl w:ilvl="4" w:tplc="04090019" w:tentative="1">
      <w:start w:val="1"/>
      <w:numFmt w:val="lowerLetter"/>
      <w:lvlText w:val="%5."/>
      <w:lvlJc w:val="left"/>
      <w:pPr>
        <w:ind w:left="4270" w:hanging="360"/>
      </w:pPr>
    </w:lvl>
    <w:lvl w:ilvl="5" w:tplc="0409001B" w:tentative="1">
      <w:start w:val="1"/>
      <w:numFmt w:val="lowerRoman"/>
      <w:lvlText w:val="%6."/>
      <w:lvlJc w:val="right"/>
      <w:pPr>
        <w:ind w:left="4990" w:hanging="180"/>
      </w:pPr>
    </w:lvl>
    <w:lvl w:ilvl="6" w:tplc="0409000F" w:tentative="1">
      <w:start w:val="1"/>
      <w:numFmt w:val="decimal"/>
      <w:lvlText w:val="%7."/>
      <w:lvlJc w:val="left"/>
      <w:pPr>
        <w:ind w:left="5710" w:hanging="360"/>
      </w:pPr>
    </w:lvl>
    <w:lvl w:ilvl="7" w:tplc="04090019" w:tentative="1">
      <w:start w:val="1"/>
      <w:numFmt w:val="lowerLetter"/>
      <w:lvlText w:val="%8."/>
      <w:lvlJc w:val="left"/>
      <w:pPr>
        <w:ind w:left="6430" w:hanging="360"/>
      </w:pPr>
    </w:lvl>
    <w:lvl w:ilvl="8" w:tplc="040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" w15:restartNumberingAfterBreak="0">
    <w:nsid w:val="2B1F0AC6"/>
    <w:multiLevelType w:val="hybridMultilevel"/>
    <w:tmpl w:val="E24C07EE"/>
    <w:lvl w:ilvl="0" w:tplc="372C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F4B4E"/>
    <w:multiLevelType w:val="hybridMultilevel"/>
    <w:tmpl w:val="0D98E67C"/>
    <w:lvl w:ilvl="0" w:tplc="A656BCE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DD"/>
    <w:rsid w:val="000068E0"/>
    <w:rsid w:val="000158A4"/>
    <w:rsid w:val="000B6DF5"/>
    <w:rsid w:val="000C77FE"/>
    <w:rsid w:val="000C7C73"/>
    <w:rsid w:val="000D6502"/>
    <w:rsid w:val="00124B07"/>
    <w:rsid w:val="001314C5"/>
    <w:rsid w:val="0013425B"/>
    <w:rsid w:val="001347E8"/>
    <w:rsid w:val="001719A0"/>
    <w:rsid w:val="0018141F"/>
    <w:rsid w:val="001815FD"/>
    <w:rsid w:val="001B6940"/>
    <w:rsid w:val="001E08D0"/>
    <w:rsid w:val="001F1F21"/>
    <w:rsid w:val="001F7D01"/>
    <w:rsid w:val="001F7E2B"/>
    <w:rsid w:val="002018FB"/>
    <w:rsid w:val="0021472D"/>
    <w:rsid w:val="00215275"/>
    <w:rsid w:val="00223474"/>
    <w:rsid w:val="002242D8"/>
    <w:rsid w:val="0022586C"/>
    <w:rsid w:val="002311A2"/>
    <w:rsid w:val="00237A13"/>
    <w:rsid w:val="00245574"/>
    <w:rsid w:val="00264C50"/>
    <w:rsid w:val="00281C96"/>
    <w:rsid w:val="0028734E"/>
    <w:rsid w:val="00292537"/>
    <w:rsid w:val="002B3DEA"/>
    <w:rsid w:val="002B6066"/>
    <w:rsid w:val="002C1D27"/>
    <w:rsid w:val="002F110F"/>
    <w:rsid w:val="002F29C7"/>
    <w:rsid w:val="0033619A"/>
    <w:rsid w:val="00355EB1"/>
    <w:rsid w:val="003651E3"/>
    <w:rsid w:val="003B0C32"/>
    <w:rsid w:val="003F5CAB"/>
    <w:rsid w:val="00403216"/>
    <w:rsid w:val="00420C53"/>
    <w:rsid w:val="0042647D"/>
    <w:rsid w:val="004306DE"/>
    <w:rsid w:val="004358E2"/>
    <w:rsid w:val="0043619E"/>
    <w:rsid w:val="00467AFD"/>
    <w:rsid w:val="004B2E27"/>
    <w:rsid w:val="004B578E"/>
    <w:rsid w:val="004B7E5F"/>
    <w:rsid w:val="00537DE1"/>
    <w:rsid w:val="00553972"/>
    <w:rsid w:val="005558E7"/>
    <w:rsid w:val="005630F0"/>
    <w:rsid w:val="005679E3"/>
    <w:rsid w:val="00573622"/>
    <w:rsid w:val="005B5B0F"/>
    <w:rsid w:val="005D00A1"/>
    <w:rsid w:val="006036C9"/>
    <w:rsid w:val="00615A4C"/>
    <w:rsid w:val="0062006E"/>
    <w:rsid w:val="006330EA"/>
    <w:rsid w:val="0067553C"/>
    <w:rsid w:val="00681EAC"/>
    <w:rsid w:val="0068257B"/>
    <w:rsid w:val="006A321B"/>
    <w:rsid w:val="006C0104"/>
    <w:rsid w:val="006D5ADF"/>
    <w:rsid w:val="006F14DE"/>
    <w:rsid w:val="00750946"/>
    <w:rsid w:val="00762018"/>
    <w:rsid w:val="00767519"/>
    <w:rsid w:val="00780F21"/>
    <w:rsid w:val="0079570B"/>
    <w:rsid w:val="007A53CE"/>
    <w:rsid w:val="007D41AC"/>
    <w:rsid w:val="007D5AC1"/>
    <w:rsid w:val="007E14C5"/>
    <w:rsid w:val="0080068D"/>
    <w:rsid w:val="0082045C"/>
    <w:rsid w:val="0083181A"/>
    <w:rsid w:val="008330F4"/>
    <w:rsid w:val="008563F7"/>
    <w:rsid w:val="00860E1A"/>
    <w:rsid w:val="00871B3E"/>
    <w:rsid w:val="008728B3"/>
    <w:rsid w:val="00886200"/>
    <w:rsid w:val="00887F9E"/>
    <w:rsid w:val="008936C0"/>
    <w:rsid w:val="008C7D05"/>
    <w:rsid w:val="009102B7"/>
    <w:rsid w:val="00932943"/>
    <w:rsid w:val="00934A8B"/>
    <w:rsid w:val="009970EF"/>
    <w:rsid w:val="009972D4"/>
    <w:rsid w:val="009975AA"/>
    <w:rsid w:val="009A765F"/>
    <w:rsid w:val="009B459F"/>
    <w:rsid w:val="009D3119"/>
    <w:rsid w:val="009F6A0A"/>
    <w:rsid w:val="00A148A1"/>
    <w:rsid w:val="00A23D88"/>
    <w:rsid w:val="00A251DD"/>
    <w:rsid w:val="00A551AA"/>
    <w:rsid w:val="00A670F4"/>
    <w:rsid w:val="00A82C59"/>
    <w:rsid w:val="00A83EA7"/>
    <w:rsid w:val="00A96B61"/>
    <w:rsid w:val="00AB56E6"/>
    <w:rsid w:val="00AF777E"/>
    <w:rsid w:val="00B35A80"/>
    <w:rsid w:val="00B9169C"/>
    <w:rsid w:val="00B93525"/>
    <w:rsid w:val="00BA26A8"/>
    <w:rsid w:val="00BB518C"/>
    <w:rsid w:val="00BF46A3"/>
    <w:rsid w:val="00C2267B"/>
    <w:rsid w:val="00C45063"/>
    <w:rsid w:val="00C75BB1"/>
    <w:rsid w:val="00C90122"/>
    <w:rsid w:val="00CB5F93"/>
    <w:rsid w:val="00CD46B8"/>
    <w:rsid w:val="00CD7B40"/>
    <w:rsid w:val="00CE63E3"/>
    <w:rsid w:val="00CF0A11"/>
    <w:rsid w:val="00CF2164"/>
    <w:rsid w:val="00CF3DA6"/>
    <w:rsid w:val="00CF7BF4"/>
    <w:rsid w:val="00D4596F"/>
    <w:rsid w:val="00D75B11"/>
    <w:rsid w:val="00D91580"/>
    <w:rsid w:val="00DA4C7E"/>
    <w:rsid w:val="00DD1128"/>
    <w:rsid w:val="00E17705"/>
    <w:rsid w:val="00E271D6"/>
    <w:rsid w:val="00E3066A"/>
    <w:rsid w:val="00E55323"/>
    <w:rsid w:val="00E572B5"/>
    <w:rsid w:val="00E6536D"/>
    <w:rsid w:val="00E85E77"/>
    <w:rsid w:val="00ED58BE"/>
    <w:rsid w:val="00ED68E4"/>
    <w:rsid w:val="00F00C6A"/>
    <w:rsid w:val="00F029EA"/>
    <w:rsid w:val="00F2052C"/>
    <w:rsid w:val="00F23F78"/>
    <w:rsid w:val="00F445DC"/>
    <w:rsid w:val="00F57344"/>
    <w:rsid w:val="00F670E2"/>
    <w:rsid w:val="00F85901"/>
    <w:rsid w:val="00F9447E"/>
    <w:rsid w:val="00FC041B"/>
    <w:rsid w:val="00FC171A"/>
    <w:rsid w:val="00FD6208"/>
    <w:rsid w:val="00FE01B4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51DD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251DD"/>
    <w:rPr>
      <w:sz w:val="20"/>
      <w:szCs w:val="20"/>
    </w:rPr>
  </w:style>
  <w:style w:type="character" w:styleId="a5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a0"/>
    <w:uiPriority w:val="99"/>
    <w:unhideWhenUsed/>
    <w:rsid w:val="00A251DD"/>
    <w:rPr>
      <w:vertAlign w:val="superscript"/>
    </w:rPr>
  </w:style>
  <w:style w:type="table" w:customStyle="1" w:styleId="2">
    <w:name w:val="טבלת רשת2"/>
    <w:basedOn w:val="a1"/>
    <w:next w:val="a6"/>
    <w:rsid w:val="00A251D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51DD"/>
    <w:pPr>
      <w:bidi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44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445DC"/>
  </w:style>
  <w:style w:type="paragraph" w:styleId="aa">
    <w:name w:val="footer"/>
    <w:basedOn w:val="a"/>
    <w:link w:val="ab"/>
    <w:uiPriority w:val="99"/>
    <w:unhideWhenUsed/>
    <w:rsid w:val="00F44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445DC"/>
  </w:style>
  <w:style w:type="paragraph" w:styleId="ac">
    <w:name w:val="Balloon Text"/>
    <w:basedOn w:val="a"/>
    <w:link w:val="ad"/>
    <w:uiPriority w:val="99"/>
    <w:semiHidden/>
    <w:unhideWhenUsed/>
    <w:rsid w:val="009975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975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96BC-1880-4502-B95C-EB56D646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F4BBB-7504-4EB3-96F9-BBDB96DCE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0FA4A7-F83B-494F-8E88-B6AAEA7BD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D2966-C0F0-4F1A-A8B0-4E113EF9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5853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2022-10-03T11:30:00Z</dcterms:created>
  <dcterms:modified xsi:type="dcterms:W3CDTF">2022-10-03T11:30:00Z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