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1A2" w:rsidRPr="00DB1CBC" w:rsidTr="002E5159">
        <w:trPr>
          <w:jc w:val="center"/>
        </w:trPr>
        <w:tc>
          <w:tcPr>
            <w:tcW w:w="2840" w:type="dxa"/>
            <w:vAlign w:val="center"/>
          </w:tcPr>
          <w:p w:rsidR="00D921A2" w:rsidRDefault="00D921A2" w:rsidP="00C739C4">
            <w:pPr>
              <w:spacing w:before="24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C739C4">
            <w:pPr>
              <w:spacing w:before="240" w:line="360" w:lineRule="auto"/>
              <w:ind w:right="-101"/>
              <w:jc w:val="center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</w:tcPr>
          <w:p w:rsidR="00D921A2" w:rsidRDefault="00AE5FAE" w:rsidP="00C739C4">
            <w:pPr>
              <w:spacing w:before="240"/>
              <w:jc w:val="center"/>
            </w:pPr>
            <w:r>
              <w:rPr>
                <w:noProof/>
                <w:rtl/>
                <w:lang w:eastAsia="en-US"/>
              </w:rPr>
              <w:drawing>
                <wp:inline distT="0" distB="0" distL="0" distR="0">
                  <wp:extent cx="1050880" cy="1050880"/>
                  <wp:effectExtent l="0" t="0" r="0" b="0"/>
                  <wp:docPr id="14" name="תמונה 14" descr="Logo Bank of Israel" title="לוגו בנק ישראל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874" cy="105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 w:rsidR="00D921A2" w:rsidRPr="000B3287" w:rsidRDefault="00D921A2" w:rsidP="007953A4">
            <w:pPr>
              <w:spacing w:before="240" w:line="480" w:lineRule="auto"/>
              <w:jc w:val="right"/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7953A4">
              <w:rPr>
                <w:rFonts w:hint="cs"/>
                <w:rtl/>
              </w:rPr>
              <w:t>ז'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524CB2" w:rsidRPr="000B3287">
              <w:rPr>
                <w:rFonts w:hint="cs"/>
                <w:rtl/>
              </w:rPr>
              <w:t>ב</w:t>
            </w:r>
            <w:r w:rsidR="00767D86">
              <w:rPr>
                <w:rFonts w:hint="cs"/>
                <w:rtl/>
              </w:rPr>
              <w:t>ת</w:t>
            </w:r>
            <w:r w:rsidR="00F26049">
              <w:rPr>
                <w:rFonts w:hint="cs"/>
                <w:rtl/>
              </w:rPr>
              <w:t>שרי</w:t>
            </w:r>
            <w:r w:rsidR="00D43807" w:rsidRPr="000B3287">
              <w:rPr>
                <w:rFonts w:hint="cs"/>
                <w:rtl/>
              </w:rPr>
              <w:t xml:space="preserve"> </w:t>
            </w:r>
            <w:proofErr w:type="spellStart"/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תשע"</w:t>
            </w:r>
            <w:r w:rsidR="00F26049">
              <w:rPr>
                <w:rFonts w:hint="cs"/>
                <w:rtl/>
              </w:rPr>
              <w:t>ט</w:t>
            </w:r>
            <w:proofErr w:type="spellEnd"/>
          </w:p>
          <w:p w:rsidR="00D921A2" w:rsidRPr="000B3287" w:rsidRDefault="007953A4" w:rsidP="00C739C4">
            <w:pPr>
              <w:spacing w:before="240" w:line="480" w:lineRule="auto"/>
              <w:jc w:val="right"/>
            </w:pPr>
            <w:r>
              <w:rPr>
                <w:rFonts w:hint="cs"/>
                <w:rtl/>
              </w:rPr>
              <w:t>16</w:t>
            </w:r>
            <w:r w:rsidR="008411FF" w:rsidRPr="000B3287">
              <w:rPr>
                <w:rFonts w:hint="cs"/>
                <w:rtl/>
              </w:rPr>
              <w:t xml:space="preserve"> </w:t>
            </w:r>
            <w:r w:rsidR="00767D86">
              <w:rPr>
                <w:rFonts w:hint="cs"/>
                <w:rtl/>
              </w:rPr>
              <w:t>ב</w:t>
            </w:r>
            <w:r w:rsidR="00F26049">
              <w:rPr>
                <w:rFonts w:hint="cs"/>
                <w:rtl/>
              </w:rPr>
              <w:t>ספטמבר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D84164" w:rsidRPr="000B3287">
              <w:rPr>
                <w:rFonts w:hint="cs"/>
                <w:rtl/>
              </w:rPr>
              <w:t>2018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C739C4">
      <w:pPr>
        <w:spacing w:before="240" w:line="360" w:lineRule="auto"/>
        <w:ind w:right="-101"/>
        <w:rPr>
          <w:rtl/>
        </w:rPr>
      </w:pPr>
      <w:bookmarkStart w:id="0" w:name="_GoBack"/>
      <w:bookmarkEnd w:id="0"/>
    </w:p>
    <w:p w:rsidR="00D921A2" w:rsidRDefault="00D921A2" w:rsidP="00C739C4">
      <w:pPr>
        <w:spacing w:before="240" w:line="360" w:lineRule="auto"/>
        <w:ind w:right="-101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Pr="002E5159" w:rsidRDefault="0078645B" w:rsidP="00C739C4">
      <w:pPr>
        <w:pStyle w:val="af1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767D86">
        <w:rPr>
          <w:rFonts w:hint="cs"/>
          <w:b/>
          <w:bCs/>
          <w:rtl/>
        </w:rPr>
        <w:t>ה</w:t>
      </w:r>
      <w:r w:rsidR="005B4B79">
        <w:rPr>
          <w:rFonts w:hint="cs"/>
          <w:b/>
          <w:bCs/>
          <w:rtl/>
        </w:rPr>
        <w:t>שני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2018</w:t>
      </w:r>
    </w:p>
    <w:p w:rsidR="00091F3F" w:rsidRPr="009264FD" w:rsidRDefault="00F502DF" w:rsidP="00C739C4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9264FD">
        <w:rPr>
          <w:b/>
          <w:bCs/>
          <w:rtl/>
        </w:rPr>
        <w:t xml:space="preserve">ברביע </w:t>
      </w:r>
      <w:r w:rsidR="00767D86" w:rsidRPr="009264FD">
        <w:rPr>
          <w:rFonts w:hint="cs"/>
          <w:b/>
          <w:bCs/>
          <w:rtl/>
        </w:rPr>
        <w:t>ה</w:t>
      </w:r>
      <w:r w:rsidR="005B4B79">
        <w:rPr>
          <w:rFonts w:hint="cs"/>
          <w:b/>
          <w:bCs/>
          <w:rtl/>
        </w:rPr>
        <w:t>שני</w:t>
      </w:r>
      <w:r w:rsidRPr="009264FD">
        <w:rPr>
          <w:b/>
          <w:bCs/>
          <w:rtl/>
        </w:rPr>
        <w:t xml:space="preserve"> של שנת 201</w:t>
      </w:r>
      <w:r w:rsidR="00AF6E96" w:rsidRPr="009264FD">
        <w:rPr>
          <w:rFonts w:hint="cs"/>
          <w:b/>
          <w:bCs/>
          <w:rtl/>
        </w:rPr>
        <w:t>8</w:t>
      </w:r>
      <w:r w:rsidRPr="009264FD">
        <w:rPr>
          <w:b/>
          <w:bCs/>
          <w:rtl/>
        </w:rPr>
        <w:t xml:space="preserve"> </w:t>
      </w:r>
      <w:r w:rsidR="007C6DD1" w:rsidRPr="009264FD">
        <w:rPr>
          <w:rFonts w:hint="cs"/>
          <w:b/>
          <w:bCs/>
          <w:rtl/>
        </w:rPr>
        <w:t>עלה</w:t>
      </w:r>
      <w:r w:rsidRPr="009264FD">
        <w:rPr>
          <w:b/>
          <w:bCs/>
          <w:rtl/>
        </w:rPr>
        <w:t xml:space="preserve"> </w:t>
      </w:r>
      <w:r w:rsidR="00EC18EA" w:rsidRPr="009264FD">
        <w:rPr>
          <w:rFonts w:hint="cs"/>
          <w:b/>
          <w:bCs/>
          <w:rtl/>
        </w:rPr>
        <w:t>שוויו של תיק הנכסים</w:t>
      </w:r>
      <w:r w:rsidR="00235FBA" w:rsidRPr="009264FD">
        <w:rPr>
          <w:rFonts w:hint="cs"/>
          <w:b/>
          <w:bCs/>
          <w:rtl/>
        </w:rPr>
        <w:t xml:space="preserve"> הפיננסיים של הציבור</w:t>
      </w:r>
      <w:r w:rsidR="00EC18EA" w:rsidRPr="009264FD">
        <w:rPr>
          <w:rFonts w:hint="cs"/>
          <w:b/>
          <w:bCs/>
          <w:rtl/>
        </w:rPr>
        <w:t xml:space="preserve"> בכ-</w:t>
      </w:r>
      <w:r w:rsidR="00CE4998">
        <w:rPr>
          <w:rFonts w:hint="cs"/>
          <w:b/>
          <w:bCs/>
          <w:rtl/>
        </w:rPr>
        <w:t>22</w:t>
      </w:r>
      <w:r w:rsidR="006D6B90" w:rsidRPr="009264FD">
        <w:rPr>
          <w:rFonts w:hint="cs"/>
          <w:b/>
          <w:bCs/>
          <w:rtl/>
        </w:rPr>
        <w:t>.</w:t>
      </w:r>
      <w:r w:rsidR="00CE4998">
        <w:rPr>
          <w:rFonts w:hint="cs"/>
          <w:b/>
          <w:bCs/>
          <w:rtl/>
        </w:rPr>
        <w:t>1</w:t>
      </w:r>
      <w:r w:rsidR="00EC18EA" w:rsidRPr="009264FD">
        <w:rPr>
          <w:rFonts w:hint="cs"/>
          <w:b/>
          <w:bCs/>
          <w:rtl/>
        </w:rPr>
        <w:t xml:space="preserve"> מיליארדי ש</w:t>
      </w:r>
      <w:r w:rsidR="00EC18EA" w:rsidRPr="009264FD">
        <w:rPr>
          <w:b/>
          <w:bCs/>
          <w:rtl/>
        </w:rPr>
        <w:t>"</w:t>
      </w:r>
      <w:r w:rsidR="00EC18EA" w:rsidRPr="009264FD">
        <w:rPr>
          <w:rFonts w:hint="cs"/>
          <w:b/>
          <w:bCs/>
          <w:rtl/>
        </w:rPr>
        <w:t>ח (</w:t>
      </w:r>
      <w:r w:rsidR="00E32E8A" w:rsidRPr="009264FD">
        <w:rPr>
          <w:b/>
          <w:bCs/>
        </w:rPr>
        <w:t>%</w:t>
      </w:r>
      <w:r w:rsidR="00CE4998">
        <w:rPr>
          <w:rFonts w:hint="cs"/>
          <w:b/>
          <w:bCs/>
          <w:rtl/>
        </w:rPr>
        <w:t>0</w:t>
      </w:r>
      <w:r w:rsidR="006D6B90" w:rsidRPr="009264FD">
        <w:rPr>
          <w:rFonts w:hint="cs"/>
          <w:b/>
          <w:bCs/>
          <w:rtl/>
        </w:rPr>
        <w:t>.</w:t>
      </w:r>
      <w:r w:rsidR="00CE4998">
        <w:rPr>
          <w:rFonts w:hint="cs"/>
          <w:b/>
          <w:bCs/>
          <w:rtl/>
        </w:rPr>
        <w:t>6</w:t>
      </w:r>
      <w:r w:rsidR="006D6B90" w:rsidRPr="009264FD">
        <w:rPr>
          <w:rFonts w:hint="cs"/>
          <w:b/>
          <w:bCs/>
          <w:rtl/>
        </w:rPr>
        <w:t>) ועמד בסופו על כ-3.</w:t>
      </w:r>
      <w:r w:rsidR="00CE4998">
        <w:rPr>
          <w:rFonts w:hint="cs"/>
          <w:b/>
          <w:bCs/>
          <w:rtl/>
        </w:rPr>
        <w:t>65</w:t>
      </w:r>
      <w:r w:rsidR="00EC18EA" w:rsidRPr="009264FD">
        <w:rPr>
          <w:rFonts w:hint="cs"/>
          <w:b/>
          <w:bCs/>
          <w:rtl/>
        </w:rPr>
        <w:t xml:space="preserve"> טריליוני ש</w:t>
      </w:r>
      <w:r w:rsidR="00EC18EA" w:rsidRPr="009264FD">
        <w:rPr>
          <w:b/>
          <w:bCs/>
          <w:rtl/>
        </w:rPr>
        <w:t>"</w:t>
      </w:r>
      <w:r w:rsidR="00EC18EA" w:rsidRPr="009264FD">
        <w:rPr>
          <w:rFonts w:hint="cs"/>
          <w:b/>
          <w:bCs/>
          <w:rtl/>
        </w:rPr>
        <w:t>ח.</w:t>
      </w:r>
    </w:p>
    <w:p w:rsidR="00B65E49" w:rsidRPr="001E5D0A" w:rsidRDefault="00F502DF" w:rsidP="00C739C4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1E5D0A">
        <w:rPr>
          <w:rFonts w:hint="cs"/>
          <w:b/>
          <w:bCs/>
          <w:rtl/>
        </w:rPr>
        <w:t>העלייה</w:t>
      </w:r>
      <w:r w:rsidR="002F6225" w:rsidRPr="001E5D0A">
        <w:rPr>
          <w:rFonts w:hint="cs"/>
          <w:b/>
          <w:bCs/>
          <w:rtl/>
        </w:rPr>
        <w:t xml:space="preserve"> </w:t>
      </w:r>
      <w:r w:rsidR="009069AE" w:rsidRPr="001E5D0A">
        <w:rPr>
          <w:rFonts w:hint="cs"/>
          <w:b/>
          <w:bCs/>
          <w:rtl/>
        </w:rPr>
        <w:t xml:space="preserve">בשווי התיק ברביע </w:t>
      </w:r>
      <w:r w:rsidR="001E5D0A" w:rsidRPr="001E5D0A">
        <w:rPr>
          <w:rFonts w:hint="cs"/>
          <w:b/>
          <w:bCs/>
          <w:rtl/>
        </w:rPr>
        <w:t>ה</w:t>
      </w:r>
      <w:r w:rsidR="008276EF">
        <w:rPr>
          <w:rFonts w:hint="cs"/>
          <w:b/>
          <w:bCs/>
          <w:rtl/>
        </w:rPr>
        <w:t>שני</w:t>
      </w:r>
      <w:r w:rsidR="009069AE" w:rsidRPr="001E5D0A">
        <w:rPr>
          <w:rFonts w:hint="cs"/>
          <w:b/>
          <w:bCs/>
          <w:rtl/>
        </w:rPr>
        <w:t xml:space="preserve"> </w:t>
      </w:r>
      <w:r w:rsidR="002F6225" w:rsidRPr="001E5D0A">
        <w:rPr>
          <w:b/>
          <w:bCs/>
          <w:rtl/>
        </w:rPr>
        <w:t>נבע</w:t>
      </w:r>
      <w:r w:rsidR="003C6456" w:rsidRPr="001E5D0A">
        <w:rPr>
          <w:rFonts w:hint="cs"/>
          <w:b/>
          <w:bCs/>
          <w:rtl/>
        </w:rPr>
        <w:t>ה</w:t>
      </w:r>
      <w:r w:rsidR="002F6225" w:rsidRPr="001E5D0A">
        <w:rPr>
          <w:b/>
          <w:bCs/>
          <w:rtl/>
        </w:rPr>
        <w:t xml:space="preserve"> </w:t>
      </w:r>
      <w:r w:rsidR="008276EF">
        <w:rPr>
          <w:rFonts w:hint="cs"/>
          <w:b/>
          <w:bCs/>
          <w:rtl/>
        </w:rPr>
        <w:t>בעיקרה</w:t>
      </w:r>
      <w:r w:rsidR="00080C9F">
        <w:rPr>
          <w:rFonts w:hint="cs"/>
          <w:b/>
          <w:bCs/>
          <w:rtl/>
        </w:rPr>
        <w:t xml:space="preserve"> </w:t>
      </w:r>
      <w:r w:rsidR="00476E62" w:rsidRPr="001E5D0A">
        <w:rPr>
          <w:rFonts w:hint="cs"/>
          <w:b/>
          <w:bCs/>
          <w:rtl/>
        </w:rPr>
        <w:t xml:space="preserve">מעלייה </w:t>
      </w:r>
      <w:r w:rsidR="007409EF">
        <w:rPr>
          <w:rFonts w:hint="cs"/>
          <w:b/>
          <w:bCs/>
          <w:rtl/>
        </w:rPr>
        <w:t>ביתרת</w:t>
      </w:r>
      <w:r w:rsidR="008276EF">
        <w:rPr>
          <w:rFonts w:hint="cs"/>
          <w:b/>
          <w:bCs/>
          <w:rtl/>
        </w:rPr>
        <w:t xml:space="preserve"> ההשקעות בחו"ל</w:t>
      </w:r>
      <w:r w:rsidR="00125279">
        <w:rPr>
          <w:rFonts w:hint="cs"/>
          <w:b/>
          <w:bCs/>
          <w:rtl/>
        </w:rPr>
        <w:t xml:space="preserve"> </w:t>
      </w:r>
      <w:r w:rsidR="00125279">
        <w:rPr>
          <w:b/>
          <w:bCs/>
          <w:rtl/>
        </w:rPr>
        <w:t>שקוזז</w:t>
      </w:r>
      <w:r w:rsidR="00125279">
        <w:rPr>
          <w:rFonts w:hint="cs"/>
          <w:b/>
          <w:bCs/>
          <w:rtl/>
        </w:rPr>
        <w:t>ה</w:t>
      </w:r>
      <w:r w:rsidR="00125279" w:rsidRPr="00112CBA">
        <w:rPr>
          <w:b/>
          <w:bCs/>
          <w:rtl/>
        </w:rPr>
        <w:t xml:space="preserve"> ב</w:t>
      </w:r>
      <w:r w:rsidR="000E1501">
        <w:rPr>
          <w:rFonts w:hint="cs"/>
          <w:b/>
          <w:bCs/>
          <w:rtl/>
        </w:rPr>
        <w:t>חלקה</w:t>
      </w:r>
      <w:r w:rsidR="00125279" w:rsidRPr="00112CBA">
        <w:rPr>
          <w:b/>
          <w:bCs/>
          <w:rtl/>
        </w:rPr>
        <w:t xml:space="preserve"> כתוצאה מירידה ביתרת ההחזקות באג"ח ממשלתיות בארץ</w:t>
      </w:r>
      <w:r w:rsidR="00125279">
        <w:rPr>
          <w:rFonts w:hint="cs"/>
          <w:b/>
          <w:bCs/>
          <w:rtl/>
        </w:rPr>
        <w:t xml:space="preserve"> </w:t>
      </w:r>
      <w:proofErr w:type="spellStart"/>
      <w:r w:rsidR="00125279">
        <w:rPr>
          <w:rFonts w:hint="cs"/>
          <w:b/>
          <w:bCs/>
          <w:rtl/>
        </w:rPr>
        <w:t>ומק"ם</w:t>
      </w:r>
      <w:proofErr w:type="spellEnd"/>
      <w:r w:rsidR="00125279" w:rsidRPr="00112CBA">
        <w:rPr>
          <w:rFonts w:hint="cs"/>
          <w:b/>
          <w:bCs/>
          <w:rtl/>
        </w:rPr>
        <w:t>.</w:t>
      </w:r>
    </w:p>
    <w:p w:rsidR="00767D86" w:rsidRPr="00112CBA" w:rsidRDefault="00767D86" w:rsidP="00C739C4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  <w:rtl/>
        </w:rPr>
      </w:pPr>
      <w:r w:rsidRPr="00112CBA">
        <w:rPr>
          <w:b/>
          <w:bCs/>
          <w:rtl/>
        </w:rPr>
        <w:t>יתרת התיק המנוהל בידי המשקיעים המוסדיים עלתה ברביע ה</w:t>
      </w:r>
      <w:r w:rsidR="00112CBA" w:rsidRPr="00112CBA">
        <w:rPr>
          <w:rFonts w:hint="cs"/>
          <w:b/>
          <w:bCs/>
          <w:rtl/>
        </w:rPr>
        <w:t>שני</w:t>
      </w:r>
      <w:r w:rsidRPr="00112CBA">
        <w:rPr>
          <w:b/>
          <w:bCs/>
          <w:rtl/>
        </w:rPr>
        <w:t xml:space="preserve"> של שנת 2018 בכ-1</w:t>
      </w:r>
      <w:r w:rsidR="00112CBA" w:rsidRPr="00112CBA">
        <w:rPr>
          <w:rFonts w:hint="cs"/>
          <w:b/>
          <w:bCs/>
          <w:rtl/>
        </w:rPr>
        <w:t>.6</w:t>
      </w:r>
      <w:r w:rsidRPr="00112CBA">
        <w:rPr>
          <w:b/>
          <w:bCs/>
          <w:rtl/>
        </w:rPr>
        <w:t>%</w:t>
      </w:r>
      <w:r w:rsidR="00125279">
        <w:rPr>
          <w:rFonts w:hint="cs"/>
          <w:b/>
          <w:bCs/>
          <w:rtl/>
        </w:rPr>
        <w:t>.</w:t>
      </w:r>
    </w:p>
    <w:p w:rsidR="00C739C4" w:rsidRDefault="00AD40E5" w:rsidP="00A27E46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1E5D0A">
        <w:rPr>
          <w:rFonts w:hint="cs"/>
          <w:b/>
          <w:bCs/>
          <w:rtl/>
        </w:rPr>
        <w:t xml:space="preserve">ברביע </w:t>
      </w:r>
      <w:r w:rsidR="00767D86" w:rsidRPr="001E5D0A">
        <w:rPr>
          <w:rFonts w:hint="cs"/>
          <w:b/>
          <w:bCs/>
          <w:rtl/>
        </w:rPr>
        <w:t>ה</w:t>
      </w:r>
      <w:r w:rsidR="00070610">
        <w:rPr>
          <w:rFonts w:hint="cs"/>
          <w:b/>
          <w:bCs/>
          <w:rtl/>
        </w:rPr>
        <w:t>שני</w:t>
      </w:r>
      <w:r w:rsidRPr="001E5D0A">
        <w:rPr>
          <w:rFonts w:hint="cs"/>
          <w:b/>
          <w:bCs/>
          <w:rtl/>
        </w:rPr>
        <w:t xml:space="preserve"> של השנה, </w:t>
      </w:r>
      <w:r w:rsidR="009E6953" w:rsidRPr="001E5D0A">
        <w:rPr>
          <w:rFonts w:hint="cs"/>
          <w:b/>
          <w:bCs/>
          <w:rtl/>
        </w:rPr>
        <w:t>נרשמו</w:t>
      </w:r>
      <w:r w:rsidRPr="001E5D0A">
        <w:rPr>
          <w:rFonts w:hint="cs"/>
          <w:b/>
          <w:bCs/>
          <w:rtl/>
        </w:rPr>
        <w:t xml:space="preserve"> </w:t>
      </w:r>
      <w:r w:rsidR="000E1501">
        <w:rPr>
          <w:rFonts w:hint="cs"/>
          <w:b/>
          <w:bCs/>
          <w:rtl/>
        </w:rPr>
        <w:t>פדיונות</w:t>
      </w:r>
      <w:r w:rsidRPr="001E5D0A">
        <w:rPr>
          <w:rFonts w:hint="cs"/>
          <w:b/>
          <w:bCs/>
          <w:rtl/>
        </w:rPr>
        <w:t xml:space="preserve"> נטו </w:t>
      </w:r>
      <w:r w:rsidR="009E6953" w:rsidRPr="001E5D0A">
        <w:rPr>
          <w:rFonts w:hint="cs"/>
          <w:b/>
          <w:bCs/>
          <w:rtl/>
        </w:rPr>
        <w:t xml:space="preserve">בקרנות הנאמנות </w:t>
      </w:r>
      <w:r w:rsidRPr="001E5D0A">
        <w:rPr>
          <w:rFonts w:hint="cs"/>
          <w:b/>
          <w:bCs/>
          <w:rtl/>
        </w:rPr>
        <w:t>בהיקף של כ-</w:t>
      </w:r>
      <w:r w:rsidR="00767D86" w:rsidRPr="001E5D0A">
        <w:rPr>
          <w:rFonts w:hint="cs"/>
          <w:b/>
          <w:bCs/>
          <w:rtl/>
        </w:rPr>
        <w:t>2.</w:t>
      </w:r>
      <w:r w:rsidR="00070610">
        <w:rPr>
          <w:rFonts w:hint="cs"/>
          <w:b/>
          <w:bCs/>
          <w:rtl/>
        </w:rPr>
        <w:t>5</w:t>
      </w:r>
      <w:r w:rsidRPr="001E5D0A">
        <w:rPr>
          <w:rFonts w:hint="cs"/>
          <w:b/>
          <w:bCs/>
          <w:rtl/>
        </w:rPr>
        <w:t xml:space="preserve"> מיליארדי </w:t>
      </w:r>
      <w:r w:rsidR="00235FBA" w:rsidRPr="001E5D0A">
        <w:rPr>
          <w:rFonts w:hint="cs"/>
          <w:b/>
          <w:bCs/>
          <w:rtl/>
        </w:rPr>
        <w:t xml:space="preserve">ש"ח, </w:t>
      </w:r>
      <w:r w:rsidR="000E1501">
        <w:rPr>
          <w:rFonts w:hint="cs"/>
          <w:b/>
          <w:bCs/>
          <w:rtl/>
        </w:rPr>
        <w:t xml:space="preserve">זאת, לעומת הפקדות נטו </w:t>
      </w:r>
      <w:r w:rsidR="00767D86" w:rsidRPr="001E5D0A">
        <w:rPr>
          <w:rFonts w:hint="cs"/>
          <w:b/>
          <w:bCs/>
          <w:rtl/>
        </w:rPr>
        <w:t>ב</w:t>
      </w:r>
      <w:r w:rsidR="000E1501">
        <w:rPr>
          <w:rFonts w:hint="cs"/>
          <w:b/>
          <w:bCs/>
          <w:rtl/>
        </w:rPr>
        <w:t>חמישה</w:t>
      </w:r>
      <w:r w:rsidR="00767D86" w:rsidRPr="001E5D0A">
        <w:rPr>
          <w:rFonts w:hint="cs"/>
          <w:b/>
          <w:bCs/>
          <w:rtl/>
        </w:rPr>
        <w:t xml:space="preserve"> </w:t>
      </w:r>
      <w:r w:rsidR="009A339E">
        <w:rPr>
          <w:rFonts w:hint="cs"/>
          <w:b/>
          <w:bCs/>
          <w:rtl/>
        </w:rPr>
        <w:t>ה</w:t>
      </w:r>
      <w:r w:rsidR="00767D86" w:rsidRPr="001E5D0A">
        <w:rPr>
          <w:rFonts w:hint="cs"/>
          <w:b/>
          <w:bCs/>
          <w:rtl/>
        </w:rPr>
        <w:t xml:space="preserve">רביעים </w:t>
      </w:r>
      <w:r w:rsidR="009A339E">
        <w:rPr>
          <w:rFonts w:hint="cs"/>
          <w:b/>
          <w:bCs/>
          <w:rtl/>
        </w:rPr>
        <w:t>שקדמו</w:t>
      </w:r>
      <w:r w:rsidRPr="001E5D0A">
        <w:rPr>
          <w:rFonts w:hint="cs"/>
          <w:b/>
          <w:bCs/>
          <w:rtl/>
        </w:rPr>
        <w:t>.</w:t>
      </w:r>
    </w:p>
    <w:p w:rsidR="00A27E46" w:rsidRPr="00A27E46" w:rsidRDefault="00A27E46" w:rsidP="00A27E46">
      <w:pPr>
        <w:spacing w:before="240" w:line="360" w:lineRule="auto"/>
        <w:jc w:val="both"/>
        <w:rPr>
          <w:b/>
          <w:bCs/>
          <w:rtl/>
        </w:rPr>
      </w:pPr>
    </w:p>
    <w:p w:rsidR="008D130A" w:rsidRPr="00C739C4" w:rsidRDefault="002A7E7B" w:rsidP="00C739C4">
      <w:pPr>
        <w:pStyle w:val="ae"/>
        <w:numPr>
          <w:ilvl w:val="0"/>
          <w:numId w:val="18"/>
        </w:numPr>
        <w:spacing w:before="240" w:line="360" w:lineRule="auto"/>
        <w:jc w:val="both"/>
        <w:rPr>
          <w:b/>
          <w:bCs/>
          <w:rtl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:rsidR="00594308" w:rsidRDefault="0027468F" w:rsidP="00C739C4">
      <w:pPr>
        <w:spacing w:before="240" w:line="360" w:lineRule="auto"/>
        <w:ind w:left="360"/>
        <w:jc w:val="both"/>
        <w:rPr>
          <w:b/>
          <w:bCs/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1C18C5">
        <w:rPr>
          <w:rFonts w:hint="cs"/>
          <w:b/>
          <w:bCs/>
          <w:rtl/>
        </w:rPr>
        <w:t>ה</w:t>
      </w:r>
      <w:r w:rsidR="005B4B79">
        <w:rPr>
          <w:rFonts w:hint="cs"/>
          <w:b/>
          <w:bCs/>
          <w:rtl/>
        </w:rPr>
        <w:t>שני</w:t>
      </w:r>
      <w:r w:rsidR="008F4C5E">
        <w:rPr>
          <w:rFonts w:hint="cs"/>
          <w:b/>
          <w:bCs/>
          <w:rtl/>
        </w:rPr>
        <w:t xml:space="preserve"> של שנת</w:t>
      </w:r>
      <w:r w:rsidR="001E2E5B">
        <w:rPr>
          <w:rFonts w:hint="cs"/>
          <w:b/>
          <w:bCs/>
          <w:rtl/>
        </w:rPr>
        <w:t xml:space="preserve"> </w:t>
      </w:r>
      <w:r w:rsidR="001C18C5">
        <w:rPr>
          <w:rFonts w:hint="cs"/>
          <w:b/>
          <w:bCs/>
          <w:rtl/>
        </w:rPr>
        <w:t>2018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B5166B">
        <w:rPr>
          <w:rFonts w:hint="cs"/>
          <w:rtl/>
        </w:rPr>
        <w:t>עלה</w:t>
      </w:r>
      <w:r w:rsidR="003C6456" w:rsidRPr="0024359D">
        <w:rPr>
          <w:rFonts w:hint="cs"/>
          <w:b/>
          <w:bCs/>
          <w:rtl/>
        </w:rPr>
        <w:t xml:space="preserve"> </w:t>
      </w:r>
      <w:r w:rsidR="0049743C" w:rsidRPr="00C75BF9">
        <w:rPr>
          <w:rFonts w:hint="cs"/>
          <w:rtl/>
        </w:rPr>
        <w:t>שווי</w:t>
      </w:r>
      <w:r w:rsidR="003C6456">
        <w:rPr>
          <w:rFonts w:hint="cs"/>
          <w:rtl/>
        </w:rPr>
        <w:t>ו של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463177">
        <w:rPr>
          <w:rFonts w:hint="cs"/>
          <w:rtl/>
        </w:rPr>
        <w:t>בכ-</w:t>
      </w:r>
      <w:r w:rsidR="00CE4998">
        <w:rPr>
          <w:rFonts w:hint="cs"/>
          <w:rtl/>
        </w:rPr>
        <w:t>22</w:t>
      </w:r>
      <w:r w:rsidR="001C18C5">
        <w:rPr>
          <w:rFonts w:hint="cs"/>
          <w:rtl/>
        </w:rPr>
        <w:t>.</w:t>
      </w:r>
      <w:r w:rsidR="00CE4998">
        <w:rPr>
          <w:rFonts w:hint="cs"/>
          <w:rtl/>
        </w:rPr>
        <w:t>1</w:t>
      </w:r>
      <w:r w:rsidR="00463177">
        <w:rPr>
          <w:rFonts w:hint="cs"/>
          <w:rtl/>
        </w:rPr>
        <w:t xml:space="preserve">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F502DF">
        <w:rPr>
          <w:rFonts w:hint="cs"/>
          <w:rtl/>
        </w:rPr>
        <w:t xml:space="preserve"> (</w:t>
      </w:r>
      <w:r w:rsidR="00CE4998">
        <w:rPr>
          <w:rFonts w:hint="cs"/>
          <w:rtl/>
        </w:rPr>
        <w:t>0</w:t>
      </w:r>
      <w:r w:rsidR="001C18C5">
        <w:rPr>
          <w:rFonts w:hint="cs"/>
          <w:rtl/>
        </w:rPr>
        <w:t>.</w:t>
      </w:r>
      <w:r w:rsidR="00CE4998">
        <w:rPr>
          <w:rFonts w:hint="cs"/>
          <w:rtl/>
        </w:rPr>
        <w:t>6</w:t>
      </w:r>
      <w:r w:rsidR="00F502DF">
        <w:rPr>
          <w:rFonts w:hint="cs"/>
          <w:rtl/>
        </w:rPr>
        <w:t>%)</w:t>
      </w:r>
      <w:r w:rsidR="001C18C5">
        <w:rPr>
          <w:rFonts w:hint="cs"/>
          <w:rtl/>
        </w:rPr>
        <w:t>, לרמה של</w:t>
      </w:r>
      <w:r w:rsidR="0049743C">
        <w:rPr>
          <w:rFonts w:hint="cs"/>
          <w:rtl/>
        </w:rPr>
        <w:t xml:space="preserve"> כ- </w:t>
      </w:r>
      <w:r w:rsidR="00B5166B">
        <w:rPr>
          <w:rFonts w:hint="cs"/>
          <w:rtl/>
        </w:rPr>
        <w:t>3.</w:t>
      </w:r>
      <w:r w:rsidR="00CE4998">
        <w:rPr>
          <w:rFonts w:hint="cs"/>
          <w:rtl/>
        </w:rPr>
        <w:t>65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8147A5" w:rsidRPr="008147A5">
        <w:rPr>
          <w:rFonts w:hint="cs"/>
          <w:rtl/>
        </w:rPr>
        <w:t>(תרשים 1).</w:t>
      </w:r>
      <w:r w:rsidR="00975AF9">
        <w:rPr>
          <w:rFonts w:hint="cs"/>
          <w:rtl/>
        </w:rPr>
        <w:t xml:space="preserve"> </w:t>
      </w:r>
      <w:r w:rsidR="00C90138" w:rsidRPr="00830F9A">
        <w:rPr>
          <w:rFonts w:hint="cs"/>
          <w:rtl/>
        </w:rPr>
        <w:t xml:space="preserve">משקל תיק הנכסים הפיננסיים של הציבור ביחס לתוצר </w:t>
      </w:r>
      <w:r w:rsidR="00CE4998">
        <w:rPr>
          <w:rFonts w:hint="cs"/>
          <w:rtl/>
        </w:rPr>
        <w:t>ירד</w:t>
      </w:r>
      <w:r w:rsidR="00975AF9" w:rsidRPr="00830F9A">
        <w:rPr>
          <w:rFonts w:hint="cs"/>
          <w:rtl/>
        </w:rPr>
        <w:t xml:space="preserve"> </w:t>
      </w:r>
      <w:r w:rsidR="00CE4998">
        <w:rPr>
          <w:rFonts w:hint="cs"/>
          <w:rtl/>
        </w:rPr>
        <w:t xml:space="preserve">במעט </w:t>
      </w:r>
      <w:r w:rsidR="00975AF9" w:rsidRPr="00830F9A">
        <w:rPr>
          <w:rFonts w:hint="cs"/>
          <w:rtl/>
        </w:rPr>
        <w:t>ועומד על</w:t>
      </w:r>
      <w:r w:rsidR="00C90138" w:rsidRPr="00830F9A">
        <w:rPr>
          <w:rFonts w:hint="cs"/>
          <w:rtl/>
        </w:rPr>
        <w:t xml:space="preserve"> </w:t>
      </w:r>
      <w:r w:rsidR="00830F9A" w:rsidRPr="00830F9A">
        <w:rPr>
          <w:rFonts w:hint="cs"/>
          <w:rtl/>
        </w:rPr>
        <w:t>282</w:t>
      </w:r>
      <w:r w:rsidR="00C90138" w:rsidRPr="00830F9A">
        <w:rPr>
          <w:rFonts w:hint="cs"/>
          <w:rtl/>
        </w:rPr>
        <w:t>.</w:t>
      </w:r>
      <w:r w:rsidR="00CE4998">
        <w:rPr>
          <w:rFonts w:hint="cs"/>
          <w:rtl/>
        </w:rPr>
        <w:t>0</w:t>
      </w:r>
      <w:r w:rsidR="00C90138" w:rsidRPr="00830F9A">
        <w:rPr>
          <w:rFonts w:hint="cs"/>
          <w:rtl/>
        </w:rPr>
        <w:t xml:space="preserve">% (תרשים 1). זאת מכיוון שקצב העלייה של תיק הנכסים היה </w:t>
      </w:r>
      <w:r w:rsidR="00CE4998">
        <w:rPr>
          <w:rFonts w:hint="cs"/>
          <w:rtl/>
        </w:rPr>
        <w:t>נמוך</w:t>
      </w:r>
      <w:r w:rsidR="00830F9A" w:rsidRPr="00830F9A">
        <w:rPr>
          <w:rFonts w:hint="cs"/>
          <w:rtl/>
        </w:rPr>
        <w:t xml:space="preserve"> מ</w:t>
      </w:r>
      <w:r w:rsidR="00C90138" w:rsidRPr="00830F9A">
        <w:rPr>
          <w:rFonts w:hint="cs"/>
          <w:rtl/>
        </w:rPr>
        <w:t>קצב עליית התמ"ג (0.8% במחירים שוטפים</w:t>
      </w:r>
      <w:r w:rsidR="00830F9A" w:rsidRPr="00830F9A">
        <w:rPr>
          <w:rFonts w:hint="cs"/>
          <w:b/>
          <w:bCs/>
          <w:rtl/>
        </w:rPr>
        <w:t>).</w:t>
      </w:r>
    </w:p>
    <w:p w:rsidR="009F64A1" w:rsidRDefault="00CE4998" w:rsidP="00C739C4">
      <w:pPr>
        <w:spacing w:before="240" w:line="360" w:lineRule="auto"/>
        <w:jc w:val="center"/>
        <w:rPr>
          <w:b/>
          <w:bCs/>
          <w:rtl/>
        </w:rPr>
      </w:pPr>
      <w:r>
        <w:rPr>
          <w:noProof/>
          <w:lang w:eastAsia="en-US"/>
        </w:rPr>
        <w:drawing>
          <wp:inline distT="0" distB="0" distL="0" distR="0" wp14:anchorId="7B2FEB0A" wp14:editId="7858DC0F">
            <wp:extent cx="5486400" cy="2197735"/>
            <wp:effectExtent l="0" t="0" r="0" b="0"/>
            <wp:docPr id="4" name="תמונה 4" descr="תרשים 1: יתרת תיק הנכסים הפיננסיים שבידי הציבור &#10;" title="תרשים 1: יתרת תיק הנכסים הפיננסיים שבידי הציבור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46" w:rsidRDefault="00A27E46" w:rsidP="00C739C4">
      <w:pPr>
        <w:spacing w:before="240" w:line="360" w:lineRule="auto"/>
        <w:jc w:val="center"/>
        <w:rPr>
          <w:b/>
          <w:bCs/>
          <w:rtl/>
        </w:rPr>
      </w:pPr>
    </w:p>
    <w:p w:rsidR="00CF5B27" w:rsidRDefault="00CF5B27" w:rsidP="00C739C4">
      <w:pPr>
        <w:pStyle w:val="ae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070610">
        <w:rPr>
          <w:rStyle w:val="10"/>
          <w:rFonts w:hint="cs"/>
          <w:rtl/>
        </w:rPr>
        <w:lastRenderedPageBreak/>
        <w:t xml:space="preserve">ניתוח </w:t>
      </w:r>
      <w:r w:rsidRPr="00F26049">
        <w:rPr>
          <w:rStyle w:val="10"/>
          <w:rFonts w:hint="cs"/>
          <w:rtl/>
        </w:rPr>
        <w:t>השינויים ב</w:t>
      </w:r>
      <w:r w:rsidR="00EA3535" w:rsidRPr="00F26049">
        <w:rPr>
          <w:rStyle w:val="10"/>
          <w:rFonts w:hint="cs"/>
          <w:rtl/>
        </w:rPr>
        <w:t xml:space="preserve">כלל </w:t>
      </w:r>
      <w:r w:rsidR="00327E2A" w:rsidRPr="00F26049">
        <w:rPr>
          <w:rStyle w:val="10"/>
          <w:rFonts w:hint="cs"/>
          <w:rtl/>
        </w:rPr>
        <w:t>ה</w:t>
      </w:r>
      <w:r w:rsidRPr="00F26049">
        <w:rPr>
          <w:rStyle w:val="10"/>
          <w:rFonts w:hint="cs"/>
          <w:rtl/>
        </w:rPr>
        <w:t>תיק</w:t>
      </w:r>
    </w:p>
    <w:p w:rsidR="009F64A1" w:rsidRDefault="009F64A1" w:rsidP="00C739C4">
      <w:pPr>
        <w:pStyle w:val="ae"/>
        <w:spacing w:before="240" w:line="360" w:lineRule="auto"/>
        <w:ind w:left="360"/>
        <w:jc w:val="both"/>
        <w:rPr>
          <w:rtl/>
        </w:rPr>
      </w:pPr>
      <w:r w:rsidRPr="009F64A1">
        <w:rPr>
          <w:rFonts w:hint="cs"/>
          <w:rtl/>
        </w:rPr>
        <w:t xml:space="preserve">העלייה בשווי התיק ברביע השני </w:t>
      </w:r>
      <w:r w:rsidRPr="009F64A1">
        <w:rPr>
          <w:rtl/>
        </w:rPr>
        <w:t>נבע</w:t>
      </w:r>
      <w:r w:rsidRPr="009F64A1">
        <w:rPr>
          <w:rFonts w:hint="cs"/>
          <w:rtl/>
        </w:rPr>
        <w:t>ה</w:t>
      </w:r>
      <w:r w:rsidRPr="009F64A1">
        <w:rPr>
          <w:rtl/>
        </w:rPr>
        <w:t xml:space="preserve"> </w:t>
      </w:r>
      <w:r w:rsidRPr="009F64A1">
        <w:rPr>
          <w:rFonts w:hint="cs"/>
          <w:rtl/>
        </w:rPr>
        <w:t xml:space="preserve">בעיקרה מעלייה ביתרת ההשקעות בחו"ל </w:t>
      </w:r>
      <w:r w:rsidRPr="009F64A1">
        <w:rPr>
          <w:rtl/>
        </w:rPr>
        <w:t>שקוזז</w:t>
      </w:r>
      <w:r w:rsidRPr="009F64A1">
        <w:rPr>
          <w:rFonts w:hint="cs"/>
          <w:rtl/>
        </w:rPr>
        <w:t>ה</w:t>
      </w:r>
      <w:r w:rsidRPr="009F64A1">
        <w:rPr>
          <w:rtl/>
        </w:rPr>
        <w:t xml:space="preserve"> ב</w:t>
      </w:r>
      <w:r w:rsidRPr="009F64A1">
        <w:rPr>
          <w:rFonts w:hint="cs"/>
          <w:rtl/>
        </w:rPr>
        <w:t>חלקה</w:t>
      </w:r>
      <w:r w:rsidRPr="009F64A1">
        <w:rPr>
          <w:rtl/>
        </w:rPr>
        <w:t xml:space="preserve"> כתוצאה מירידה ביתרת ההחזקות באג"ח ממשלתיות בארץ</w:t>
      </w:r>
      <w:r w:rsidRPr="009F64A1">
        <w:rPr>
          <w:rFonts w:hint="cs"/>
          <w:rtl/>
        </w:rPr>
        <w:t xml:space="preserve"> </w:t>
      </w:r>
      <w:proofErr w:type="spellStart"/>
      <w:r w:rsidRPr="009F64A1">
        <w:rPr>
          <w:rFonts w:hint="cs"/>
          <w:rtl/>
        </w:rPr>
        <w:t>ומק"ם</w:t>
      </w:r>
      <w:proofErr w:type="spellEnd"/>
      <w:r w:rsidRPr="009F64A1">
        <w:rPr>
          <w:rFonts w:hint="cs"/>
          <w:rtl/>
        </w:rPr>
        <w:t>.</w:t>
      </w:r>
    </w:p>
    <w:p w:rsidR="000430C8" w:rsidRPr="009F64A1" w:rsidRDefault="004056F3" w:rsidP="00C739C4">
      <w:pPr>
        <w:spacing w:before="240" w:line="360" w:lineRule="auto"/>
        <w:jc w:val="center"/>
      </w:pPr>
      <w:r>
        <w:rPr>
          <w:noProof/>
          <w:lang w:eastAsia="en-US"/>
        </w:rPr>
        <w:drawing>
          <wp:inline distT="0" distB="0" distL="0" distR="0" wp14:anchorId="05634B89" wp14:editId="4D557C0B">
            <wp:extent cx="5486400" cy="2195830"/>
            <wp:effectExtent l="0" t="0" r="0" b="0"/>
            <wp:docPr id="16" name="תמונה 15" descr="תרשים 2: יתרות מכשירים פיננסים בתיק הנכסים לסוף יוני  2018 (במיליארדי ש&quot;ח)&#10;" title="תרשים 2: יתרות מכשירים פיננסים בתיק הנכסים לסוף יוני  2018 (במיליארדי ש&quot;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תמונה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A5C" w:rsidRDefault="009F64A1" w:rsidP="006D3437">
      <w:pPr>
        <w:pStyle w:val="ae"/>
        <w:numPr>
          <w:ilvl w:val="0"/>
          <w:numId w:val="24"/>
        </w:numPr>
        <w:spacing w:before="240" w:line="360" w:lineRule="auto"/>
        <w:jc w:val="both"/>
      </w:pPr>
      <w:r>
        <w:rPr>
          <w:rFonts w:hint="cs"/>
          <w:rtl/>
        </w:rPr>
        <w:t xml:space="preserve">יתרת </w:t>
      </w:r>
      <w:r w:rsidRPr="008A5A5C">
        <w:rPr>
          <w:rFonts w:hint="cs"/>
          <w:b/>
          <w:bCs/>
          <w:rtl/>
        </w:rPr>
        <w:t>אג"ח החברות הסחירות בארץ</w:t>
      </w:r>
      <w:r>
        <w:rPr>
          <w:rFonts w:hint="cs"/>
          <w:rtl/>
        </w:rPr>
        <w:t xml:space="preserve"> עלתה</w:t>
      </w:r>
      <w:r w:rsidRPr="00594308">
        <w:rPr>
          <w:rFonts w:hint="cs"/>
          <w:rtl/>
        </w:rPr>
        <w:t xml:space="preserve"> ב</w:t>
      </w:r>
      <w:r>
        <w:rPr>
          <w:rFonts w:hint="cs"/>
          <w:rtl/>
        </w:rPr>
        <w:t>כ</w:t>
      </w:r>
      <w:r w:rsidRPr="00594308">
        <w:rPr>
          <w:rFonts w:hint="cs"/>
          <w:rtl/>
        </w:rPr>
        <w:t>-5.</w:t>
      </w:r>
      <w:r w:rsidRPr="000F0912">
        <w:rPr>
          <w:rFonts w:hint="cs"/>
          <w:rtl/>
        </w:rPr>
        <w:t>6</w:t>
      </w:r>
      <w:r w:rsidRPr="00594308">
        <w:rPr>
          <w:rFonts w:hint="cs"/>
          <w:rtl/>
        </w:rPr>
        <w:t xml:space="preserve"> </w:t>
      </w:r>
      <w:r w:rsidRPr="00553C3E">
        <w:rPr>
          <w:rFonts w:hint="cs"/>
          <w:rtl/>
        </w:rPr>
        <w:t>מיליארדים (1.</w:t>
      </w:r>
      <w:r w:rsidR="008324AA">
        <w:rPr>
          <w:rFonts w:hint="cs"/>
          <w:rtl/>
        </w:rPr>
        <w:t>6</w:t>
      </w:r>
      <w:r w:rsidRPr="00553C3E">
        <w:rPr>
          <w:rFonts w:hint="cs"/>
          <w:rtl/>
        </w:rPr>
        <w:t xml:space="preserve">%) ועמדה בסופו על כ-341.5 מיליארדים, זאת, </w:t>
      </w:r>
      <w:r w:rsidR="006D3437">
        <w:rPr>
          <w:rFonts w:hint="cs"/>
          <w:rtl/>
        </w:rPr>
        <w:t xml:space="preserve">בעיקר </w:t>
      </w:r>
      <w:r w:rsidRPr="00553C3E">
        <w:rPr>
          <w:rFonts w:hint="cs"/>
          <w:rtl/>
        </w:rPr>
        <w:t>כתוצאה מהשקעות נטו</w:t>
      </w:r>
      <w:r w:rsidR="008A5A5C">
        <w:rPr>
          <w:rFonts w:hint="cs"/>
          <w:rtl/>
        </w:rPr>
        <w:t>.</w:t>
      </w:r>
      <w:r w:rsidRPr="00553C3E">
        <w:rPr>
          <w:rFonts w:hint="cs"/>
          <w:rtl/>
        </w:rPr>
        <w:t xml:space="preserve"> </w:t>
      </w:r>
    </w:p>
    <w:p w:rsidR="009F64A1" w:rsidRDefault="009F64A1" w:rsidP="008A5A5C">
      <w:pPr>
        <w:pStyle w:val="ae"/>
        <w:numPr>
          <w:ilvl w:val="0"/>
          <w:numId w:val="24"/>
        </w:numPr>
        <w:spacing w:before="240" w:line="360" w:lineRule="auto"/>
        <w:jc w:val="both"/>
      </w:pPr>
      <w:r>
        <w:rPr>
          <w:rFonts w:hint="cs"/>
          <w:rtl/>
        </w:rPr>
        <w:t xml:space="preserve">רכיב </w:t>
      </w:r>
      <w:r w:rsidRPr="008A5A5C">
        <w:rPr>
          <w:rFonts w:hint="cs"/>
          <w:b/>
          <w:bCs/>
          <w:rtl/>
        </w:rPr>
        <w:t>המניות בארץ</w:t>
      </w:r>
      <w:r>
        <w:rPr>
          <w:rFonts w:hint="cs"/>
          <w:rtl/>
        </w:rPr>
        <w:t xml:space="preserve"> עלה בכ-2 מיליארדים (0.4%) </w:t>
      </w:r>
      <w:r w:rsidRPr="000F0912">
        <w:rPr>
          <w:rFonts w:hint="cs"/>
          <w:rtl/>
        </w:rPr>
        <w:t>כתוצאה</w:t>
      </w:r>
      <w:r w:rsidRPr="00F7491B">
        <w:rPr>
          <w:rFonts w:hint="cs"/>
          <w:rtl/>
        </w:rPr>
        <w:t xml:space="preserve"> מעליית</w:t>
      </w:r>
      <w:r>
        <w:rPr>
          <w:rFonts w:hint="cs"/>
          <w:rtl/>
        </w:rPr>
        <w:t xml:space="preserve"> המחירים בבורסה בת"א שקוזזה בחלקה ע"י מימושים נטו של כ-4.2 מיליארדי </w:t>
      </w:r>
      <w:r w:rsidR="008A5A5C">
        <w:rPr>
          <w:rFonts w:hint="cs"/>
          <w:rtl/>
        </w:rPr>
        <w:t>₪ (אומדן</w:t>
      </w:r>
      <w:r>
        <w:rPr>
          <w:rFonts w:hint="cs"/>
          <w:rtl/>
        </w:rPr>
        <w:t xml:space="preserve">). </w:t>
      </w:r>
    </w:p>
    <w:p w:rsidR="00DF76F7" w:rsidRDefault="009F64A1" w:rsidP="00C739C4">
      <w:pPr>
        <w:pStyle w:val="ae"/>
        <w:numPr>
          <w:ilvl w:val="0"/>
          <w:numId w:val="24"/>
        </w:numPr>
        <w:spacing w:before="240" w:line="360" w:lineRule="auto"/>
        <w:jc w:val="both"/>
      </w:pPr>
      <w:r>
        <w:rPr>
          <w:rFonts w:hint="cs"/>
          <w:rtl/>
        </w:rPr>
        <w:t>לעומת זאת, ב</w:t>
      </w:r>
      <w:r w:rsidRPr="00594308">
        <w:rPr>
          <w:rFonts w:hint="cs"/>
          <w:rtl/>
        </w:rPr>
        <w:t xml:space="preserve">יתרת </w:t>
      </w:r>
      <w:r w:rsidRPr="009F64A1">
        <w:rPr>
          <w:rFonts w:hint="cs"/>
          <w:b/>
          <w:bCs/>
          <w:rtl/>
        </w:rPr>
        <w:t>האג"ח הממשלתיות</w:t>
      </w:r>
      <w:r w:rsidRPr="00594308">
        <w:rPr>
          <w:rFonts w:hint="cs"/>
          <w:rtl/>
        </w:rPr>
        <w:t xml:space="preserve"> (סחירות ולא-סחירות) </w:t>
      </w:r>
      <w:proofErr w:type="spellStart"/>
      <w:r w:rsidRPr="009F64A1">
        <w:rPr>
          <w:rFonts w:hint="cs"/>
          <w:b/>
          <w:bCs/>
          <w:rtl/>
        </w:rPr>
        <w:t>והמק"ם</w:t>
      </w:r>
      <w:proofErr w:type="spellEnd"/>
      <w:r w:rsidRPr="00594308">
        <w:rPr>
          <w:rFonts w:hint="cs"/>
          <w:rtl/>
        </w:rPr>
        <w:t xml:space="preserve"> חלה ירידה של 10.8 מיליארדי ש</w:t>
      </w:r>
      <w:r w:rsidRPr="00594308">
        <w:rPr>
          <w:rtl/>
        </w:rPr>
        <w:t>"</w:t>
      </w:r>
      <w:r w:rsidRPr="00594308">
        <w:rPr>
          <w:rFonts w:hint="cs"/>
          <w:rtl/>
        </w:rPr>
        <w:t>ח (1.4%-)</w:t>
      </w:r>
      <w:r w:rsidR="008324AA">
        <w:rPr>
          <w:rFonts w:hint="cs"/>
          <w:rtl/>
        </w:rPr>
        <w:t>.</w:t>
      </w:r>
      <w:r w:rsidR="00865C8F">
        <w:rPr>
          <w:rFonts w:hint="cs"/>
          <w:rtl/>
        </w:rPr>
        <w:t xml:space="preserve"> עיקרה בשל רכישות </w:t>
      </w:r>
      <w:proofErr w:type="spellStart"/>
      <w:r w:rsidR="00865C8F">
        <w:rPr>
          <w:rFonts w:hint="cs"/>
          <w:rtl/>
        </w:rPr>
        <w:t>מק"ם</w:t>
      </w:r>
      <w:proofErr w:type="spellEnd"/>
      <w:r w:rsidR="00865C8F">
        <w:rPr>
          <w:rFonts w:hint="cs"/>
          <w:rtl/>
        </w:rPr>
        <w:t xml:space="preserve"> ע"י זרים בהיקף של כ-8.2 מיליארד</w:t>
      </w:r>
      <w:r w:rsidR="00865C8F">
        <w:rPr>
          <w:rFonts w:hint="eastAsia"/>
          <w:rtl/>
        </w:rPr>
        <w:t>י</w:t>
      </w:r>
      <w:r w:rsidR="00865C8F">
        <w:rPr>
          <w:rFonts w:hint="cs"/>
          <w:rtl/>
        </w:rPr>
        <w:t xml:space="preserve"> ש"ח במהלך הרבעון.</w:t>
      </w:r>
    </w:p>
    <w:p w:rsidR="000430C8" w:rsidRDefault="00FB0687" w:rsidP="00C739C4">
      <w:pPr>
        <w:spacing w:before="240" w:line="360" w:lineRule="auto"/>
        <w:ind w:left="360"/>
        <w:jc w:val="center"/>
      </w:pPr>
      <w:r>
        <w:rPr>
          <w:noProof/>
          <w:lang w:eastAsia="en-US"/>
        </w:rPr>
        <w:drawing>
          <wp:inline distT="0" distB="0" distL="0" distR="0" wp14:anchorId="0049D41D" wp14:editId="2B5B12A3">
            <wp:extent cx="5486400" cy="2845435"/>
            <wp:effectExtent l="0" t="0" r="0" b="0"/>
            <wp:docPr id="21" name="תמונה 20" descr="תרשים 3: יתרות המכשירים הפיננסים בתיק, 2012 עד 2018&#10; (במיליארדי ש&quot;ח) &#10;" title="תרשים 3: יתרות המכשירים הפיננסים בתיק, 2012 עד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תמונה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73" w:rsidRPr="00594308" w:rsidRDefault="009F64A1" w:rsidP="00C739C4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rtl/>
        </w:rPr>
        <w:t>יתרת ההשקעות בחו"ל</w:t>
      </w:r>
      <w:r w:rsidR="00247F73" w:rsidRPr="00594308">
        <w:rPr>
          <w:rFonts w:hint="cs"/>
          <w:rtl/>
        </w:rPr>
        <w:t xml:space="preserve"> </w:t>
      </w:r>
      <w:r w:rsidR="00FD6210">
        <w:rPr>
          <w:rFonts w:hint="cs"/>
          <w:rtl/>
        </w:rPr>
        <w:t>על</w:t>
      </w:r>
      <w:r>
        <w:rPr>
          <w:rFonts w:hint="cs"/>
          <w:rtl/>
        </w:rPr>
        <w:t>ת</w:t>
      </w:r>
      <w:r w:rsidR="00FD6210">
        <w:rPr>
          <w:rFonts w:hint="cs"/>
          <w:rtl/>
        </w:rPr>
        <w:t xml:space="preserve">ה </w:t>
      </w:r>
      <w:r w:rsidR="00247F73" w:rsidRPr="00594308">
        <w:rPr>
          <w:rFonts w:hint="cs"/>
          <w:rtl/>
        </w:rPr>
        <w:t>ב-</w:t>
      </w:r>
      <w:r w:rsidR="00422508">
        <w:rPr>
          <w:rFonts w:hint="cs"/>
          <w:rtl/>
        </w:rPr>
        <w:t>17</w:t>
      </w:r>
      <w:r w:rsidR="00247F73" w:rsidRPr="00594308">
        <w:rPr>
          <w:rFonts w:hint="cs"/>
          <w:rtl/>
        </w:rPr>
        <w:t>.</w:t>
      </w:r>
      <w:r w:rsidR="00422508">
        <w:rPr>
          <w:rFonts w:hint="cs"/>
          <w:rtl/>
        </w:rPr>
        <w:t>3</w:t>
      </w:r>
      <w:r w:rsidR="00247F73" w:rsidRPr="00594308">
        <w:rPr>
          <w:rFonts w:hint="cs"/>
          <w:rtl/>
        </w:rPr>
        <w:t xml:space="preserve"> מיליארדי ש</w:t>
      </w:r>
      <w:r w:rsidR="00247F73" w:rsidRPr="00594308">
        <w:rPr>
          <w:rtl/>
        </w:rPr>
        <w:t>"</w:t>
      </w:r>
      <w:r w:rsidR="00247F73" w:rsidRPr="00594308">
        <w:rPr>
          <w:rFonts w:hint="cs"/>
          <w:rtl/>
        </w:rPr>
        <w:t>ח (</w:t>
      </w:r>
      <w:r w:rsidR="00422508">
        <w:rPr>
          <w:rFonts w:hint="cs"/>
          <w:rtl/>
        </w:rPr>
        <w:t>3</w:t>
      </w:r>
      <w:r w:rsidR="00247F73" w:rsidRPr="00594308">
        <w:rPr>
          <w:rFonts w:hint="cs"/>
          <w:rtl/>
        </w:rPr>
        <w:t>.</w:t>
      </w:r>
      <w:r w:rsidR="00865C8F">
        <w:rPr>
          <w:rFonts w:hint="cs"/>
          <w:rtl/>
        </w:rPr>
        <w:t>3</w:t>
      </w:r>
      <w:r w:rsidR="00247F73" w:rsidRPr="00594308">
        <w:rPr>
          <w:rFonts w:hint="cs"/>
          <w:rtl/>
        </w:rPr>
        <w:t>%) ועמד</w:t>
      </w:r>
      <w:r>
        <w:rPr>
          <w:rFonts w:hint="cs"/>
          <w:rtl/>
        </w:rPr>
        <w:t>ה</w:t>
      </w:r>
      <w:r w:rsidR="00247F73" w:rsidRPr="00594308">
        <w:rPr>
          <w:rFonts w:hint="cs"/>
          <w:rtl/>
        </w:rPr>
        <w:t xml:space="preserve"> בסוף הרביע על כ-5</w:t>
      </w:r>
      <w:r w:rsidR="00422508">
        <w:rPr>
          <w:rFonts w:hint="cs"/>
          <w:rtl/>
        </w:rPr>
        <w:t>31</w:t>
      </w:r>
      <w:r w:rsidR="00247F73" w:rsidRPr="00594308">
        <w:rPr>
          <w:rFonts w:hint="cs"/>
          <w:rtl/>
        </w:rPr>
        <w:t xml:space="preserve"> מיליארדי ש"ח - המהווים </w:t>
      </w:r>
      <w:r w:rsidR="00FD6210">
        <w:rPr>
          <w:rFonts w:hint="cs"/>
          <w:rtl/>
        </w:rPr>
        <w:t>14.</w:t>
      </w:r>
      <w:r w:rsidR="00422508">
        <w:rPr>
          <w:rFonts w:hint="cs"/>
          <w:rtl/>
        </w:rPr>
        <w:t>6</w:t>
      </w:r>
      <w:r w:rsidR="00247F73" w:rsidRPr="00594308">
        <w:rPr>
          <w:rFonts w:hint="cs"/>
          <w:rtl/>
        </w:rPr>
        <w:t>% מסך תיק הנכסים:</w:t>
      </w:r>
    </w:p>
    <w:p w:rsidR="00247F73" w:rsidRPr="00594308" w:rsidRDefault="00247F73" w:rsidP="00703E31">
      <w:pPr>
        <w:pStyle w:val="ae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594308">
        <w:rPr>
          <w:rFonts w:hint="cs"/>
          <w:rtl/>
        </w:rPr>
        <w:lastRenderedPageBreak/>
        <w:t xml:space="preserve">יתרת </w:t>
      </w:r>
      <w:r w:rsidRPr="00594308">
        <w:rPr>
          <w:rFonts w:hint="cs"/>
          <w:b/>
          <w:bCs/>
          <w:rtl/>
        </w:rPr>
        <w:t>המניות בחו"ל</w:t>
      </w:r>
      <w:r w:rsidRPr="00594308">
        <w:rPr>
          <w:rFonts w:hint="cs"/>
          <w:rtl/>
        </w:rPr>
        <w:t xml:space="preserve"> עלתה בכ-</w:t>
      </w:r>
      <w:r w:rsidR="006D202A">
        <w:rPr>
          <w:rFonts w:hint="cs"/>
          <w:rtl/>
        </w:rPr>
        <w:t>2</w:t>
      </w:r>
      <w:r w:rsidR="0024440A">
        <w:rPr>
          <w:rFonts w:hint="cs"/>
          <w:rtl/>
        </w:rPr>
        <w:t>4</w:t>
      </w:r>
      <w:r w:rsidR="006D202A">
        <w:rPr>
          <w:rFonts w:hint="cs"/>
          <w:rtl/>
        </w:rPr>
        <w:t>.</w:t>
      </w:r>
      <w:r w:rsidR="0024440A">
        <w:rPr>
          <w:rFonts w:hint="cs"/>
          <w:rtl/>
        </w:rPr>
        <w:t>1</w:t>
      </w:r>
      <w:r w:rsidRPr="00594308">
        <w:rPr>
          <w:rFonts w:hint="cs"/>
          <w:rtl/>
        </w:rPr>
        <w:t xml:space="preserve"> מיליארדי ש"ח (</w:t>
      </w:r>
      <w:r w:rsidR="006D202A">
        <w:rPr>
          <w:rFonts w:hint="cs"/>
          <w:rtl/>
        </w:rPr>
        <w:t>7.</w:t>
      </w:r>
      <w:r w:rsidR="0024440A">
        <w:rPr>
          <w:rFonts w:hint="cs"/>
          <w:rtl/>
        </w:rPr>
        <w:t>6</w:t>
      </w:r>
      <w:r w:rsidRPr="00594308">
        <w:rPr>
          <w:rFonts w:hint="cs"/>
          <w:rtl/>
        </w:rPr>
        <w:t>%) ועמדה בסוף הרביע על כ-</w:t>
      </w:r>
      <w:r w:rsidR="009954BF">
        <w:rPr>
          <w:rFonts w:hint="cs"/>
          <w:rtl/>
        </w:rPr>
        <w:t>34</w:t>
      </w:r>
      <w:r w:rsidR="0024440A">
        <w:rPr>
          <w:rFonts w:hint="cs"/>
          <w:rtl/>
        </w:rPr>
        <w:t>1</w:t>
      </w:r>
      <w:r w:rsidR="006D202A">
        <w:rPr>
          <w:rFonts w:hint="cs"/>
          <w:rtl/>
        </w:rPr>
        <w:t>.</w:t>
      </w:r>
      <w:r w:rsidR="0024440A">
        <w:rPr>
          <w:rFonts w:hint="cs"/>
          <w:rtl/>
        </w:rPr>
        <w:t>5</w:t>
      </w:r>
      <w:r w:rsidRPr="00594308">
        <w:rPr>
          <w:rFonts w:hint="cs"/>
          <w:rtl/>
        </w:rPr>
        <w:t xml:space="preserve"> מיליארדי ש"ח. העלייה ביתרת המניות בחו"ל נבעה משילוב </w:t>
      </w:r>
      <w:r w:rsidRPr="00C935F5">
        <w:rPr>
          <w:rFonts w:hint="cs"/>
          <w:rtl/>
        </w:rPr>
        <w:t>של השקעות נטו</w:t>
      </w:r>
      <w:r w:rsidR="006D3812">
        <w:rPr>
          <w:rFonts w:hint="cs"/>
          <w:rtl/>
        </w:rPr>
        <w:t xml:space="preserve"> (אומדן של כ-</w:t>
      </w:r>
      <w:r w:rsidR="007A2E21">
        <w:rPr>
          <w:rFonts w:hint="cs"/>
          <w:rtl/>
        </w:rPr>
        <w:t>3</w:t>
      </w:r>
      <w:r w:rsidR="006D3812">
        <w:rPr>
          <w:rFonts w:hint="cs"/>
          <w:rtl/>
        </w:rPr>
        <w:t xml:space="preserve"> מיליארדי ש"ח)</w:t>
      </w:r>
      <w:r w:rsidR="00C935F5">
        <w:rPr>
          <w:rFonts w:hint="cs"/>
          <w:rtl/>
        </w:rPr>
        <w:t>, עליות מחירים בבורסות בחו"ל</w:t>
      </w:r>
      <w:r w:rsidRPr="00594308">
        <w:rPr>
          <w:rFonts w:hint="cs"/>
          <w:rtl/>
        </w:rPr>
        <w:t xml:space="preserve"> ומפיחות</w:t>
      </w:r>
      <w:r w:rsidR="00B11D5B">
        <w:rPr>
          <w:rFonts w:hint="cs"/>
          <w:rtl/>
        </w:rPr>
        <w:t xml:space="preserve"> (3.</w:t>
      </w:r>
      <w:r w:rsidR="00703E31">
        <w:rPr>
          <w:rFonts w:hint="cs"/>
          <w:rtl/>
        </w:rPr>
        <w:t>9</w:t>
      </w:r>
      <w:r w:rsidR="00B11D5B">
        <w:rPr>
          <w:rFonts w:hint="cs"/>
          <w:rtl/>
        </w:rPr>
        <w:t>%)</w:t>
      </w:r>
      <w:r w:rsidRPr="00594308">
        <w:rPr>
          <w:rFonts w:hint="cs"/>
          <w:rtl/>
        </w:rPr>
        <w:t xml:space="preserve"> שהעלה את השווי השקלי של התיק. </w:t>
      </w:r>
    </w:p>
    <w:p w:rsidR="00247F73" w:rsidRPr="006B440B" w:rsidRDefault="00247F73" w:rsidP="00C739C4">
      <w:pPr>
        <w:pStyle w:val="ae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594308">
        <w:rPr>
          <w:rFonts w:hint="cs"/>
          <w:rtl/>
        </w:rPr>
        <w:t xml:space="preserve">יתרת </w:t>
      </w:r>
      <w:r w:rsidRPr="00594308">
        <w:rPr>
          <w:rFonts w:hint="cs"/>
          <w:b/>
          <w:bCs/>
          <w:rtl/>
        </w:rPr>
        <w:t xml:space="preserve">האג"ח </w:t>
      </w:r>
      <w:r w:rsidRPr="006B440B">
        <w:rPr>
          <w:rFonts w:hint="cs"/>
          <w:b/>
          <w:bCs/>
          <w:rtl/>
        </w:rPr>
        <w:t>הסחירות (חברות וממשלתיות)</w:t>
      </w:r>
      <w:r w:rsidRPr="006B440B">
        <w:rPr>
          <w:rFonts w:hint="cs"/>
          <w:rtl/>
        </w:rPr>
        <w:t xml:space="preserve"> </w:t>
      </w:r>
      <w:r w:rsidRPr="006B440B">
        <w:rPr>
          <w:rFonts w:hint="cs"/>
          <w:b/>
          <w:bCs/>
          <w:rtl/>
        </w:rPr>
        <w:t>בחו"ל</w:t>
      </w:r>
      <w:r w:rsidRPr="006B440B">
        <w:rPr>
          <w:rFonts w:hint="cs"/>
          <w:rtl/>
        </w:rPr>
        <w:t xml:space="preserve"> </w:t>
      </w:r>
      <w:r w:rsidR="0024440A" w:rsidRPr="006B440B">
        <w:rPr>
          <w:rFonts w:hint="cs"/>
          <w:rtl/>
        </w:rPr>
        <w:t>ירדה</w:t>
      </w:r>
      <w:r w:rsidRPr="006B440B">
        <w:rPr>
          <w:rFonts w:hint="cs"/>
          <w:rtl/>
        </w:rPr>
        <w:t xml:space="preserve"> בכ-</w:t>
      </w:r>
      <w:r w:rsidR="0024440A" w:rsidRPr="006B440B">
        <w:rPr>
          <w:rFonts w:hint="cs"/>
          <w:rtl/>
        </w:rPr>
        <w:t>0</w:t>
      </w:r>
      <w:r w:rsidR="00B11D5B" w:rsidRPr="006B440B">
        <w:rPr>
          <w:rFonts w:hint="cs"/>
          <w:rtl/>
        </w:rPr>
        <w:t>.</w:t>
      </w:r>
      <w:r w:rsidR="0024440A" w:rsidRPr="006B440B">
        <w:rPr>
          <w:rFonts w:hint="cs"/>
          <w:rtl/>
        </w:rPr>
        <w:t>4</w:t>
      </w:r>
      <w:r w:rsidRPr="006B440B">
        <w:rPr>
          <w:rFonts w:hint="cs"/>
          <w:rtl/>
        </w:rPr>
        <w:t xml:space="preserve"> מיליארדים </w:t>
      </w:r>
      <w:r w:rsidR="0024440A" w:rsidRPr="006B440B">
        <w:rPr>
          <w:rFonts w:hint="cs"/>
          <w:rtl/>
        </w:rPr>
        <w:t xml:space="preserve">(0.2%-) </w:t>
      </w:r>
      <w:r w:rsidRPr="006B440B">
        <w:rPr>
          <w:rFonts w:hint="cs"/>
          <w:rtl/>
        </w:rPr>
        <w:t>ועמדה בסוף הרביע על כ-</w:t>
      </w:r>
      <w:r w:rsidR="009954BF" w:rsidRPr="006B440B">
        <w:rPr>
          <w:rFonts w:hint="cs"/>
          <w:rtl/>
        </w:rPr>
        <w:t>1</w:t>
      </w:r>
      <w:r w:rsidR="0024440A" w:rsidRPr="006B440B">
        <w:rPr>
          <w:rFonts w:hint="cs"/>
          <w:rtl/>
        </w:rPr>
        <w:t>86</w:t>
      </w:r>
      <w:r w:rsidR="009954BF" w:rsidRPr="006B440B">
        <w:rPr>
          <w:rFonts w:hint="cs"/>
          <w:rtl/>
        </w:rPr>
        <w:t>.</w:t>
      </w:r>
      <w:r w:rsidR="0024440A" w:rsidRPr="006B440B">
        <w:rPr>
          <w:rFonts w:hint="cs"/>
          <w:rtl/>
        </w:rPr>
        <w:t>2</w:t>
      </w:r>
      <w:r w:rsidRPr="006B440B">
        <w:rPr>
          <w:rFonts w:hint="cs"/>
          <w:rtl/>
        </w:rPr>
        <w:t xml:space="preserve"> מיליארדי ש"ח. ה</w:t>
      </w:r>
      <w:r w:rsidR="0024440A" w:rsidRPr="006B440B">
        <w:rPr>
          <w:rFonts w:hint="cs"/>
          <w:rtl/>
        </w:rPr>
        <w:t>ירידה</w:t>
      </w:r>
      <w:r w:rsidRPr="006B440B">
        <w:rPr>
          <w:rFonts w:hint="cs"/>
          <w:rtl/>
        </w:rPr>
        <w:t xml:space="preserve"> ביתרת האג"ח נבעה בעיקר </w:t>
      </w:r>
      <w:r w:rsidR="00513B71" w:rsidRPr="006B440B">
        <w:rPr>
          <w:rFonts w:hint="cs"/>
          <w:rtl/>
        </w:rPr>
        <w:t>מ</w:t>
      </w:r>
      <w:r w:rsidR="0024440A" w:rsidRPr="006B440B">
        <w:rPr>
          <w:rFonts w:hint="cs"/>
          <w:rtl/>
        </w:rPr>
        <w:t xml:space="preserve">מימושים נטו </w:t>
      </w:r>
      <w:r w:rsidR="006D3812">
        <w:rPr>
          <w:rFonts w:hint="cs"/>
          <w:rtl/>
        </w:rPr>
        <w:t>(אומדן של כ</w:t>
      </w:r>
      <w:r w:rsidR="006D3812" w:rsidRPr="007A2E21">
        <w:rPr>
          <w:rFonts w:hint="cs"/>
          <w:rtl/>
        </w:rPr>
        <w:t>-4 מיליארדי</w:t>
      </w:r>
      <w:r w:rsidR="006D3812">
        <w:rPr>
          <w:rFonts w:hint="cs"/>
          <w:rtl/>
        </w:rPr>
        <w:t xml:space="preserve"> ש"ח) </w:t>
      </w:r>
      <w:r w:rsidR="0024440A" w:rsidRPr="006B440B">
        <w:rPr>
          <w:rFonts w:hint="cs"/>
          <w:rtl/>
        </w:rPr>
        <w:t xml:space="preserve">שקוזזו בחלקם </w:t>
      </w:r>
      <w:r w:rsidRPr="006B440B">
        <w:rPr>
          <w:rFonts w:hint="cs"/>
          <w:rtl/>
        </w:rPr>
        <w:t xml:space="preserve">מפיחות השקל מול הדולר. </w:t>
      </w:r>
    </w:p>
    <w:p w:rsidR="0045455B" w:rsidRPr="006B440B" w:rsidRDefault="00247F73" w:rsidP="00C739C4">
      <w:pPr>
        <w:pStyle w:val="ae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6B440B">
        <w:rPr>
          <w:rFonts w:hint="cs"/>
          <w:rtl/>
        </w:rPr>
        <w:t xml:space="preserve">יתרת </w:t>
      </w:r>
      <w:r w:rsidRPr="006B440B">
        <w:rPr>
          <w:rFonts w:hint="cs"/>
          <w:b/>
          <w:bCs/>
          <w:rtl/>
        </w:rPr>
        <w:t>הפיקדונות בבנקים בחו"ל</w:t>
      </w:r>
      <w:r w:rsidRPr="006B440B">
        <w:rPr>
          <w:rFonts w:hint="cs"/>
          <w:rtl/>
        </w:rPr>
        <w:t xml:space="preserve"> </w:t>
      </w:r>
      <w:r w:rsidR="0024440A" w:rsidRPr="006B440B">
        <w:rPr>
          <w:rFonts w:hint="cs"/>
          <w:rtl/>
        </w:rPr>
        <w:t>ירד</w:t>
      </w:r>
      <w:r w:rsidR="00513B71" w:rsidRPr="006B440B">
        <w:rPr>
          <w:rFonts w:hint="cs"/>
          <w:rtl/>
        </w:rPr>
        <w:t>ה</w:t>
      </w:r>
      <w:r w:rsidRPr="006B440B">
        <w:rPr>
          <w:rFonts w:hint="cs"/>
          <w:rtl/>
        </w:rPr>
        <w:t xml:space="preserve"> במהלך הרביע בכ-</w:t>
      </w:r>
      <w:r w:rsidR="0024440A" w:rsidRPr="006B440B">
        <w:rPr>
          <w:rFonts w:hint="cs"/>
          <w:rtl/>
        </w:rPr>
        <w:t>6</w:t>
      </w:r>
      <w:r w:rsidR="00B11D5B" w:rsidRPr="006B440B">
        <w:rPr>
          <w:rFonts w:hint="cs"/>
          <w:rtl/>
        </w:rPr>
        <w:t>.</w:t>
      </w:r>
      <w:r w:rsidR="0024440A" w:rsidRPr="006B440B">
        <w:rPr>
          <w:rFonts w:hint="cs"/>
          <w:rtl/>
        </w:rPr>
        <w:t>3</w:t>
      </w:r>
      <w:r w:rsidRPr="006B440B">
        <w:rPr>
          <w:rFonts w:hint="cs"/>
          <w:rtl/>
        </w:rPr>
        <w:t xml:space="preserve"> מיליארדים ועמדה בסופו על כ-</w:t>
      </w:r>
      <w:r w:rsidR="0024440A" w:rsidRPr="006B440B">
        <w:rPr>
          <w:rFonts w:hint="cs"/>
          <w:rtl/>
        </w:rPr>
        <w:t>3</w:t>
      </w:r>
      <w:r w:rsidR="00DC1BD5" w:rsidRPr="006B440B">
        <w:rPr>
          <w:rFonts w:hint="cs"/>
          <w:rtl/>
        </w:rPr>
        <w:t>.</w:t>
      </w:r>
      <w:r w:rsidR="0024440A" w:rsidRPr="006B440B">
        <w:rPr>
          <w:rFonts w:hint="cs"/>
          <w:rtl/>
        </w:rPr>
        <w:t>3</w:t>
      </w:r>
      <w:r w:rsidRPr="006B440B">
        <w:rPr>
          <w:rFonts w:hint="cs"/>
          <w:rtl/>
        </w:rPr>
        <w:t xml:space="preserve"> מיליארדי ש"ח, בעיקר כתוצאה </w:t>
      </w:r>
      <w:r w:rsidR="00A24556" w:rsidRPr="006B440B">
        <w:rPr>
          <w:rFonts w:hint="cs"/>
          <w:rtl/>
        </w:rPr>
        <w:t>ממשיכות</w:t>
      </w:r>
      <w:r w:rsidRPr="006B440B">
        <w:rPr>
          <w:rFonts w:hint="cs"/>
          <w:rtl/>
        </w:rPr>
        <w:t xml:space="preserve"> נטו.</w:t>
      </w:r>
    </w:p>
    <w:p w:rsidR="007C2B07" w:rsidRDefault="009C06F6" w:rsidP="008A5A5C">
      <w:pPr>
        <w:spacing w:before="240" w:after="240" w:line="360" w:lineRule="auto"/>
        <w:ind w:left="360"/>
        <w:jc w:val="both"/>
        <w:rPr>
          <w:rtl/>
        </w:rPr>
      </w:pPr>
      <w:r w:rsidRPr="006B440B">
        <w:rPr>
          <w:rFonts w:hint="cs"/>
          <w:rtl/>
        </w:rPr>
        <w:t>בהמשך לכך</w:t>
      </w:r>
      <w:r w:rsidR="00594308" w:rsidRPr="006B440B">
        <w:rPr>
          <w:rFonts w:hint="cs"/>
          <w:rtl/>
        </w:rPr>
        <w:t xml:space="preserve">, </w:t>
      </w:r>
      <w:r w:rsidR="00C46ABC" w:rsidRPr="006B440B">
        <w:rPr>
          <w:rFonts w:hint="cs"/>
          <w:rtl/>
        </w:rPr>
        <w:t xml:space="preserve">ברביע </w:t>
      </w:r>
      <w:r w:rsidR="00DC1BD5" w:rsidRPr="006B440B">
        <w:rPr>
          <w:rFonts w:hint="cs"/>
          <w:rtl/>
        </w:rPr>
        <w:t>השני</w:t>
      </w:r>
      <w:r w:rsidR="00C46ABC" w:rsidRPr="006B440B">
        <w:rPr>
          <w:rFonts w:hint="cs"/>
          <w:rtl/>
        </w:rPr>
        <w:t xml:space="preserve"> של שנת</w:t>
      </w:r>
      <w:r w:rsidR="00C46ABC" w:rsidRPr="00BF401E">
        <w:rPr>
          <w:rFonts w:hint="cs"/>
          <w:rtl/>
        </w:rPr>
        <w:t xml:space="preserve"> 2018 חלה עלייה </w:t>
      </w:r>
      <w:r w:rsidR="006B440B" w:rsidRPr="00BF401E">
        <w:rPr>
          <w:rFonts w:hint="cs"/>
          <w:rtl/>
        </w:rPr>
        <w:t>של כ-0.</w:t>
      </w:r>
      <w:r w:rsidR="006B440B">
        <w:rPr>
          <w:rFonts w:hint="cs"/>
          <w:rtl/>
        </w:rPr>
        <w:t>4</w:t>
      </w:r>
      <w:r w:rsidR="006B440B" w:rsidRPr="00BF401E">
        <w:rPr>
          <w:rFonts w:hint="cs"/>
          <w:rtl/>
        </w:rPr>
        <w:t xml:space="preserve"> נקודות אחוז</w:t>
      </w:r>
      <w:r w:rsidR="006B440B">
        <w:rPr>
          <w:rFonts w:hint="cs"/>
          <w:rtl/>
        </w:rPr>
        <w:t xml:space="preserve"> הן </w:t>
      </w:r>
      <w:r w:rsidR="00C46ABC" w:rsidRPr="00BF401E">
        <w:rPr>
          <w:rFonts w:hint="cs"/>
          <w:rtl/>
        </w:rPr>
        <w:t>בשיעור הנכסים במט"ח ו</w:t>
      </w:r>
      <w:r w:rsidR="006B440B">
        <w:rPr>
          <w:rFonts w:hint="cs"/>
          <w:rtl/>
        </w:rPr>
        <w:t xml:space="preserve">הן </w:t>
      </w:r>
      <w:r w:rsidR="00C46ABC" w:rsidRPr="00BF401E">
        <w:rPr>
          <w:rFonts w:hint="cs"/>
          <w:rtl/>
        </w:rPr>
        <w:t>בשיעור הנכסים בחו"ל. זאת</w:t>
      </w:r>
      <w:r w:rsidR="008A5A5C">
        <w:rPr>
          <w:rFonts w:hint="cs"/>
          <w:rtl/>
        </w:rPr>
        <w:t>, בעיקר</w:t>
      </w:r>
      <w:r w:rsidR="00C46ABC" w:rsidRPr="00BF401E">
        <w:rPr>
          <w:rFonts w:hint="cs"/>
          <w:rtl/>
        </w:rPr>
        <w:t xml:space="preserve"> כתוצאה </w:t>
      </w:r>
      <w:r w:rsidR="00C46ABC" w:rsidRPr="00BF401E">
        <w:rPr>
          <w:rtl/>
        </w:rPr>
        <w:t>מ</w:t>
      </w:r>
      <w:r w:rsidR="00C46ABC" w:rsidRPr="00BF401E">
        <w:rPr>
          <w:rFonts w:hint="cs"/>
          <w:rtl/>
        </w:rPr>
        <w:t xml:space="preserve">שילוב של </w:t>
      </w:r>
      <w:r w:rsidR="00C46ABC" w:rsidRPr="00BF401E">
        <w:rPr>
          <w:rtl/>
        </w:rPr>
        <w:t>השקעות נטו בחו"ל ומפיחות השקל שהעלה את השווי השקלי של התיק</w:t>
      </w:r>
      <w:r w:rsidR="008A5A5C">
        <w:rPr>
          <w:rFonts w:hint="cs"/>
          <w:rtl/>
        </w:rPr>
        <w:t>.</w:t>
      </w:r>
    </w:p>
    <w:p w:rsidR="00283B13" w:rsidRPr="00C739C4" w:rsidRDefault="00283B13" w:rsidP="00C739C4">
      <w:pPr>
        <w:pStyle w:val="1"/>
        <w:numPr>
          <w:ilvl w:val="0"/>
          <w:numId w:val="18"/>
        </w:numPr>
        <w:spacing w:before="240"/>
        <w:rPr>
          <w:rtl/>
        </w:rPr>
      </w:pPr>
      <w:r w:rsidRPr="00DD0FA1">
        <w:rPr>
          <w:rFonts w:hint="cs"/>
          <w:rtl/>
        </w:rPr>
        <w:t xml:space="preserve">התיק המנוהל </w:t>
      </w:r>
      <w:r w:rsidR="00C46ABC">
        <w:rPr>
          <w:rFonts w:hint="cs"/>
          <w:rtl/>
        </w:rPr>
        <w:t>בידי</w:t>
      </w:r>
      <w:r w:rsidRPr="00DD0FA1">
        <w:rPr>
          <w:rFonts w:hint="cs"/>
          <w:rtl/>
        </w:rPr>
        <w:t xml:space="preserve"> המשקיעים המוסדיים</w:t>
      </w:r>
      <w:r w:rsidR="0053162E">
        <w:rPr>
          <w:rStyle w:val="a4"/>
          <w:rtl/>
        </w:rPr>
        <w:footnoteReference w:id="1"/>
      </w:r>
    </w:p>
    <w:p w:rsidR="007C2B07" w:rsidRDefault="007C2B07" w:rsidP="00C739C4">
      <w:pPr>
        <w:spacing w:before="240" w:line="360" w:lineRule="auto"/>
        <w:ind w:left="360"/>
        <w:jc w:val="both"/>
      </w:pPr>
      <w:r w:rsidRPr="006F577D">
        <w:rPr>
          <w:b/>
          <w:bCs/>
          <w:rtl/>
        </w:rPr>
        <w:t>יתרת התיק המנ</w:t>
      </w:r>
      <w:r w:rsidRPr="007C2B07">
        <w:rPr>
          <w:b/>
          <w:bCs/>
          <w:rtl/>
        </w:rPr>
        <w:t xml:space="preserve">והל בידי המשקיעים המוסדיים </w:t>
      </w:r>
      <w:r w:rsidRPr="007C2B07">
        <w:rPr>
          <w:rtl/>
        </w:rPr>
        <w:t>עלתה ברביע השני של שנת 2018 בכ-26 מיליארדי ש"ח לרמה של כ-1.63 טריליונים</w:t>
      </w:r>
      <w:r w:rsidRPr="007C2B07">
        <w:rPr>
          <w:rFonts w:hint="cs"/>
          <w:rtl/>
        </w:rPr>
        <w:t xml:space="preserve"> (44.8% מסך תיק הנכסים הפיננסים של הציבור)</w:t>
      </w:r>
      <w:r w:rsidRPr="007C2B07">
        <w:rPr>
          <w:rtl/>
        </w:rPr>
        <w:t xml:space="preserve">, שיעור גידול </w:t>
      </w:r>
      <w:r w:rsidRPr="007C2B07">
        <w:rPr>
          <w:rFonts w:hint="cs"/>
          <w:rtl/>
        </w:rPr>
        <w:t>רבעוני</w:t>
      </w:r>
      <w:r w:rsidRPr="007C2B07">
        <w:rPr>
          <w:rtl/>
        </w:rPr>
        <w:t xml:space="preserve"> של כ-</w:t>
      </w:r>
      <w:r w:rsidRPr="007C2B07">
        <w:rPr>
          <w:rFonts w:hint="cs"/>
          <w:rtl/>
        </w:rPr>
        <w:t>1</w:t>
      </w:r>
      <w:r w:rsidRPr="007C2B07">
        <w:rPr>
          <w:rtl/>
        </w:rPr>
        <w:t>.</w:t>
      </w:r>
      <w:r w:rsidRPr="007C2B07">
        <w:rPr>
          <w:rFonts w:hint="cs"/>
          <w:rtl/>
        </w:rPr>
        <w:t>6</w:t>
      </w:r>
      <w:r w:rsidRPr="007C2B07">
        <w:rPr>
          <w:rtl/>
        </w:rPr>
        <w:t>%.</w:t>
      </w:r>
      <w:r w:rsidRPr="007C2B07">
        <w:rPr>
          <w:rFonts w:hint="cs"/>
          <w:rtl/>
        </w:rPr>
        <w:t xml:space="preserve"> </w:t>
      </w:r>
      <w:r w:rsidRPr="007C2B07">
        <w:rPr>
          <w:rtl/>
        </w:rPr>
        <w:t xml:space="preserve">העלייה ביתרת התיק נבעה מעלייה ביתרת ההשקעות בחו"ל (24.7 מיליארדים, 7.5%) וביתרת המניות </w:t>
      </w:r>
      <w:proofErr w:type="spellStart"/>
      <w:r w:rsidRPr="007C2B07">
        <w:rPr>
          <w:rtl/>
        </w:rPr>
        <w:t>והאג"ח</w:t>
      </w:r>
      <w:proofErr w:type="spellEnd"/>
      <w:r w:rsidRPr="007C2B07">
        <w:rPr>
          <w:rtl/>
        </w:rPr>
        <w:t xml:space="preserve"> הפרטיות בארץ (10.8 מיליארדי ש"ח, 3.3%), שקוזזו במקצת כתוצאה מירידה ביתרת ההחזקות באג"ח ממשלתיות בארץ </w:t>
      </w:r>
      <w:proofErr w:type="spellStart"/>
      <w:r w:rsidRPr="007C2B07">
        <w:rPr>
          <w:rFonts w:hint="cs"/>
          <w:rtl/>
        </w:rPr>
        <w:t>ובמק"</w:t>
      </w:r>
      <w:r>
        <w:rPr>
          <w:rFonts w:hint="cs"/>
          <w:rtl/>
        </w:rPr>
        <w:t>ם</w:t>
      </w:r>
      <w:proofErr w:type="spellEnd"/>
      <w:r w:rsidRPr="007C2B07">
        <w:rPr>
          <w:rFonts w:hint="cs"/>
          <w:rtl/>
        </w:rPr>
        <w:t xml:space="preserve"> </w:t>
      </w:r>
      <w:r w:rsidRPr="007C2B07">
        <w:rPr>
          <w:rtl/>
        </w:rPr>
        <w:t>(9 מיליארדי ש"ח, 1.3%).</w:t>
      </w:r>
      <w:r w:rsidRPr="007C2B07">
        <w:rPr>
          <w:rFonts w:hint="cs"/>
          <w:rtl/>
        </w:rPr>
        <w:t xml:space="preserve"> </w:t>
      </w:r>
    </w:p>
    <w:p w:rsidR="00C739C4" w:rsidRDefault="0053162E" w:rsidP="0053162E">
      <w:pPr>
        <w:spacing w:before="240"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5FE6B03C" wp14:editId="3003DECA">
            <wp:extent cx="5486400" cy="2199640"/>
            <wp:effectExtent l="0" t="0" r="0" b="0"/>
            <wp:docPr id="8" name="תמונה 7" descr="תרשים 4: יתרת סך התיק המנוהל בידי המשקיעים המוסדיים &#10;" title="תרשים 4: יתרת סך התיק המנוהל בידי המשקיעים המוסדי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B07" w:rsidRPr="007C2B07" w:rsidRDefault="007C2B07" w:rsidP="00620D7A">
      <w:pPr>
        <w:spacing w:before="240" w:line="360" w:lineRule="auto"/>
        <w:ind w:left="390"/>
        <w:jc w:val="both"/>
        <w:rPr>
          <w:rtl/>
        </w:rPr>
      </w:pPr>
      <w:r>
        <w:rPr>
          <w:rFonts w:hint="cs"/>
          <w:b/>
          <w:bCs/>
          <w:rtl/>
        </w:rPr>
        <w:t>חשיפת התיק המנוהל בידי המשקיעים המוסדיים</w:t>
      </w:r>
      <w:r>
        <w:rPr>
          <w:rStyle w:val="a4"/>
          <w:b/>
          <w:bCs/>
          <w:rtl/>
        </w:rPr>
        <w:footnoteReference w:id="2"/>
      </w:r>
      <w:r>
        <w:rPr>
          <w:rFonts w:hint="cs"/>
          <w:b/>
          <w:bCs/>
          <w:rtl/>
        </w:rPr>
        <w:t xml:space="preserve"> לנכסים זרים ולייסוף השקל מול מט"ח </w:t>
      </w:r>
      <w:r w:rsidR="00620D7A">
        <w:rPr>
          <w:rFonts w:hint="cs"/>
          <w:b/>
          <w:bCs/>
          <w:rtl/>
        </w:rPr>
        <w:t xml:space="preserve">- </w:t>
      </w:r>
      <w:r w:rsidR="00620D7A">
        <w:rPr>
          <w:rFonts w:hint="cs"/>
          <w:b/>
          <w:bCs/>
          <w:rtl/>
        </w:rPr>
        <w:tab/>
        <w:t xml:space="preserve">            </w:t>
      </w:r>
      <w:r>
        <w:rPr>
          <w:rtl/>
        </w:rPr>
        <w:t xml:space="preserve">ברביע </w:t>
      </w:r>
      <w:r>
        <w:rPr>
          <w:rFonts w:hint="cs"/>
          <w:rtl/>
        </w:rPr>
        <w:t>השני</w:t>
      </w:r>
      <w:r>
        <w:rPr>
          <w:rtl/>
        </w:rPr>
        <w:t xml:space="preserve"> </w:t>
      </w:r>
      <w:r w:rsidRPr="007C2B07">
        <w:rPr>
          <w:rtl/>
        </w:rPr>
        <w:t xml:space="preserve">של שנת </w:t>
      </w:r>
      <w:r w:rsidRPr="007C2B07">
        <w:rPr>
          <w:rFonts w:hint="cs"/>
          <w:rtl/>
        </w:rPr>
        <w:t>2018</w:t>
      </w:r>
      <w:r w:rsidRPr="007C2B07">
        <w:rPr>
          <w:rtl/>
        </w:rPr>
        <w:t xml:space="preserve"> </w:t>
      </w:r>
      <w:r w:rsidRPr="007C2B07">
        <w:rPr>
          <w:b/>
          <w:bCs/>
          <w:rtl/>
        </w:rPr>
        <w:t>שיעור החשיפה של המשקיעים המוסדיים לנכסים זרים</w:t>
      </w:r>
      <w:r w:rsidRPr="007C2B07">
        <w:rPr>
          <w:rtl/>
        </w:rPr>
        <w:t xml:space="preserve"> עלה בכ-1.2 נקודות אחוז לרמה של כ-27.5% מהתיק.</w:t>
      </w:r>
      <w:r w:rsidRPr="007C2B07">
        <w:rPr>
          <w:rFonts w:hint="cs"/>
          <w:rtl/>
        </w:rPr>
        <w:t xml:space="preserve"> </w:t>
      </w:r>
      <w:r w:rsidRPr="007C2B07">
        <w:rPr>
          <w:rtl/>
        </w:rPr>
        <w:t xml:space="preserve">העלייה בשיעור החשיפה לנכסים זרים </w:t>
      </w:r>
      <w:r w:rsidRPr="007C2B07">
        <w:rPr>
          <w:rFonts w:hint="cs"/>
          <w:rtl/>
        </w:rPr>
        <w:t>אפיינה</w:t>
      </w:r>
      <w:r w:rsidRPr="007C2B07">
        <w:rPr>
          <w:rtl/>
        </w:rPr>
        <w:t xml:space="preserve"> </w:t>
      </w:r>
      <w:r w:rsidRPr="007C2B07">
        <w:rPr>
          <w:rFonts w:hint="cs"/>
          <w:rtl/>
        </w:rPr>
        <w:t xml:space="preserve">את </w:t>
      </w:r>
      <w:r w:rsidRPr="007C2B07">
        <w:rPr>
          <w:rtl/>
        </w:rPr>
        <w:t>כלל ה</w:t>
      </w:r>
      <w:r w:rsidRPr="007C2B07">
        <w:rPr>
          <w:rFonts w:hint="cs"/>
          <w:rtl/>
        </w:rPr>
        <w:t>מוצרים</w:t>
      </w:r>
      <w:r w:rsidRPr="007C2B07">
        <w:rPr>
          <w:rtl/>
        </w:rPr>
        <w:t xml:space="preserve">. כאשר העלייה המשמעותית ביותר התרכזה אצל קרנות הפנסיה החדשות שהגדילו את היקף חשיפתן לנכסים זרים בכ-1.7 נקודות אחוז עד לרמה של כ-33.3%. </w:t>
      </w:r>
    </w:p>
    <w:p w:rsidR="000430C8" w:rsidRPr="00C739C4" w:rsidRDefault="007C2B07" w:rsidP="00C739C4">
      <w:pPr>
        <w:spacing w:before="240" w:line="360" w:lineRule="auto"/>
        <w:ind w:left="390"/>
        <w:jc w:val="both"/>
        <w:outlineLvl w:val="0"/>
        <w:rPr>
          <w:rtl/>
        </w:rPr>
      </w:pPr>
      <w:r w:rsidRPr="007C2B07">
        <w:rPr>
          <w:rtl/>
        </w:rPr>
        <w:lastRenderedPageBreak/>
        <w:t xml:space="preserve">ברביע השני של השנה עלה </w:t>
      </w:r>
      <w:r w:rsidRPr="007C2B07">
        <w:rPr>
          <w:b/>
          <w:bCs/>
          <w:rtl/>
        </w:rPr>
        <w:t xml:space="preserve">שיעור החשיפה למט"ח (כולל </w:t>
      </w:r>
      <w:proofErr w:type="spellStart"/>
      <w:r w:rsidRPr="007C2B07">
        <w:rPr>
          <w:b/>
          <w:bCs/>
          <w:rtl/>
        </w:rPr>
        <w:t>נגזרי</w:t>
      </w:r>
      <w:proofErr w:type="spellEnd"/>
      <w:r w:rsidRPr="007C2B07">
        <w:rPr>
          <w:b/>
          <w:bCs/>
          <w:rtl/>
        </w:rPr>
        <w:t xml:space="preserve"> ש"ח/מט"ח)</w:t>
      </w:r>
      <w:r w:rsidRPr="007C2B07">
        <w:rPr>
          <w:rtl/>
        </w:rPr>
        <w:t xml:space="preserve"> בנקודת אחוז אחת לרמה של כ-16.9%; העלייה ביתרת החשיפה נבעה מהשקעות</w:t>
      </w:r>
      <w:r w:rsidRPr="007C2B07">
        <w:t xml:space="preserve"> </w:t>
      </w:r>
      <w:r w:rsidRPr="007C2B07">
        <w:rPr>
          <w:rFonts w:hint="cs"/>
          <w:rtl/>
        </w:rPr>
        <w:t>נטו של כ-2.5 מיליארדי דולר</w:t>
      </w:r>
      <w:r w:rsidRPr="007C2B07">
        <w:rPr>
          <w:rtl/>
        </w:rPr>
        <w:t xml:space="preserve"> בנכסים נקובים וצמודים למט"ח</w:t>
      </w:r>
      <w:r w:rsidRPr="007C2B07">
        <w:rPr>
          <w:rFonts w:hint="cs"/>
          <w:rtl/>
        </w:rPr>
        <w:t xml:space="preserve"> (בעיקר בקרנות השקעה בחו"ל, מניות והלוואות לתושבי חוץ); </w:t>
      </w:r>
      <w:r w:rsidRPr="007C2B07">
        <w:rPr>
          <w:rtl/>
        </w:rPr>
        <w:t>מעלייה במחירי ני"ע בשוקי חו"ל</w:t>
      </w:r>
      <w:r w:rsidRPr="007C2B07">
        <w:rPr>
          <w:rFonts w:hint="cs"/>
          <w:rtl/>
        </w:rPr>
        <w:t>;</w:t>
      </w:r>
      <w:r w:rsidRPr="007C2B07">
        <w:rPr>
          <w:rtl/>
        </w:rPr>
        <w:t xml:space="preserve"> וכן מפיחות השקל מול הדולר (3.9%) שהגדיל את השווי השקלי של התיק</w:t>
      </w:r>
      <w:r w:rsidRPr="007C2B07">
        <w:rPr>
          <w:rFonts w:hint="cs"/>
          <w:rtl/>
        </w:rPr>
        <w:t>. השפעות אלו קוזזו במקצת כתוצאה מהגדלת העסקאות העתידיות למכירת מט"ח נטו באמצעות מכשי</w:t>
      </w:r>
      <w:r>
        <w:rPr>
          <w:rFonts w:hint="cs"/>
          <w:rtl/>
        </w:rPr>
        <w:t>רים פיננסים נגזרים בהיקף של כ-0.3 מיליארד</w:t>
      </w:r>
      <w:r>
        <w:rPr>
          <w:rFonts w:hint="eastAsia"/>
          <w:rtl/>
        </w:rPr>
        <w:t>י</w:t>
      </w:r>
      <w:r>
        <w:rPr>
          <w:rFonts w:hint="cs"/>
          <w:rtl/>
        </w:rPr>
        <w:t xml:space="preserve"> דולר.</w:t>
      </w:r>
      <w:r>
        <w:rPr>
          <w:rtl/>
        </w:rPr>
        <w:t xml:space="preserve"> </w:t>
      </w:r>
    </w:p>
    <w:p w:rsidR="005B39A3" w:rsidRPr="00C739C4" w:rsidRDefault="00AA33BE" w:rsidP="00A27E46">
      <w:pPr>
        <w:spacing w:before="240" w:line="360" w:lineRule="auto"/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  <w:r w:rsidR="00CD0E85">
        <w:rPr>
          <w:noProof/>
          <w:lang w:eastAsia="en-US"/>
        </w:rPr>
        <w:drawing>
          <wp:inline distT="0" distB="0" distL="0" distR="0" wp14:anchorId="1F86C1ED" wp14:editId="0FCA7313">
            <wp:extent cx="2904925" cy="2320371"/>
            <wp:effectExtent l="0" t="0" r="0" b="3810"/>
            <wp:docPr id="17" name="תמונה 16" descr="תרשים 5: אומדן לתנועות נטו של המשקיעים המוסדיים* בנכסי מט&quot;ח&#10;" title="תרשים 5: אומדן לתנועות נטו של המשקיעים המוסדיים* בנכסי מט&quot;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תמונה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04892" cy="232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</w:rPr>
        <w:t xml:space="preserve"> </w:t>
      </w:r>
      <w:r w:rsidR="00CD0E85">
        <w:rPr>
          <w:noProof/>
          <w:lang w:eastAsia="en-US"/>
        </w:rPr>
        <w:drawing>
          <wp:inline distT="0" distB="0" distL="0" distR="0" wp14:anchorId="64AD4870" wp14:editId="66C0D4CA">
            <wp:extent cx="2890915" cy="2326943"/>
            <wp:effectExtent l="0" t="0" r="5080" b="0"/>
            <wp:docPr id="9" name="תמונה 8" descr="תרשים 6: שיעור החשיפה של המשקיעים המוסדיים לנכסים זרים ולייסוף השקל מול הדולר מסך כל נכסי השקעתם&#10;" title="תרשים 6: שיעור החשיפה של המשקיעים המוסדיים לנכסים זרים ולייסוף השקל מול הדולר מסך כל נכסי השקעת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תמונה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91824" cy="232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C15" w:rsidRPr="002E1C15" w:rsidRDefault="009B2E23" w:rsidP="00C739C4">
      <w:pPr>
        <w:pStyle w:val="1"/>
        <w:numPr>
          <w:ilvl w:val="0"/>
          <w:numId w:val="18"/>
        </w:numPr>
        <w:spacing w:before="240"/>
        <w:rPr>
          <w:rtl/>
        </w:rPr>
      </w:pPr>
      <w:r>
        <w:rPr>
          <w:rFonts w:hint="cs"/>
          <w:rtl/>
        </w:rPr>
        <w:t xml:space="preserve">התיק המנוהל באמצעות </w:t>
      </w:r>
      <w:r w:rsidR="0094399B" w:rsidRPr="009530C6">
        <w:rPr>
          <w:rFonts w:hint="cs"/>
          <w:rtl/>
        </w:rPr>
        <w:t xml:space="preserve">קרנות </w:t>
      </w:r>
      <w:r w:rsidR="0027681B" w:rsidRPr="009530C6">
        <w:rPr>
          <w:rFonts w:hint="cs"/>
          <w:rtl/>
        </w:rPr>
        <w:t>ה</w:t>
      </w:r>
      <w:r w:rsidR="0094399B" w:rsidRPr="009530C6">
        <w:rPr>
          <w:rFonts w:hint="cs"/>
          <w:rtl/>
        </w:rPr>
        <w:t>נאמנות</w:t>
      </w:r>
    </w:p>
    <w:p w:rsidR="006D3437" w:rsidRDefault="0012692B" w:rsidP="006D3437">
      <w:pPr>
        <w:spacing w:before="240" w:line="360" w:lineRule="auto"/>
        <w:ind w:left="360"/>
        <w:jc w:val="both"/>
        <w:rPr>
          <w:rtl/>
        </w:rPr>
      </w:pPr>
      <w:r w:rsidRPr="0012692B">
        <w:rPr>
          <w:rtl/>
        </w:rPr>
        <w:t xml:space="preserve">היקף התיק המנוהל באמצעות קרנות נאמנות </w:t>
      </w:r>
      <w:r w:rsidR="007C2B07">
        <w:rPr>
          <w:rFonts w:hint="cs"/>
          <w:rtl/>
        </w:rPr>
        <w:t>בארץ</w:t>
      </w:r>
      <w:r w:rsidR="00543423">
        <w:rPr>
          <w:rFonts w:hint="cs"/>
          <w:rtl/>
        </w:rPr>
        <w:t xml:space="preserve"> ירד ברביע השני בכ-</w:t>
      </w:r>
      <w:r w:rsidR="006E3BA6">
        <w:rPr>
          <w:rFonts w:hint="cs"/>
          <w:rtl/>
        </w:rPr>
        <w:t>1.8 מיליארדי ש"ח (0.6%</w:t>
      </w:r>
      <w:r w:rsidR="00872E15">
        <w:t>-</w:t>
      </w:r>
      <w:r w:rsidR="006E3BA6">
        <w:rPr>
          <w:rFonts w:hint="cs"/>
          <w:rtl/>
        </w:rPr>
        <w:t xml:space="preserve">) </w:t>
      </w:r>
      <w:r w:rsidR="00E77E06">
        <w:rPr>
          <w:rFonts w:hint="cs"/>
          <w:rtl/>
        </w:rPr>
        <w:t>ו</w:t>
      </w:r>
      <w:r w:rsidRPr="0012692B">
        <w:rPr>
          <w:rtl/>
        </w:rPr>
        <w:t xml:space="preserve">עמד </w:t>
      </w:r>
      <w:r w:rsidR="006D3437">
        <w:rPr>
          <w:rFonts w:hint="cs"/>
          <w:rtl/>
        </w:rPr>
        <w:t>בסופו</w:t>
      </w:r>
      <w:r w:rsidRPr="0012692B">
        <w:rPr>
          <w:rtl/>
        </w:rPr>
        <w:t xml:space="preserve"> על כ-</w:t>
      </w:r>
      <w:r w:rsidR="00E72A6E">
        <w:rPr>
          <w:rFonts w:hint="cs"/>
          <w:rtl/>
        </w:rPr>
        <w:t>240</w:t>
      </w:r>
      <w:r w:rsidRPr="0012692B">
        <w:rPr>
          <w:rtl/>
        </w:rPr>
        <w:t xml:space="preserve"> מיליארדי ש"ח, כ-</w:t>
      </w:r>
      <w:r w:rsidRPr="00D50557">
        <w:rPr>
          <w:rtl/>
        </w:rPr>
        <w:t>6.</w:t>
      </w:r>
      <w:r w:rsidR="00D50557" w:rsidRPr="00D50557">
        <w:rPr>
          <w:rFonts w:hint="cs"/>
          <w:rtl/>
        </w:rPr>
        <w:t>6</w:t>
      </w:r>
      <w:r w:rsidRPr="00D50557">
        <w:rPr>
          <w:rtl/>
        </w:rPr>
        <w:t>%</w:t>
      </w:r>
      <w:r w:rsidRPr="0012692B">
        <w:rPr>
          <w:rtl/>
        </w:rPr>
        <w:t xml:space="preserve"> מסך תיק הנכסים של הציבור.</w:t>
      </w:r>
      <w:r w:rsidR="006E3BA6">
        <w:rPr>
          <w:rFonts w:hint="cs"/>
          <w:rtl/>
        </w:rPr>
        <w:t xml:space="preserve"> </w:t>
      </w:r>
    </w:p>
    <w:p w:rsidR="00620D7A" w:rsidRDefault="006E3BA6" w:rsidP="006D3437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rtl/>
        </w:rPr>
        <w:t>הירידה ביתרה נבעה</w:t>
      </w:r>
      <w:r w:rsidR="0012692B" w:rsidRPr="0012692B">
        <w:rPr>
          <w:rtl/>
        </w:rPr>
        <w:t xml:space="preserve"> </w:t>
      </w:r>
      <w:r>
        <w:rPr>
          <w:rFonts w:hint="cs"/>
          <w:rtl/>
        </w:rPr>
        <w:t>מ</w:t>
      </w:r>
      <w:r w:rsidR="00AD0E86">
        <w:rPr>
          <w:rFonts w:hint="cs"/>
          <w:rtl/>
        </w:rPr>
        <w:t>פדיונות</w:t>
      </w:r>
      <w:r w:rsidR="0012692B" w:rsidRPr="0012692B">
        <w:rPr>
          <w:rtl/>
        </w:rPr>
        <w:t xml:space="preserve"> נטו (עודף </w:t>
      </w:r>
      <w:r w:rsidR="00AD0E86">
        <w:rPr>
          <w:rFonts w:hint="cs"/>
          <w:rtl/>
        </w:rPr>
        <w:t>פדיונות</w:t>
      </w:r>
      <w:r w:rsidR="0012692B" w:rsidRPr="0012692B">
        <w:rPr>
          <w:rtl/>
        </w:rPr>
        <w:t xml:space="preserve"> על </w:t>
      </w:r>
      <w:r w:rsidR="00AD0E86">
        <w:rPr>
          <w:rFonts w:hint="cs"/>
          <w:rtl/>
        </w:rPr>
        <w:t>הפקדות</w:t>
      </w:r>
      <w:r w:rsidR="0012692B" w:rsidRPr="0012692B">
        <w:rPr>
          <w:rtl/>
        </w:rPr>
        <w:t>, בניכוי דיבידנד) בהיקף של כ-2.</w:t>
      </w:r>
      <w:r w:rsidR="00AD0E86">
        <w:rPr>
          <w:rFonts w:hint="cs"/>
          <w:rtl/>
        </w:rPr>
        <w:t>5</w:t>
      </w:r>
      <w:r w:rsidR="0012692B" w:rsidRPr="0012692B">
        <w:rPr>
          <w:rtl/>
        </w:rPr>
        <w:t xml:space="preserve"> מיליארדי ש"ח, </w:t>
      </w:r>
      <w:r w:rsidR="006D3437">
        <w:rPr>
          <w:rFonts w:hint="cs"/>
          <w:rtl/>
        </w:rPr>
        <w:t>אשר</w:t>
      </w:r>
      <w:r w:rsidR="006D3437">
        <w:rPr>
          <w:rtl/>
        </w:rPr>
        <w:t xml:space="preserve"> קוזזו </w:t>
      </w:r>
      <w:r w:rsidR="006D3437">
        <w:rPr>
          <w:rFonts w:hint="cs"/>
          <w:rtl/>
        </w:rPr>
        <w:t>בחלקם</w:t>
      </w:r>
      <w:r w:rsidR="006D3437">
        <w:rPr>
          <w:rtl/>
        </w:rPr>
        <w:t xml:space="preserve"> ע"י </w:t>
      </w:r>
      <w:r w:rsidR="006D3437">
        <w:rPr>
          <w:rFonts w:hint="cs"/>
          <w:rtl/>
        </w:rPr>
        <w:t>עלייה</w:t>
      </w:r>
      <w:r w:rsidR="006D3437" w:rsidRPr="0012692B">
        <w:rPr>
          <w:rtl/>
        </w:rPr>
        <w:t xml:space="preserve"> במחירי הנכסים</w:t>
      </w:r>
      <w:r w:rsidR="006D3437">
        <w:rPr>
          <w:rFonts w:hint="cs"/>
          <w:rtl/>
        </w:rPr>
        <w:t xml:space="preserve">. </w:t>
      </w:r>
      <w:r w:rsidR="007E0142">
        <w:rPr>
          <w:rFonts w:hint="cs"/>
          <w:rtl/>
        </w:rPr>
        <w:t>זאת, לעומת הפקדות נטו בחמשת</w:t>
      </w:r>
      <w:r w:rsidR="0012692B" w:rsidRPr="0012692B">
        <w:rPr>
          <w:rtl/>
        </w:rPr>
        <w:t xml:space="preserve"> הרביעים הקודמי</w:t>
      </w:r>
      <w:r w:rsidR="009237DB">
        <w:rPr>
          <w:rtl/>
        </w:rPr>
        <w:t>ם</w:t>
      </w:r>
      <w:r w:rsidR="006D3437">
        <w:rPr>
          <w:rFonts w:hint="cs"/>
          <w:rtl/>
        </w:rPr>
        <w:t>.</w:t>
      </w:r>
      <w:r w:rsidR="00620D7A">
        <w:rPr>
          <w:rFonts w:hint="cs"/>
          <w:rtl/>
        </w:rPr>
        <w:t xml:space="preserve"> </w:t>
      </w:r>
    </w:p>
    <w:p w:rsidR="000430C8" w:rsidRDefault="0012692B" w:rsidP="00CB776F">
      <w:pPr>
        <w:spacing w:before="240" w:line="360" w:lineRule="auto"/>
        <w:ind w:left="360"/>
        <w:jc w:val="both"/>
        <w:rPr>
          <w:rtl/>
        </w:rPr>
      </w:pPr>
      <w:r w:rsidRPr="0012692B">
        <w:rPr>
          <w:rtl/>
        </w:rPr>
        <w:t xml:space="preserve">מהתפלגות הקרנות לפי התמחויות עולה כי ברביע </w:t>
      </w:r>
      <w:r w:rsidR="00AD0E86">
        <w:rPr>
          <w:rFonts w:hint="cs"/>
          <w:rtl/>
        </w:rPr>
        <w:t>השני</w:t>
      </w:r>
      <w:r w:rsidRPr="0012692B">
        <w:rPr>
          <w:rtl/>
        </w:rPr>
        <w:t xml:space="preserve"> התרכזו </w:t>
      </w:r>
      <w:r w:rsidR="00AD0E86">
        <w:rPr>
          <w:rFonts w:hint="cs"/>
          <w:rtl/>
        </w:rPr>
        <w:t>הפדיונות</w:t>
      </w:r>
      <w:r w:rsidRPr="0012692B">
        <w:rPr>
          <w:rtl/>
        </w:rPr>
        <w:t xml:space="preserve"> נטו בקרנות המתמחות באג"ח </w:t>
      </w:r>
      <w:r w:rsidR="00AD0E86">
        <w:rPr>
          <w:rFonts w:hint="cs"/>
          <w:rtl/>
        </w:rPr>
        <w:t xml:space="preserve">כללי בארץ </w:t>
      </w:r>
      <w:r w:rsidRPr="0012692B">
        <w:rPr>
          <w:rtl/>
        </w:rPr>
        <w:t>(</w:t>
      </w:r>
      <w:r w:rsidR="00AD0E86">
        <w:rPr>
          <w:rFonts w:hint="cs"/>
          <w:rtl/>
        </w:rPr>
        <w:t>4</w:t>
      </w:r>
      <w:r w:rsidRPr="0012692B">
        <w:rPr>
          <w:rtl/>
        </w:rPr>
        <w:t>.4 מיליארדים, 4.</w:t>
      </w:r>
      <w:r w:rsidR="00AD0E86">
        <w:rPr>
          <w:rFonts w:hint="cs"/>
          <w:rtl/>
        </w:rPr>
        <w:t>7</w:t>
      </w:r>
      <w:r w:rsidRPr="0012692B">
        <w:rPr>
          <w:rtl/>
        </w:rPr>
        <w:t>%</w:t>
      </w:r>
      <w:r w:rsidR="00AD0E86">
        <w:rPr>
          <w:rFonts w:hint="cs"/>
          <w:rtl/>
        </w:rPr>
        <w:t>-</w:t>
      </w:r>
      <w:r w:rsidR="006E3BA6">
        <w:rPr>
          <w:rtl/>
        </w:rPr>
        <w:t>)</w:t>
      </w:r>
      <w:r w:rsidR="006E3BA6">
        <w:rPr>
          <w:rFonts w:hint="cs"/>
          <w:rtl/>
        </w:rPr>
        <w:t xml:space="preserve">, </w:t>
      </w:r>
      <w:r w:rsidRPr="0012692B">
        <w:rPr>
          <w:rtl/>
        </w:rPr>
        <w:t xml:space="preserve">בקרנות המתמחות </w:t>
      </w:r>
      <w:r w:rsidR="00AD0E86" w:rsidRPr="0012692B">
        <w:rPr>
          <w:rtl/>
        </w:rPr>
        <w:t xml:space="preserve">באג"ח שקליות בארץ </w:t>
      </w:r>
      <w:r w:rsidRPr="0012692B">
        <w:rPr>
          <w:rtl/>
        </w:rPr>
        <w:t>(</w:t>
      </w:r>
      <w:r w:rsidR="00D50557">
        <w:rPr>
          <w:rFonts w:hint="cs"/>
          <w:rtl/>
        </w:rPr>
        <w:t>מיליאר</w:t>
      </w:r>
      <w:r w:rsidR="00D50557">
        <w:rPr>
          <w:rFonts w:hint="eastAsia"/>
          <w:rtl/>
        </w:rPr>
        <w:t>ד</w:t>
      </w:r>
      <w:r w:rsidR="00AD0E86">
        <w:rPr>
          <w:rFonts w:hint="cs"/>
          <w:rtl/>
        </w:rPr>
        <w:t xml:space="preserve"> ש"ח</w:t>
      </w:r>
      <w:r w:rsidRPr="0012692B">
        <w:rPr>
          <w:rtl/>
        </w:rPr>
        <w:t xml:space="preserve">, </w:t>
      </w:r>
      <w:r w:rsidR="00AD0E86">
        <w:rPr>
          <w:rFonts w:hint="cs"/>
          <w:rtl/>
        </w:rPr>
        <w:t>6.4</w:t>
      </w:r>
      <w:r w:rsidRPr="0012692B">
        <w:rPr>
          <w:rtl/>
        </w:rPr>
        <w:t>%</w:t>
      </w:r>
      <w:r w:rsidR="00AD0E86">
        <w:rPr>
          <w:rFonts w:hint="cs"/>
          <w:rtl/>
        </w:rPr>
        <w:t>-</w:t>
      </w:r>
      <w:r w:rsidRPr="0012692B">
        <w:rPr>
          <w:rtl/>
        </w:rPr>
        <w:t>)</w:t>
      </w:r>
      <w:r w:rsidR="006E3BA6">
        <w:rPr>
          <w:rFonts w:hint="cs"/>
          <w:rtl/>
        </w:rPr>
        <w:t xml:space="preserve"> ובמניות בארץ </w:t>
      </w:r>
      <w:r w:rsidR="006E3BA6" w:rsidRPr="0012692B">
        <w:rPr>
          <w:rtl/>
        </w:rPr>
        <w:t>(</w:t>
      </w:r>
      <w:r w:rsidR="006E3BA6">
        <w:rPr>
          <w:rFonts w:hint="cs"/>
          <w:rtl/>
        </w:rPr>
        <w:t>מיליאר</w:t>
      </w:r>
      <w:r w:rsidR="006E3BA6">
        <w:rPr>
          <w:rFonts w:hint="eastAsia"/>
          <w:rtl/>
        </w:rPr>
        <w:t>ד</w:t>
      </w:r>
      <w:r w:rsidR="006E3BA6">
        <w:rPr>
          <w:rFonts w:hint="cs"/>
          <w:rtl/>
        </w:rPr>
        <w:t xml:space="preserve"> ש"ח</w:t>
      </w:r>
      <w:r w:rsidR="006E3BA6" w:rsidRPr="0012692B">
        <w:rPr>
          <w:rtl/>
        </w:rPr>
        <w:t xml:space="preserve">, </w:t>
      </w:r>
      <w:r w:rsidR="006E3BA6">
        <w:rPr>
          <w:rFonts w:hint="cs"/>
          <w:rtl/>
        </w:rPr>
        <w:t>6.</w:t>
      </w:r>
      <w:r w:rsidR="00CB776F">
        <w:rPr>
          <w:rFonts w:hint="cs"/>
          <w:rtl/>
        </w:rPr>
        <w:t>6</w:t>
      </w:r>
      <w:r w:rsidR="006E3BA6" w:rsidRPr="0012692B">
        <w:rPr>
          <w:rtl/>
        </w:rPr>
        <w:t>%</w:t>
      </w:r>
      <w:r w:rsidR="006E3BA6">
        <w:rPr>
          <w:rFonts w:hint="cs"/>
          <w:rtl/>
        </w:rPr>
        <w:t>-</w:t>
      </w:r>
      <w:r w:rsidR="006E3BA6" w:rsidRPr="0012692B">
        <w:rPr>
          <w:rtl/>
        </w:rPr>
        <w:t>)</w:t>
      </w:r>
      <w:r w:rsidRPr="0012692B">
        <w:rPr>
          <w:rtl/>
        </w:rPr>
        <w:t xml:space="preserve">. מנגד חלו </w:t>
      </w:r>
      <w:r w:rsidR="00AD0E86">
        <w:rPr>
          <w:rFonts w:hint="cs"/>
          <w:rtl/>
        </w:rPr>
        <w:t>הפקדות</w:t>
      </w:r>
      <w:r w:rsidRPr="0012692B">
        <w:rPr>
          <w:rtl/>
        </w:rPr>
        <w:t xml:space="preserve"> נטו בקרנות </w:t>
      </w:r>
      <w:r w:rsidR="00AD0E86">
        <w:rPr>
          <w:rFonts w:hint="cs"/>
          <w:rtl/>
        </w:rPr>
        <w:t>ה</w:t>
      </w:r>
      <w:r w:rsidRPr="0012692B">
        <w:rPr>
          <w:rtl/>
        </w:rPr>
        <w:t xml:space="preserve">מתמחות באג"ח </w:t>
      </w:r>
      <w:r w:rsidR="00AD0E86">
        <w:rPr>
          <w:rFonts w:hint="cs"/>
          <w:rtl/>
        </w:rPr>
        <w:t>מדינה</w:t>
      </w:r>
      <w:r w:rsidRPr="0012692B">
        <w:rPr>
          <w:rtl/>
        </w:rPr>
        <w:t xml:space="preserve"> (</w:t>
      </w:r>
      <w:r w:rsidR="00AD0E86">
        <w:rPr>
          <w:rFonts w:hint="cs"/>
          <w:rtl/>
        </w:rPr>
        <w:t>1.3</w:t>
      </w:r>
      <w:r w:rsidRPr="0012692B">
        <w:rPr>
          <w:rtl/>
        </w:rPr>
        <w:t xml:space="preserve"> מיליארדים, </w:t>
      </w:r>
      <w:r w:rsidR="00AD0E86">
        <w:rPr>
          <w:rFonts w:hint="cs"/>
          <w:rtl/>
        </w:rPr>
        <w:t>3.9</w:t>
      </w:r>
      <w:r w:rsidRPr="0012692B">
        <w:rPr>
          <w:rtl/>
        </w:rPr>
        <w:t xml:space="preserve">%) </w:t>
      </w:r>
      <w:r w:rsidR="00AD0E86">
        <w:rPr>
          <w:rFonts w:hint="cs"/>
          <w:rtl/>
        </w:rPr>
        <w:t>ובמניות</w:t>
      </w:r>
      <w:r w:rsidR="006E3BA6">
        <w:rPr>
          <w:rFonts w:hint="cs"/>
          <w:rtl/>
        </w:rPr>
        <w:t xml:space="preserve"> בחו"ל</w:t>
      </w:r>
      <w:r w:rsidR="00AD0E86">
        <w:rPr>
          <w:rFonts w:hint="cs"/>
          <w:rtl/>
        </w:rPr>
        <w:t xml:space="preserve"> </w:t>
      </w:r>
      <w:r w:rsidRPr="0012692B">
        <w:rPr>
          <w:rtl/>
        </w:rPr>
        <w:t xml:space="preserve"> (</w:t>
      </w:r>
      <w:r w:rsidR="006E3BA6">
        <w:rPr>
          <w:rFonts w:hint="cs"/>
          <w:rtl/>
        </w:rPr>
        <w:t>1</w:t>
      </w:r>
      <w:r w:rsidRPr="0012692B">
        <w:rPr>
          <w:rtl/>
        </w:rPr>
        <w:t>.</w:t>
      </w:r>
      <w:r w:rsidR="00AD0E86">
        <w:rPr>
          <w:rFonts w:hint="cs"/>
          <w:rtl/>
        </w:rPr>
        <w:t>5</w:t>
      </w:r>
      <w:r w:rsidRPr="0012692B">
        <w:rPr>
          <w:rtl/>
        </w:rPr>
        <w:t xml:space="preserve"> מיליארדים, </w:t>
      </w:r>
      <w:r w:rsidR="00CB776F">
        <w:rPr>
          <w:rFonts w:hint="cs"/>
          <w:rtl/>
        </w:rPr>
        <w:t>10</w:t>
      </w:r>
      <w:r w:rsidRPr="0012692B">
        <w:rPr>
          <w:rtl/>
        </w:rPr>
        <w:t>%)</w:t>
      </w:r>
      <w:r w:rsidR="00112CBA">
        <w:rPr>
          <w:rFonts w:hint="cs"/>
          <w:rtl/>
        </w:rPr>
        <w:t>.</w:t>
      </w:r>
    </w:p>
    <w:p w:rsidR="004056F3" w:rsidRPr="00C739C4" w:rsidRDefault="003E5194" w:rsidP="00C739C4">
      <w:pPr>
        <w:spacing w:before="240" w:line="360" w:lineRule="auto"/>
        <w:jc w:val="center"/>
        <w:rPr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4154B030" wp14:editId="0A0B6004">
            <wp:extent cx="5486400" cy="2199640"/>
            <wp:effectExtent l="0" t="0" r="0" b="0"/>
            <wp:docPr id="1" name="תמונה 8" descr="תרשים 7: צבירה נטו בקרנות הנאמנות לפי התמחות במיליארדי ש&quot;ח&#10;" title="תרשים 7: צבירה נטו בקרנות הנאמנות לפי התמחות במיליארדי ש&quot;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תמונה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E19" w:rsidRPr="009444D3" w:rsidRDefault="009444D3" w:rsidP="00C739C4">
      <w:pPr>
        <w:autoSpaceDE w:val="0"/>
        <w:autoSpaceDN w:val="0"/>
        <w:adjustRightInd w:val="0"/>
        <w:spacing w:before="240" w:line="360" w:lineRule="auto"/>
        <w:rPr>
          <w:b/>
          <w:bCs/>
          <w:u w:val="single"/>
          <w:rtl/>
        </w:rPr>
      </w:pPr>
      <w:r w:rsidRPr="009444D3">
        <w:rPr>
          <w:rFonts w:hint="cs"/>
          <w:b/>
          <w:bCs/>
          <w:u w:val="single"/>
          <w:rtl/>
        </w:rPr>
        <w:t>למידע נוסף:</w:t>
      </w:r>
    </w:p>
    <w:p w:rsidR="00436816" w:rsidRPr="00436816" w:rsidRDefault="00436816" w:rsidP="00C739C4">
      <w:pPr>
        <w:autoSpaceDE w:val="0"/>
        <w:autoSpaceDN w:val="0"/>
        <w:adjustRightInd w:val="0"/>
        <w:spacing w:before="240" w:line="360" w:lineRule="auto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17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:rsidR="00436816" w:rsidRPr="00436816" w:rsidRDefault="00436816" w:rsidP="00C739C4">
      <w:pPr>
        <w:spacing w:before="240" w:line="360" w:lineRule="auto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18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:rsidR="00BF0A57" w:rsidRDefault="00436816" w:rsidP="00C739C4">
      <w:pPr>
        <w:autoSpaceDE w:val="0"/>
        <w:autoSpaceDN w:val="0"/>
        <w:adjustRightInd w:val="0"/>
        <w:spacing w:before="240" w:line="360" w:lineRule="auto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19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6C65C4">
      <w:headerReference w:type="default" r:id="rId20"/>
      <w:footerReference w:type="even" r:id="rId21"/>
      <w:footerReference w:type="default" r:id="rId22"/>
      <w:endnotePr>
        <w:numFmt w:val="lowerLetter"/>
      </w:endnotePr>
      <w:pgSz w:w="11906" w:h="16838"/>
      <w:pgMar w:top="1440" w:right="1080" w:bottom="1440" w:left="108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7" w:rsidRDefault="00815147">
      <w:r>
        <w:separator/>
      </w:r>
    </w:p>
  </w:endnote>
  <w:endnote w:type="continuationSeparator" w:id="0">
    <w:p w:rsidR="00815147" w:rsidRDefault="0081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4530BD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BD3B89" w:rsidRDefault="00BD3B89" w:rsidP="005F72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A2" w:rsidRPr="002E2C04" w:rsidRDefault="00D921A2" w:rsidP="007C2B07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 w:rsidR="007C2B07">
      <w:rPr>
        <w:rFonts w:hint="cs"/>
        <w:rtl/>
      </w:rPr>
      <w:t>-</w:t>
    </w:r>
    <w:r w:rsidRPr="002E2C04">
      <w:rPr>
        <w:rFonts w:hint="cs"/>
        <w:rtl/>
      </w:rPr>
      <w:t xml:space="preserve"> </w:t>
    </w:r>
    <w:r w:rsidR="002E2C04" w:rsidRPr="002E2C04">
      <w:rPr>
        <w:rFonts w:hint="cs"/>
        <w:rtl/>
      </w:rPr>
      <w:t xml:space="preserve">תיק </w:t>
    </w:r>
    <w:r w:rsidRPr="002E2C04">
      <w:rPr>
        <w:rFonts w:hint="cs"/>
        <w:rtl/>
      </w:rPr>
      <w:t xml:space="preserve"> הנכסים</w:t>
    </w:r>
    <w:r w:rsidR="007C2B07">
      <w:rPr>
        <w:rFonts w:hint="cs"/>
        <w:rtl/>
      </w:rPr>
      <w:t xml:space="preserve"> הפיננסים של הציבור</w:t>
    </w:r>
    <w:r w:rsidR="002E2C04" w:rsidRPr="002E2C04">
      <w:rPr>
        <w:rFonts w:hint="cs"/>
        <w:rtl/>
      </w:rPr>
      <w:t>,</w:t>
    </w:r>
    <w:r w:rsidRPr="002E2C04">
      <w:rPr>
        <w:rFonts w:hint="cs"/>
        <w:rtl/>
      </w:rPr>
      <w:t xml:space="preserve"> </w:t>
    </w:r>
    <w:r w:rsidR="002E2C04" w:rsidRPr="002E2C04">
      <w:rPr>
        <w:rFonts w:hint="cs"/>
        <w:rtl/>
      </w:rPr>
      <w:t xml:space="preserve">רביע </w:t>
    </w:r>
    <w:r w:rsidR="00DC1BD5">
      <w:rPr>
        <w:rFonts w:hint="cs"/>
        <w:rtl/>
      </w:rPr>
      <w:t>שני</w:t>
    </w:r>
    <w:r w:rsidR="002E2C04" w:rsidRPr="002E2C04">
      <w:rPr>
        <w:rFonts w:hint="cs"/>
        <w:rtl/>
      </w:rPr>
      <w:t xml:space="preserve"> </w:t>
    </w:r>
    <w:r w:rsidR="00017CED">
      <w:rPr>
        <w:rFonts w:hint="cs"/>
        <w:rtl/>
      </w:rPr>
      <w:t>2018</w:t>
    </w:r>
    <w:r w:rsidRPr="002E2C04">
      <w:rPr>
        <w:rFonts w:hint="cs"/>
        <w:rtl/>
        <w:cs/>
        <w:lang w:val="he-IL"/>
      </w:rPr>
      <w:tab/>
    </w:r>
    <w:r w:rsidR="002E2C04" w:rsidRPr="002E2C04">
      <w:rPr>
        <w:rFonts w:hint="cs"/>
        <w:rtl/>
        <w:cs/>
        <w:lang w:val="he-IL"/>
      </w:rPr>
      <w:tab/>
    </w:r>
    <w:r w:rsidR="002E2C04" w:rsidRPr="002E2C04">
      <w:rPr>
        <w:rFonts w:hint="cs"/>
        <w:rtl/>
        <w:cs/>
        <w:lang w:val="he-IL"/>
      </w:rPr>
      <w:tab/>
    </w:r>
    <w:r w:rsidR="002E2C04" w:rsidRPr="002E2C04">
      <w:rPr>
        <w:rFonts w:hint="cs"/>
        <w:rtl/>
        <w:cs/>
        <w:lang w:val="he-IL"/>
      </w:rPr>
      <w:tab/>
    </w:r>
    <w:r w:rsidR="002E2C04"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7953A4">
      <w:rPr>
        <w:b/>
        <w:bCs/>
        <w:noProof/>
        <w:rtl/>
      </w:rPr>
      <w:t>1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7953A4">
      <w:rPr>
        <w:b/>
        <w:bCs/>
        <w:noProof/>
        <w:rtl/>
      </w:rPr>
      <w:t>5</w:t>
    </w:r>
    <w:r w:rsidRPr="002E2C04">
      <w:rPr>
        <w:b/>
        <w:bCs/>
      </w:rPr>
      <w:fldChar w:fldCharType="end"/>
    </w:r>
  </w:p>
  <w:p w:rsidR="00BD3B89" w:rsidRDefault="00BD3B89" w:rsidP="005F72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7" w:rsidRDefault="00815147">
      <w:r>
        <w:separator/>
      </w:r>
    </w:p>
  </w:footnote>
  <w:footnote w:type="continuationSeparator" w:id="0">
    <w:p w:rsidR="00815147" w:rsidRDefault="00815147">
      <w:r>
        <w:continuationSeparator/>
      </w:r>
    </w:p>
  </w:footnote>
  <w:footnote w:id="1">
    <w:p w:rsidR="0053162E" w:rsidRDefault="0053162E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2">
    <w:p w:rsidR="007C2B07" w:rsidRDefault="007C2B07" w:rsidP="007C2B07">
      <w:pPr>
        <w:pStyle w:val="a3"/>
        <w:rPr>
          <w:rtl/>
        </w:rPr>
      </w:pPr>
      <w:r w:rsidRPr="00794343">
        <w:rPr>
          <w:rStyle w:val="a4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057FBC">
    <w:pPr>
      <w:pStyle w:val="a9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A851AA4"/>
    <w:multiLevelType w:val="hybridMultilevel"/>
    <w:tmpl w:val="BB14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777FDE"/>
    <w:multiLevelType w:val="hybridMultilevel"/>
    <w:tmpl w:val="6880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5"/>
  </w:num>
  <w:num w:numId="5">
    <w:abstractNumId w:val="11"/>
  </w:num>
  <w:num w:numId="6">
    <w:abstractNumId w:val="17"/>
  </w:num>
  <w:num w:numId="7">
    <w:abstractNumId w:val="13"/>
  </w:num>
  <w:num w:numId="8">
    <w:abstractNumId w:val="20"/>
  </w:num>
  <w:num w:numId="9">
    <w:abstractNumId w:val="2"/>
  </w:num>
  <w:num w:numId="10">
    <w:abstractNumId w:val="9"/>
  </w:num>
  <w:num w:numId="11">
    <w:abstractNumId w:val="22"/>
  </w:num>
  <w:num w:numId="12">
    <w:abstractNumId w:val="0"/>
  </w:num>
  <w:num w:numId="13">
    <w:abstractNumId w:val="16"/>
  </w:num>
  <w:num w:numId="14">
    <w:abstractNumId w:val="5"/>
  </w:num>
  <w:num w:numId="15">
    <w:abstractNumId w:val="18"/>
  </w:num>
  <w:num w:numId="16">
    <w:abstractNumId w:val="6"/>
  </w:num>
  <w:num w:numId="17">
    <w:abstractNumId w:val="10"/>
  </w:num>
  <w:num w:numId="18">
    <w:abstractNumId w:val="19"/>
  </w:num>
  <w:num w:numId="19">
    <w:abstractNumId w:val="4"/>
  </w:num>
  <w:num w:numId="20">
    <w:abstractNumId w:val="1"/>
  </w:num>
  <w:num w:numId="21">
    <w:abstractNumId w:val="7"/>
  </w:num>
  <w:num w:numId="22">
    <w:abstractNumId w:val="14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36"/>
    <w:rsid w:val="0000050F"/>
    <w:rsid w:val="00000F00"/>
    <w:rsid w:val="000017DF"/>
    <w:rsid w:val="00001C31"/>
    <w:rsid w:val="000020FA"/>
    <w:rsid w:val="000022B8"/>
    <w:rsid w:val="00002A43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ED"/>
    <w:rsid w:val="0002118E"/>
    <w:rsid w:val="000217DC"/>
    <w:rsid w:val="00022355"/>
    <w:rsid w:val="00023EE3"/>
    <w:rsid w:val="00024D12"/>
    <w:rsid w:val="000257F0"/>
    <w:rsid w:val="000259E9"/>
    <w:rsid w:val="00026858"/>
    <w:rsid w:val="000269A7"/>
    <w:rsid w:val="00026B30"/>
    <w:rsid w:val="00027B8D"/>
    <w:rsid w:val="00031281"/>
    <w:rsid w:val="00031461"/>
    <w:rsid w:val="000334C7"/>
    <w:rsid w:val="00033B6E"/>
    <w:rsid w:val="000343D2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50E7"/>
    <w:rsid w:val="00045462"/>
    <w:rsid w:val="000458D4"/>
    <w:rsid w:val="00046F09"/>
    <w:rsid w:val="00047E41"/>
    <w:rsid w:val="0005021A"/>
    <w:rsid w:val="00051250"/>
    <w:rsid w:val="00051E43"/>
    <w:rsid w:val="00052A72"/>
    <w:rsid w:val="000536B9"/>
    <w:rsid w:val="00054020"/>
    <w:rsid w:val="00054513"/>
    <w:rsid w:val="000546A3"/>
    <w:rsid w:val="00055921"/>
    <w:rsid w:val="000559EC"/>
    <w:rsid w:val="00055A9E"/>
    <w:rsid w:val="000564E4"/>
    <w:rsid w:val="00056736"/>
    <w:rsid w:val="00056C8C"/>
    <w:rsid w:val="00057225"/>
    <w:rsid w:val="00057504"/>
    <w:rsid w:val="000575A5"/>
    <w:rsid w:val="000578A2"/>
    <w:rsid w:val="00057B85"/>
    <w:rsid w:val="00057FBC"/>
    <w:rsid w:val="00060AB4"/>
    <w:rsid w:val="000611C5"/>
    <w:rsid w:val="00061329"/>
    <w:rsid w:val="00061509"/>
    <w:rsid w:val="00061B54"/>
    <w:rsid w:val="00062277"/>
    <w:rsid w:val="0006250C"/>
    <w:rsid w:val="00063A3F"/>
    <w:rsid w:val="00063EA2"/>
    <w:rsid w:val="00064EC7"/>
    <w:rsid w:val="00065EE2"/>
    <w:rsid w:val="00066482"/>
    <w:rsid w:val="00067385"/>
    <w:rsid w:val="00067625"/>
    <w:rsid w:val="00067ADF"/>
    <w:rsid w:val="00070610"/>
    <w:rsid w:val="00071052"/>
    <w:rsid w:val="00072355"/>
    <w:rsid w:val="000723D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0C9F"/>
    <w:rsid w:val="0008142A"/>
    <w:rsid w:val="00081868"/>
    <w:rsid w:val="00081BD3"/>
    <w:rsid w:val="000820EA"/>
    <w:rsid w:val="00083BDF"/>
    <w:rsid w:val="000842B9"/>
    <w:rsid w:val="000857FF"/>
    <w:rsid w:val="00085961"/>
    <w:rsid w:val="00085EA2"/>
    <w:rsid w:val="00086B1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09EC"/>
    <w:rsid w:val="000A103B"/>
    <w:rsid w:val="000A23D5"/>
    <w:rsid w:val="000A2E03"/>
    <w:rsid w:val="000A3210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6C6"/>
    <w:rsid w:val="000A5D67"/>
    <w:rsid w:val="000A62F8"/>
    <w:rsid w:val="000A689F"/>
    <w:rsid w:val="000A6DCE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87D"/>
    <w:rsid w:val="000C6588"/>
    <w:rsid w:val="000C6A74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3458"/>
    <w:rsid w:val="000D3971"/>
    <w:rsid w:val="000D3EDF"/>
    <w:rsid w:val="000D4218"/>
    <w:rsid w:val="000D47E5"/>
    <w:rsid w:val="000D4C8F"/>
    <w:rsid w:val="000D4E48"/>
    <w:rsid w:val="000D4F71"/>
    <w:rsid w:val="000D6B53"/>
    <w:rsid w:val="000D6E59"/>
    <w:rsid w:val="000D6FF2"/>
    <w:rsid w:val="000E1096"/>
    <w:rsid w:val="000E1501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2B48"/>
    <w:rsid w:val="000F2BA7"/>
    <w:rsid w:val="000F35DD"/>
    <w:rsid w:val="000F5F96"/>
    <w:rsid w:val="000F6504"/>
    <w:rsid w:val="000F6CAC"/>
    <w:rsid w:val="000F7611"/>
    <w:rsid w:val="00100334"/>
    <w:rsid w:val="00100611"/>
    <w:rsid w:val="00100FA0"/>
    <w:rsid w:val="00101362"/>
    <w:rsid w:val="00101E9A"/>
    <w:rsid w:val="00101EB2"/>
    <w:rsid w:val="00103128"/>
    <w:rsid w:val="00103942"/>
    <w:rsid w:val="00103C1F"/>
    <w:rsid w:val="00104AED"/>
    <w:rsid w:val="00104CDD"/>
    <w:rsid w:val="001056DE"/>
    <w:rsid w:val="0010593A"/>
    <w:rsid w:val="0010631E"/>
    <w:rsid w:val="0011075A"/>
    <w:rsid w:val="00110DFF"/>
    <w:rsid w:val="00110E4D"/>
    <w:rsid w:val="00111078"/>
    <w:rsid w:val="0011121D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C0F"/>
    <w:rsid w:val="0013726C"/>
    <w:rsid w:val="001378C4"/>
    <w:rsid w:val="00140B27"/>
    <w:rsid w:val="00140F79"/>
    <w:rsid w:val="00141F2B"/>
    <w:rsid w:val="00142236"/>
    <w:rsid w:val="00142F75"/>
    <w:rsid w:val="00143E3B"/>
    <w:rsid w:val="00144B17"/>
    <w:rsid w:val="0014542F"/>
    <w:rsid w:val="001455EF"/>
    <w:rsid w:val="00145791"/>
    <w:rsid w:val="00146AF6"/>
    <w:rsid w:val="00146FCA"/>
    <w:rsid w:val="00147410"/>
    <w:rsid w:val="0014743C"/>
    <w:rsid w:val="00150373"/>
    <w:rsid w:val="00150AD5"/>
    <w:rsid w:val="00150BFB"/>
    <w:rsid w:val="00150E47"/>
    <w:rsid w:val="001510D5"/>
    <w:rsid w:val="00151D1D"/>
    <w:rsid w:val="0015236A"/>
    <w:rsid w:val="00152F2D"/>
    <w:rsid w:val="00154533"/>
    <w:rsid w:val="001553C3"/>
    <w:rsid w:val="001555E5"/>
    <w:rsid w:val="001558E4"/>
    <w:rsid w:val="0015662F"/>
    <w:rsid w:val="00156C5F"/>
    <w:rsid w:val="00156D03"/>
    <w:rsid w:val="001574CD"/>
    <w:rsid w:val="00157C66"/>
    <w:rsid w:val="00157E94"/>
    <w:rsid w:val="00160292"/>
    <w:rsid w:val="001602C1"/>
    <w:rsid w:val="001607A3"/>
    <w:rsid w:val="00160CCF"/>
    <w:rsid w:val="001613B9"/>
    <w:rsid w:val="00161545"/>
    <w:rsid w:val="0016191B"/>
    <w:rsid w:val="00161BE9"/>
    <w:rsid w:val="00162774"/>
    <w:rsid w:val="00162F67"/>
    <w:rsid w:val="00163E3F"/>
    <w:rsid w:val="00164788"/>
    <w:rsid w:val="00164A39"/>
    <w:rsid w:val="00165449"/>
    <w:rsid w:val="00166430"/>
    <w:rsid w:val="00167682"/>
    <w:rsid w:val="001707D5"/>
    <w:rsid w:val="00170A50"/>
    <w:rsid w:val="00171E12"/>
    <w:rsid w:val="00172049"/>
    <w:rsid w:val="00172451"/>
    <w:rsid w:val="001725CA"/>
    <w:rsid w:val="00172B5B"/>
    <w:rsid w:val="001734CD"/>
    <w:rsid w:val="00174658"/>
    <w:rsid w:val="001753AF"/>
    <w:rsid w:val="00175634"/>
    <w:rsid w:val="00175BE7"/>
    <w:rsid w:val="00176DA9"/>
    <w:rsid w:val="001776A3"/>
    <w:rsid w:val="00180446"/>
    <w:rsid w:val="001804EC"/>
    <w:rsid w:val="00180C9F"/>
    <w:rsid w:val="00180FBD"/>
    <w:rsid w:val="001816FC"/>
    <w:rsid w:val="00181977"/>
    <w:rsid w:val="00181A28"/>
    <w:rsid w:val="00182280"/>
    <w:rsid w:val="00183A6E"/>
    <w:rsid w:val="00183C5D"/>
    <w:rsid w:val="001840D3"/>
    <w:rsid w:val="00184396"/>
    <w:rsid w:val="00184453"/>
    <w:rsid w:val="001844D8"/>
    <w:rsid w:val="00184509"/>
    <w:rsid w:val="001857A4"/>
    <w:rsid w:val="001859DC"/>
    <w:rsid w:val="00185C55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E44"/>
    <w:rsid w:val="00194180"/>
    <w:rsid w:val="001949E8"/>
    <w:rsid w:val="00194CB7"/>
    <w:rsid w:val="0019565E"/>
    <w:rsid w:val="00196A7F"/>
    <w:rsid w:val="00197A7E"/>
    <w:rsid w:val="00197D0B"/>
    <w:rsid w:val="001A095A"/>
    <w:rsid w:val="001A0A07"/>
    <w:rsid w:val="001A0AAC"/>
    <w:rsid w:val="001A176C"/>
    <w:rsid w:val="001A17E8"/>
    <w:rsid w:val="001A1A30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6333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C99"/>
    <w:rsid w:val="001B6E57"/>
    <w:rsid w:val="001B7547"/>
    <w:rsid w:val="001B7675"/>
    <w:rsid w:val="001C0856"/>
    <w:rsid w:val="001C18C5"/>
    <w:rsid w:val="001C1CA1"/>
    <w:rsid w:val="001C264C"/>
    <w:rsid w:val="001C33AA"/>
    <w:rsid w:val="001C46CF"/>
    <w:rsid w:val="001C6A98"/>
    <w:rsid w:val="001C6F8F"/>
    <w:rsid w:val="001C7B52"/>
    <w:rsid w:val="001C7E12"/>
    <w:rsid w:val="001D08C2"/>
    <w:rsid w:val="001D109B"/>
    <w:rsid w:val="001D115C"/>
    <w:rsid w:val="001D15FD"/>
    <w:rsid w:val="001D1B66"/>
    <w:rsid w:val="001D23E6"/>
    <w:rsid w:val="001D301D"/>
    <w:rsid w:val="001D3185"/>
    <w:rsid w:val="001D333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781"/>
    <w:rsid w:val="001D6866"/>
    <w:rsid w:val="001D7439"/>
    <w:rsid w:val="001D76B2"/>
    <w:rsid w:val="001D7970"/>
    <w:rsid w:val="001E02E6"/>
    <w:rsid w:val="001E25EF"/>
    <w:rsid w:val="001E2E5B"/>
    <w:rsid w:val="001E2E95"/>
    <w:rsid w:val="001E31AC"/>
    <w:rsid w:val="001E42B4"/>
    <w:rsid w:val="001E47F2"/>
    <w:rsid w:val="001E4FB1"/>
    <w:rsid w:val="001E5746"/>
    <w:rsid w:val="001E5953"/>
    <w:rsid w:val="001E5B84"/>
    <w:rsid w:val="001E5D0A"/>
    <w:rsid w:val="001E5EF4"/>
    <w:rsid w:val="001E6A6C"/>
    <w:rsid w:val="001E7B49"/>
    <w:rsid w:val="001F043C"/>
    <w:rsid w:val="001F0470"/>
    <w:rsid w:val="001F0485"/>
    <w:rsid w:val="001F0DF7"/>
    <w:rsid w:val="001F1C05"/>
    <w:rsid w:val="001F2087"/>
    <w:rsid w:val="001F3A15"/>
    <w:rsid w:val="001F4211"/>
    <w:rsid w:val="001F4BA3"/>
    <w:rsid w:val="001F4DAA"/>
    <w:rsid w:val="001F4DD2"/>
    <w:rsid w:val="001F56B7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AD2"/>
    <w:rsid w:val="00202D83"/>
    <w:rsid w:val="00202E28"/>
    <w:rsid w:val="00203066"/>
    <w:rsid w:val="002041BE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472"/>
    <w:rsid w:val="002204AB"/>
    <w:rsid w:val="0022173B"/>
    <w:rsid w:val="00221EB5"/>
    <w:rsid w:val="00222821"/>
    <w:rsid w:val="00222BD6"/>
    <w:rsid w:val="002237F8"/>
    <w:rsid w:val="00223C6E"/>
    <w:rsid w:val="00223E9A"/>
    <w:rsid w:val="002252E2"/>
    <w:rsid w:val="00225541"/>
    <w:rsid w:val="002257D7"/>
    <w:rsid w:val="00226017"/>
    <w:rsid w:val="00226B3C"/>
    <w:rsid w:val="00226B99"/>
    <w:rsid w:val="00226D8A"/>
    <w:rsid w:val="00227572"/>
    <w:rsid w:val="00230173"/>
    <w:rsid w:val="00230C10"/>
    <w:rsid w:val="00231761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5DCE"/>
    <w:rsid w:val="00235FBA"/>
    <w:rsid w:val="0023775E"/>
    <w:rsid w:val="002379EF"/>
    <w:rsid w:val="00237C45"/>
    <w:rsid w:val="002403B2"/>
    <w:rsid w:val="00240B61"/>
    <w:rsid w:val="00240D58"/>
    <w:rsid w:val="00241646"/>
    <w:rsid w:val="00241A25"/>
    <w:rsid w:val="00242714"/>
    <w:rsid w:val="002428E6"/>
    <w:rsid w:val="00242961"/>
    <w:rsid w:val="0024359D"/>
    <w:rsid w:val="0024440A"/>
    <w:rsid w:val="00245554"/>
    <w:rsid w:val="00245655"/>
    <w:rsid w:val="00245A1A"/>
    <w:rsid w:val="0024602D"/>
    <w:rsid w:val="002467E1"/>
    <w:rsid w:val="00247D86"/>
    <w:rsid w:val="00247E64"/>
    <w:rsid w:val="00247E9A"/>
    <w:rsid w:val="00247F73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5C17"/>
    <w:rsid w:val="00256235"/>
    <w:rsid w:val="00256719"/>
    <w:rsid w:val="002575D2"/>
    <w:rsid w:val="00257B08"/>
    <w:rsid w:val="00257BB1"/>
    <w:rsid w:val="002606CD"/>
    <w:rsid w:val="00260B31"/>
    <w:rsid w:val="00261156"/>
    <w:rsid w:val="0026130C"/>
    <w:rsid w:val="00261A2B"/>
    <w:rsid w:val="002627FE"/>
    <w:rsid w:val="0026343B"/>
    <w:rsid w:val="00263FB2"/>
    <w:rsid w:val="0026446B"/>
    <w:rsid w:val="002649BD"/>
    <w:rsid w:val="00264EA8"/>
    <w:rsid w:val="002653A0"/>
    <w:rsid w:val="0026547B"/>
    <w:rsid w:val="0026567C"/>
    <w:rsid w:val="00265D1C"/>
    <w:rsid w:val="002665AE"/>
    <w:rsid w:val="002670AD"/>
    <w:rsid w:val="00267A92"/>
    <w:rsid w:val="00270B18"/>
    <w:rsid w:val="002717B2"/>
    <w:rsid w:val="002726E1"/>
    <w:rsid w:val="00272FF7"/>
    <w:rsid w:val="0027319D"/>
    <w:rsid w:val="002731B0"/>
    <w:rsid w:val="002732E7"/>
    <w:rsid w:val="00273AB3"/>
    <w:rsid w:val="00273AE5"/>
    <w:rsid w:val="002742CF"/>
    <w:rsid w:val="0027468F"/>
    <w:rsid w:val="002757B9"/>
    <w:rsid w:val="002763DF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EF0"/>
    <w:rsid w:val="00290FF3"/>
    <w:rsid w:val="0029141A"/>
    <w:rsid w:val="0029185D"/>
    <w:rsid w:val="00292427"/>
    <w:rsid w:val="00292432"/>
    <w:rsid w:val="00293831"/>
    <w:rsid w:val="002941EA"/>
    <w:rsid w:val="00295A41"/>
    <w:rsid w:val="00295B3F"/>
    <w:rsid w:val="0029682A"/>
    <w:rsid w:val="00297583"/>
    <w:rsid w:val="00297B32"/>
    <w:rsid w:val="00297EF8"/>
    <w:rsid w:val="002A05B4"/>
    <w:rsid w:val="002A07C7"/>
    <w:rsid w:val="002A172C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10E2"/>
    <w:rsid w:val="002B3BDD"/>
    <w:rsid w:val="002B4998"/>
    <w:rsid w:val="002B49E1"/>
    <w:rsid w:val="002B51DF"/>
    <w:rsid w:val="002B594E"/>
    <w:rsid w:val="002B6CDE"/>
    <w:rsid w:val="002B7042"/>
    <w:rsid w:val="002B7732"/>
    <w:rsid w:val="002C08F6"/>
    <w:rsid w:val="002C141D"/>
    <w:rsid w:val="002C14DC"/>
    <w:rsid w:val="002C311A"/>
    <w:rsid w:val="002C3F79"/>
    <w:rsid w:val="002C433B"/>
    <w:rsid w:val="002C47D1"/>
    <w:rsid w:val="002C576B"/>
    <w:rsid w:val="002C5795"/>
    <w:rsid w:val="002C67BC"/>
    <w:rsid w:val="002C6D97"/>
    <w:rsid w:val="002C7B48"/>
    <w:rsid w:val="002D007F"/>
    <w:rsid w:val="002D0458"/>
    <w:rsid w:val="002D0C2E"/>
    <w:rsid w:val="002D1100"/>
    <w:rsid w:val="002D2470"/>
    <w:rsid w:val="002D24CA"/>
    <w:rsid w:val="002D2520"/>
    <w:rsid w:val="002D2B1F"/>
    <w:rsid w:val="002D2F52"/>
    <w:rsid w:val="002D35C5"/>
    <w:rsid w:val="002D5E9B"/>
    <w:rsid w:val="002D7A01"/>
    <w:rsid w:val="002E0938"/>
    <w:rsid w:val="002E0A85"/>
    <w:rsid w:val="002E0EE1"/>
    <w:rsid w:val="002E12A7"/>
    <w:rsid w:val="002E13B6"/>
    <w:rsid w:val="002E188B"/>
    <w:rsid w:val="002E1C15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44A"/>
    <w:rsid w:val="002F0565"/>
    <w:rsid w:val="002F0602"/>
    <w:rsid w:val="002F0D7B"/>
    <w:rsid w:val="002F0DC3"/>
    <w:rsid w:val="002F18CE"/>
    <w:rsid w:val="002F1A2D"/>
    <w:rsid w:val="002F1B65"/>
    <w:rsid w:val="002F2F3D"/>
    <w:rsid w:val="002F3383"/>
    <w:rsid w:val="002F3B73"/>
    <w:rsid w:val="002F4E60"/>
    <w:rsid w:val="002F5401"/>
    <w:rsid w:val="002F56BB"/>
    <w:rsid w:val="002F58E6"/>
    <w:rsid w:val="002F5E9B"/>
    <w:rsid w:val="002F6225"/>
    <w:rsid w:val="002F73C5"/>
    <w:rsid w:val="002F7DA5"/>
    <w:rsid w:val="00300589"/>
    <w:rsid w:val="003006F0"/>
    <w:rsid w:val="00300ACC"/>
    <w:rsid w:val="00300EBC"/>
    <w:rsid w:val="00300FCB"/>
    <w:rsid w:val="0030227E"/>
    <w:rsid w:val="0030251E"/>
    <w:rsid w:val="0030266C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25D3"/>
    <w:rsid w:val="00313125"/>
    <w:rsid w:val="0031320B"/>
    <w:rsid w:val="00313272"/>
    <w:rsid w:val="003132AA"/>
    <w:rsid w:val="003139F9"/>
    <w:rsid w:val="003141E6"/>
    <w:rsid w:val="00315E08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2A"/>
    <w:rsid w:val="00327E8E"/>
    <w:rsid w:val="00330BFD"/>
    <w:rsid w:val="00331B80"/>
    <w:rsid w:val="0033294C"/>
    <w:rsid w:val="00333901"/>
    <w:rsid w:val="00333DA8"/>
    <w:rsid w:val="00333FE1"/>
    <w:rsid w:val="00334578"/>
    <w:rsid w:val="0033465F"/>
    <w:rsid w:val="003350AA"/>
    <w:rsid w:val="00335187"/>
    <w:rsid w:val="003352C5"/>
    <w:rsid w:val="00336423"/>
    <w:rsid w:val="003366F0"/>
    <w:rsid w:val="00337187"/>
    <w:rsid w:val="00337209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3418"/>
    <w:rsid w:val="00343F19"/>
    <w:rsid w:val="00344A50"/>
    <w:rsid w:val="0034590D"/>
    <w:rsid w:val="00346595"/>
    <w:rsid w:val="0034700B"/>
    <w:rsid w:val="00347299"/>
    <w:rsid w:val="003475AD"/>
    <w:rsid w:val="0034768C"/>
    <w:rsid w:val="0035002C"/>
    <w:rsid w:val="00350300"/>
    <w:rsid w:val="00351058"/>
    <w:rsid w:val="00351C10"/>
    <w:rsid w:val="0035212D"/>
    <w:rsid w:val="00352ABE"/>
    <w:rsid w:val="00352E75"/>
    <w:rsid w:val="00353174"/>
    <w:rsid w:val="00353A9A"/>
    <w:rsid w:val="00354058"/>
    <w:rsid w:val="00354E9E"/>
    <w:rsid w:val="00355B39"/>
    <w:rsid w:val="00355D57"/>
    <w:rsid w:val="0036019C"/>
    <w:rsid w:val="003606FD"/>
    <w:rsid w:val="0036090B"/>
    <w:rsid w:val="00360EE1"/>
    <w:rsid w:val="003624D0"/>
    <w:rsid w:val="00362C17"/>
    <w:rsid w:val="00363003"/>
    <w:rsid w:val="00363E4A"/>
    <w:rsid w:val="00364520"/>
    <w:rsid w:val="00364782"/>
    <w:rsid w:val="00364D25"/>
    <w:rsid w:val="00364EED"/>
    <w:rsid w:val="00365B98"/>
    <w:rsid w:val="003673A0"/>
    <w:rsid w:val="00367E60"/>
    <w:rsid w:val="00370B25"/>
    <w:rsid w:val="00371A4B"/>
    <w:rsid w:val="00372C74"/>
    <w:rsid w:val="00374650"/>
    <w:rsid w:val="003746CA"/>
    <w:rsid w:val="003752C4"/>
    <w:rsid w:val="00375341"/>
    <w:rsid w:val="00376947"/>
    <w:rsid w:val="0037722C"/>
    <w:rsid w:val="00377ADA"/>
    <w:rsid w:val="00380DA4"/>
    <w:rsid w:val="00380F38"/>
    <w:rsid w:val="00381900"/>
    <w:rsid w:val="00382A96"/>
    <w:rsid w:val="0038352D"/>
    <w:rsid w:val="0038352E"/>
    <w:rsid w:val="00384733"/>
    <w:rsid w:val="00384EEC"/>
    <w:rsid w:val="00386C83"/>
    <w:rsid w:val="003873F3"/>
    <w:rsid w:val="00387665"/>
    <w:rsid w:val="0039006D"/>
    <w:rsid w:val="00390265"/>
    <w:rsid w:val="00391FC3"/>
    <w:rsid w:val="0039259D"/>
    <w:rsid w:val="00392A7D"/>
    <w:rsid w:val="00393291"/>
    <w:rsid w:val="003955FE"/>
    <w:rsid w:val="003958DC"/>
    <w:rsid w:val="00395BC3"/>
    <w:rsid w:val="00395FE2"/>
    <w:rsid w:val="003960C5"/>
    <w:rsid w:val="00396B35"/>
    <w:rsid w:val="003971F2"/>
    <w:rsid w:val="00397921"/>
    <w:rsid w:val="003A09C0"/>
    <w:rsid w:val="003A0A0D"/>
    <w:rsid w:val="003A0BD1"/>
    <w:rsid w:val="003A0EA4"/>
    <w:rsid w:val="003A113D"/>
    <w:rsid w:val="003A17D9"/>
    <w:rsid w:val="003A1A1E"/>
    <w:rsid w:val="003A1FCC"/>
    <w:rsid w:val="003A2C39"/>
    <w:rsid w:val="003A353B"/>
    <w:rsid w:val="003A377F"/>
    <w:rsid w:val="003A43E6"/>
    <w:rsid w:val="003A4B9B"/>
    <w:rsid w:val="003A4DF9"/>
    <w:rsid w:val="003A50BB"/>
    <w:rsid w:val="003A6452"/>
    <w:rsid w:val="003A70ED"/>
    <w:rsid w:val="003A75AC"/>
    <w:rsid w:val="003B0778"/>
    <w:rsid w:val="003B0875"/>
    <w:rsid w:val="003B091C"/>
    <w:rsid w:val="003B0B89"/>
    <w:rsid w:val="003B2263"/>
    <w:rsid w:val="003B24D1"/>
    <w:rsid w:val="003B264E"/>
    <w:rsid w:val="003B3ED7"/>
    <w:rsid w:val="003B437B"/>
    <w:rsid w:val="003B544B"/>
    <w:rsid w:val="003B5649"/>
    <w:rsid w:val="003B57D2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0AC"/>
    <w:rsid w:val="003C6456"/>
    <w:rsid w:val="003C65A0"/>
    <w:rsid w:val="003C666F"/>
    <w:rsid w:val="003C6B2E"/>
    <w:rsid w:val="003C6D7F"/>
    <w:rsid w:val="003C71DB"/>
    <w:rsid w:val="003C7296"/>
    <w:rsid w:val="003D18BB"/>
    <w:rsid w:val="003D236F"/>
    <w:rsid w:val="003D276A"/>
    <w:rsid w:val="003D35E1"/>
    <w:rsid w:val="003D372B"/>
    <w:rsid w:val="003D4315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194"/>
    <w:rsid w:val="003E536B"/>
    <w:rsid w:val="003E5DA9"/>
    <w:rsid w:val="003E616A"/>
    <w:rsid w:val="003E61C1"/>
    <w:rsid w:val="003E6D70"/>
    <w:rsid w:val="003E740C"/>
    <w:rsid w:val="003E7730"/>
    <w:rsid w:val="003E78C4"/>
    <w:rsid w:val="003F0F09"/>
    <w:rsid w:val="003F119B"/>
    <w:rsid w:val="003F193A"/>
    <w:rsid w:val="003F25B5"/>
    <w:rsid w:val="003F320F"/>
    <w:rsid w:val="003F39ED"/>
    <w:rsid w:val="003F3C90"/>
    <w:rsid w:val="003F4130"/>
    <w:rsid w:val="003F4B94"/>
    <w:rsid w:val="003F4FF9"/>
    <w:rsid w:val="003F56FE"/>
    <w:rsid w:val="003F6511"/>
    <w:rsid w:val="003F76A6"/>
    <w:rsid w:val="00400605"/>
    <w:rsid w:val="004011E9"/>
    <w:rsid w:val="004012D8"/>
    <w:rsid w:val="0040139E"/>
    <w:rsid w:val="004017A6"/>
    <w:rsid w:val="004021CE"/>
    <w:rsid w:val="004021D8"/>
    <w:rsid w:val="004031E8"/>
    <w:rsid w:val="00403972"/>
    <w:rsid w:val="00403BFB"/>
    <w:rsid w:val="0040405E"/>
    <w:rsid w:val="0040499D"/>
    <w:rsid w:val="004056F3"/>
    <w:rsid w:val="0040667A"/>
    <w:rsid w:val="00406F16"/>
    <w:rsid w:val="004077F7"/>
    <w:rsid w:val="00410237"/>
    <w:rsid w:val="004103EF"/>
    <w:rsid w:val="0041053D"/>
    <w:rsid w:val="0041081C"/>
    <w:rsid w:val="004117A1"/>
    <w:rsid w:val="0041231E"/>
    <w:rsid w:val="00413A2B"/>
    <w:rsid w:val="00413F0A"/>
    <w:rsid w:val="00414C0A"/>
    <w:rsid w:val="004161F0"/>
    <w:rsid w:val="00416525"/>
    <w:rsid w:val="00416F4B"/>
    <w:rsid w:val="00417A04"/>
    <w:rsid w:val="004207C3"/>
    <w:rsid w:val="004211E7"/>
    <w:rsid w:val="004211EB"/>
    <w:rsid w:val="00422508"/>
    <w:rsid w:val="00422C7E"/>
    <w:rsid w:val="00423E9F"/>
    <w:rsid w:val="00423FF4"/>
    <w:rsid w:val="004242EF"/>
    <w:rsid w:val="00424A00"/>
    <w:rsid w:val="00425589"/>
    <w:rsid w:val="00425D74"/>
    <w:rsid w:val="00425E0E"/>
    <w:rsid w:val="004261B5"/>
    <w:rsid w:val="004267EF"/>
    <w:rsid w:val="0042718A"/>
    <w:rsid w:val="0042727F"/>
    <w:rsid w:val="004279A7"/>
    <w:rsid w:val="00432302"/>
    <w:rsid w:val="004324AC"/>
    <w:rsid w:val="00433492"/>
    <w:rsid w:val="00433A8C"/>
    <w:rsid w:val="00433B9F"/>
    <w:rsid w:val="004340A2"/>
    <w:rsid w:val="0043465E"/>
    <w:rsid w:val="00434B2F"/>
    <w:rsid w:val="00434B61"/>
    <w:rsid w:val="00436800"/>
    <w:rsid w:val="00436816"/>
    <w:rsid w:val="004376A1"/>
    <w:rsid w:val="00437961"/>
    <w:rsid w:val="00440BED"/>
    <w:rsid w:val="004411E9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534D"/>
    <w:rsid w:val="00446E0B"/>
    <w:rsid w:val="00447086"/>
    <w:rsid w:val="004475B6"/>
    <w:rsid w:val="00447D54"/>
    <w:rsid w:val="00450711"/>
    <w:rsid w:val="00450CE8"/>
    <w:rsid w:val="00451612"/>
    <w:rsid w:val="0045263F"/>
    <w:rsid w:val="004530BD"/>
    <w:rsid w:val="004544A5"/>
    <w:rsid w:val="0045455B"/>
    <w:rsid w:val="004548C2"/>
    <w:rsid w:val="00454A35"/>
    <w:rsid w:val="00455644"/>
    <w:rsid w:val="00455C16"/>
    <w:rsid w:val="00455C2A"/>
    <w:rsid w:val="004571F7"/>
    <w:rsid w:val="004573B7"/>
    <w:rsid w:val="0045777A"/>
    <w:rsid w:val="00457B83"/>
    <w:rsid w:val="0046008B"/>
    <w:rsid w:val="0046024D"/>
    <w:rsid w:val="00460297"/>
    <w:rsid w:val="004617C1"/>
    <w:rsid w:val="004617DB"/>
    <w:rsid w:val="00461B7F"/>
    <w:rsid w:val="00461D64"/>
    <w:rsid w:val="00462065"/>
    <w:rsid w:val="00462458"/>
    <w:rsid w:val="004630C4"/>
    <w:rsid w:val="00463177"/>
    <w:rsid w:val="00463C99"/>
    <w:rsid w:val="00464BC6"/>
    <w:rsid w:val="00464FDC"/>
    <w:rsid w:val="00465236"/>
    <w:rsid w:val="004654D6"/>
    <w:rsid w:val="0046655F"/>
    <w:rsid w:val="004669A1"/>
    <w:rsid w:val="004674EA"/>
    <w:rsid w:val="00467542"/>
    <w:rsid w:val="00467F7D"/>
    <w:rsid w:val="0047034B"/>
    <w:rsid w:val="00471557"/>
    <w:rsid w:val="00471573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16F5"/>
    <w:rsid w:val="00482F4E"/>
    <w:rsid w:val="004830F5"/>
    <w:rsid w:val="00483238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6DA"/>
    <w:rsid w:val="00487856"/>
    <w:rsid w:val="0049067F"/>
    <w:rsid w:val="004910DE"/>
    <w:rsid w:val="004916C0"/>
    <w:rsid w:val="00491D04"/>
    <w:rsid w:val="00491EDD"/>
    <w:rsid w:val="004922D4"/>
    <w:rsid w:val="00492BB1"/>
    <w:rsid w:val="00492DE8"/>
    <w:rsid w:val="0049302E"/>
    <w:rsid w:val="00493595"/>
    <w:rsid w:val="00493C39"/>
    <w:rsid w:val="00493F84"/>
    <w:rsid w:val="004946BD"/>
    <w:rsid w:val="00495917"/>
    <w:rsid w:val="00496899"/>
    <w:rsid w:val="0049743C"/>
    <w:rsid w:val="0049781C"/>
    <w:rsid w:val="004A1529"/>
    <w:rsid w:val="004A257E"/>
    <w:rsid w:val="004A378B"/>
    <w:rsid w:val="004A3D2E"/>
    <w:rsid w:val="004A425C"/>
    <w:rsid w:val="004A47C0"/>
    <w:rsid w:val="004A5764"/>
    <w:rsid w:val="004A5D5C"/>
    <w:rsid w:val="004A612B"/>
    <w:rsid w:val="004A75C5"/>
    <w:rsid w:val="004B0767"/>
    <w:rsid w:val="004B07C7"/>
    <w:rsid w:val="004B0B2A"/>
    <w:rsid w:val="004B14F2"/>
    <w:rsid w:val="004B184A"/>
    <w:rsid w:val="004B24E8"/>
    <w:rsid w:val="004B2B22"/>
    <w:rsid w:val="004B325D"/>
    <w:rsid w:val="004B3ACE"/>
    <w:rsid w:val="004B40EF"/>
    <w:rsid w:val="004B5295"/>
    <w:rsid w:val="004B5898"/>
    <w:rsid w:val="004B7112"/>
    <w:rsid w:val="004B7BE8"/>
    <w:rsid w:val="004C029C"/>
    <w:rsid w:val="004C0943"/>
    <w:rsid w:val="004C12F3"/>
    <w:rsid w:val="004C175D"/>
    <w:rsid w:val="004C2622"/>
    <w:rsid w:val="004C2A42"/>
    <w:rsid w:val="004C33BB"/>
    <w:rsid w:val="004C4ECE"/>
    <w:rsid w:val="004C5B0F"/>
    <w:rsid w:val="004C6117"/>
    <w:rsid w:val="004C630F"/>
    <w:rsid w:val="004C7F8A"/>
    <w:rsid w:val="004D1BB9"/>
    <w:rsid w:val="004D211C"/>
    <w:rsid w:val="004D2132"/>
    <w:rsid w:val="004D2343"/>
    <w:rsid w:val="004D3D72"/>
    <w:rsid w:val="004D4754"/>
    <w:rsid w:val="004D5904"/>
    <w:rsid w:val="004D5F39"/>
    <w:rsid w:val="004D6685"/>
    <w:rsid w:val="004D68FA"/>
    <w:rsid w:val="004D7152"/>
    <w:rsid w:val="004D7632"/>
    <w:rsid w:val="004D7AAA"/>
    <w:rsid w:val="004E1046"/>
    <w:rsid w:val="004E1730"/>
    <w:rsid w:val="004E1854"/>
    <w:rsid w:val="004E1B0C"/>
    <w:rsid w:val="004E1CBD"/>
    <w:rsid w:val="004E29FF"/>
    <w:rsid w:val="004E366A"/>
    <w:rsid w:val="004E5205"/>
    <w:rsid w:val="004E597A"/>
    <w:rsid w:val="004E5982"/>
    <w:rsid w:val="004E60F0"/>
    <w:rsid w:val="004E69A2"/>
    <w:rsid w:val="004E6B6B"/>
    <w:rsid w:val="004E6DC8"/>
    <w:rsid w:val="004E7019"/>
    <w:rsid w:val="004E7B17"/>
    <w:rsid w:val="004E7F8C"/>
    <w:rsid w:val="004F11FF"/>
    <w:rsid w:val="004F1F22"/>
    <w:rsid w:val="004F2641"/>
    <w:rsid w:val="004F4131"/>
    <w:rsid w:val="004F43F0"/>
    <w:rsid w:val="004F4520"/>
    <w:rsid w:val="004F4558"/>
    <w:rsid w:val="004F53E7"/>
    <w:rsid w:val="004F63C0"/>
    <w:rsid w:val="0050200C"/>
    <w:rsid w:val="005025ED"/>
    <w:rsid w:val="00502607"/>
    <w:rsid w:val="005026F5"/>
    <w:rsid w:val="00502DA2"/>
    <w:rsid w:val="0050306E"/>
    <w:rsid w:val="0050361C"/>
    <w:rsid w:val="00504BB7"/>
    <w:rsid w:val="00505831"/>
    <w:rsid w:val="005065AB"/>
    <w:rsid w:val="005067A7"/>
    <w:rsid w:val="00506A77"/>
    <w:rsid w:val="00507A39"/>
    <w:rsid w:val="00507C60"/>
    <w:rsid w:val="005105FC"/>
    <w:rsid w:val="005109DF"/>
    <w:rsid w:val="005122CD"/>
    <w:rsid w:val="0051370C"/>
    <w:rsid w:val="00513B71"/>
    <w:rsid w:val="00513F91"/>
    <w:rsid w:val="00514C88"/>
    <w:rsid w:val="00515C2D"/>
    <w:rsid w:val="00516BA9"/>
    <w:rsid w:val="00516E2E"/>
    <w:rsid w:val="0052046F"/>
    <w:rsid w:val="005205BC"/>
    <w:rsid w:val="005208FE"/>
    <w:rsid w:val="005210A8"/>
    <w:rsid w:val="005213E5"/>
    <w:rsid w:val="00521A60"/>
    <w:rsid w:val="00521E21"/>
    <w:rsid w:val="00522BA7"/>
    <w:rsid w:val="005234AF"/>
    <w:rsid w:val="00523693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62E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37319"/>
    <w:rsid w:val="00540790"/>
    <w:rsid w:val="005408C0"/>
    <w:rsid w:val="00540E7C"/>
    <w:rsid w:val="00541101"/>
    <w:rsid w:val="0054135A"/>
    <w:rsid w:val="0054204C"/>
    <w:rsid w:val="0054218E"/>
    <w:rsid w:val="00542666"/>
    <w:rsid w:val="00543423"/>
    <w:rsid w:val="00543AA7"/>
    <w:rsid w:val="00544A33"/>
    <w:rsid w:val="00546DC4"/>
    <w:rsid w:val="00547A72"/>
    <w:rsid w:val="00547E18"/>
    <w:rsid w:val="00550AB4"/>
    <w:rsid w:val="00551177"/>
    <w:rsid w:val="0055128C"/>
    <w:rsid w:val="00551935"/>
    <w:rsid w:val="005524A0"/>
    <w:rsid w:val="00553A28"/>
    <w:rsid w:val="00553C3E"/>
    <w:rsid w:val="00554024"/>
    <w:rsid w:val="00554B56"/>
    <w:rsid w:val="00555D9B"/>
    <w:rsid w:val="00556253"/>
    <w:rsid w:val="00556F6D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999"/>
    <w:rsid w:val="00562C47"/>
    <w:rsid w:val="005632C4"/>
    <w:rsid w:val="00563362"/>
    <w:rsid w:val="00564C79"/>
    <w:rsid w:val="00564CDE"/>
    <w:rsid w:val="00565FA5"/>
    <w:rsid w:val="0056771E"/>
    <w:rsid w:val="0057001B"/>
    <w:rsid w:val="00570573"/>
    <w:rsid w:val="00570D25"/>
    <w:rsid w:val="005710A7"/>
    <w:rsid w:val="0057177B"/>
    <w:rsid w:val="00571C86"/>
    <w:rsid w:val="005729AD"/>
    <w:rsid w:val="00573331"/>
    <w:rsid w:val="005758BF"/>
    <w:rsid w:val="00575F2A"/>
    <w:rsid w:val="0058069E"/>
    <w:rsid w:val="00581EDA"/>
    <w:rsid w:val="0058250E"/>
    <w:rsid w:val="005827A7"/>
    <w:rsid w:val="005829DC"/>
    <w:rsid w:val="005829E0"/>
    <w:rsid w:val="00584BA9"/>
    <w:rsid w:val="00586368"/>
    <w:rsid w:val="00587A0E"/>
    <w:rsid w:val="00587D2A"/>
    <w:rsid w:val="00590491"/>
    <w:rsid w:val="00591B56"/>
    <w:rsid w:val="005922B7"/>
    <w:rsid w:val="00592339"/>
    <w:rsid w:val="00592C53"/>
    <w:rsid w:val="00592FC4"/>
    <w:rsid w:val="0059310B"/>
    <w:rsid w:val="00594308"/>
    <w:rsid w:val="00594445"/>
    <w:rsid w:val="00594D93"/>
    <w:rsid w:val="00595646"/>
    <w:rsid w:val="00595EE0"/>
    <w:rsid w:val="00595F8E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6A2F"/>
    <w:rsid w:val="005A6D4A"/>
    <w:rsid w:val="005A7DF4"/>
    <w:rsid w:val="005B0531"/>
    <w:rsid w:val="005B0598"/>
    <w:rsid w:val="005B083B"/>
    <w:rsid w:val="005B0912"/>
    <w:rsid w:val="005B17DC"/>
    <w:rsid w:val="005B39A3"/>
    <w:rsid w:val="005B3EB5"/>
    <w:rsid w:val="005B4B79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274"/>
    <w:rsid w:val="005C356B"/>
    <w:rsid w:val="005C48D0"/>
    <w:rsid w:val="005C4D75"/>
    <w:rsid w:val="005C4F1D"/>
    <w:rsid w:val="005C561B"/>
    <w:rsid w:val="005C5CCB"/>
    <w:rsid w:val="005C6EE1"/>
    <w:rsid w:val="005C732A"/>
    <w:rsid w:val="005C76C4"/>
    <w:rsid w:val="005C7DF4"/>
    <w:rsid w:val="005C7ECF"/>
    <w:rsid w:val="005D0048"/>
    <w:rsid w:val="005D07E1"/>
    <w:rsid w:val="005D0E7B"/>
    <w:rsid w:val="005D119C"/>
    <w:rsid w:val="005D14DE"/>
    <w:rsid w:val="005D2081"/>
    <w:rsid w:val="005D2D46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F1EF0"/>
    <w:rsid w:val="005F2C4F"/>
    <w:rsid w:val="005F4C65"/>
    <w:rsid w:val="005F4C89"/>
    <w:rsid w:val="005F538C"/>
    <w:rsid w:val="005F62A5"/>
    <w:rsid w:val="005F7255"/>
    <w:rsid w:val="0060033E"/>
    <w:rsid w:val="006005D1"/>
    <w:rsid w:val="00601389"/>
    <w:rsid w:val="00601E18"/>
    <w:rsid w:val="00602422"/>
    <w:rsid w:val="006024B7"/>
    <w:rsid w:val="00602E9A"/>
    <w:rsid w:val="00603FFB"/>
    <w:rsid w:val="00604067"/>
    <w:rsid w:val="00604F6E"/>
    <w:rsid w:val="00605280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9A9"/>
    <w:rsid w:val="00616FE6"/>
    <w:rsid w:val="0061760A"/>
    <w:rsid w:val="00617941"/>
    <w:rsid w:val="0061797B"/>
    <w:rsid w:val="0062039E"/>
    <w:rsid w:val="00620D7A"/>
    <w:rsid w:val="00623185"/>
    <w:rsid w:val="006238E4"/>
    <w:rsid w:val="006238FB"/>
    <w:rsid w:val="00624992"/>
    <w:rsid w:val="006267D4"/>
    <w:rsid w:val="0063002D"/>
    <w:rsid w:val="006312DD"/>
    <w:rsid w:val="00631503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74B0"/>
    <w:rsid w:val="006406FF"/>
    <w:rsid w:val="00640F92"/>
    <w:rsid w:val="00641355"/>
    <w:rsid w:val="006423CF"/>
    <w:rsid w:val="006426FF"/>
    <w:rsid w:val="00642A98"/>
    <w:rsid w:val="00642EE5"/>
    <w:rsid w:val="00644304"/>
    <w:rsid w:val="00644CA0"/>
    <w:rsid w:val="006451DC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693D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C39"/>
    <w:rsid w:val="00665CBD"/>
    <w:rsid w:val="00670184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7235"/>
    <w:rsid w:val="006808A6"/>
    <w:rsid w:val="00680EC7"/>
    <w:rsid w:val="00681356"/>
    <w:rsid w:val="006822D7"/>
    <w:rsid w:val="00682D57"/>
    <w:rsid w:val="006840E0"/>
    <w:rsid w:val="00685747"/>
    <w:rsid w:val="0068589B"/>
    <w:rsid w:val="00685E9A"/>
    <w:rsid w:val="00686194"/>
    <w:rsid w:val="00687C5E"/>
    <w:rsid w:val="00687FDC"/>
    <w:rsid w:val="0069038C"/>
    <w:rsid w:val="006908F6"/>
    <w:rsid w:val="0069381D"/>
    <w:rsid w:val="006946B2"/>
    <w:rsid w:val="00694DBB"/>
    <w:rsid w:val="00694E99"/>
    <w:rsid w:val="00695BA6"/>
    <w:rsid w:val="00695D8B"/>
    <w:rsid w:val="0069676F"/>
    <w:rsid w:val="0069729F"/>
    <w:rsid w:val="00697C52"/>
    <w:rsid w:val="006A03CE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167"/>
    <w:rsid w:val="006B0283"/>
    <w:rsid w:val="006B0A2D"/>
    <w:rsid w:val="006B2120"/>
    <w:rsid w:val="006B2423"/>
    <w:rsid w:val="006B2A0B"/>
    <w:rsid w:val="006B340D"/>
    <w:rsid w:val="006B440B"/>
    <w:rsid w:val="006B58F6"/>
    <w:rsid w:val="006B62E0"/>
    <w:rsid w:val="006B7816"/>
    <w:rsid w:val="006B7F4C"/>
    <w:rsid w:val="006C036F"/>
    <w:rsid w:val="006C0718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D0AE4"/>
    <w:rsid w:val="006D0BBE"/>
    <w:rsid w:val="006D0CCA"/>
    <w:rsid w:val="006D1860"/>
    <w:rsid w:val="006D1DDA"/>
    <w:rsid w:val="006D202A"/>
    <w:rsid w:val="006D22AC"/>
    <w:rsid w:val="006D313A"/>
    <w:rsid w:val="006D3437"/>
    <w:rsid w:val="006D3724"/>
    <w:rsid w:val="006D3812"/>
    <w:rsid w:val="006D3F8C"/>
    <w:rsid w:val="006D5195"/>
    <w:rsid w:val="006D5AD8"/>
    <w:rsid w:val="006D63A8"/>
    <w:rsid w:val="006D67C1"/>
    <w:rsid w:val="006D69C8"/>
    <w:rsid w:val="006D6B90"/>
    <w:rsid w:val="006D6F44"/>
    <w:rsid w:val="006D6FF9"/>
    <w:rsid w:val="006D76CD"/>
    <w:rsid w:val="006D7923"/>
    <w:rsid w:val="006E01BA"/>
    <w:rsid w:val="006E047B"/>
    <w:rsid w:val="006E0A34"/>
    <w:rsid w:val="006E0FDB"/>
    <w:rsid w:val="006E1C2C"/>
    <w:rsid w:val="006E1FF1"/>
    <w:rsid w:val="006E277A"/>
    <w:rsid w:val="006E284A"/>
    <w:rsid w:val="006E2FA9"/>
    <w:rsid w:val="006E3347"/>
    <w:rsid w:val="006E38E0"/>
    <w:rsid w:val="006E3BA6"/>
    <w:rsid w:val="006E406F"/>
    <w:rsid w:val="006E4D58"/>
    <w:rsid w:val="006E6301"/>
    <w:rsid w:val="006E6E66"/>
    <w:rsid w:val="006E71E7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94E"/>
    <w:rsid w:val="006F7DB1"/>
    <w:rsid w:val="00700924"/>
    <w:rsid w:val="0070233A"/>
    <w:rsid w:val="00703335"/>
    <w:rsid w:val="00703E31"/>
    <w:rsid w:val="00703FAB"/>
    <w:rsid w:val="00704171"/>
    <w:rsid w:val="00704532"/>
    <w:rsid w:val="007053B0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41C"/>
    <w:rsid w:val="00714BAE"/>
    <w:rsid w:val="007153E0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E7"/>
    <w:rsid w:val="007261CF"/>
    <w:rsid w:val="007270AA"/>
    <w:rsid w:val="007273B9"/>
    <w:rsid w:val="00730F38"/>
    <w:rsid w:val="00731B8E"/>
    <w:rsid w:val="00731FAF"/>
    <w:rsid w:val="0073263C"/>
    <w:rsid w:val="007327DC"/>
    <w:rsid w:val="00733C1E"/>
    <w:rsid w:val="00734452"/>
    <w:rsid w:val="00734EB3"/>
    <w:rsid w:val="007358BD"/>
    <w:rsid w:val="00736775"/>
    <w:rsid w:val="007370F9"/>
    <w:rsid w:val="007409EF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716"/>
    <w:rsid w:val="007518AC"/>
    <w:rsid w:val="00752E3A"/>
    <w:rsid w:val="007540D6"/>
    <w:rsid w:val="00754AA0"/>
    <w:rsid w:val="00754EBA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85B"/>
    <w:rsid w:val="00764A0A"/>
    <w:rsid w:val="007651CD"/>
    <w:rsid w:val="0076540B"/>
    <w:rsid w:val="0076566A"/>
    <w:rsid w:val="00765BFE"/>
    <w:rsid w:val="007663AE"/>
    <w:rsid w:val="00766C85"/>
    <w:rsid w:val="00766D35"/>
    <w:rsid w:val="00767CA2"/>
    <w:rsid w:val="00767D86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AB"/>
    <w:rsid w:val="00775D5E"/>
    <w:rsid w:val="007769CB"/>
    <w:rsid w:val="00776E53"/>
    <w:rsid w:val="00777279"/>
    <w:rsid w:val="00781063"/>
    <w:rsid w:val="0078179A"/>
    <w:rsid w:val="00781C63"/>
    <w:rsid w:val="007826D6"/>
    <w:rsid w:val="00782ACB"/>
    <w:rsid w:val="00782ECF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9059D"/>
    <w:rsid w:val="00792F53"/>
    <w:rsid w:val="00794343"/>
    <w:rsid w:val="00794658"/>
    <w:rsid w:val="00794AA2"/>
    <w:rsid w:val="00794CA1"/>
    <w:rsid w:val="00794F08"/>
    <w:rsid w:val="007953A4"/>
    <w:rsid w:val="007955A4"/>
    <w:rsid w:val="00795879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220F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FD"/>
    <w:rsid w:val="007B5CD4"/>
    <w:rsid w:val="007B6861"/>
    <w:rsid w:val="007C0073"/>
    <w:rsid w:val="007C0B54"/>
    <w:rsid w:val="007C1030"/>
    <w:rsid w:val="007C161B"/>
    <w:rsid w:val="007C2805"/>
    <w:rsid w:val="007C2B07"/>
    <w:rsid w:val="007C3758"/>
    <w:rsid w:val="007C48A1"/>
    <w:rsid w:val="007C4AD3"/>
    <w:rsid w:val="007C5255"/>
    <w:rsid w:val="007C57EE"/>
    <w:rsid w:val="007C6DD1"/>
    <w:rsid w:val="007C7735"/>
    <w:rsid w:val="007C7ABB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50AE"/>
    <w:rsid w:val="007D543E"/>
    <w:rsid w:val="007D5620"/>
    <w:rsid w:val="007D57F4"/>
    <w:rsid w:val="007D6E7B"/>
    <w:rsid w:val="007D72CD"/>
    <w:rsid w:val="007D78D0"/>
    <w:rsid w:val="007E0142"/>
    <w:rsid w:val="007E0DBE"/>
    <w:rsid w:val="007E113E"/>
    <w:rsid w:val="007E15CE"/>
    <w:rsid w:val="007E2494"/>
    <w:rsid w:val="007E24CD"/>
    <w:rsid w:val="007E2953"/>
    <w:rsid w:val="007E3487"/>
    <w:rsid w:val="007E34CA"/>
    <w:rsid w:val="007E38C2"/>
    <w:rsid w:val="007E3917"/>
    <w:rsid w:val="007E3E92"/>
    <w:rsid w:val="007E3F41"/>
    <w:rsid w:val="007E3FCD"/>
    <w:rsid w:val="007E43E5"/>
    <w:rsid w:val="007E4EE4"/>
    <w:rsid w:val="007E5BA8"/>
    <w:rsid w:val="007E60C5"/>
    <w:rsid w:val="007E63B6"/>
    <w:rsid w:val="007E6EC9"/>
    <w:rsid w:val="007E7D2B"/>
    <w:rsid w:val="007F0312"/>
    <w:rsid w:val="007F052C"/>
    <w:rsid w:val="007F0BA1"/>
    <w:rsid w:val="007F1F58"/>
    <w:rsid w:val="007F1FB1"/>
    <w:rsid w:val="007F4B36"/>
    <w:rsid w:val="007F4E83"/>
    <w:rsid w:val="007F5774"/>
    <w:rsid w:val="007F5FEE"/>
    <w:rsid w:val="007F63DA"/>
    <w:rsid w:val="007F6602"/>
    <w:rsid w:val="007F6ABF"/>
    <w:rsid w:val="007F6FA6"/>
    <w:rsid w:val="007F709D"/>
    <w:rsid w:val="00800388"/>
    <w:rsid w:val="00800987"/>
    <w:rsid w:val="00801C55"/>
    <w:rsid w:val="008028DC"/>
    <w:rsid w:val="0080331C"/>
    <w:rsid w:val="00803998"/>
    <w:rsid w:val="00804486"/>
    <w:rsid w:val="008045B6"/>
    <w:rsid w:val="008046F9"/>
    <w:rsid w:val="008047D7"/>
    <w:rsid w:val="0080491A"/>
    <w:rsid w:val="00804DB7"/>
    <w:rsid w:val="00804E61"/>
    <w:rsid w:val="0080506C"/>
    <w:rsid w:val="0080779D"/>
    <w:rsid w:val="00811536"/>
    <w:rsid w:val="00811690"/>
    <w:rsid w:val="00813914"/>
    <w:rsid w:val="008141A8"/>
    <w:rsid w:val="008147A5"/>
    <w:rsid w:val="00814F2C"/>
    <w:rsid w:val="0081510E"/>
    <w:rsid w:val="00815147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878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276EF"/>
    <w:rsid w:val="00830328"/>
    <w:rsid w:val="0083079A"/>
    <w:rsid w:val="00830F9A"/>
    <w:rsid w:val="0083131E"/>
    <w:rsid w:val="00831BA6"/>
    <w:rsid w:val="008324AA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402A3"/>
    <w:rsid w:val="00840505"/>
    <w:rsid w:val="00840B17"/>
    <w:rsid w:val="008411FF"/>
    <w:rsid w:val="00842E88"/>
    <w:rsid w:val="008435DB"/>
    <w:rsid w:val="008444F3"/>
    <w:rsid w:val="008446CB"/>
    <w:rsid w:val="00844F9E"/>
    <w:rsid w:val="00846679"/>
    <w:rsid w:val="0084799D"/>
    <w:rsid w:val="00847AD4"/>
    <w:rsid w:val="00851C59"/>
    <w:rsid w:val="008521CA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B23"/>
    <w:rsid w:val="0086224C"/>
    <w:rsid w:val="008624F8"/>
    <w:rsid w:val="00862B40"/>
    <w:rsid w:val="00864102"/>
    <w:rsid w:val="0086490E"/>
    <w:rsid w:val="00865C8F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28D"/>
    <w:rsid w:val="00886DD1"/>
    <w:rsid w:val="00887D4B"/>
    <w:rsid w:val="00890541"/>
    <w:rsid w:val="00890B3F"/>
    <w:rsid w:val="00890F94"/>
    <w:rsid w:val="0089138D"/>
    <w:rsid w:val="00891F12"/>
    <w:rsid w:val="00892672"/>
    <w:rsid w:val="00892CF6"/>
    <w:rsid w:val="00893201"/>
    <w:rsid w:val="00894927"/>
    <w:rsid w:val="00894C88"/>
    <w:rsid w:val="00894FBB"/>
    <w:rsid w:val="008953AC"/>
    <w:rsid w:val="00895BE4"/>
    <w:rsid w:val="008964F1"/>
    <w:rsid w:val="008967A8"/>
    <w:rsid w:val="00897587"/>
    <w:rsid w:val="008A14F7"/>
    <w:rsid w:val="008A15C3"/>
    <w:rsid w:val="008A1A45"/>
    <w:rsid w:val="008A1B81"/>
    <w:rsid w:val="008A223E"/>
    <w:rsid w:val="008A23DA"/>
    <w:rsid w:val="008A548A"/>
    <w:rsid w:val="008A5A5C"/>
    <w:rsid w:val="008A5BE6"/>
    <w:rsid w:val="008A5F84"/>
    <w:rsid w:val="008A6201"/>
    <w:rsid w:val="008A653B"/>
    <w:rsid w:val="008A693F"/>
    <w:rsid w:val="008A6CD6"/>
    <w:rsid w:val="008A73F3"/>
    <w:rsid w:val="008A7C5D"/>
    <w:rsid w:val="008B028E"/>
    <w:rsid w:val="008B0BB6"/>
    <w:rsid w:val="008B195C"/>
    <w:rsid w:val="008B1A7C"/>
    <w:rsid w:val="008B28BD"/>
    <w:rsid w:val="008B28F3"/>
    <w:rsid w:val="008B2923"/>
    <w:rsid w:val="008B2ECA"/>
    <w:rsid w:val="008B358E"/>
    <w:rsid w:val="008B390F"/>
    <w:rsid w:val="008B3C56"/>
    <w:rsid w:val="008B3FE7"/>
    <w:rsid w:val="008B4660"/>
    <w:rsid w:val="008B4ED2"/>
    <w:rsid w:val="008B55B4"/>
    <w:rsid w:val="008B5718"/>
    <w:rsid w:val="008B5E60"/>
    <w:rsid w:val="008B6BBD"/>
    <w:rsid w:val="008B6D53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C14"/>
    <w:rsid w:val="008C408B"/>
    <w:rsid w:val="008C4EAF"/>
    <w:rsid w:val="008C5388"/>
    <w:rsid w:val="008D08CE"/>
    <w:rsid w:val="008D09AE"/>
    <w:rsid w:val="008D09E7"/>
    <w:rsid w:val="008D0A34"/>
    <w:rsid w:val="008D130A"/>
    <w:rsid w:val="008D2453"/>
    <w:rsid w:val="008D28ED"/>
    <w:rsid w:val="008D46A9"/>
    <w:rsid w:val="008D7517"/>
    <w:rsid w:val="008E03AF"/>
    <w:rsid w:val="008E0B70"/>
    <w:rsid w:val="008E0F12"/>
    <w:rsid w:val="008E127E"/>
    <w:rsid w:val="008E142E"/>
    <w:rsid w:val="008E284D"/>
    <w:rsid w:val="008E39C8"/>
    <w:rsid w:val="008E57AC"/>
    <w:rsid w:val="008E6930"/>
    <w:rsid w:val="008E788F"/>
    <w:rsid w:val="008E7BE6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FD2"/>
    <w:rsid w:val="0090129E"/>
    <w:rsid w:val="00901848"/>
    <w:rsid w:val="00901DBC"/>
    <w:rsid w:val="00902232"/>
    <w:rsid w:val="009027EF"/>
    <w:rsid w:val="00902842"/>
    <w:rsid w:val="00902B30"/>
    <w:rsid w:val="00902BC3"/>
    <w:rsid w:val="0090308B"/>
    <w:rsid w:val="009039F6"/>
    <w:rsid w:val="009039FE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ACD"/>
    <w:rsid w:val="009131B0"/>
    <w:rsid w:val="00913AAF"/>
    <w:rsid w:val="00914662"/>
    <w:rsid w:val="00914A9F"/>
    <w:rsid w:val="009152BE"/>
    <w:rsid w:val="00915BBE"/>
    <w:rsid w:val="009161E4"/>
    <w:rsid w:val="0091696F"/>
    <w:rsid w:val="00916D75"/>
    <w:rsid w:val="00920260"/>
    <w:rsid w:val="00920A52"/>
    <w:rsid w:val="009218E0"/>
    <w:rsid w:val="00922CCB"/>
    <w:rsid w:val="009237DB"/>
    <w:rsid w:val="00923B12"/>
    <w:rsid w:val="0092433A"/>
    <w:rsid w:val="0092527C"/>
    <w:rsid w:val="009264FD"/>
    <w:rsid w:val="00927424"/>
    <w:rsid w:val="00927B8E"/>
    <w:rsid w:val="00930531"/>
    <w:rsid w:val="00931154"/>
    <w:rsid w:val="009322E4"/>
    <w:rsid w:val="00932F32"/>
    <w:rsid w:val="00933C9B"/>
    <w:rsid w:val="00933E33"/>
    <w:rsid w:val="00934056"/>
    <w:rsid w:val="0093443F"/>
    <w:rsid w:val="00934F6F"/>
    <w:rsid w:val="009358B8"/>
    <w:rsid w:val="00935917"/>
    <w:rsid w:val="009364DC"/>
    <w:rsid w:val="00937391"/>
    <w:rsid w:val="00937433"/>
    <w:rsid w:val="00940BB4"/>
    <w:rsid w:val="00940D96"/>
    <w:rsid w:val="009412E9"/>
    <w:rsid w:val="009413FA"/>
    <w:rsid w:val="00942595"/>
    <w:rsid w:val="00943026"/>
    <w:rsid w:val="0094307F"/>
    <w:rsid w:val="0094399B"/>
    <w:rsid w:val="00943F2A"/>
    <w:rsid w:val="009444D3"/>
    <w:rsid w:val="009447A5"/>
    <w:rsid w:val="00944A3C"/>
    <w:rsid w:val="00945C1E"/>
    <w:rsid w:val="00946F25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499"/>
    <w:rsid w:val="00957510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7C05"/>
    <w:rsid w:val="009713B7"/>
    <w:rsid w:val="00971778"/>
    <w:rsid w:val="00971C6B"/>
    <w:rsid w:val="00971E06"/>
    <w:rsid w:val="00971FF4"/>
    <w:rsid w:val="0097234F"/>
    <w:rsid w:val="009725B8"/>
    <w:rsid w:val="0097316B"/>
    <w:rsid w:val="009736A1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A67"/>
    <w:rsid w:val="00981166"/>
    <w:rsid w:val="00981B93"/>
    <w:rsid w:val="00982BEB"/>
    <w:rsid w:val="00983F8E"/>
    <w:rsid w:val="00984453"/>
    <w:rsid w:val="00985634"/>
    <w:rsid w:val="00985AAA"/>
    <w:rsid w:val="009863F5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05E"/>
    <w:rsid w:val="0099217B"/>
    <w:rsid w:val="00992BE5"/>
    <w:rsid w:val="00993200"/>
    <w:rsid w:val="0099326D"/>
    <w:rsid w:val="00994404"/>
    <w:rsid w:val="009947FE"/>
    <w:rsid w:val="00994A4F"/>
    <w:rsid w:val="00994D4A"/>
    <w:rsid w:val="009954BF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39E"/>
    <w:rsid w:val="009A35A4"/>
    <w:rsid w:val="009A394F"/>
    <w:rsid w:val="009A4389"/>
    <w:rsid w:val="009A4456"/>
    <w:rsid w:val="009A47C1"/>
    <w:rsid w:val="009A5F9B"/>
    <w:rsid w:val="009B08E9"/>
    <w:rsid w:val="009B0BA1"/>
    <w:rsid w:val="009B234E"/>
    <w:rsid w:val="009B253E"/>
    <w:rsid w:val="009B2782"/>
    <w:rsid w:val="009B2E23"/>
    <w:rsid w:val="009B3333"/>
    <w:rsid w:val="009B4D55"/>
    <w:rsid w:val="009B50B0"/>
    <w:rsid w:val="009B51E4"/>
    <w:rsid w:val="009B5211"/>
    <w:rsid w:val="009B6A05"/>
    <w:rsid w:val="009B6E34"/>
    <w:rsid w:val="009B77FB"/>
    <w:rsid w:val="009B784C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1786"/>
    <w:rsid w:val="009D1DCD"/>
    <w:rsid w:val="009D2B71"/>
    <w:rsid w:val="009D327A"/>
    <w:rsid w:val="009D336C"/>
    <w:rsid w:val="009D3745"/>
    <w:rsid w:val="009D3A49"/>
    <w:rsid w:val="009D416A"/>
    <w:rsid w:val="009D6206"/>
    <w:rsid w:val="009D76DF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61F7"/>
    <w:rsid w:val="009E6953"/>
    <w:rsid w:val="009E6EE5"/>
    <w:rsid w:val="009F0162"/>
    <w:rsid w:val="009F26BB"/>
    <w:rsid w:val="009F28D1"/>
    <w:rsid w:val="009F2CD7"/>
    <w:rsid w:val="009F3323"/>
    <w:rsid w:val="009F3451"/>
    <w:rsid w:val="009F3982"/>
    <w:rsid w:val="009F486B"/>
    <w:rsid w:val="009F499C"/>
    <w:rsid w:val="009F5869"/>
    <w:rsid w:val="009F63C4"/>
    <w:rsid w:val="009F64A1"/>
    <w:rsid w:val="009F6A0E"/>
    <w:rsid w:val="009F7082"/>
    <w:rsid w:val="009F776D"/>
    <w:rsid w:val="009F791A"/>
    <w:rsid w:val="009F7DF6"/>
    <w:rsid w:val="00A019AE"/>
    <w:rsid w:val="00A02489"/>
    <w:rsid w:val="00A0262E"/>
    <w:rsid w:val="00A0280D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E50"/>
    <w:rsid w:val="00A16E95"/>
    <w:rsid w:val="00A17251"/>
    <w:rsid w:val="00A1737E"/>
    <w:rsid w:val="00A1737F"/>
    <w:rsid w:val="00A219A4"/>
    <w:rsid w:val="00A21D66"/>
    <w:rsid w:val="00A21ECF"/>
    <w:rsid w:val="00A22967"/>
    <w:rsid w:val="00A22D8E"/>
    <w:rsid w:val="00A23B39"/>
    <w:rsid w:val="00A23B42"/>
    <w:rsid w:val="00A24556"/>
    <w:rsid w:val="00A25343"/>
    <w:rsid w:val="00A253DD"/>
    <w:rsid w:val="00A25713"/>
    <w:rsid w:val="00A257E8"/>
    <w:rsid w:val="00A25812"/>
    <w:rsid w:val="00A25C86"/>
    <w:rsid w:val="00A25D2E"/>
    <w:rsid w:val="00A25ECC"/>
    <w:rsid w:val="00A2644B"/>
    <w:rsid w:val="00A26D06"/>
    <w:rsid w:val="00A26E5E"/>
    <w:rsid w:val="00A27E46"/>
    <w:rsid w:val="00A31098"/>
    <w:rsid w:val="00A31867"/>
    <w:rsid w:val="00A31A74"/>
    <w:rsid w:val="00A31AD5"/>
    <w:rsid w:val="00A3201C"/>
    <w:rsid w:val="00A32464"/>
    <w:rsid w:val="00A32D28"/>
    <w:rsid w:val="00A332E3"/>
    <w:rsid w:val="00A33605"/>
    <w:rsid w:val="00A35C25"/>
    <w:rsid w:val="00A40CE0"/>
    <w:rsid w:val="00A41E06"/>
    <w:rsid w:val="00A41FE4"/>
    <w:rsid w:val="00A42A14"/>
    <w:rsid w:val="00A42C01"/>
    <w:rsid w:val="00A42E4B"/>
    <w:rsid w:val="00A42EF3"/>
    <w:rsid w:val="00A4475C"/>
    <w:rsid w:val="00A44891"/>
    <w:rsid w:val="00A44C00"/>
    <w:rsid w:val="00A44FF0"/>
    <w:rsid w:val="00A4538F"/>
    <w:rsid w:val="00A45819"/>
    <w:rsid w:val="00A4584C"/>
    <w:rsid w:val="00A45E71"/>
    <w:rsid w:val="00A45F9A"/>
    <w:rsid w:val="00A470A6"/>
    <w:rsid w:val="00A47A5E"/>
    <w:rsid w:val="00A51521"/>
    <w:rsid w:val="00A51DD3"/>
    <w:rsid w:val="00A51EFC"/>
    <w:rsid w:val="00A52587"/>
    <w:rsid w:val="00A525A8"/>
    <w:rsid w:val="00A5289A"/>
    <w:rsid w:val="00A52BD4"/>
    <w:rsid w:val="00A52E79"/>
    <w:rsid w:val="00A53860"/>
    <w:rsid w:val="00A54009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3B8F"/>
    <w:rsid w:val="00A65765"/>
    <w:rsid w:val="00A665A8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55"/>
    <w:rsid w:val="00A756EC"/>
    <w:rsid w:val="00A774F2"/>
    <w:rsid w:val="00A77C0F"/>
    <w:rsid w:val="00A77C3F"/>
    <w:rsid w:val="00A80C73"/>
    <w:rsid w:val="00A81E20"/>
    <w:rsid w:val="00A829E2"/>
    <w:rsid w:val="00A82E79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90BF8"/>
    <w:rsid w:val="00A913EE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EC0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B0646"/>
    <w:rsid w:val="00AB0AC4"/>
    <w:rsid w:val="00AB1795"/>
    <w:rsid w:val="00AB192D"/>
    <w:rsid w:val="00AB2B82"/>
    <w:rsid w:val="00AB31E4"/>
    <w:rsid w:val="00AB32BC"/>
    <w:rsid w:val="00AB3CFC"/>
    <w:rsid w:val="00AB3D4D"/>
    <w:rsid w:val="00AB3DF3"/>
    <w:rsid w:val="00AB5993"/>
    <w:rsid w:val="00AB5A2C"/>
    <w:rsid w:val="00AB5BA2"/>
    <w:rsid w:val="00AB5E21"/>
    <w:rsid w:val="00AB6477"/>
    <w:rsid w:val="00AB6FCB"/>
    <w:rsid w:val="00AC07A2"/>
    <w:rsid w:val="00AC1CB6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7016"/>
    <w:rsid w:val="00AC71C5"/>
    <w:rsid w:val="00AC73DD"/>
    <w:rsid w:val="00AD018C"/>
    <w:rsid w:val="00AD01F1"/>
    <w:rsid w:val="00AD0706"/>
    <w:rsid w:val="00AD0E86"/>
    <w:rsid w:val="00AD137C"/>
    <w:rsid w:val="00AD18E8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C19"/>
    <w:rsid w:val="00AD70F9"/>
    <w:rsid w:val="00AD7A37"/>
    <w:rsid w:val="00AE002D"/>
    <w:rsid w:val="00AE0F69"/>
    <w:rsid w:val="00AE101F"/>
    <w:rsid w:val="00AE16EA"/>
    <w:rsid w:val="00AE186B"/>
    <w:rsid w:val="00AE1E98"/>
    <w:rsid w:val="00AE45BB"/>
    <w:rsid w:val="00AE4DD7"/>
    <w:rsid w:val="00AE4F89"/>
    <w:rsid w:val="00AE5FAE"/>
    <w:rsid w:val="00AE6E0F"/>
    <w:rsid w:val="00AE6EF5"/>
    <w:rsid w:val="00AE6FF6"/>
    <w:rsid w:val="00AE7AD6"/>
    <w:rsid w:val="00AF0027"/>
    <w:rsid w:val="00AF003D"/>
    <w:rsid w:val="00AF05A7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4FB0"/>
    <w:rsid w:val="00AF5358"/>
    <w:rsid w:val="00AF574B"/>
    <w:rsid w:val="00AF5910"/>
    <w:rsid w:val="00AF632B"/>
    <w:rsid w:val="00AF6E96"/>
    <w:rsid w:val="00B004B2"/>
    <w:rsid w:val="00B00930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3A87"/>
    <w:rsid w:val="00B03F23"/>
    <w:rsid w:val="00B048EB"/>
    <w:rsid w:val="00B049D8"/>
    <w:rsid w:val="00B050ED"/>
    <w:rsid w:val="00B06933"/>
    <w:rsid w:val="00B06E8A"/>
    <w:rsid w:val="00B07016"/>
    <w:rsid w:val="00B0728F"/>
    <w:rsid w:val="00B07CDB"/>
    <w:rsid w:val="00B07D0D"/>
    <w:rsid w:val="00B110B8"/>
    <w:rsid w:val="00B112CF"/>
    <w:rsid w:val="00B11AD9"/>
    <w:rsid w:val="00B11D5B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EEA"/>
    <w:rsid w:val="00B2354D"/>
    <w:rsid w:val="00B23AF3"/>
    <w:rsid w:val="00B243B6"/>
    <w:rsid w:val="00B244AE"/>
    <w:rsid w:val="00B24873"/>
    <w:rsid w:val="00B253BE"/>
    <w:rsid w:val="00B26123"/>
    <w:rsid w:val="00B26236"/>
    <w:rsid w:val="00B26662"/>
    <w:rsid w:val="00B26714"/>
    <w:rsid w:val="00B26F1D"/>
    <w:rsid w:val="00B275C1"/>
    <w:rsid w:val="00B27BA8"/>
    <w:rsid w:val="00B30057"/>
    <w:rsid w:val="00B30591"/>
    <w:rsid w:val="00B318C7"/>
    <w:rsid w:val="00B31E78"/>
    <w:rsid w:val="00B322D9"/>
    <w:rsid w:val="00B33431"/>
    <w:rsid w:val="00B33A93"/>
    <w:rsid w:val="00B357C6"/>
    <w:rsid w:val="00B35B70"/>
    <w:rsid w:val="00B36EF8"/>
    <w:rsid w:val="00B4033F"/>
    <w:rsid w:val="00B40CA6"/>
    <w:rsid w:val="00B41088"/>
    <w:rsid w:val="00B42E29"/>
    <w:rsid w:val="00B430AC"/>
    <w:rsid w:val="00B433F1"/>
    <w:rsid w:val="00B4484F"/>
    <w:rsid w:val="00B449D7"/>
    <w:rsid w:val="00B44FFA"/>
    <w:rsid w:val="00B45743"/>
    <w:rsid w:val="00B46D68"/>
    <w:rsid w:val="00B46E80"/>
    <w:rsid w:val="00B50AC7"/>
    <w:rsid w:val="00B50F70"/>
    <w:rsid w:val="00B5166B"/>
    <w:rsid w:val="00B51D64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641"/>
    <w:rsid w:val="00B63B01"/>
    <w:rsid w:val="00B64239"/>
    <w:rsid w:val="00B64C87"/>
    <w:rsid w:val="00B654C5"/>
    <w:rsid w:val="00B65643"/>
    <w:rsid w:val="00B65E49"/>
    <w:rsid w:val="00B67396"/>
    <w:rsid w:val="00B677D6"/>
    <w:rsid w:val="00B67B06"/>
    <w:rsid w:val="00B7045E"/>
    <w:rsid w:val="00B70A64"/>
    <w:rsid w:val="00B70D32"/>
    <w:rsid w:val="00B71170"/>
    <w:rsid w:val="00B71F91"/>
    <w:rsid w:val="00B71FA3"/>
    <w:rsid w:val="00B72C94"/>
    <w:rsid w:val="00B72F06"/>
    <w:rsid w:val="00B743C5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6324"/>
    <w:rsid w:val="00B8695E"/>
    <w:rsid w:val="00B86F71"/>
    <w:rsid w:val="00B908E4"/>
    <w:rsid w:val="00B91BB6"/>
    <w:rsid w:val="00B91D8F"/>
    <w:rsid w:val="00B921B8"/>
    <w:rsid w:val="00B93812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714"/>
    <w:rsid w:val="00BA47FE"/>
    <w:rsid w:val="00BA4966"/>
    <w:rsid w:val="00BA5557"/>
    <w:rsid w:val="00BA6A5A"/>
    <w:rsid w:val="00BA71FD"/>
    <w:rsid w:val="00BA72AE"/>
    <w:rsid w:val="00BA7340"/>
    <w:rsid w:val="00BB026F"/>
    <w:rsid w:val="00BB0E52"/>
    <w:rsid w:val="00BB1148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65A"/>
    <w:rsid w:val="00BC0829"/>
    <w:rsid w:val="00BC13AB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EEB"/>
    <w:rsid w:val="00BD795C"/>
    <w:rsid w:val="00BE1076"/>
    <w:rsid w:val="00BE13E0"/>
    <w:rsid w:val="00BE1545"/>
    <w:rsid w:val="00BE27F3"/>
    <w:rsid w:val="00BE2BD1"/>
    <w:rsid w:val="00BE2D01"/>
    <w:rsid w:val="00BE34FF"/>
    <w:rsid w:val="00BE3E8F"/>
    <w:rsid w:val="00BE3F24"/>
    <w:rsid w:val="00BE4F12"/>
    <w:rsid w:val="00BE509C"/>
    <w:rsid w:val="00BE74E0"/>
    <w:rsid w:val="00BE774D"/>
    <w:rsid w:val="00BF0A57"/>
    <w:rsid w:val="00BF127F"/>
    <w:rsid w:val="00BF23E2"/>
    <w:rsid w:val="00BF30FF"/>
    <w:rsid w:val="00BF349D"/>
    <w:rsid w:val="00BF34ED"/>
    <w:rsid w:val="00BF401E"/>
    <w:rsid w:val="00BF44F3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21B7"/>
    <w:rsid w:val="00C0318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10D4"/>
    <w:rsid w:val="00C113FD"/>
    <w:rsid w:val="00C1283E"/>
    <w:rsid w:val="00C130B5"/>
    <w:rsid w:val="00C1482A"/>
    <w:rsid w:val="00C1546D"/>
    <w:rsid w:val="00C1582E"/>
    <w:rsid w:val="00C1598E"/>
    <w:rsid w:val="00C160E8"/>
    <w:rsid w:val="00C16220"/>
    <w:rsid w:val="00C1658E"/>
    <w:rsid w:val="00C16B3D"/>
    <w:rsid w:val="00C16BBC"/>
    <w:rsid w:val="00C2080B"/>
    <w:rsid w:val="00C20BC5"/>
    <w:rsid w:val="00C20ED8"/>
    <w:rsid w:val="00C2285C"/>
    <w:rsid w:val="00C22B87"/>
    <w:rsid w:val="00C232F1"/>
    <w:rsid w:val="00C23417"/>
    <w:rsid w:val="00C23A3D"/>
    <w:rsid w:val="00C23B02"/>
    <w:rsid w:val="00C23B24"/>
    <w:rsid w:val="00C2404F"/>
    <w:rsid w:val="00C243A4"/>
    <w:rsid w:val="00C24AD9"/>
    <w:rsid w:val="00C25497"/>
    <w:rsid w:val="00C26CCE"/>
    <w:rsid w:val="00C302B6"/>
    <w:rsid w:val="00C306C0"/>
    <w:rsid w:val="00C31341"/>
    <w:rsid w:val="00C313E3"/>
    <w:rsid w:val="00C31D33"/>
    <w:rsid w:val="00C32786"/>
    <w:rsid w:val="00C32C00"/>
    <w:rsid w:val="00C34E9B"/>
    <w:rsid w:val="00C35A6F"/>
    <w:rsid w:val="00C378CB"/>
    <w:rsid w:val="00C402A4"/>
    <w:rsid w:val="00C40919"/>
    <w:rsid w:val="00C40969"/>
    <w:rsid w:val="00C41FF8"/>
    <w:rsid w:val="00C4231B"/>
    <w:rsid w:val="00C42B39"/>
    <w:rsid w:val="00C42E56"/>
    <w:rsid w:val="00C4316F"/>
    <w:rsid w:val="00C43209"/>
    <w:rsid w:val="00C442ED"/>
    <w:rsid w:val="00C4519F"/>
    <w:rsid w:val="00C45766"/>
    <w:rsid w:val="00C46A0A"/>
    <w:rsid w:val="00C46ABC"/>
    <w:rsid w:val="00C479BB"/>
    <w:rsid w:val="00C47FDC"/>
    <w:rsid w:val="00C5030C"/>
    <w:rsid w:val="00C50361"/>
    <w:rsid w:val="00C5077B"/>
    <w:rsid w:val="00C50E5F"/>
    <w:rsid w:val="00C524D9"/>
    <w:rsid w:val="00C527A7"/>
    <w:rsid w:val="00C5305C"/>
    <w:rsid w:val="00C53119"/>
    <w:rsid w:val="00C54FE6"/>
    <w:rsid w:val="00C55629"/>
    <w:rsid w:val="00C558BC"/>
    <w:rsid w:val="00C558D1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4EED"/>
    <w:rsid w:val="00C65B0A"/>
    <w:rsid w:val="00C662D3"/>
    <w:rsid w:val="00C67242"/>
    <w:rsid w:val="00C6789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9C4"/>
    <w:rsid w:val="00C75242"/>
    <w:rsid w:val="00C7577B"/>
    <w:rsid w:val="00C75BF9"/>
    <w:rsid w:val="00C77624"/>
    <w:rsid w:val="00C77B5B"/>
    <w:rsid w:val="00C77E61"/>
    <w:rsid w:val="00C8051D"/>
    <w:rsid w:val="00C809F2"/>
    <w:rsid w:val="00C80BFD"/>
    <w:rsid w:val="00C81007"/>
    <w:rsid w:val="00C8154A"/>
    <w:rsid w:val="00C81DC4"/>
    <w:rsid w:val="00C82461"/>
    <w:rsid w:val="00C82785"/>
    <w:rsid w:val="00C83F2E"/>
    <w:rsid w:val="00C84136"/>
    <w:rsid w:val="00C8515C"/>
    <w:rsid w:val="00C8520B"/>
    <w:rsid w:val="00C87B02"/>
    <w:rsid w:val="00C87E1B"/>
    <w:rsid w:val="00C87F31"/>
    <w:rsid w:val="00C90138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5659"/>
    <w:rsid w:val="00CA6239"/>
    <w:rsid w:val="00CA6C6E"/>
    <w:rsid w:val="00CA7571"/>
    <w:rsid w:val="00CA7D40"/>
    <w:rsid w:val="00CB028C"/>
    <w:rsid w:val="00CB0693"/>
    <w:rsid w:val="00CB0B59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669E"/>
    <w:rsid w:val="00CB6802"/>
    <w:rsid w:val="00CB6A1B"/>
    <w:rsid w:val="00CB776F"/>
    <w:rsid w:val="00CC0269"/>
    <w:rsid w:val="00CC041C"/>
    <w:rsid w:val="00CC0C1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E85"/>
    <w:rsid w:val="00CD13D3"/>
    <w:rsid w:val="00CD1E38"/>
    <w:rsid w:val="00CD209F"/>
    <w:rsid w:val="00CD2B89"/>
    <w:rsid w:val="00CD388A"/>
    <w:rsid w:val="00CD3D12"/>
    <w:rsid w:val="00CD4996"/>
    <w:rsid w:val="00CD6D7B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37AF"/>
    <w:rsid w:val="00CE3EF6"/>
    <w:rsid w:val="00CE3F5B"/>
    <w:rsid w:val="00CE4998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339D"/>
    <w:rsid w:val="00D037F3"/>
    <w:rsid w:val="00D04086"/>
    <w:rsid w:val="00D041A7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1409"/>
    <w:rsid w:val="00D11995"/>
    <w:rsid w:val="00D11F1E"/>
    <w:rsid w:val="00D11F67"/>
    <w:rsid w:val="00D12313"/>
    <w:rsid w:val="00D12CE3"/>
    <w:rsid w:val="00D1316B"/>
    <w:rsid w:val="00D133E9"/>
    <w:rsid w:val="00D14B62"/>
    <w:rsid w:val="00D1588F"/>
    <w:rsid w:val="00D15C91"/>
    <w:rsid w:val="00D16592"/>
    <w:rsid w:val="00D167AD"/>
    <w:rsid w:val="00D16E49"/>
    <w:rsid w:val="00D171FE"/>
    <w:rsid w:val="00D17607"/>
    <w:rsid w:val="00D17E3C"/>
    <w:rsid w:val="00D206E4"/>
    <w:rsid w:val="00D20843"/>
    <w:rsid w:val="00D21CA2"/>
    <w:rsid w:val="00D2395A"/>
    <w:rsid w:val="00D239DB"/>
    <w:rsid w:val="00D24FA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49FD"/>
    <w:rsid w:val="00D351AA"/>
    <w:rsid w:val="00D352AA"/>
    <w:rsid w:val="00D35887"/>
    <w:rsid w:val="00D36EA0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807"/>
    <w:rsid w:val="00D4431C"/>
    <w:rsid w:val="00D44C6D"/>
    <w:rsid w:val="00D44DC9"/>
    <w:rsid w:val="00D46BC2"/>
    <w:rsid w:val="00D47115"/>
    <w:rsid w:val="00D471B4"/>
    <w:rsid w:val="00D47518"/>
    <w:rsid w:val="00D47EC2"/>
    <w:rsid w:val="00D50557"/>
    <w:rsid w:val="00D508CE"/>
    <w:rsid w:val="00D50D06"/>
    <w:rsid w:val="00D50FAB"/>
    <w:rsid w:val="00D53AE0"/>
    <w:rsid w:val="00D54D59"/>
    <w:rsid w:val="00D55475"/>
    <w:rsid w:val="00D5617E"/>
    <w:rsid w:val="00D57014"/>
    <w:rsid w:val="00D57E32"/>
    <w:rsid w:val="00D602F2"/>
    <w:rsid w:val="00D62B7E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67FCF"/>
    <w:rsid w:val="00D70709"/>
    <w:rsid w:val="00D70C1F"/>
    <w:rsid w:val="00D7185F"/>
    <w:rsid w:val="00D720F2"/>
    <w:rsid w:val="00D723CD"/>
    <w:rsid w:val="00D72F0D"/>
    <w:rsid w:val="00D73171"/>
    <w:rsid w:val="00D7328E"/>
    <w:rsid w:val="00D73733"/>
    <w:rsid w:val="00D75FD8"/>
    <w:rsid w:val="00D761AA"/>
    <w:rsid w:val="00D775B7"/>
    <w:rsid w:val="00D77974"/>
    <w:rsid w:val="00D7797D"/>
    <w:rsid w:val="00D8000E"/>
    <w:rsid w:val="00D80990"/>
    <w:rsid w:val="00D81598"/>
    <w:rsid w:val="00D81725"/>
    <w:rsid w:val="00D8195C"/>
    <w:rsid w:val="00D81AFB"/>
    <w:rsid w:val="00D81DC9"/>
    <w:rsid w:val="00D820C7"/>
    <w:rsid w:val="00D8239C"/>
    <w:rsid w:val="00D82456"/>
    <w:rsid w:val="00D82901"/>
    <w:rsid w:val="00D82C17"/>
    <w:rsid w:val="00D82E76"/>
    <w:rsid w:val="00D832B5"/>
    <w:rsid w:val="00D83902"/>
    <w:rsid w:val="00D84164"/>
    <w:rsid w:val="00D84418"/>
    <w:rsid w:val="00D84F8F"/>
    <w:rsid w:val="00D858A0"/>
    <w:rsid w:val="00D86B23"/>
    <w:rsid w:val="00D86EA4"/>
    <w:rsid w:val="00D90F9D"/>
    <w:rsid w:val="00D921A2"/>
    <w:rsid w:val="00D922CE"/>
    <w:rsid w:val="00D92B68"/>
    <w:rsid w:val="00D937AD"/>
    <w:rsid w:val="00D94AB4"/>
    <w:rsid w:val="00D94E2C"/>
    <w:rsid w:val="00D951F3"/>
    <w:rsid w:val="00D95F7F"/>
    <w:rsid w:val="00D962F2"/>
    <w:rsid w:val="00D96E9E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ACC"/>
    <w:rsid w:val="00DA5D2F"/>
    <w:rsid w:val="00DA5D79"/>
    <w:rsid w:val="00DA5E3D"/>
    <w:rsid w:val="00DA6BEC"/>
    <w:rsid w:val="00DA7877"/>
    <w:rsid w:val="00DA7B5F"/>
    <w:rsid w:val="00DB05A6"/>
    <w:rsid w:val="00DB0A62"/>
    <w:rsid w:val="00DB12CA"/>
    <w:rsid w:val="00DB1BF9"/>
    <w:rsid w:val="00DB223D"/>
    <w:rsid w:val="00DB2F69"/>
    <w:rsid w:val="00DB43A7"/>
    <w:rsid w:val="00DB4650"/>
    <w:rsid w:val="00DB51D7"/>
    <w:rsid w:val="00DB53CF"/>
    <w:rsid w:val="00DB5435"/>
    <w:rsid w:val="00DB7541"/>
    <w:rsid w:val="00DB792B"/>
    <w:rsid w:val="00DC066E"/>
    <w:rsid w:val="00DC077A"/>
    <w:rsid w:val="00DC13C0"/>
    <w:rsid w:val="00DC1B18"/>
    <w:rsid w:val="00DC1BD5"/>
    <w:rsid w:val="00DC1D95"/>
    <w:rsid w:val="00DC1ED0"/>
    <w:rsid w:val="00DC21B4"/>
    <w:rsid w:val="00DC37CE"/>
    <w:rsid w:val="00DC3EB3"/>
    <w:rsid w:val="00DC3EC5"/>
    <w:rsid w:val="00DC4A35"/>
    <w:rsid w:val="00DC4AC0"/>
    <w:rsid w:val="00DC4DDF"/>
    <w:rsid w:val="00DC5C31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0FA1"/>
    <w:rsid w:val="00DD12B4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6FC1"/>
    <w:rsid w:val="00DE7047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0CC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DF76F7"/>
    <w:rsid w:val="00DF7BC0"/>
    <w:rsid w:val="00E002CE"/>
    <w:rsid w:val="00E026C7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1DC4"/>
    <w:rsid w:val="00E12064"/>
    <w:rsid w:val="00E122B8"/>
    <w:rsid w:val="00E12E3D"/>
    <w:rsid w:val="00E12F9A"/>
    <w:rsid w:val="00E131C1"/>
    <w:rsid w:val="00E13C72"/>
    <w:rsid w:val="00E13C98"/>
    <w:rsid w:val="00E14BCB"/>
    <w:rsid w:val="00E14FF2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8CF"/>
    <w:rsid w:val="00E24EA8"/>
    <w:rsid w:val="00E251E1"/>
    <w:rsid w:val="00E25A23"/>
    <w:rsid w:val="00E25A92"/>
    <w:rsid w:val="00E25E27"/>
    <w:rsid w:val="00E26756"/>
    <w:rsid w:val="00E26C78"/>
    <w:rsid w:val="00E26CF2"/>
    <w:rsid w:val="00E26F55"/>
    <w:rsid w:val="00E27C22"/>
    <w:rsid w:val="00E304A4"/>
    <w:rsid w:val="00E30692"/>
    <w:rsid w:val="00E317EA"/>
    <w:rsid w:val="00E32723"/>
    <w:rsid w:val="00E32B7A"/>
    <w:rsid w:val="00E32E8A"/>
    <w:rsid w:val="00E3302E"/>
    <w:rsid w:val="00E3348F"/>
    <w:rsid w:val="00E33931"/>
    <w:rsid w:val="00E339D5"/>
    <w:rsid w:val="00E33C57"/>
    <w:rsid w:val="00E34506"/>
    <w:rsid w:val="00E34ADB"/>
    <w:rsid w:val="00E34B71"/>
    <w:rsid w:val="00E3560A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1A31"/>
    <w:rsid w:val="00E426B1"/>
    <w:rsid w:val="00E428E1"/>
    <w:rsid w:val="00E42B15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DD6"/>
    <w:rsid w:val="00E53E87"/>
    <w:rsid w:val="00E5508B"/>
    <w:rsid w:val="00E5531A"/>
    <w:rsid w:val="00E5543B"/>
    <w:rsid w:val="00E55DE3"/>
    <w:rsid w:val="00E560F1"/>
    <w:rsid w:val="00E56AD2"/>
    <w:rsid w:val="00E57B19"/>
    <w:rsid w:val="00E60790"/>
    <w:rsid w:val="00E60874"/>
    <w:rsid w:val="00E610DE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708C3"/>
    <w:rsid w:val="00E724A2"/>
    <w:rsid w:val="00E726FF"/>
    <w:rsid w:val="00E72A6E"/>
    <w:rsid w:val="00E72B87"/>
    <w:rsid w:val="00E72DA9"/>
    <w:rsid w:val="00E73EBD"/>
    <w:rsid w:val="00E7445E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77E06"/>
    <w:rsid w:val="00E81415"/>
    <w:rsid w:val="00E815A8"/>
    <w:rsid w:val="00E81D1D"/>
    <w:rsid w:val="00E82FDA"/>
    <w:rsid w:val="00E846DD"/>
    <w:rsid w:val="00E8554D"/>
    <w:rsid w:val="00E85B18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535"/>
    <w:rsid w:val="00EA382D"/>
    <w:rsid w:val="00EA3D04"/>
    <w:rsid w:val="00EA3FFA"/>
    <w:rsid w:val="00EA491F"/>
    <w:rsid w:val="00EA51B2"/>
    <w:rsid w:val="00EA5E26"/>
    <w:rsid w:val="00EA6AD4"/>
    <w:rsid w:val="00EA7227"/>
    <w:rsid w:val="00EA7D18"/>
    <w:rsid w:val="00EB00DE"/>
    <w:rsid w:val="00EB0B0F"/>
    <w:rsid w:val="00EB0C79"/>
    <w:rsid w:val="00EB24D4"/>
    <w:rsid w:val="00EB2557"/>
    <w:rsid w:val="00EB25C3"/>
    <w:rsid w:val="00EB3067"/>
    <w:rsid w:val="00EB49C6"/>
    <w:rsid w:val="00EB5A69"/>
    <w:rsid w:val="00EB6AE9"/>
    <w:rsid w:val="00EB7B33"/>
    <w:rsid w:val="00EB7FFA"/>
    <w:rsid w:val="00EC0436"/>
    <w:rsid w:val="00EC18AE"/>
    <w:rsid w:val="00EC18EA"/>
    <w:rsid w:val="00EC1E2E"/>
    <w:rsid w:val="00EC1EA7"/>
    <w:rsid w:val="00EC356C"/>
    <w:rsid w:val="00EC3A69"/>
    <w:rsid w:val="00EC3DC6"/>
    <w:rsid w:val="00EC487E"/>
    <w:rsid w:val="00EC66C2"/>
    <w:rsid w:val="00ED2035"/>
    <w:rsid w:val="00ED35C8"/>
    <w:rsid w:val="00ED3DF1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F2E"/>
    <w:rsid w:val="00EE10BB"/>
    <w:rsid w:val="00EE22F1"/>
    <w:rsid w:val="00EE3200"/>
    <w:rsid w:val="00EE40ED"/>
    <w:rsid w:val="00EE4C6D"/>
    <w:rsid w:val="00EE6262"/>
    <w:rsid w:val="00EE683C"/>
    <w:rsid w:val="00EE6FF1"/>
    <w:rsid w:val="00EE74C0"/>
    <w:rsid w:val="00EF08D7"/>
    <w:rsid w:val="00EF0CA1"/>
    <w:rsid w:val="00EF0F56"/>
    <w:rsid w:val="00EF120C"/>
    <w:rsid w:val="00EF1615"/>
    <w:rsid w:val="00EF22B5"/>
    <w:rsid w:val="00EF23EC"/>
    <w:rsid w:val="00EF250F"/>
    <w:rsid w:val="00EF264E"/>
    <w:rsid w:val="00EF3553"/>
    <w:rsid w:val="00EF39CC"/>
    <w:rsid w:val="00EF3B77"/>
    <w:rsid w:val="00EF3F85"/>
    <w:rsid w:val="00EF40E0"/>
    <w:rsid w:val="00EF4781"/>
    <w:rsid w:val="00EF4B1E"/>
    <w:rsid w:val="00EF547B"/>
    <w:rsid w:val="00EF6491"/>
    <w:rsid w:val="00EF6B22"/>
    <w:rsid w:val="00EF7302"/>
    <w:rsid w:val="00EF742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371"/>
    <w:rsid w:val="00F11D59"/>
    <w:rsid w:val="00F120FA"/>
    <w:rsid w:val="00F126E7"/>
    <w:rsid w:val="00F13EBF"/>
    <w:rsid w:val="00F144E4"/>
    <w:rsid w:val="00F168A1"/>
    <w:rsid w:val="00F16BDA"/>
    <w:rsid w:val="00F176B8"/>
    <w:rsid w:val="00F17D21"/>
    <w:rsid w:val="00F213A6"/>
    <w:rsid w:val="00F218D1"/>
    <w:rsid w:val="00F21D3E"/>
    <w:rsid w:val="00F21E16"/>
    <w:rsid w:val="00F22A73"/>
    <w:rsid w:val="00F2324C"/>
    <w:rsid w:val="00F23466"/>
    <w:rsid w:val="00F23CF2"/>
    <w:rsid w:val="00F258C5"/>
    <w:rsid w:val="00F26049"/>
    <w:rsid w:val="00F26A50"/>
    <w:rsid w:val="00F27AD8"/>
    <w:rsid w:val="00F30323"/>
    <w:rsid w:val="00F30DEA"/>
    <w:rsid w:val="00F30E40"/>
    <w:rsid w:val="00F324DE"/>
    <w:rsid w:val="00F33318"/>
    <w:rsid w:val="00F33A4A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15E0"/>
    <w:rsid w:val="00F42595"/>
    <w:rsid w:val="00F4264D"/>
    <w:rsid w:val="00F43A2D"/>
    <w:rsid w:val="00F43A81"/>
    <w:rsid w:val="00F44137"/>
    <w:rsid w:val="00F449E4"/>
    <w:rsid w:val="00F45150"/>
    <w:rsid w:val="00F46F06"/>
    <w:rsid w:val="00F46FEF"/>
    <w:rsid w:val="00F4764E"/>
    <w:rsid w:val="00F47E1E"/>
    <w:rsid w:val="00F47FA4"/>
    <w:rsid w:val="00F502DF"/>
    <w:rsid w:val="00F50972"/>
    <w:rsid w:val="00F50B26"/>
    <w:rsid w:val="00F517E7"/>
    <w:rsid w:val="00F51B25"/>
    <w:rsid w:val="00F51F3A"/>
    <w:rsid w:val="00F535ED"/>
    <w:rsid w:val="00F54A71"/>
    <w:rsid w:val="00F54F1B"/>
    <w:rsid w:val="00F5609A"/>
    <w:rsid w:val="00F6001C"/>
    <w:rsid w:val="00F60629"/>
    <w:rsid w:val="00F6082A"/>
    <w:rsid w:val="00F608FC"/>
    <w:rsid w:val="00F60DA3"/>
    <w:rsid w:val="00F611CF"/>
    <w:rsid w:val="00F61ECE"/>
    <w:rsid w:val="00F61FA4"/>
    <w:rsid w:val="00F627F5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450B"/>
    <w:rsid w:val="00F74701"/>
    <w:rsid w:val="00F7491B"/>
    <w:rsid w:val="00F75242"/>
    <w:rsid w:val="00F764D2"/>
    <w:rsid w:val="00F76758"/>
    <w:rsid w:val="00F77CF5"/>
    <w:rsid w:val="00F80D49"/>
    <w:rsid w:val="00F8100D"/>
    <w:rsid w:val="00F816BE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90F98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A221A"/>
    <w:rsid w:val="00FA2B69"/>
    <w:rsid w:val="00FA2DCB"/>
    <w:rsid w:val="00FA3EEF"/>
    <w:rsid w:val="00FA4801"/>
    <w:rsid w:val="00FA5838"/>
    <w:rsid w:val="00FA5E2C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8BB"/>
    <w:rsid w:val="00FB2F2A"/>
    <w:rsid w:val="00FB43F4"/>
    <w:rsid w:val="00FB4877"/>
    <w:rsid w:val="00FB4CE3"/>
    <w:rsid w:val="00FB5131"/>
    <w:rsid w:val="00FB6F1E"/>
    <w:rsid w:val="00FB7685"/>
    <w:rsid w:val="00FB7A29"/>
    <w:rsid w:val="00FC04C1"/>
    <w:rsid w:val="00FC1514"/>
    <w:rsid w:val="00FC277A"/>
    <w:rsid w:val="00FC2BC0"/>
    <w:rsid w:val="00FC2E48"/>
    <w:rsid w:val="00FC332C"/>
    <w:rsid w:val="00FC34E8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813"/>
    <w:rsid w:val="00FD4C4E"/>
    <w:rsid w:val="00FD5904"/>
    <w:rsid w:val="00FD6210"/>
    <w:rsid w:val="00FD6BF1"/>
    <w:rsid w:val="00FD70D6"/>
    <w:rsid w:val="00FD7565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DF1"/>
    <w:rsid w:val="00FE3FD3"/>
    <w:rsid w:val="00FE41FA"/>
    <w:rsid w:val="00FE4369"/>
    <w:rsid w:val="00FE4C61"/>
    <w:rsid w:val="00FE575C"/>
    <w:rsid w:val="00FE698D"/>
    <w:rsid w:val="00FE7D6D"/>
    <w:rsid w:val="00FE7E72"/>
    <w:rsid w:val="00FE7FB9"/>
    <w:rsid w:val="00FE7FE0"/>
    <w:rsid w:val="00FF1330"/>
    <w:rsid w:val="00FF16F7"/>
    <w:rsid w:val="00FF20AA"/>
    <w:rsid w:val="00FF21A5"/>
    <w:rsid w:val="00FF2B95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e.boi.org.il/he/DataAndStatistics/Pages/MainPage.aspx?Level=3&amp;Sid=47&amp;SubjectType=2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e.boi.org.il/he/DataAndStatistics/Pages/MainPage.aspx?Level=3&amp;Sid=49&amp;SubjectType=2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e.boi.org.il/he/DataAndStatistics/Pages/MainPage.aspx?Level=3&amp;Sid=53&amp;SubjectType=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25BAD-D84D-4BDA-B49F-C2937CA60EE6}"/>
</file>

<file path=customXml/itemProps2.xml><?xml version="1.0" encoding="utf-8"?>
<ds:datastoreItem xmlns:ds="http://schemas.openxmlformats.org/officeDocument/2006/customXml" ds:itemID="{6D6D18E2-5599-4BCE-BBF0-1506BADDE087}"/>
</file>

<file path=customXml/itemProps3.xml><?xml version="1.0" encoding="utf-8"?>
<ds:datastoreItem xmlns:ds="http://schemas.openxmlformats.org/officeDocument/2006/customXml" ds:itemID="{5123A062-D072-4B32-A5FD-D39372BC8589}"/>
</file>

<file path=customXml/itemProps4.xml><?xml version="1.0" encoding="utf-8"?>
<ds:datastoreItem xmlns:ds="http://schemas.openxmlformats.org/officeDocument/2006/customXml" ds:itemID="{0758BB17-8751-4084-B0FB-C681C1C733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865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5184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2018-09-16T11:45:00Z</dcterms:created>
  <dcterms:modified xsi:type="dcterms:W3CDTF">2018-09-16T11:46:00Z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