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A37AD3" w:rsidTr="00031A9D">
        <w:tc>
          <w:tcPr>
            <w:tcW w:w="3343" w:type="dxa"/>
            <w:tcBorders>
              <w:top w:val="nil"/>
              <w:left w:val="nil"/>
              <w:bottom w:val="nil"/>
              <w:right w:val="nil"/>
            </w:tcBorders>
            <w:vAlign w:val="center"/>
          </w:tcPr>
          <w:p w:rsidR="00031A9D" w:rsidRPr="00A37AD3" w:rsidRDefault="00031A9D" w:rsidP="005E28F6">
            <w:pPr>
              <w:bidi/>
              <w:spacing w:line="276" w:lineRule="auto"/>
              <w:jc w:val="center"/>
              <w:rPr>
                <w:rFonts w:asciiTheme="minorHAnsi" w:hAnsiTheme="minorHAnsi" w:cstheme="minorHAnsi"/>
                <w:b/>
                <w:bCs/>
                <w:rtl/>
              </w:rPr>
            </w:pPr>
            <w:r w:rsidRPr="00A37AD3">
              <w:rPr>
                <w:rFonts w:asciiTheme="minorHAnsi" w:hAnsiTheme="minorHAnsi" w:cstheme="minorHAnsi"/>
                <w:b/>
                <w:bCs/>
                <w:rtl/>
              </w:rPr>
              <w:t>בנק ישראל</w:t>
            </w:r>
          </w:p>
          <w:p w:rsidR="00031A9D" w:rsidRPr="00A37AD3" w:rsidRDefault="00031A9D" w:rsidP="005E28F6">
            <w:pPr>
              <w:bidi/>
              <w:spacing w:line="276" w:lineRule="auto"/>
              <w:jc w:val="center"/>
              <w:rPr>
                <w:rFonts w:asciiTheme="minorHAnsi" w:hAnsiTheme="minorHAnsi" w:cstheme="minorHAnsi"/>
                <w:b/>
                <w:bCs/>
              </w:rPr>
            </w:pPr>
            <w:r w:rsidRPr="00A37AD3">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A37AD3" w:rsidRDefault="00031A9D" w:rsidP="005E28F6">
            <w:pPr>
              <w:bidi/>
              <w:jc w:val="center"/>
              <w:rPr>
                <w:rFonts w:asciiTheme="minorHAnsi" w:hAnsiTheme="minorHAnsi" w:cstheme="minorHAnsi"/>
              </w:rPr>
            </w:pPr>
            <w:r w:rsidRPr="00A37AD3">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A37AD3" w:rsidRDefault="00031A9D" w:rsidP="005E28F6">
            <w:pPr>
              <w:bidi/>
              <w:spacing w:line="276" w:lineRule="auto"/>
              <w:jc w:val="center"/>
              <w:rPr>
                <w:rFonts w:asciiTheme="minorHAnsi" w:hAnsiTheme="minorHAnsi" w:cstheme="minorHAnsi"/>
                <w:rtl/>
              </w:rPr>
            </w:pPr>
            <w:r w:rsidRPr="00A37AD3">
              <w:rPr>
                <w:rFonts w:asciiTheme="minorHAnsi" w:hAnsiTheme="minorHAnsi" w:cstheme="minorHAnsi"/>
                <w:highlight w:val="green"/>
                <w:rtl/>
              </w:rPr>
              <w:t>‏</w:t>
            </w:r>
            <w:r w:rsidRPr="00A37AD3">
              <w:rPr>
                <w:rFonts w:asciiTheme="minorHAnsi" w:hAnsiTheme="minorHAnsi" w:cstheme="minorHAnsi"/>
                <w:rtl/>
              </w:rPr>
              <w:t xml:space="preserve">ירושלים, </w:t>
            </w:r>
            <w:r w:rsidRPr="00A37AD3">
              <w:rPr>
                <w:rFonts w:asciiTheme="minorHAnsi" w:hAnsiTheme="minorHAnsi" w:cstheme="minorHAnsi"/>
                <w:rtl/>
              </w:rPr>
              <w:fldChar w:fldCharType="begin"/>
            </w:r>
            <w:r w:rsidRPr="00A37AD3">
              <w:rPr>
                <w:rFonts w:asciiTheme="minorHAnsi" w:hAnsiTheme="minorHAnsi" w:cstheme="minorHAnsi"/>
                <w:rtl/>
              </w:rPr>
              <w:instrText xml:space="preserve"> </w:instrText>
            </w:r>
            <w:r w:rsidRPr="00A37AD3">
              <w:rPr>
                <w:rFonts w:asciiTheme="minorHAnsi" w:hAnsiTheme="minorHAnsi" w:cstheme="minorHAnsi"/>
              </w:rPr>
              <w:instrText>DATE</w:instrText>
            </w:r>
            <w:r w:rsidRPr="00A37AD3">
              <w:rPr>
                <w:rFonts w:asciiTheme="minorHAnsi" w:hAnsiTheme="minorHAnsi" w:cstheme="minorHAnsi"/>
                <w:rtl/>
              </w:rPr>
              <w:instrText xml:space="preserve"> \@ "</w:instrText>
            </w:r>
            <w:r w:rsidRPr="00A37AD3">
              <w:rPr>
                <w:rFonts w:asciiTheme="minorHAnsi" w:hAnsiTheme="minorHAnsi" w:cstheme="minorHAnsi"/>
              </w:rPr>
              <w:instrText>d MMMM, yyyy" \h</w:instrText>
            </w:r>
            <w:r w:rsidRPr="00A37AD3">
              <w:rPr>
                <w:rFonts w:asciiTheme="minorHAnsi" w:hAnsiTheme="minorHAnsi" w:cstheme="minorHAnsi"/>
                <w:rtl/>
              </w:rPr>
              <w:instrText xml:space="preserve"> </w:instrText>
            </w:r>
            <w:r w:rsidRPr="00A37AD3">
              <w:rPr>
                <w:rFonts w:asciiTheme="minorHAnsi" w:hAnsiTheme="minorHAnsi" w:cstheme="minorHAnsi"/>
                <w:rtl/>
              </w:rPr>
              <w:fldChar w:fldCharType="separate"/>
            </w:r>
            <w:r w:rsidR="00A37AD3" w:rsidRPr="00A37AD3">
              <w:rPr>
                <w:rFonts w:asciiTheme="minorHAnsi" w:hAnsiTheme="minorHAnsi" w:cstheme="minorHAnsi"/>
                <w:noProof/>
                <w:rtl/>
              </w:rPr>
              <w:t>‏י"א אב, תשפ"ה</w:t>
            </w:r>
            <w:r w:rsidRPr="00A37AD3">
              <w:rPr>
                <w:rFonts w:asciiTheme="minorHAnsi" w:hAnsiTheme="minorHAnsi" w:cstheme="minorHAnsi"/>
                <w:rtl/>
              </w:rPr>
              <w:fldChar w:fldCharType="end"/>
            </w:r>
          </w:p>
          <w:p w:rsidR="00031A9D" w:rsidRPr="00A37AD3" w:rsidRDefault="00031A9D" w:rsidP="005E28F6">
            <w:pPr>
              <w:bidi/>
              <w:spacing w:line="276" w:lineRule="auto"/>
              <w:jc w:val="center"/>
              <w:rPr>
                <w:rFonts w:asciiTheme="minorHAnsi" w:hAnsiTheme="minorHAnsi" w:cstheme="minorHAnsi"/>
                <w:highlight w:val="green"/>
              </w:rPr>
            </w:pPr>
            <w:r w:rsidRPr="00A37AD3">
              <w:rPr>
                <w:rFonts w:asciiTheme="minorHAnsi" w:hAnsiTheme="minorHAnsi" w:cstheme="minorHAnsi"/>
                <w:rtl/>
              </w:rPr>
              <w:fldChar w:fldCharType="begin"/>
            </w:r>
            <w:r w:rsidRPr="00A37AD3">
              <w:rPr>
                <w:rFonts w:asciiTheme="minorHAnsi" w:hAnsiTheme="minorHAnsi" w:cstheme="minorHAnsi"/>
                <w:rtl/>
              </w:rPr>
              <w:instrText xml:space="preserve"> </w:instrText>
            </w:r>
            <w:r w:rsidRPr="00A37AD3">
              <w:rPr>
                <w:rFonts w:asciiTheme="minorHAnsi" w:hAnsiTheme="minorHAnsi" w:cstheme="minorHAnsi"/>
              </w:rPr>
              <w:instrText>DATE</w:instrText>
            </w:r>
            <w:r w:rsidRPr="00A37AD3">
              <w:rPr>
                <w:rFonts w:asciiTheme="minorHAnsi" w:hAnsiTheme="minorHAnsi" w:cstheme="minorHAnsi"/>
                <w:rtl/>
              </w:rPr>
              <w:instrText xml:space="preserve"> \@ "</w:instrText>
            </w:r>
            <w:r w:rsidRPr="00A37AD3">
              <w:rPr>
                <w:rFonts w:asciiTheme="minorHAnsi" w:hAnsiTheme="minorHAnsi" w:cstheme="minorHAnsi"/>
              </w:rPr>
              <w:instrText>d MMMM, yyyy</w:instrText>
            </w:r>
            <w:r w:rsidRPr="00A37AD3">
              <w:rPr>
                <w:rFonts w:asciiTheme="minorHAnsi" w:hAnsiTheme="minorHAnsi" w:cstheme="minorHAnsi"/>
                <w:rtl/>
              </w:rPr>
              <w:instrText xml:space="preserve">" </w:instrText>
            </w:r>
            <w:r w:rsidRPr="00A37AD3">
              <w:rPr>
                <w:rFonts w:asciiTheme="minorHAnsi" w:hAnsiTheme="minorHAnsi" w:cstheme="minorHAnsi"/>
                <w:rtl/>
              </w:rPr>
              <w:fldChar w:fldCharType="separate"/>
            </w:r>
            <w:r w:rsidR="00A37AD3" w:rsidRPr="00A37AD3">
              <w:rPr>
                <w:rFonts w:asciiTheme="minorHAnsi" w:hAnsiTheme="minorHAnsi" w:cstheme="minorHAnsi"/>
                <w:noProof/>
                <w:rtl/>
              </w:rPr>
              <w:t>‏5 אוגוסט, 2025</w:t>
            </w:r>
            <w:r w:rsidRPr="00A37AD3">
              <w:rPr>
                <w:rFonts w:asciiTheme="minorHAnsi" w:hAnsiTheme="minorHAnsi" w:cstheme="minorHAnsi"/>
                <w:rtl/>
              </w:rPr>
              <w:fldChar w:fldCharType="end"/>
            </w:r>
          </w:p>
        </w:tc>
      </w:tr>
    </w:tbl>
    <w:p w:rsidR="00031A9D" w:rsidRPr="00A37AD3" w:rsidRDefault="00031A9D" w:rsidP="005E28F6">
      <w:pPr>
        <w:bidi/>
        <w:rPr>
          <w:rFonts w:asciiTheme="minorHAnsi" w:hAnsiTheme="minorHAnsi" w:cstheme="minorHAnsi"/>
          <w:rtl/>
        </w:rPr>
      </w:pPr>
    </w:p>
    <w:p w:rsidR="005E28F6" w:rsidRPr="00A37AD3" w:rsidRDefault="005E28F6" w:rsidP="005E28F6">
      <w:pPr>
        <w:bidi/>
        <w:spacing w:line="360" w:lineRule="auto"/>
        <w:rPr>
          <w:rFonts w:asciiTheme="minorHAnsi" w:hAnsiTheme="minorHAnsi" w:cstheme="minorHAnsi"/>
          <w:rtl/>
        </w:rPr>
      </w:pPr>
      <w:r w:rsidRPr="00A37AD3">
        <w:rPr>
          <w:rFonts w:asciiTheme="minorHAnsi" w:hAnsiTheme="minorHAnsi" w:cstheme="minorHAnsi"/>
          <w:rtl/>
        </w:rPr>
        <w:t>הודעה לעיתונות</w:t>
      </w:r>
      <w:r w:rsidRPr="00A37AD3">
        <w:rPr>
          <w:rFonts w:asciiTheme="minorHAnsi" w:hAnsiTheme="minorHAnsi" w:cstheme="minorHAnsi"/>
        </w:rPr>
        <w:t>:</w:t>
      </w:r>
    </w:p>
    <w:p w:rsidR="00A37AD3" w:rsidRPr="00A37AD3" w:rsidRDefault="00A37AD3" w:rsidP="00A37AD3">
      <w:pPr>
        <w:pStyle w:val="af3"/>
        <w:pBdr>
          <w:bottom w:val="single" w:sz="4" w:space="4" w:color="auto"/>
        </w:pBdr>
        <w:bidi/>
        <w:spacing w:line="360" w:lineRule="auto"/>
        <w:jc w:val="center"/>
        <w:rPr>
          <w:rFonts w:asciiTheme="minorHAnsi" w:hAnsiTheme="minorHAnsi" w:cstheme="minorHAnsi"/>
          <w:color w:val="000000" w:themeColor="text1"/>
          <w:sz w:val="28"/>
          <w:szCs w:val="28"/>
          <w:rtl/>
        </w:rPr>
      </w:pPr>
      <w:bookmarkStart w:id="0" w:name="_GoBack"/>
      <w:r w:rsidRPr="00A37AD3">
        <w:rPr>
          <w:rFonts w:asciiTheme="minorHAnsi" w:hAnsiTheme="minorHAnsi" w:cstheme="minorHAnsi"/>
          <w:b/>
          <w:bCs/>
          <w:color w:val="000000" w:themeColor="text1"/>
          <w:sz w:val="28"/>
          <w:szCs w:val="28"/>
          <w:rtl/>
        </w:rPr>
        <w:t xml:space="preserve">המסחר בשוק מטבע החוץ ברביע השני של שנת 2025 </w:t>
      </w:r>
    </w:p>
    <w:bookmarkEnd w:id="0"/>
    <w:p w:rsidR="00A37AD3" w:rsidRPr="00A37AD3" w:rsidRDefault="00A37AD3" w:rsidP="00A37AD3">
      <w:pPr>
        <w:pStyle w:val="1"/>
        <w:bidi/>
        <w:spacing w:line="360" w:lineRule="auto"/>
        <w:rPr>
          <w:rFonts w:asciiTheme="minorHAnsi" w:eastAsia="Times New Roman" w:hAnsiTheme="minorHAnsi" w:cstheme="minorHAnsi"/>
          <w:color w:val="FF0000"/>
          <w:sz w:val="24"/>
          <w:szCs w:val="24"/>
          <w:rtl/>
        </w:rPr>
      </w:pPr>
      <w:r w:rsidRPr="00A37AD3">
        <w:rPr>
          <w:rFonts w:asciiTheme="minorHAnsi" w:eastAsia="Times New Roman" w:hAnsiTheme="minorHAnsi" w:cstheme="minorHAnsi"/>
          <w:color w:val="1F497D" w:themeColor="text2"/>
          <w:sz w:val="24"/>
          <w:szCs w:val="24"/>
          <w:rtl/>
        </w:rPr>
        <w:t>התפתחות שער החליפין – התחזקות השקל על רקע היחלשות הדולר בעולם.</w:t>
      </w:r>
    </w:p>
    <w:p w:rsidR="00A37AD3" w:rsidRPr="00A37AD3" w:rsidRDefault="00A37AD3" w:rsidP="00A37AD3">
      <w:pPr>
        <w:pStyle w:val="NormalWeb"/>
        <w:bidi/>
        <w:spacing w:line="360" w:lineRule="auto"/>
        <w:rPr>
          <w:rFonts w:asciiTheme="minorHAnsi" w:hAnsiTheme="minorHAnsi" w:cstheme="minorHAnsi"/>
          <w:color w:val="000000" w:themeColor="text1"/>
          <w:rtl/>
          <w:lang w:eastAsia="he-IL"/>
        </w:rPr>
      </w:pPr>
      <w:r w:rsidRPr="00A37AD3">
        <w:rPr>
          <w:rFonts w:asciiTheme="minorHAnsi" w:hAnsiTheme="minorHAnsi" w:cstheme="minorHAnsi"/>
          <w:color w:val="000000" w:themeColor="text1"/>
          <w:rtl/>
          <w:lang w:eastAsia="he-IL"/>
        </w:rPr>
        <w:t>ברביע השני של 2025 נרשמה התחזקות ניכרת של השקל, על רקע התחזקות הסנטימנט החיובי של המשקיעים לאחר אירועי מבצע "עם כלביא"  במקביל להיחלשות  הדולר מול סל המטבעות המרכזיים בעולם. במהלך הרביע התחזק השקל בכ-9.3% מול הדולר ובכ-1.5% מול האירו. כמו כן, השקל התחזק בכ-6% מול מטבעות שותפות הסחר העיקריות של ישראל, כפי שמשוקלל במדד שער החליפין הנומינלי האפקטיבי</w:t>
      </w:r>
      <w:r w:rsidRPr="00A37AD3">
        <w:rPr>
          <w:rFonts w:asciiTheme="minorHAnsi" w:hAnsiTheme="minorHAnsi" w:cstheme="minorHAnsi"/>
          <w:color w:val="000000" w:themeColor="text1"/>
          <w:lang w:eastAsia="he-IL"/>
        </w:rPr>
        <w:t>.</w:t>
      </w:r>
    </w:p>
    <w:p w:rsidR="00A37AD3" w:rsidRPr="00A37AD3" w:rsidRDefault="00A37AD3" w:rsidP="00A37AD3">
      <w:pPr>
        <w:pStyle w:val="NormalWeb"/>
        <w:bidi/>
        <w:spacing w:line="360" w:lineRule="auto"/>
        <w:rPr>
          <w:rFonts w:asciiTheme="minorHAnsi" w:hAnsiTheme="minorHAnsi" w:cstheme="minorHAnsi"/>
          <w:color w:val="000000" w:themeColor="text1"/>
          <w:lang w:eastAsia="he-IL"/>
        </w:rPr>
      </w:pPr>
      <w:r w:rsidRPr="00A37AD3">
        <w:rPr>
          <w:rFonts w:asciiTheme="minorHAnsi" w:hAnsiTheme="minorHAnsi" w:cstheme="minorHAnsi"/>
          <w:noProof/>
          <w:color w:val="000000" w:themeColor="text1"/>
        </w:rPr>
        <w:drawing>
          <wp:anchor distT="0" distB="0" distL="114300" distR="114300" simplePos="0" relativeHeight="251666432" behindDoc="0" locked="0" layoutInCell="1" allowOverlap="1" wp14:anchorId="4901C797" wp14:editId="6452D008">
            <wp:simplePos x="0" y="0"/>
            <wp:positionH relativeFrom="column">
              <wp:posOffset>652780</wp:posOffset>
            </wp:positionH>
            <wp:positionV relativeFrom="paragraph">
              <wp:posOffset>3415665</wp:posOffset>
            </wp:positionV>
            <wp:extent cx="5054600" cy="2478405"/>
            <wp:effectExtent l="0" t="0" r="0" b="0"/>
            <wp:wrapTopAndBottom/>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0" cy="2478405"/>
                    </a:xfrm>
                    <a:prstGeom prst="rect">
                      <a:avLst/>
                    </a:prstGeom>
                    <a:noFill/>
                  </pic:spPr>
                </pic:pic>
              </a:graphicData>
            </a:graphic>
            <wp14:sizeRelH relativeFrom="margin">
              <wp14:pctWidth>0</wp14:pctWidth>
            </wp14:sizeRelH>
            <wp14:sizeRelV relativeFrom="margin">
              <wp14:pctHeight>0</wp14:pctHeight>
            </wp14:sizeRelV>
          </wp:anchor>
        </w:drawing>
      </w:r>
      <w:r w:rsidRPr="00A37AD3">
        <w:rPr>
          <w:rFonts w:asciiTheme="minorHAnsi" w:hAnsiTheme="minorHAnsi" w:cstheme="minorHAnsi"/>
          <w:noProof/>
          <w:color w:val="000000" w:themeColor="text1"/>
        </w:rPr>
        <w:drawing>
          <wp:anchor distT="0" distB="0" distL="114300" distR="114300" simplePos="0" relativeHeight="251660288" behindDoc="0" locked="0" layoutInCell="1" allowOverlap="1" wp14:anchorId="5803BD7D" wp14:editId="2289448C">
            <wp:simplePos x="0" y="0"/>
            <wp:positionH relativeFrom="column">
              <wp:posOffset>655534</wp:posOffset>
            </wp:positionH>
            <wp:positionV relativeFrom="paragraph">
              <wp:posOffset>758774</wp:posOffset>
            </wp:positionV>
            <wp:extent cx="4925695" cy="2566670"/>
            <wp:effectExtent l="0" t="0" r="8255" b="508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5695" cy="2566670"/>
                    </a:xfrm>
                    <a:prstGeom prst="rect">
                      <a:avLst/>
                    </a:prstGeom>
                    <a:noFill/>
                  </pic:spPr>
                </pic:pic>
              </a:graphicData>
            </a:graphic>
          </wp:anchor>
        </w:drawing>
      </w:r>
      <w:r w:rsidRPr="00A37AD3">
        <w:rPr>
          <w:rFonts w:asciiTheme="minorHAnsi" w:hAnsiTheme="minorHAnsi" w:cstheme="minorHAnsi"/>
          <w:color w:val="000000" w:themeColor="text1"/>
          <w:rtl/>
          <w:lang w:eastAsia="he-IL"/>
        </w:rPr>
        <w:t>בעולם, המשיכה מגמת היחלשות הדולר על רקע המתיחות סביב מלחמת הסחר העולמית, והמשך חוסר הוודאות סביב מדיניות המכסים של ארה"ב. בין היתר, נחלש הדולר במהלך הרביע ב-3.4% מול הין היפני וב-7.8% מול האירו (ראו תרשים 2)</w:t>
      </w:r>
      <w:r w:rsidRPr="00A37AD3">
        <w:rPr>
          <w:rFonts w:asciiTheme="minorHAnsi" w:hAnsiTheme="minorHAnsi" w:cstheme="minorHAnsi"/>
          <w:color w:val="000000" w:themeColor="text1"/>
          <w:lang w:eastAsia="he-IL"/>
        </w:rPr>
        <w:t>.</w:t>
      </w:r>
      <w:r w:rsidRPr="00A37AD3">
        <w:rPr>
          <w:rFonts w:asciiTheme="minorHAnsi" w:hAnsiTheme="minorHAnsi" w:cstheme="minorHAnsi"/>
          <w:noProof/>
          <w:color w:val="000000" w:themeColor="text1"/>
        </w:rPr>
        <w:t xml:space="preserve"> </w:t>
      </w:r>
    </w:p>
    <w:p w:rsidR="00A37AD3" w:rsidRPr="00A37AD3" w:rsidRDefault="00A37AD3" w:rsidP="00A37AD3">
      <w:pPr>
        <w:bidi/>
        <w:spacing w:line="360" w:lineRule="auto"/>
        <w:ind w:right="-101"/>
        <w:rPr>
          <w:rFonts w:asciiTheme="minorHAnsi" w:hAnsiTheme="minorHAnsi" w:cstheme="minorHAnsi"/>
          <w:color w:val="1F497D" w:themeColor="text2"/>
          <w:rtl/>
        </w:rPr>
      </w:pPr>
      <w:r w:rsidRPr="00A37AD3">
        <w:rPr>
          <w:rFonts w:asciiTheme="minorHAnsi" w:hAnsiTheme="minorHAnsi" w:cstheme="minorHAnsi"/>
          <w:color w:val="1F497D" w:themeColor="text2"/>
          <w:rtl/>
        </w:rPr>
        <w:lastRenderedPageBreak/>
        <w:t>תנודתיות שע"ח –  עלייה בסטיית התקן בפועל במקביל לעלייה בסטיית התקן הגלומה</w:t>
      </w:r>
    </w:p>
    <w:p w:rsidR="00A37AD3" w:rsidRPr="00A37AD3" w:rsidRDefault="00A37AD3" w:rsidP="00A37AD3">
      <w:pPr>
        <w:bidi/>
        <w:rPr>
          <w:rFonts w:asciiTheme="minorHAnsi" w:hAnsiTheme="minorHAnsi" w:cstheme="minorHAnsi"/>
          <w:color w:val="000000" w:themeColor="text1"/>
          <w:rtl/>
        </w:rPr>
      </w:pPr>
    </w:p>
    <w:p w:rsidR="00A37AD3" w:rsidRPr="00A37AD3" w:rsidRDefault="00A37AD3" w:rsidP="00A37AD3">
      <w:pPr>
        <w:bidi/>
        <w:spacing w:line="480" w:lineRule="auto"/>
        <w:ind w:right="-101"/>
        <w:jc w:val="both"/>
        <w:rPr>
          <w:rFonts w:asciiTheme="minorHAnsi" w:hAnsiTheme="minorHAnsi" w:cstheme="minorHAnsi"/>
          <w:color w:val="000000" w:themeColor="text1"/>
        </w:rPr>
      </w:pPr>
      <w:r w:rsidRPr="00A37AD3">
        <w:rPr>
          <w:rFonts w:asciiTheme="minorHAnsi" w:hAnsiTheme="minorHAnsi" w:cstheme="minorHAnsi"/>
          <w:color w:val="000000" w:themeColor="text1"/>
          <w:rtl/>
        </w:rPr>
        <w:t>סטיית התקן הממוצעת של השינוי בשער החליפין שקל/דולר – המייצגת את התנודתיות</w:t>
      </w:r>
      <w:r w:rsidRPr="00A37AD3">
        <w:rPr>
          <w:rFonts w:asciiTheme="minorHAnsi" w:hAnsiTheme="minorHAnsi" w:cstheme="minorHAnsi"/>
          <w:b/>
          <w:bCs/>
          <w:color w:val="000000" w:themeColor="text1"/>
          <w:rtl/>
        </w:rPr>
        <w:t xml:space="preserve"> בפועל</w:t>
      </w:r>
      <w:r w:rsidRPr="00A37AD3">
        <w:rPr>
          <w:rFonts w:asciiTheme="minorHAnsi" w:hAnsiTheme="minorHAnsi" w:cstheme="minorHAnsi"/>
          <w:color w:val="000000" w:themeColor="text1"/>
          <w:rtl/>
        </w:rPr>
        <w:t xml:space="preserve"> בשער החליפין –עלתה במהלך הרביע בכ-3 נקודות אחוז לרמה ממוצעת של 11.1%.</w:t>
      </w:r>
    </w:p>
    <w:p w:rsidR="00A37AD3" w:rsidRPr="00A37AD3" w:rsidRDefault="00A37AD3" w:rsidP="00A37AD3">
      <w:pPr>
        <w:bidi/>
        <w:spacing w:line="480" w:lineRule="auto"/>
        <w:ind w:right="-101"/>
        <w:jc w:val="both"/>
        <w:rPr>
          <w:rFonts w:asciiTheme="minorHAnsi" w:hAnsiTheme="minorHAnsi" w:cstheme="minorHAnsi"/>
          <w:color w:val="000000" w:themeColor="text1"/>
          <w:rtl/>
        </w:rPr>
      </w:pPr>
      <w:r w:rsidRPr="00A37AD3">
        <w:rPr>
          <w:rFonts w:asciiTheme="minorHAnsi" w:hAnsiTheme="minorHAnsi" w:cstheme="minorHAnsi"/>
          <w:color w:val="000000" w:themeColor="text1"/>
          <w:rtl/>
        </w:rPr>
        <w:t xml:space="preserve">סטיית התקן הגלומה באופציות על שער החליפין שקל/דולר הנסחרות "מעבר לדלפק" – המייצגת את התנודתיות </w:t>
      </w:r>
      <w:r w:rsidRPr="00A37AD3">
        <w:rPr>
          <w:rFonts w:asciiTheme="minorHAnsi" w:hAnsiTheme="minorHAnsi" w:cstheme="minorHAnsi"/>
          <w:b/>
          <w:bCs/>
          <w:color w:val="000000" w:themeColor="text1"/>
          <w:rtl/>
        </w:rPr>
        <w:t xml:space="preserve">הצפויה </w:t>
      </w:r>
      <w:r w:rsidRPr="00A37AD3">
        <w:rPr>
          <w:rFonts w:asciiTheme="minorHAnsi" w:hAnsiTheme="minorHAnsi" w:cstheme="minorHAnsi"/>
          <w:color w:val="000000" w:themeColor="text1"/>
          <w:rtl/>
        </w:rPr>
        <w:t xml:space="preserve">בשער החליפין – עלתה בכ-1.1 נקודות אחוז ועמדה בסוף הרביע על רמה ממוצעת של 9.8%. </w:t>
      </w:r>
    </w:p>
    <w:p w:rsidR="00A37AD3" w:rsidRPr="00A37AD3" w:rsidRDefault="00A37AD3" w:rsidP="00A37AD3">
      <w:pPr>
        <w:bidi/>
        <w:spacing w:line="480" w:lineRule="auto"/>
        <w:ind w:right="-101"/>
        <w:jc w:val="both"/>
        <w:rPr>
          <w:rFonts w:asciiTheme="minorHAnsi" w:hAnsiTheme="minorHAnsi" w:cstheme="minorHAnsi"/>
          <w:color w:val="000000" w:themeColor="text1"/>
          <w:rtl/>
        </w:rPr>
      </w:pPr>
      <w:r w:rsidRPr="00A37AD3">
        <w:rPr>
          <w:rFonts w:asciiTheme="minorHAnsi" w:hAnsiTheme="minorHAnsi" w:cstheme="minorHAnsi"/>
          <w:color w:val="000000" w:themeColor="text1"/>
          <w:rtl/>
        </w:rPr>
        <w:t>זאת לצד רמתה הממוצעת של סטיית התקן הגלומה באופציות על מט"ח בשווקים מתעוררים שעלתה בכ-0.8 נקודות האחוז בהשוואה לרביע הקודם, ועמדה בסוף הרביע על 11.1%. בשווקים מפותחים נרשמה עליה מתונה של כ-0.8 נקודות האחוז בסטיית התקן הממוצעת והיא עמדה בסוף הרביע על כ- 9%</w:t>
      </w:r>
      <w:r w:rsidRPr="00A37AD3">
        <w:rPr>
          <w:rFonts w:asciiTheme="minorHAnsi" w:hAnsiTheme="minorHAnsi" w:cstheme="minorHAnsi"/>
          <w:color w:val="000000" w:themeColor="text1"/>
        </w:rPr>
        <w:t xml:space="preserve"> </w:t>
      </w:r>
      <w:r w:rsidRPr="00A37AD3">
        <w:rPr>
          <w:rFonts w:asciiTheme="minorHAnsi" w:hAnsiTheme="minorHAnsi" w:cstheme="minorHAnsi"/>
          <w:color w:val="000000" w:themeColor="text1"/>
          <w:rtl/>
        </w:rPr>
        <w:t xml:space="preserve"> (תרשים 4).</w:t>
      </w:r>
    </w:p>
    <w:p w:rsidR="00A37AD3" w:rsidRPr="00A37AD3" w:rsidRDefault="00A37AD3" w:rsidP="00A37AD3">
      <w:pPr>
        <w:bidi/>
        <w:spacing w:line="480" w:lineRule="auto"/>
        <w:ind w:right="-101"/>
        <w:jc w:val="both"/>
        <w:rPr>
          <w:rFonts w:asciiTheme="minorHAnsi" w:hAnsiTheme="minorHAnsi" w:cstheme="minorHAnsi"/>
          <w:color w:val="000000" w:themeColor="text1"/>
          <w:rtl/>
        </w:rPr>
      </w:pPr>
      <w:r w:rsidRPr="00A37AD3">
        <w:rPr>
          <w:rFonts w:asciiTheme="minorHAnsi" w:hAnsiTheme="minorHAnsi" w:cstheme="minorHAnsi"/>
          <w:noProof/>
        </w:rPr>
        <w:drawing>
          <wp:anchor distT="0" distB="0" distL="114300" distR="114300" simplePos="0" relativeHeight="251661312" behindDoc="0" locked="0" layoutInCell="1" allowOverlap="1" wp14:anchorId="07176410" wp14:editId="27666BF1">
            <wp:simplePos x="0" y="0"/>
            <wp:positionH relativeFrom="column">
              <wp:posOffset>673100</wp:posOffset>
            </wp:positionH>
            <wp:positionV relativeFrom="paragraph">
              <wp:posOffset>298450</wp:posOffset>
            </wp:positionV>
            <wp:extent cx="4913630" cy="263144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3630" cy="2631440"/>
                    </a:xfrm>
                    <a:prstGeom prst="rect">
                      <a:avLst/>
                    </a:prstGeom>
                    <a:noFill/>
                  </pic:spPr>
                </pic:pic>
              </a:graphicData>
            </a:graphic>
            <wp14:sizeRelH relativeFrom="margin">
              <wp14:pctWidth>0</wp14:pctWidth>
            </wp14:sizeRelH>
            <wp14:sizeRelV relativeFrom="margin">
              <wp14:pctHeight>0</wp14:pctHeight>
            </wp14:sizeRelV>
          </wp:anchor>
        </w:drawing>
      </w:r>
    </w:p>
    <w:p w:rsidR="00A37AD3" w:rsidRPr="00A37AD3" w:rsidRDefault="00A37AD3" w:rsidP="00A37AD3">
      <w:pPr>
        <w:bidi/>
        <w:rPr>
          <w:rFonts w:asciiTheme="minorHAnsi" w:hAnsiTheme="minorHAnsi" w:cstheme="minorHAnsi"/>
          <w:noProof/>
        </w:rPr>
      </w:pPr>
    </w:p>
    <w:p w:rsidR="00A37AD3" w:rsidRPr="00A37AD3" w:rsidRDefault="00A37AD3" w:rsidP="00A37AD3">
      <w:pPr>
        <w:spacing w:after="200" w:line="276" w:lineRule="auto"/>
        <w:rPr>
          <w:rFonts w:asciiTheme="minorHAnsi" w:hAnsiTheme="minorHAnsi" w:cstheme="minorHAnsi"/>
          <w:color w:val="1F497D" w:themeColor="text2"/>
          <w:rtl/>
        </w:rPr>
      </w:pPr>
      <w:r w:rsidRPr="00A37AD3">
        <w:rPr>
          <w:rFonts w:asciiTheme="minorHAnsi" w:hAnsiTheme="minorHAnsi" w:cstheme="minorHAnsi"/>
          <w:noProof/>
          <w:color w:val="1F497D" w:themeColor="text2"/>
          <w:rtl/>
        </w:rPr>
        <w:drawing>
          <wp:anchor distT="0" distB="0" distL="114300" distR="114300" simplePos="0" relativeHeight="251663360" behindDoc="0" locked="0" layoutInCell="1" allowOverlap="1" wp14:anchorId="1F47C3E3" wp14:editId="1F328BF2">
            <wp:simplePos x="0" y="0"/>
            <wp:positionH relativeFrom="column">
              <wp:posOffset>730310</wp:posOffset>
            </wp:positionH>
            <wp:positionV relativeFrom="paragraph">
              <wp:posOffset>229738</wp:posOffset>
            </wp:positionV>
            <wp:extent cx="4921250" cy="2630805"/>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1250" cy="2630805"/>
                    </a:xfrm>
                    <a:prstGeom prst="rect">
                      <a:avLst/>
                    </a:prstGeom>
                    <a:noFill/>
                  </pic:spPr>
                </pic:pic>
              </a:graphicData>
            </a:graphic>
            <wp14:sizeRelH relativeFrom="margin">
              <wp14:pctWidth>0</wp14:pctWidth>
            </wp14:sizeRelH>
            <wp14:sizeRelV relativeFrom="margin">
              <wp14:pctHeight>0</wp14:pctHeight>
            </wp14:sizeRelV>
          </wp:anchor>
        </w:drawing>
      </w:r>
    </w:p>
    <w:p w:rsidR="00A37AD3" w:rsidRPr="00A37AD3" w:rsidRDefault="00A37AD3" w:rsidP="00A37AD3">
      <w:pPr>
        <w:spacing w:after="200" w:line="276" w:lineRule="auto"/>
        <w:rPr>
          <w:rFonts w:asciiTheme="minorHAnsi" w:hAnsiTheme="minorHAnsi" w:cstheme="minorHAnsi"/>
          <w:color w:val="1F497D" w:themeColor="text2"/>
          <w:rtl/>
        </w:rPr>
      </w:pPr>
    </w:p>
    <w:p w:rsidR="00A37AD3" w:rsidRPr="00A37AD3" w:rsidRDefault="00A37AD3" w:rsidP="00A37AD3">
      <w:pPr>
        <w:bidi/>
        <w:spacing w:after="200" w:line="276" w:lineRule="auto"/>
        <w:rPr>
          <w:rFonts w:asciiTheme="minorHAnsi" w:hAnsiTheme="minorHAnsi" w:cstheme="minorHAnsi"/>
          <w:color w:val="1F497D" w:themeColor="text2"/>
          <w:rtl/>
        </w:rPr>
        <w:sectPr w:rsidR="00A37AD3" w:rsidRPr="00A37AD3" w:rsidSect="00A37AD3">
          <w:pgSz w:w="11906" w:h="16838"/>
          <w:pgMar w:top="624" w:right="1077" w:bottom="624" w:left="1077" w:header="709" w:footer="709" w:gutter="0"/>
          <w:cols w:space="708"/>
          <w:bidi/>
          <w:rtlGutter/>
          <w:docGrid w:linePitch="360"/>
        </w:sectPr>
      </w:pPr>
      <w:r w:rsidRPr="00A37AD3">
        <w:rPr>
          <w:rFonts w:asciiTheme="minorHAnsi" w:hAnsiTheme="minorHAnsi" w:cstheme="minorHAnsi"/>
          <w:color w:val="1F497D" w:themeColor="text2"/>
          <w:rtl/>
        </w:rPr>
        <w:lastRenderedPageBreak/>
        <w:t xml:space="preserve">פעילות המגזרים העיקריים בשוק </w:t>
      </w:r>
      <w:proofErr w:type="spellStart"/>
      <w:r w:rsidRPr="00A37AD3">
        <w:rPr>
          <w:rFonts w:asciiTheme="minorHAnsi" w:hAnsiTheme="minorHAnsi" w:cstheme="minorHAnsi"/>
          <w:color w:val="1F497D" w:themeColor="text2"/>
          <w:rtl/>
        </w:rPr>
        <w:t>המט"ח</w:t>
      </w:r>
      <w:proofErr w:type="spellEnd"/>
      <w:r w:rsidRPr="00A37AD3">
        <w:rPr>
          <w:rStyle w:val="af2"/>
          <w:rFonts w:asciiTheme="minorHAnsi" w:hAnsiTheme="minorHAnsi" w:cstheme="minorHAnsi"/>
          <w:color w:val="1F497D" w:themeColor="text2"/>
          <w:rtl/>
        </w:rPr>
        <w:footnoteReference w:id="1"/>
      </w:r>
      <w:r w:rsidRPr="00A37AD3">
        <w:rPr>
          <w:rStyle w:val="af2"/>
          <w:rFonts w:asciiTheme="minorHAnsi" w:hAnsiTheme="minorHAnsi" w:cstheme="minorHAnsi"/>
          <w:color w:val="1F497D" w:themeColor="text2"/>
          <w:rtl/>
        </w:rPr>
        <w:footnoteReference w:id="2"/>
      </w:r>
    </w:p>
    <w:p w:rsidR="00A37AD3" w:rsidRPr="00A37AD3" w:rsidRDefault="00A37AD3" w:rsidP="00A37AD3">
      <w:pPr>
        <w:tabs>
          <w:tab w:val="left" w:pos="4084"/>
        </w:tabs>
        <w:rPr>
          <w:rFonts w:asciiTheme="minorHAnsi" w:hAnsiTheme="minorHAnsi" w:cstheme="minorHAnsi"/>
          <w:rtl/>
        </w:rPr>
        <w:sectPr w:rsidR="00A37AD3" w:rsidRPr="00A37AD3" w:rsidSect="004E549D">
          <w:footerReference w:type="default" r:id="rId12"/>
          <w:type w:val="continuous"/>
          <w:pgSz w:w="11906" w:h="16838"/>
          <w:pgMar w:top="624" w:right="1077" w:bottom="624" w:left="1077" w:header="709" w:footer="709" w:gutter="0"/>
          <w:cols w:space="708"/>
          <w:bidi/>
          <w:rtlGutter/>
          <w:docGrid w:linePitch="360"/>
        </w:sectPr>
      </w:pPr>
    </w:p>
    <w:p w:rsidR="00A37AD3" w:rsidRPr="00A37AD3" w:rsidRDefault="00A37AD3" w:rsidP="00A37AD3">
      <w:pPr>
        <w:bidi/>
        <w:spacing w:line="480" w:lineRule="auto"/>
        <w:ind w:right="-101"/>
        <w:jc w:val="both"/>
        <w:rPr>
          <w:rFonts w:asciiTheme="minorHAnsi" w:hAnsiTheme="minorHAnsi" w:cstheme="minorHAnsi"/>
          <w:color w:val="000000" w:themeColor="text1"/>
        </w:rPr>
      </w:pPr>
      <w:r w:rsidRPr="00A37AD3">
        <w:rPr>
          <w:rFonts w:asciiTheme="minorHAnsi" w:hAnsiTheme="minorHAnsi" w:cstheme="minorHAnsi"/>
          <w:color w:val="000000" w:themeColor="text1"/>
          <w:rtl/>
        </w:rPr>
        <w:lastRenderedPageBreak/>
        <w:t xml:space="preserve">אומדן לפעילות המגזרים </w:t>
      </w:r>
      <w:r w:rsidRPr="00A37AD3">
        <w:rPr>
          <w:rFonts w:asciiTheme="minorHAnsi" w:hAnsiTheme="minorHAnsi" w:cstheme="minorHAnsi"/>
          <w:b/>
          <w:bCs/>
          <w:color w:val="000000" w:themeColor="text1"/>
          <w:rtl/>
        </w:rPr>
        <w:t>העיקריים</w:t>
      </w:r>
      <w:r w:rsidRPr="00A37AD3">
        <w:rPr>
          <w:rFonts w:asciiTheme="minorHAnsi" w:hAnsiTheme="minorHAnsi" w:cstheme="minorHAnsi"/>
          <w:color w:val="000000" w:themeColor="text1"/>
          <w:rtl/>
        </w:rPr>
        <w:t xml:space="preserve"> בשוק </w:t>
      </w:r>
      <w:proofErr w:type="spellStart"/>
      <w:r w:rsidRPr="00A37AD3">
        <w:rPr>
          <w:rFonts w:asciiTheme="minorHAnsi" w:hAnsiTheme="minorHAnsi" w:cstheme="minorHAnsi"/>
          <w:color w:val="000000" w:themeColor="text1"/>
          <w:rtl/>
        </w:rPr>
        <w:t>המט"ח</w:t>
      </w:r>
      <w:proofErr w:type="spellEnd"/>
      <w:r w:rsidRPr="00A37AD3">
        <w:rPr>
          <w:rFonts w:asciiTheme="minorHAnsi" w:hAnsiTheme="minorHAnsi" w:cstheme="minorHAnsi"/>
          <w:color w:val="000000" w:themeColor="text1"/>
          <w:rtl/>
        </w:rPr>
        <w:t xml:space="preserve"> מצביע על פעילות הטרוגנית של הסקטורים העיקריים: מכירות מט"ח נטו שתמכו בהתחזקות השקל מצד תושבי חוץ והמגזר הפיננסי, לעומת רכישות מט"ח מצד המגזר העסקי: תושבי החוץ מכרו מט"ח בהיקף של כ-8.9 מיליארד דולר, בעוד המגזר העסקי רכש מט"ח בהיקף של כ-5.3 מיליארד דולר, בעיקר גידול ברכישות נטו של חברות היבוא העיקריות ומכירות מתונות יותר מצד חברות הייצוא בהשוואה לרביע הקודם.  בקרב הגופים המוסדיים (קרנות פנסיה, קופות גמל וחברות ביטוח) נרשמה פעילות מתונה, כאשר הם רכשו מט"ח בהיקף של כ-0.1 מיליארד דולר בלבד במהלך הרביע השני. מנגד, המגזר הפיננסי (בעיקר בנקים) מכר מט"ח בהיקף של כ-0.2 מיליארד דולר</w:t>
      </w:r>
    </w:p>
    <w:p w:rsidR="00A37AD3" w:rsidRPr="00A37AD3" w:rsidRDefault="00A37AD3" w:rsidP="00A37AD3">
      <w:pPr>
        <w:bidi/>
        <w:spacing w:line="480" w:lineRule="auto"/>
        <w:jc w:val="both"/>
        <w:rPr>
          <w:rFonts w:asciiTheme="minorHAnsi" w:hAnsiTheme="minorHAnsi" w:cstheme="minorHAnsi"/>
          <w:color w:val="000000" w:themeColor="text1"/>
          <w:rtl/>
        </w:rPr>
      </w:pPr>
      <w:r w:rsidRPr="00A37AD3">
        <w:rPr>
          <w:rFonts w:asciiTheme="minorHAnsi" w:hAnsiTheme="minorHAnsi" w:cstheme="minorHAnsi"/>
          <w:noProof/>
          <w:color w:val="000000" w:themeColor="text1"/>
        </w:rPr>
        <w:drawing>
          <wp:anchor distT="0" distB="0" distL="114300" distR="114300" simplePos="0" relativeHeight="251662336" behindDoc="0" locked="0" layoutInCell="1" allowOverlap="1" wp14:anchorId="712F8A65" wp14:editId="47DD2978">
            <wp:simplePos x="0" y="0"/>
            <wp:positionH relativeFrom="column">
              <wp:posOffset>339924</wp:posOffset>
            </wp:positionH>
            <wp:positionV relativeFrom="paragraph">
              <wp:posOffset>213379</wp:posOffset>
            </wp:positionV>
            <wp:extent cx="4913630" cy="2631440"/>
            <wp:effectExtent l="0" t="0" r="1270" b="0"/>
            <wp:wrapTopAndBottom/>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3630" cy="2631440"/>
                    </a:xfrm>
                    <a:prstGeom prst="rect">
                      <a:avLst/>
                    </a:prstGeom>
                    <a:noFill/>
                  </pic:spPr>
                </pic:pic>
              </a:graphicData>
            </a:graphic>
            <wp14:sizeRelH relativeFrom="margin">
              <wp14:pctWidth>0</wp14:pctWidth>
            </wp14:sizeRelH>
            <wp14:sizeRelV relativeFrom="margin">
              <wp14:pctHeight>0</wp14:pctHeight>
            </wp14:sizeRelV>
          </wp:anchor>
        </w:drawing>
      </w:r>
      <w:r w:rsidRPr="00A37AD3">
        <w:rPr>
          <w:rFonts w:asciiTheme="minorHAnsi" w:hAnsiTheme="minorHAnsi" w:cstheme="minorHAnsi"/>
          <w:b/>
          <w:bCs/>
          <w:color w:val="000000" w:themeColor="text1"/>
          <w:rtl/>
        </w:rPr>
        <w:t xml:space="preserve"> </w:t>
      </w:r>
    </w:p>
    <w:p w:rsidR="00A37AD3" w:rsidRPr="00A37AD3" w:rsidRDefault="00A37AD3" w:rsidP="00A37AD3">
      <w:pPr>
        <w:bidi/>
        <w:spacing w:line="480" w:lineRule="auto"/>
        <w:jc w:val="both"/>
        <w:rPr>
          <w:rFonts w:asciiTheme="minorHAnsi" w:hAnsiTheme="minorHAnsi" w:cstheme="minorHAnsi"/>
          <w:color w:val="000000" w:themeColor="text1"/>
          <w:rtl/>
        </w:rPr>
      </w:pPr>
      <w:r w:rsidRPr="00A37AD3">
        <w:rPr>
          <w:rFonts w:asciiTheme="minorHAnsi" w:hAnsiTheme="minorHAnsi" w:cstheme="minorHAnsi"/>
          <w:noProof/>
          <w:color w:val="1F497D" w:themeColor="text2"/>
        </w:rPr>
        <w:drawing>
          <wp:anchor distT="0" distB="0" distL="114300" distR="114300" simplePos="0" relativeHeight="251665408" behindDoc="0" locked="0" layoutInCell="1" allowOverlap="1" wp14:anchorId="0A8CC646" wp14:editId="559F3190">
            <wp:simplePos x="0" y="0"/>
            <wp:positionH relativeFrom="column">
              <wp:posOffset>388584</wp:posOffset>
            </wp:positionH>
            <wp:positionV relativeFrom="paragraph">
              <wp:posOffset>2826972</wp:posOffset>
            </wp:positionV>
            <wp:extent cx="4992370" cy="2679065"/>
            <wp:effectExtent l="0" t="0" r="0" b="6985"/>
            <wp:wrapTopAndBottom/>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2370" cy="2679065"/>
                    </a:xfrm>
                    <a:prstGeom prst="rect">
                      <a:avLst/>
                    </a:prstGeom>
                    <a:noFill/>
                  </pic:spPr>
                </pic:pic>
              </a:graphicData>
            </a:graphic>
            <wp14:sizeRelH relativeFrom="margin">
              <wp14:pctWidth>0</wp14:pctWidth>
            </wp14:sizeRelH>
            <wp14:sizeRelV relativeFrom="margin">
              <wp14:pctHeight>0</wp14:pctHeight>
            </wp14:sizeRelV>
          </wp:anchor>
        </w:drawing>
      </w:r>
    </w:p>
    <w:p w:rsidR="00A37AD3" w:rsidRPr="00A37AD3" w:rsidRDefault="00A37AD3" w:rsidP="00A37AD3">
      <w:pPr>
        <w:bidi/>
        <w:spacing w:line="480" w:lineRule="auto"/>
        <w:jc w:val="both"/>
        <w:rPr>
          <w:rFonts w:asciiTheme="minorHAnsi" w:hAnsiTheme="minorHAnsi" w:cstheme="minorHAnsi"/>
          <w:color w:val="1F497D" w:themeColor="text2"/>
          <w:rtl/>
        </w:rPr>
      </w:pPr>
    </w:p>
    <w:p w:rsidR="00A37AD3" w:rsidRPr="00A37AD3" w:rsidRDefault="00A37AD3" w:rsidP="00A37AD3">
      <w:pPr>
        <w:bidi/>
        <w:spacing w:line="480" w:lineRule="auto"/>
        <w:jc w:val="both"/>
        <w:rPr>
          <w:rFonts w:asciiTheme="minorHAnsi" w:hAnsiTheme="minorHAnsi" w:cstheme="minorHAnsi"/>
          <w:color w:val="1F497D" w:themeColor="text2"/>
        </w:rPr>
      </w:pPr>
      <w:r w:rsidRPr="00A37AD3">
        <w:rPr>
          <w:rFonts w:asciiTheme="minorHAnsi" w:hAnsiTheme="minorHAnsi" w:cstheme="minorHAnsi"/>
          <w:noProof/>
          <w:color w:val="000000" w:themeColor="text1"/>
        </w:rPr>
        <w:drawing>
          <wp:anchor distT="0" distB="0" distL="114300" distR="114300" simplePos="0" relativeHeight="251664384" behindDoc="0" locked="0" layoutInCell="1" allowOverlap="1" wp14:anchorId="573D3BC0" wp14:editId="632A17CE">
            <wp:simplePos x="0" y="0"/>
            <wp:positionH relativeFrom="column">
              <wp:posOffset>241935</wp:posOffset>
            </wp:positionH>
            <wp:positionV relativeFrom="paragraph">
              <wp:posOffset>337185</wp:posOffset>
            </wp:positionV>
            <wp:extent cx="4993005" cy="2710815"/>
            <wp:effectExtent l="0" t="0" r="0" b="0"/>
            <wp:wrapTopAndBottom/>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3005" cy="2710815"/>
                    </a:xfrm>
                    <a:prstGeom prst="rect">
                      <a:avLst/>
                    </a:prstGeom>
                    <a:noFill/>
                  </pic:spPr>
                </pic:pic>
              </a:graphicData>
            </a:graphic>
            <wp14:sizeRelH relativeFrom="margin">
              <wp14:pctWidth>0</wp14:pctWidth>
            </wp14:sizeRelH>
            <wp14:sizeRelV relativeFrom="margin">
              <wp14:pctHeight>0</wp14:pctHeight>
            </wp14:sizeRelV>
          </wp:anchor>
        </w:drawing>
      </w:r>
    </w:p>
    <w:p w:rsidR="00A37AD3" w:rsidRPr="00A37AD3" w:rsidRDefault="00A37AD3" w:rsidP="00A37AD3">
      <w:pPr>
        <w:bidi/>
        <w:spacing w:line="480" w:lineRule="auto"/>
        <w:jc w:val="both"/>
        <w:rPr>
          <w:rFonts w:asciiTheme="minorHAnsi" w:hAnsiTheme="minorHAnsi" w:cstheme="minorHAnsi"/>
          <w:color w:val="1F497D" w:themeColor="text2"/>
          <w:rtl/>
        </w:rPr>
      </w:pPr>
    </w:p>
    <w:p w:rsidR="00A37AD3" w:rsidRPr="00A37AD3" w:rsidRDefault="00A37AD3" w:rsidP="00A37AD3">
      <w:pPr>
        <w:bidi/>
        <w:spacing w:line="480" w:lineRule="auto"/>
        <w:jc w:val="both"/>
        <w:rPr>
          <w:rFonts w:asciiTheme="minorHAnsi" w:hAnsiTheme="minorHAnsi" w:cstheme="minorHAnsi"/>
          <w:color w:val="000000" w:themeColor="text1"/>
          <w:rtl/>
        </w:rPr>
      </w:pPr>
      <w:r w:rsidRPr="00A37AD3">
        <w:rPr>
          <w:rFonts w:asciiTheme="minorHAnsi" w:hAnsiTheme="minorHAnsi" w:cstheme="minorHAnsi"/>
          <w:color w:val="1F497D" w:themeColor="text2"/>
          <w:rtl/>
        </w:rPr>
        <w:t>נפחי מסחר – לוחות ותרשימים</w:t>
      </w:r>
    </w:p>
    <w:p w:rsidR="00A37AD3" w:rsidRPr="00A37AD3" w:rsidRDefault="00A37AD3" w:rsidP="00A37AD3">
      <w:pPr>
        <w:pStyle w:val="2"/>
        <w:bidi/>
        <w:rPr>
          <w:rFonts w:asciiTheme="minorHAnsi" w:hAnsiTheme="minorHAnsi" w:cstheme="minorHAnsi"/>
          <w:sz w:val="24"/>
          <w:szCs w:val="24"/>
          <w:rtl/>
        </w:rPr>
      </w:pPr>
      <w:r w:rsidRPr="00A37AD3">
        <w:rPr>
          <w:rFonts w:asciiTheme="minorHAnsi" w:hAnsiTheme="minorHAnsi" w:cstheme="minorHAnsi"/>
          <w:sz w:val="24"/>
          <w:szCs w:val="24"/>
          <w:rtl/>
        </w:rPr>
        <w:t>נפח המסחר מול מערכת הבנקאות המקומית</w:t>
      </w:r>
      <w:r w:rsidRPr="00A37AD3">
        <w:rPr>
          <w:rFonts w:asciiTheme="minorHAnsi" w:hAnsiTheme="minorHAnsi" w:cstheme="minorHAnsi"/>
          <w:sz w:val="24"/>
          <w:szCs w:val="24"/>
          <w:vertAlign w:val="superscript"/>
          <w:rtl/>
        </w:rPr>
        <w:footnoteReference w:id="3"/>
      </w:r>
    </w:p>
    <w:p w:rsidR="00A37AD3" w:rsidRPr="00A37AD3" w:rsidRDefault="00A37AD3" w:rsidP="00A37AD3">
      <w:pPr>
        <w:bidi/>
        <w:rPr>
          <w:rFonts w:asciiTheme="minorHAnsi" w:hAnsiTheme="minorHAnsi" w:cstheme="minorHAnsi"/>
          <w:rtl/>
        </w:rPr>
      </w:pPr>
    </w:p>
    <w:p w:rsidR="00A37AD3" w:rsidRPr="00A37AD3" w:rsidRDefault="00A37AD3" w:rsidP="00A37AD3">
      <w:pPr>
        <w:bidi/>
        <w:spacing w:line="360" w:lineRule="auto"/>
        <w:jc w:val="both"/>
        <w:rPr>
          <w:rFonts w:asciiTheme="minorHAnsi" w:hAnsiTheme="minorHAnsi" w:cstheme="minorHAnsi"/>
          <w:color w:val="000000" w:themeColor="text1"/>
          <w:rtl/>
        </w:rPr>
      </w:pPr>
      <w:r w:rsidRPr="00A37AD3">
        <w:rPr>
          <w:rFonts w:asciiTheme="minorHAnsi" w:hAnsiTheme="minorHAnsi" w:cstheme="minorHAnsi"/>
          <w:b/>
          <w:bCs/>
          <w:color w:val="000000" w:themeColor="text1"/>
          <w:rtl/>
        </w:rPr>
        <w:t>נפח המסחר היומי הממוצע</w:t>
      </w:r>
      <w:r w:rsidRPr="00A37AD3">
        <w:rPr>
          <w:rFonts w:asciiTheme="minorHAnsi" w:hAnsiTheme="minorHAnsi" w:cstheme="minorHAnsi"/>
          <w:color w:val="000000" w:themeColor="text1"/>
          <w:rtl/>
        </w:rPr>
        <w:t xml:space="preserve"> רשם עלייה במהלך הרביע של 6% לרמה של  14 מיליארדי דולרים, כאשר עיקר העלייה נובעת מעלייה בנפח המסחר היומי בעסקאות המרה. </w:t>
      </w:r>
      <w:r w:rsidRPr="00A37AD3">
        <w:rPr>
          <w:rFonts w:asciiTheme="minorHAnsi" w:hAnsiTheme="minorHAnsi" w:cstheme="minorHAnsi"/>
          <w:b/>
          <w:bCs/>
          <w:color w:val="000000" w:themeColor="text1"/>
          <w:rtl/>
        </w:rPr>
        <w:t xml:space="preserve">חלקם היחסי של תושבי חוץ בנפח המסחר מול מערכת הבנקאות המקומית </w:t>
      </w:r>
      <w:r w:rsidRPr="00A37AD3">
        <w:rPr>
          <w:rFonts w:asciiTheme="minorHAnsi" w:hAnsiTheme="minorHAnsi" w:cstheme="minorHAnsi"/>
          <w:color w:val="000000" w:themeColor="text1"/>
          <w:rtl/>
        </w:rPr>
        <w:t>(עסקאות המרה, עסקאות באופציות ועסקאות החלף) ירד בכ-1.2 נקודות האחוז ועמד בסוף הרביע השני על כ-39%.</w:t>
      </w:r>
    </w:p>
    <w:p w:rsidR="00A37AD3" w:rsidRPr="00A37AD3" w:rsidRDefault="00A37AD3" w:rsidP="00A37AD3">
      <w:pPr>
        <w:bidi/>
        <w:spacing w:line="360" w:lineRule="auto"/>
        <w:jc w:val="both"/>
        <w:rPr>
          <w:rFonts w:asciiTheme="minorHAnsi" w:hAnsiTheme="minorHAnsi" w:cstheme="minorHAnsi"/>
          <w:color w:val="000000" w:themeColor="text1"/>
          <w:rtl/>
        </w:rPr>
      </w:pPr>
    </w:p>
    <w:tbl>
      <w:tblPr>
        <w:bidiVisual/>
        <w:tblW w:w="9666" w:type="dxa"/>
        <w:tblLook w:val="04A0" w:firstRow="1" w:lastRow="0" w:firstColumn="1" w:lastColumn="0" w:noHBand="0" w:noVBand="1"/>
      </w:tblPr>
      <w:tblGrid>
        <w:gridCol w:w="978"/>
        <w:gridCol w:w="2786"/>
        <w:gridCol w:w="995"/>
        <w:gridCol w:w="927"/>
        <w:gridCol w:w="1353"/>
        <w:gridCol w:w="1065"/>
        <w:gridCol w:w="1562"/>
      </w:tblGrid>
      <w:tr w:rsidR="00A37AD3" w:rsidRPr="00A37AD3" w:rsidTr="00AA2F7D">
        <w:trPr>
          <w:trHeight w:val="300"/>
        </w:trPr>
        <w:tc>
          <w:tcPr>
            <w:tcW w:w="9666" w:type="dxa"/>
            <w:gridSpan w:val="7"/>
            <w:tcBorders>
              <w:top w:val="nil"/>
              <w:left w:val="nil"/>
              <w:bottom w:val="nil"/>
              <w:right w:val="nil"/>
            </w:tcBorders>
            <w:shd w:val="clear" w:color="auto" w:fill="auto"/>
            <w:noWrap/>
            <w:vAlign w:val="bottom"/>
            <w:hideMark/>
          </w:tcPr>
          <w:p w:rsidR="00A37AD3" w:rsidRPr="00A37AD3" w:rsidRDefault="00A37AD3" w:rsidP="00AA2F7D">
            <w:pPr>
              <w:spacing w:after="200" w:line="276" w:lineRule="auto"/>
              <w:jc w:val="center"/>
              <w:rPr>
                <w:rFonts w:asciiTheme="minorHAnsi" w:hAnsiTheme="minorHAnsi" w:cstheme="minorHAnsi"/>
                <w:b/>
                <w:bCs/>
                <w:rtl/>
              </w:rPr>
            </w:pPr>
            <w:r w:rsidRPr="00A37AD3">
              <w:rPr>
                <w:rFonts w:asciiTheme="minorHAnsi" w:hAnsiTheme="minorHAnsi" w:cstheme="minorHAnsi"/>
                <w:b/>
                <w:bCs/>
                <w:rtl/>
              </w:rPr>
              <w:t>עסקאות במט"ח עם הבנקים המקומיים לפי מכשירים ומגזרים (במיליוני דולרים)</w:t>
            </w:r>
          </w:p>
          <w:tbl>
            <w:tblPr>
              <w:bidiVisual/>
              <w:tblW w:w="9440" w:type="dxa"/>
              <w:tblLook w:val="04A0" w:firstRow="1" w:lastRow="0" w:firstColumn="1" w:lastColumn="0" w:noHBand="0" w:noVBand="1"/>
            </w:tblPr>
            <w:tblGrid>
              <w:gridCol w:w="892"/>
              <w:gridCol w:w="2557"/>
              <w:gridCol w:w="1008"/>
              <w:gridCol w:w="1008"/>
              <w:gridCol w:w="1186"/>
              <w:gridCol w:w="1129"/>
              <w:gridCol w:w="1660"/>
            </w:tblGrid>
            <w:tr w:rsidR="00A37AD3" w:rsidRPr="00A37AD3" w:rsidTr="00AA2F7D">
              <w:trPr>
                <w:trHeight w:val="795"/>
              </w:trPr>
              <w:tc>
                <w:tcPr>
                  <w:tcW w:w="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AD3" w:rsidRPr="00A37AD3" w:rsidRDefault="00A37AD3" w:rsidP="00AA2F7D">
                  <w:pPr>
                    <w:rPr>
                      <w:rFonts w:asciiTheme="minorHAnsi" w:hAnsiTheme="minorHAnsi" w:cstheme="minorHAnsi"/>
                    </w:rPr>
                  </w:pPr>
                  <w:r w:rsidRPr="00A37AD3">
                    <w:rPr>
                      <w:rFonts w:asciiTheme="minorHAnsi" w:hAnsiTheme="minorHAnsi" w:cstheme="minorHAnsi"/>
                    </w:rPr>
                    <w:t> </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Pr>
                  </w:pPr>
                  <w:r w:rsidRPr="00A37AD3">
                    <w:rPr>
                      <w:rFonts w:asciiTheme="minorHAnsi" w:hAnsiTheme="minorHAnsi" w:cstheme="minorHAnsi"/>
                      <w:b/>
                      <w:bCs/>
                      <w:rtl/>
                    </w:rPr>
                    <w:t xml:space="preserve">עסקאות המרה (1)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tl/>
                    </w:rPr>
                  </w:pPr>
                  <w:r w:rsidRPr="00A37AD3">
                    <w:rPr>
                      <w:rFonts w:asciiTheme="minorHAnsi" w:hAnsiTheme="minorHAnsi" w:cstheme="minorHAnsi"/>
                      <w:b/>
                      <w:bCs/>
                      <w:rtl/>
                    </w:rPr>
                    <w:t>עסקאות החלף</w:t>
                  </w:r>
                  <w:r w:rsidRPr="00A37AD3">
                    <w:rPr>
                      <w:rFonts w:asciiTheme="minorHAnsi" w:hAnsiTheme="minorHAnsi" w:cstheme="minorHAnsi"/>
                      <w:b/>
                      <w:bCs/>
                      <w:vertAlign w:val="superscript"/>
                      <w:rtl/>
                    </w:rPr>
                    <w:t>1</w:t>
                  </w:r>
                  <w:r w:rsidRPr="00A37AD3">
                    <w:rPr>
                      <w:rFonts w:asciiTheme="minorHAnsi" w:hAnsiTheme="minorHAnsi" w:cstheme="minorHAnsi"/>
                      <w:b/>
                      <w:bCs/>
                      <w:rtl/>
                    </w:rPr>
                    <w:t xml:space="preserve"> (</w:t>
                  </w:r>
                  <w:proofErr w:type="spellStart"/>
                  <w:r w:rsidRPr="00A37AD3">
                    <w:rPr>
                      <w:rFonts w:asciiTheme="minorHAnsi" w:hAnsiTheme="minorHAnsi" w:cstheme="minorHAnsi"/>
                      <w:b/>
                      <w:bCs/>
                      <w:rtl/>
                    </w:rPr>
                    <w:t>סוופ</w:t>
                  </w:r>
                  <w:proofErr w:type="spellEnd"/>
                  <w:r w:rsidRPr="00A37AD3">
                    <w:rPr>
                      <w:rFonts w:asciiTheme="minorHAnsi" w:hAnsiTheme="minorHAnsi" w:cstheme="minorHAnsi"/>
                      <w:b/>
                      <w:bCs/>
                      <w:rtl/>
                    </w:rPr>
                    <w:t>) (2)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tl/>
                    </w:rPr>
                  </w:pPr>
                  <w:r w:rsidRPr="00A37AD3">
                    <w:rPr>
                      <w:rFonts w:asciiTheme="minorHAnsi" w:hAnsiTheme="minorHAnsi" w:cstheme="minorHAnsi"/>
                      <w:b/>
                      <w:bCs/>
                      <w:rtl/>
                    </w:rPr>
                    <w:t xml:space="preserve"> עסקאות החלף </w:t>
                  </w:r>
                  <w:r w:rsidRPr="00A37AD3">
                    <w:rPr>
                      <w:rFonts w:asciiTheme="minorHAnsi" w:hAnsiTheme="minorHAnsi" w:cstheme="minorHAnsi"/>
                      <w:b/>
                      <w:bCs/>
                      <w:vertAlign w:val="superscript"/>
                      <w:rtl/>
                    </w:rPr>
                    <w:t>2</w:t>
                  </w:r>
                  <w:r w:rsidRPr="00A37AD3">
                    <w:rPr>
                      <w:rFonts w:asciiTheme="minorHAnsi" w:hAnsiTheme="minorHAnsi" w:cstheme="minorHAnsi"/>
                      <w:b/>
                      <w:bCs/>
                      <w:rtl/>
                    </w:rPr>
                    <w:t xml:space="preserve"> </w:t>
                  </w:r>
                  <w:r w:rsidRPr="00A37AD3">
                    <w:rPr>
                      <w:rFonts w:asciiTheme="minorHAnsi" w:hAnsiTheme="minorHAnsi" w:cstheme="minorHAnsi"/>
                      <w:b/>
                      <w:bCs/>
                    </w:rPr>
                    <w:t>Cross Currency Swap</w:t>
                  </w:r>
                  <w:r w:rsidRPr="00A37AD3">
                    <w:rPr>
                      <w:rFonts w:asciiTheme="minorHAnsi" w:hAnsiTheme="minorHAnsi" w:cstheme="minorHAnsi"/>
                      <w:b/>
                      <w:bCs/>
                      <w:rtl/>
                    </w:rPr>
                    <w:t xml:space="preserve"> (3)</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tl/>
                    </w:rPr>
                  </w:pPr>
                  <w:r w:rsidRPr="00A37AD3">
                    <w:rPr>
                      <w:rFonts w:asciiTheme="minorHAnsi" w:hAnsiTheme="minorHAnsi" w:cstheme="minorHAnsi"/>
                      <w:b/>
                      <w:bCs/>
                      <w:rtl/>
                    </w:rPr>
                    <w:t>עסקאות באופציות</w:t>
                  </w:r>
                  <w:r w:rsidRPr="00A37AD3">
                    <w:rPr>
                      <w:rFonts w:asciiTheme="minorHAnsi" w:hAnsiTheme="minorHAnsi" w:cstheme="minorHAnsi"/>
                      <w:b/>
                      <w:bCs/>
                      <w:vertAlign w:val="superscript"/>
                      <w:rtl/>
                    </w:rPr>
                    <w:t>3</w:t>
                  </w:r>
                  <w:r w:rsidRPr="00A37AD3">
                    <w:rPr>
                      <w:rFonts w:asciiTheme="minorHAnsi" w:hAnsiTheme="minorHAnsi" w:cstheme="minorHAnsi"/>
                      <w:b/>
                      <w:bCs/>
                      <w:rtl/>
                    </w:rPr>
                    <w:t xml:space="preserve">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tl/>
                    </w:rPr>
                  </w:pPr>
                  <w:r w:rsidRPr="00A37AD3">
                    <w:rPr>
                      <w:rFonts w:asciiTheme="minorHAnsi" w:hAnsiTheme="minorHAnsi" w:cstheme="minorHAnsi"/>
                      <w:b/>
                      <w:bCs/>
                      <w:rtl/>
                    </w:rPr>
                    <w:t>נפח המסחר הכולל (1)+(2)+(3)+(4)</w:t>
                  </w:r>
                </w:p>
              </w:tc>
            </w:tr>
            <w:tr w:rsidR="00A37AD3" w:rsidRPr="00A37AD3" w:rsidTr="00AA2F7D">
              <w:trPr>
                <w:trHeight w:val="210"/>
              </w:trPr>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Pr>
                  </w:pPr>
                  <w:r w:rsidRPr="00A37AD3">
                    <w:rPr>
                      <w:rFonts w:asciiTheme="minorHAnsi" w:hAnsiTheme="minorHAnsi" w:cstheme="minorHAnsi"/>
                      <w:b/>
                      <w:bCs/>
                      <w:rtl/>
                    </w:rPr>
                    <w:t>רביע שני 2025  (נתון ארעי)</w:t>
                  </w: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bidi/>
                    <w:rPr>
                      <w:rFonts w:asciiTheme="minorHAnsi" w:hAnsiTheme="minorHAnsi" w:cstheme="minorHAnsi"/>
                      <w:b/>
                      <w:bCs/>
                      <w:rtl/>
                    </w:rPr>
                  </w:pPr>
                  <w:r w:rsidRPr="00A37AD3">
                    <w:rPr>
                      <w:rFonts w:asciiTheme="minorHAnsi" w:hAnsiTheme="minorHAnsi" w:cstheme="minorHAnsi"/>
                      <w:b/>
                      <w:bCs/>
                      <w:rtl/>
                    </w:rPr>
                    <w:t>סה"כ</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223,650 </w:t>
                  </w:r>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588,999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2,407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40,495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855,551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סה"כ (ממוצע יומי לפי 62 ימי מסחר)</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3,666 </w:t>
                  </w:r>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9,656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39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bookmarkStart w:id="1" w:name="RANGE!F7"/>
                  <w:r w:rsidRPr="00A37AD3">
                    <w:rPr>
                      <w:rFonts w:asciiTheme="minorHAnsi" w:hAnsiTheme="minorHAnsi" w:cstheme="minorHAnsi"/>
                      <w:b/>
                      <w:bCs/>
                    </w:rPr>
                    <w:t xml:space="preserve">664 </w:t>
                  </w:r>
                  <w:bookmarkEnd w:id="1"/>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14,025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תושבי חוץ</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75,797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243,946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857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14,059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334,659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מזה: מוסדות פיננסיים זרים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75,100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243,946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857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14,059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333,961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תושבי ישראל</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147,853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345,053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1,550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26,436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520,892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מזה: סקטור ריאלי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47,625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26,938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410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8,589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83,560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סקטור פיננסי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42,515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139,701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575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1,148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183,940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מוסדיים (כולל חברות ביטוח)</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29,109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134,097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160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8,921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172,286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יחידים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5,696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202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122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6,021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אחרים</w:t>
                  </w:r>
                  <w:r w:rsidRPr="00A37AD3">
                    <w:rPr>
                      <w:rFonts w:asciiTheme="minorHAnsi" w:hAnsiTheme="minorHAnsi" w:cstheme="minorHAnsi"/>
                      <w:b/>
                      <w:bCs/>
                      <w:vertAlign w:val="superscript"/>
                      <w:rtl/>
                    </w:rPr>
                    <w:t>4</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698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698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בנקים מקומיים</w:t>
                  </w:r>
                  <w:r w:rsidRPr="00A37AD3">
                    <w:rPr>
                      <w:rFonts w:asciiTheme="minorHAnsi" w:hAnsiTheme="minorHAnsi" w:cstheme="minorHAnsi"/>
                      <w:b/>
                      <w:bCs/>
                      <w:vertAlign w:val="superscript"/>
                      <w:rtl/>
                    </w:rPr>
                    <w:t>5</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11,180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26,154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2,831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40,191 </w:t>
                  </w:r>
                </w:p>
              </w:tc>
            </w:tr>
            <w:tr w:rsidR="00A37AD3" w:rsidRPr="00A37AD3" w:rsidTr="00AA2F7D">
              <w:trPr>
                <w:trHeight w:val="210"/>
              </w:trPr>
              <w:tc>
                <w:tcPr>
                  <w:tcW w:w="962" w:type="dxa"/>
                  <w:vMerge w:val="restart"/>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jc w:val="center"/>
                    <w:rPr>
                      <w:rFonts w:asciiTheme="minorHAnsi" w:hAnsiTheme="minorHAnsi" w:cstheme="minorHAnsi"/>
                      <w:b/>
                      <w:bCs/>
                    </w:rPr>
                  </w:pPr>
                  <w:r w:rsidRPr="00A37AD3">
                    <w:rPr>
                      <w:rFonts w:asciiTheme="minorHAnsi" w:hAnsiTheme="minorHAnsi" w:cstheme="minorHAnsi"/>
                      <w:b/>
                      <w:bCs/>
                      <w:rtl/>
                    </w:rPr>
                    <w:t>רביע ראשון 2025</w:t>
                  </w: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סה"כ</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bookmarkStart w:id="2" w:name="RANGE!C17"/>
                  <w:r w:rsidRPr="00A37AD3">
                    <w:rPr>
                      <w:rFonts w:asciiTheme="minorHAnsi" w:hAnsiTheme="minorHAnsi" w:cstheme="minorHAnsi"/>
                      <w:b/>
                      <w:bCs/>
                    </w:rPr>
                    <w:t xml:space="preserve">192,050 </w:t>
                  </w:r>
                  <w:bookmarkEnd w:id="2"/>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599,375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1,919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26,953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820,297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סה"כ (ממוצע יומי לפי 59 ימי מסחר)</w:t>
                  </w:r>
                </w:p>
              </w:tc>
              <w:tc>
                <w:tcPr>
                  <w:tcW w:w="895"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bookmarkStart w:id="3" w:name="RANGE!C18"/>
                  <w:r w:rsidRPr="00A37AD3">
                    <w:rPr>
                      <w:rFonts w:asciiTheme="minorHAnsi" w:hAnsiTheme="minorHAnsi" w:cstheme="minorHAnsi"/>
                      <w:b/>
                      <w:bCs/>
                    </w:rPr>
                    <w:t xml:space="preserve">3,098 </w:t>
                  </w:r>
                  <w:bookmarkEnd w:id="3"/>
                </w:p>
              </w:tc>
              <w:tc>
                <w:tcPr>
                  <w:tcW w:w="866"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9,667 </w:t>
                  </w:r>
                </w:p>
              </w:tc>
              <w:tc>
                <w:tcPr>
                  <w:tcW w:w="1224"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31 </w:t>
                  </w:r>
                </w:p>
              </w:tc>
              <w:tc>
                <w:tcPr>
                  <w:tcW w:w="892"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435 </w:t>
                  </w:r>
                </w:p>
              </w:tc>
              <w:tc>
                <w:tcPr>
                  <w:tcW w:w="1303" w:type="dxa"/>
                  <w:tcBorders>
                    <w:top w:val="nil"/>
                    <w:left w:val="single" w:sz="4" w:space="0" w:color="auto"/>
                    <w:bottom w:val="single" w:sz="4" w:space="0" w:color="auto"/>
                    <w:right w:val="single" w:sz="4" w:space="0" w:color="auto"/>
                  </w:tcBorders>
                  <w:shd w:val="clear" w:color="000000" w:fill="D9D9D9"/>
                  <w:vAlign w:val="center"/>
                  <w:hideMark/>
                </w:tcPr>
                <w:p w:rsidR="00A37AD3" w:rsidRPr="00A37AD3" w:rsidRDefault="00A37AD3" w:rsidP="00AA2F7D">
                  <w:pPr>
                    <w:jc w:val="center"/>
                    <w:rPr>
                      <w:rFonts w:asciiTheme="minorHAnsi" w:hAnsiTheme="minorHAnsi" w:cstheme="minorHAnsi"/>
                      <w:b/>
                      <w:bCs/>
                    </w:rPr>
                  </w:pPr>
                  <w:r w:rsidRPr="00A37AD3">
                    <w:rPr>
                      <w:rFonts w:asciiTheme="minorHAnsi" w:hAnsiTheme="minorHAnsi" w:cstheme="minorHAnsi"/>
                      <w:b/>
                      <w:bCs/>
                    </w:rPr>
                    <w:t xml:space="preserve">13,231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תושבי חוץ</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62,964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260,197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764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7,389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331,314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מזה: מוסדות פיננסיים זרים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62,394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260,196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764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7,389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330,743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תושבי ישראל</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129,086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339,178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1,155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19,564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488,983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מזה: סקטור ריאלי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41,844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24,572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361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8,139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74,916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סקטור פיננסי</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39,185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163,589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138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1,342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204,254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מוסדיים (כולל חברות ביטוח)</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26,079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115,262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52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7,195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148,587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יחידים</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5,077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221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167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5,465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אחרים</w:t>
                  </w:r>
                  <w:r w:rsidRPr="00A37AD3">
                    <w:rPr>
                      <w:rFonts w:asciiTheme="minorHAnsi" w:hAnsiTheme="minorHAnsi" w:cstheme="minorHAnsi"/>
                      <w:b/>
                      <w:bCs/>
                      <w:vertAlign w:val="superscript"/>
                      <w:rtl/>
                    </w:rPr>
                    <w:t>4</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570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0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571 </w:t>
                  </w:r>
                </w:p>
              </w:tc>
            </w:tr>
            <w:tr w:rsidR="00A37AD3" w:rsidRPr="00A37AD3" w:rsidTr="00AA2F7D">
              <w:trPr>
                <w:trHeight w:val="210"/>
              </w:trPr>
              <w:tc>
                <w:tcPr>
                  <w:tcW w:w="962" w:type="dxa"/>
                  <w:vMerge/>
                  <w:tcBorders>
                    <w:top w:val="nil"/>
                    <w:left w:val="single" w:sz="4" w:space="0" w:color="auto"/>
                    <w:bottom w:val="single" w:sz="4" w:space="0" w:color="auto"/>
                    <w:right w:val="single" w:sz="4" w:space="0" w:color="auto"/>
                  </w:tcBorders>
                  <w:vAlign w:val="center"/>
                  <w:hideMark/>
                </w:tcPr>
                <w:p w:rsidR="00A37AD3" w:rsidRPr="00A37AD3" w:rsidRDefault="00A37AD3" w:rsidP="00AA2F7D">
                  <w:pPr>
                    <w:bidi/>
                    <w:rPr>
                      <w:rFonts w:asciiTheme="minorHAnsi" w:hAnsiTheme="minorHAnsi" w:cstheme="minorHAnsi"/>
                      <w:b/>
                      <w:bCs/>
                    </w:rPr>
                  </w:pPr>
                </w:p>
              </w:tc>
              <w:tc>
                <w:tcPr>
                  <w:tcW w:w="3298"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bidi/>
                    <w:rPr>
                      <w:rFonts w:asciiTheme="minorHAnsi" w:hAnsiTheme="minorHAnsi" w:cstheme="minorHAnsi"/>
                      <w:b/>
                      <w:bCs/>
                    </w:rPr>
                  </w:pPr>
                  <w:r w:rsidRPr="00A37AD3">
                    <w:rPr>
                      <w:rFonts w:asciiTheme="minorHAnsi" w:hAnsiTheme="minorHAnsi" w:cstheme="minorHAnsi"/>
                      <w:b/>
                      <w:bCs/>
                      <w:rtl/>
                    </w:rPr>
                    <w:t xml:space="preserve">         בנקים מקומיים</w:t>
                  </w:r>
                  <w:r w:rsidRPr="00A37AD3">
                    <w:rPr>
                      <w:rFonts w:asciiTheme="minorHAnsi" w:hAnsiTheme="minorHAnsi" w:cstheme="minorHAnsi"/>
                      <w:b/>
                      <w:bCs/>
                      <w:vertAlign w:val="superscript"/>
                      <w:rtl/>
                    </w:rPr>
                    <w:t>5</w:t>
                  </w:r>
                </w:p>
              </w:tc>
              <w:tc>
                <w:tcPr>
                  <w:tcW w:w="895"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8,079 </w:t>
                  </w:r>
                </w:p>
              </w:tc>
              <w:tc>
                <w:tcPr>
                  <w:tcW w:w="866"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21,270 </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207 </w:t>
                  </w:r>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1,827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A37AD3" w:rsidRPr="00A37AD3" w:rsidRDefault="00A37AD3" w:rsidP="00AA2F7D">
                  <w:pPr>
                    <w:jc w:val="center"/>
                    <w:rPr>
                      <w:rFonts w:asciiTheme="minorHAnsi" w:hAnsiTheme="minorHAnsi" w:cstheme="minorHAnsi"/>
                    </w:rPr>
                  </w:pPr>
                  <w:r w:rsidRPr="00A37AD3">
                    <w:rPr>
                      <w:rFonts w:asciiTheme="minorHAnsi" w:hAnsiTheme="minorHAnsi" w:cstheme="minorHAnsi"/>
                    </w:rPr>
                    <w:t xml:space="preserve">31,384 </w:t>
                  </w:r>
                </w:p>
              </w:tc>
            </w:tr>
          </w:tbl>
          <w:p w:rsidR="00A37AD3" w:rsidRPr="00A37AD3" w:rsidRDefault="00A37AD3" w:rsidP="00AA2F7D">
            <w:pPr>
              <w:bidi/>
              <w:jc w:val="center"/>
              <w:rPr>
                <w:rFonts w:asciiTheme="minorHAnsi" w:hAnsiTheme="minorHAnsi" w:cstheme="minorHAnsi"/>
                <w:b/>
                <w:bCs/>
              </w:rPr>
            </w:pPr>
          </w:p>
        </w:tc>
      </w:tr>
      <w:tr w:rsidR="00A37AD3" w:rsidRPr="00A37AD3" w:rsidTr="00AA2F7D">
        <w:trPr>
          <w:trHeight w:val="45"/>
        </w:trPr>
        <w:tc>
          <w:tcPr>
            <w:tcW w:w="978" w:type="dxa"/>
            <w:tcBorders>
              <w:top w:val="nil"/>
              <w:left w:val="nil"/>
              <w:bottom w:val="nil"/>
              <w:right w:val="nil"/>
            </w:tcBorders>
            <w:shd w:val="clear" w:color="auto" w:fill="auto"/>
            <w:noWrap/>
            <w:vAlign w:val="bottom"/>
            <w:hideMark/>
          </w:tcPr>
          <w:p w:rsidR="00A37AD3" w:rsidRPr="00A37AD3" w:rsidRDefault="00A37AD3" w:rsidP="00AA2F7D">
            <w:pPr>
              <w:bidi/>
              <w:jc w:val="center"/>
              <w:rPr>
                <w:rFonts w:asciiTheme="minorHAnsi" w:hAnsiTheme="minorHAnsi" w:cstheme="minorHAnsi"/>
                <w:b/>
                <w:bCs/>
                <w:rtl/>
              </w:rPr>
            </w:pPr>
          </w:p>
        </w:tc>
        <w:tc>
          <w:tcPr>
            <w:tcW w:w="2786"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c>
          <w:tcPr>
            <w:tcW w:w="995"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c>
          <w:tcPr>
            <w:tcW w:w="927"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c>
          <w:tcPr>
            <w:tcW w:w="1353"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c>
          <w:tcPr>
            <w:tcW w:w="1065"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c>
          <w:tcPr>
            <w:tcW w:w="1562" w:type="dxa"/>
            <w:tcBorders>
              <w:top w:val="nil"/>
              <w:left w:val="nil"/>
              <w:bottom w:val="nil"/>
              <w:right w:val="nil"/>
            </w:tcBorders>
            <w:shd w:val="clear" w:color="auto" w:fill="auto"/>
            <w:noWrap/>
            <w:vAlign w:val="bottom"/>
            <w:hideMark/>
          </w:tcPr>
          <w:p w:rsidR="00A37AD3" w:rsidRPr="00A37AD3" w:rsidRDefault="00A37AD3" w:rsidP="00AA2F7D">
            <w:pPr>
              <w:jc w:val="center"/>
              <w:rPr>
                <w:rFonts w:asciiTheme="minorHAnsi" w:hAnsiTheme="minorHAnsi" w:cstheme="minorHAnsi"/>
              </w:rPr>
            </w:pPr>
          </w:p>
        </w:tc>
      </w:tr>
      <w:tr w:rsidR="00A37AD3" w:rsidRPr="00A37AD3" w:rsidTr="00AA2F7D">
        <w:trPr>
          <w:trHeight w:val="45"/>
        </w:trPr>
        <w:tc>
          <w:tcPr>
            <w:tcW w:w="978" w:type="dxa"/>
            <w:tcBorders>
              <w:top w:val="nil"/>
              <w:left w:val="nil"/>
              <w:bottom w:val="nil"/>
              <w:right w:val="nil"/>
            </w:tcBorders>
            <w:shd w:val="clear" w:color="auto" w:fill="auto"/>
            <w:vAlign w:val="center"/>
          </w:tcPr>
          <w:p w:rsidR="00A37AD3" w:rsidRPr="00A37AD3" w:rsidRDefault="00A37AD3" w:rsidP="00AA2F7D">
            <w:pPr>
              <w:jc w:val="center"/>
              <w:rPr>
                <w:rFonts w:asciiTheme="minorHAnsi" w:hAnsiTheme="minorHAnsi" w:cstheme="minorHAnsi"/>
              </w:rPr>
            </w:pPr>
          </w:p>
        </w:tc>
        <w:tc>
          <w:tcPr>
            <w:tcW w:w="2786"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c>
          <w:tcPr>
            <w:tcW w:w="995"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c>
          <w:tcPr>
            <w:tcW w:w="927"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c>
          <w:tcPr>
            <w:tcW w:w="1353"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c>
          <w:tcPr>
            <w:tcW w:w="1065"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c>
          <w:tcPr>
            <w:tcW w:w="1562" w:type="dxa"/>
            <w:tcBorders>
              <w:top w:val="nil"/>
              <w:left w:val="nil"/>
              <w:bottom w:val="nil"/>
              <w:right w:val="nil"/>
            </w:tcBorders>
            <w:shd w:val="clear" w:color="auto" w:fill="auto"/>
            <w:noWrap/>
            <w:vAlign w:val="bottom"/>
          </w:tcPr>
          <w:p w:rsidR="00A37AD3" w:rsidRPr="00A37AD3" w:rsidRDefault="00A37AD3" w:rsidP="00AA2F7D">
            <w:pPr>
              <w:rPr>
                <w:rFonts w:asciiTheme="minorHAnsi" w:hAnsiTheme="minorHAnsi" w:cstheme="minorHAnsi"/>
              </w:rPr>
            </w:pPr>
          </w:p>
        </w:tc>
      </w:tr>
      <w:tr w:rsidR="00A37AD3" w:rsidRPr="00A37AD3" w:rsidTr="00AA2F7D">
        <w:trPr>
          <w:trHeight w:val="180"/>
        </w:trPr>
        <w:tc>
          <w:tcPr>
            <w:tcW w:w="978" w:type="dxa"/>
            <w:tcBorders>
              <w:top w:val="nil"/>
              <w:left w:val="nil"/>
              <w:bottom w:val="nil"/>
              <w:right w:val="nil"/>
            </w:tcBorders>
            <w:shd w:val="clear" w:color="auto" w:fill="auto"/>
            <w:noWrap/>
            <w:vAlign w:val="bottom"/>
            <w:hideMark/>
          </w:tcPr>
          <w:p w:rsidR="00A37AD3" w:rsidRPr="00A37AD3" w:rsidRDefault="00A37AD3" w:rsidP="00AA2F7D">
            <w:pPr>
              <w:rPr>
                <w:rFonts w:asciiTheme="minorHAnsi" w:hAnsiTheme="minorHAnsi" w:cstheme="minorHAnsi"/>
              </w:rPr>
            </w:pPr>
          </w:p>
        </w:tc>
        <w:tc>
          <w:tcPr>
            <w:tcW w:w="8688" w:type="dxa"/>
            <w:gridSpan w:val="6"/>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tl/>
              </w:rPr>
            </w:pPr>
            <w:r w:rsidRPr="00A37AD3">
              <w:rPr>
                <w:rFonts w:asciiTheme="minorHAnsi" w:hAnsiTheme="minorHAnsi" w:cstheme="minorHAnsi"/>
                <w:vertAlign w:val="superscript"/>
                <w:rtl/>
              </w:rPr>
              <w:t>1</w:t>
            </w:r>
            <w:r w:rsidRPr="00A37AD3">
              <w:rPr>
                <w:rFonts w:asciiTheme="minorHAnsi" w:hAnsiTheme="minorHAnsi" w:cstheme="minorHAnsi"/>
                <w:rtl/>
              </w:rPr>
              <w:t xml:space="preserve"> רגל אחת בלבד של עסקת החלף, כלומר הערך הנומינאלי של העסקה (בהתאם להגדרות ה- </w:t>
            </w:r>
            <w:r w:rsidRPr="00A37AD3">
              <w:rPr>
                <w:rFonts w:asciiTheme="minorHAnsi" w:hAnsiTheme="minorHAnsi" w:cstheme="minorHAnsi"/>
              </w:rPr>
              <w:t>BIS</w:t>
            </w:r>
            <w:r w:rsidRPr="00A37AD3">
              <w:rPr>
                <w:rFonts w:asciiTheme="minorHAnsi" w:hAnsiTheme="minorHAnsi" w:cstheme="minorHAnsi"/>
                <w:rtl/>
              </w:rPr>
              <w:t>).</w:t>
            </w:r>
          </w:p>
        </w:tc>
      </w:tr>
      <w:tr w:rsidR="00A37AD3" w:rsidRPr="00A37AD3" w:rsidTr="00AA2F7D">
        <w:trPr>
          <w:trHeight w:val="180"/>
        </w:trPr>
        <w:tc>
          <w:tcPr>
            <w:tcW w:w="978" w:type="dxa"/>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tl/>
              </w:rPr>
            </w:pPr>
          </w:p>
        </w:tc>
        <w:tc>
          <w:tcPr>
            <w:tcW w:w="8688" w:type="dxa"/>
            <w:gridSpan w:val="6"/>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Pr>
            </w:pPr>
            <w:r w:rsidRPr="00A37AD3">
              <w:rPr>
                <w:rFonts w:asciiTheme="minorHAnsi" w:hAnsiTheme="minorHAnsi" w:cstheme="minorHAnsi"/>
                <w:vertAlign w:val="superscript"/>
                <w:rtl/>
              </w:rPr>
              <w:t>2</w:t>
            </w:r>
            <w:r w:rsidRPr="00A37AD3">
              <w:rPr>
                <w:rFonts w:asciiTheme="minorHAnsi" w:hAnsiTheme="minorHAnsi" w:cstheme="minorHAnsi"/>
                <w:rtl/>
              </w:rPr>
              <w:t xml:space="preserve">הקרנות המוחלפות בעסקות </w:t>
            </w:r>
            <w:r w:rsidRPr="00A37AD3">
              <w:rPr>
                <w:rFonts w:asciiTheme="minorHAnsi" w:hAnsiTheme="minorHAnsi" w:cstheme="minorHAnsi"/>
              </w:rPr>
              <w:t>Cross Currency Swap</w:t>
            </w:r>
            <w:r w:rsidRPr="00A37AD3">
              <w:rPr>
                <w:rFonts w:asciiTheme="minorHAnsi" w:hAnsiTheme="minorHAnsi" w:cstheme="minorHAnsi"/>
                <w:rtl/>
              </w:rPr>
              <w:t xml:space="preserve"> יחושבו לצורך הנפח כרגל אחת בלבד, במקרים בהם הרגליים מקזזות זו את זו.</w:t>
            </w:r>
          </w:p>
        </w:tc>
      </w:tr>
      <w:tr w:rsidR="00A37AD3" w:rsidRPr="00A37AD3" w:rsidTr="00AA2F7D">
        <w:trPr>
          <w:trHeight w:val="180"/>
        </w:trPr>
        <w:tc>
          <w:tcPr>
            <w:tcW w:w="978" w:type="dxa"/>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tl/>
              </w:rPr>
            </w:pPr>
          </w:p>
        </w:tc>
        <w:tc>
          <w:tcPr>
            <w:tcW w:w="8688" w:type="dxa"/>
            <w:gridSpan w:val="6"/>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Pr>
            </w:pPr>
            <w:bookmarkStart w:id="4" w:name="RANGE!B31"/>
            <w:r w:rsidRPr="00A37AD3">
              <w:rPr>
                <w:rFonts w:asciiTheme="minorHAnsi" w:hAnsiTheme="minorHAnsi" w:cstheme="minorHAnsi"/>
                <w:vertAlign w:val="superscript"/>
                <w:rtl/>
              </w:rPr>
              <w:t>3</w:t>
            </w:r>
            <w:r w:rsidRPr="00A37AD3">
              <w:rPr>
                <w:rFonts w:asciiTheme="minorHAnsi" w:hAnsiTheme="minorHAnsi" w:cstheme="minorHAnsi"/>
                <w:rtl/>
              </w:rPr>
              <w:t xml:space="preserve"> ה- </w:t>
            </w:r>
            <w:r w:rsidRPr="00A37AD3">
              <w:rPr>
                <w:rFonts w:asciiTheme="minorHAnsi" w:hAnsiTheme="minorHAnsi" w:cstheme="minorHAnsi"/>
              </w:rPr>
              <w:t>National value</w:t>
            </w:r>
            <w:r w:rsidRPr="00A37AD3">
              <w:rPr>
                <w:rFonts w:asciiTheme="minorHAnsi" w:hAnsiTheme="minorHAnsi" w:cstheme="minorHAnsi"/>
                <w:rtl/>
              </w:rPr>
              <w:t xml:space="preserve"> הכולל של עסקות קנייה ומכירה של </w:t>
            </w:r>
            <w:r w:rsidRPr="00A37AD3">
              <w:rPr>
                <w:rFonts w:asciiTheme="minorHAnsi" w:hAnsiTheme="minorHAnsi" w:cstheme="minorHAnsi"/>
              </w:rPr>
              <w:t>Call</w:t>
            </w:r>
            <w:r w:rsidRPr="00A37AD3">
              <w:rPr>
                <w:rFonts w:asciiTheme="minorHAnsi" w:hAnsiTheme="minorHAnsi" w:cstheme="minorHAnsi"/>
                <w:rtl/>
              </w:rPr>
              <w:t xml:space="preserve"> ו- </w:t>
            </w:r>
            <w:r w:rsidRPr="00A37AD3">
              <w:rPr>
                <w:rFonts w:asciiTheme="minorHAnsi" w:hAnsiTheme="minorHAnsi" w:cstheme="minorHAnsi"/>
              </w:rPr>
              <w:t>Put</w:t>
            </w:r>
            <w:r w:rsidRPr="00A37AD3">
              <w:rPr>
                <w:rFonts w:asciiTheme="minorHAnsi" w:hAnsiTheme="minorHAnsi" w:cstheme="minorHAnsi"/>
                <w:rtl/>
              </w:rPr>
              <w:t>.</w:t>
            </w:r>
            <w:bookmarkEnd w:id="4"/>
          </w:p>
        </w:tc>
      </w:tr>
      <w:tr w:rsidR="00A37AD3" w:rsidRPr="00A37AD3" w:rsidTr="00AA2F7D">
        <w:trPr>
          <w:trHeight w:val="180"/>
        </w:trPr>
        <w:tc>
          <w:tcPr>
            <w:tcW w:w="978" w:type="dxa"/>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tl/>
              </w:rPr>
            </w:pPr>
          </w:p>
        </w:tc>
        <w:tc>
          <w:tcPr>
            <w:tcW w:w="8688" w:type="dxa"/>
            <w:gridSpan w:val="6"/>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Pr>
            </w:pPr>
            <w:bookmarkStart w:id="5" w:name="RANGE!B32"/>
            <w:r w:rsidRPr="00A37AD3">
              <w:rPr>
                <w:rFonts w:asciiTheme="minorHAnsi" w:hAnsiTheme="minorHAnsi" w:cstheme="minorHAnsi"/>
                <w:vertAlign w:val="superscript"/>
                <w:rtl/>
              </w:rPr>
              <w:t xml:space="preserve">4 </w:t>
            </w:r>
            <w:r w:rsidRPr="00A37AD3">
              <w:rPr>
                <w:rFonts w:asciiTheme="minorHAnsi" w:hAnsiTheme="minorHAnsi" w:cstheme="minorHAnsi"/>
                <w:rtl/>
              </w:rPr>
              <w:t>כולל גופים כמו מנהלי תיקים, מלכ"רים, מוסדות לאומיים וכאלו שלא נכללים ביתר הסעיפים.</w:t>
            </w:r>
            <w:bookmarkEnd w:id="5"/>
          </w:p>
        </w:tc>
      </w:tr>
      <w:tr w:rsidR="00A37AD3" w:rsidRPr="00A37AD3" w:rsidTr="00AA2F7D">
        <w:trPr>
          <w:trHeight w:val="180"/>
        </w:trPr>
        <w:tc>
          <w:tcPr>
            <w:tcW w:w="978" w:type="dxa"/>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tl/>
              </w:rPr>
            </w:pPr>
          </w:p>
        </w:tc>
        <w:tc>
          <w:tcPr>
            <w:tcW w:w="8688" w:type="dxa"/>
            <w:gridSpan w:val="6"/>
            <w:tcBorders>
              <w:top w:val="nil"/>
              <w:left w:val="nil"/>
              <w:bottom w:val="nil"/>
              <w:right w:val="nil"/>
            </w:tcBorders>
            <w:shd w:val="clear" w:color="auto" w:fill="auto"/>
            <w:noWrap/>
            <w:vAlign w:val="bottom"/>
            <w:hideMark/>
          </w:tcPr>
          <w:p w:rsidR="00A37AD3" w:rsidRPr="00A37AD3" w:rsidRDefault="00A37AD3" w:rsidP="00AA2F7D">
            <w:pPr>
              <w:bidi/>
              <w:rPr>
                <w:rFonts w:asciiTheme="minorHAnsi" w:hAnsiTheme="minorHAnsi" w:cstheme="minorHAnsi"/>
              </w:rPr>
            </w:pPr>
            <w:bookmarkStart w:id="6" w:name="RANGE!B33"/>
            <w:r w:rsidRPr="00A37AD3">
              <w:rPr>
                <w:rFonts w:asciiTheme="minorHAnsi" w:hAnsiTheme="minorHAnsi" w:cstheme="minorHAnsi"/>
                <w:b/>
                <w:bCs/>
                <w:vertAlign w:val="superscript"/>
                <w:rtl/>
              </w:rPr>
              <w:t>5</w:t>
            </w:r>
            <w:r w:rsidRPr="00A37AD3">
              <w:rPr>
                <w:rFonts w:asciiTheme="minorHAnsi" w:hAnsiTheme="minorHAnsi" w:cstheme="minorHAnsi"/>
                <w:rtl/>
              </w:rPr>
              <w:t xml:space="preserve"> סך המסחר הבין בנקאי מחולק בשניים.</w:t>
            </w:r>
            <w:bookmarkEnd w:id="6"/>
          </w:p>
        </w:tc>
      </w:tr>
    </w:tbl>
    <w:p w:rsidR="00A37AD3" w:rsidRPr="00A37AD3" w:rsidRDefault="00A37AD3" w:rsidP="00A37AD3">
      <w:pPr>
        <w:pStyle w:val="2"/>
        <w:bidi/>
        <w:rPr>
          <w:rFonts w:asciiTheme="minorHAnsi" w:hAnsiTheme="minorHAnsi" w:cstheme="minorHAnsi"/>
          <w:sz w:val="24"/>
          <w:szCs w:val="24"/>
          <w:rtl/>
        </w:rPr>
      </w:pPr>
    </w:p>
    <w:p w:rsidR="00A37AD3" w:rsidRPr="00A37AD3" w:rsidRDefault="00A37AD3" w:rsidP="00A37AD3">
      <w:pPr>
        <w:bidi/>
        <w:rPr>
          <w:rFonts w:asciiTheme="minorHAnsi" w:hAnsiTheme="minorHAnsi" w:cstheme="minorHAnsi"/>
          <w:rtl/>
        </w:rPr>
      </w:pPr>
    </w:p>
    <w:p w:rsidR="00A37AD3" w:rsidRPr="00A37AD3" w:rsidRDefault="00A37AD3" w:rsidP="00A37AD3">
      <w:pPr>
        <w:pStyle w:val="2"/>
        <w:bidi/>
        <w:rPr>
          <w:rFonts w:asciiTheme="minorHAnsi" w:eastAsia="Times New Roman" w:hAnsiTheme="minorHAnsi" w:cstheme="minorHAnsi"/>
          <w:b w:val="0"/>
          <w:bCs w:val="0"/>
          <w:color w:val="auto"/>
          <w:sz w:val="24"/>
          <w:szCs w:val="24"/>
          <w:rtl/>
        </w:rPr>
      </w:pPr>
    </w:p>
    <w:p w:rsidR="00A37AD3" w:rsidRPr="00A37AD3" w:rsidRDefault="00A37AD3" w:rsidP="00A37AD3">
      <w:pPr>
        <w:pStyle w:val="2"/>
        <w:bidi/>
        <w:rPr>
          <w:rFonts w:asciiTheme="minorHAnsi" w:hAnsiTheme="minorHAnsi" w:cstheme="minorHAnsi"/>
          <w:sz w:val="24"/>
          <w:szCs w:val="24"/>
          <w:rtl/>
        </w:rPr>
      </w:pPr>
      <w:r w:rsidRPr="00A37AD3">
        <w:rPr>
          <w:rFonts w:asciiTheme="minorHAnsi" w:hAnsiTheme="minorHAnsi" w:cstheme="minorHAnsi"/>
          <w:sz w:val="24"/>
          <w:szCs w:val="24"/>
          <w:rtl/>
        </w:rPr>
        <w:t>אומדן של נפח המסחר הכולל</w:t>
      </w:r>
      <w:r w:rsidRPr="00A37AD3">
        <w:rPr>
          <w:rStyle w:val="af2"/>
          <w:rFonts w:asciiTheme="minorHAnsi" w:hAnsiTheme="minorHAnsi" w:cstheme="minorHAnsi"/>
          <w:sz w:val="24"/>
          <w:szCs w:val="24"/>
          <w:rtl/>
        </w:rPr>
        <w:footnoteReference w:id="4"/>
      </w:r>
      <w:r w:rsidRPr="00A37AD3">
        <w:rPr>
          <w:rFonts w:asciiTheme="minorHAnsi" w:hAnsiTheme="minorHAnsi" w:cstheme="minorHAnsi"/>
          <w:sz w:val="24"/>
          <w:szCs w:val="24"/>
          <w:rtl/>
        </w:rPr>
        <w:t xml:space="preserve"> - מערכת הבנקאות המקומית ומדווחים זרים</w:t>
      </w:r>
    </w:p>
    <w:p w:rsidR="00A37AD3" w:rsidRPr="00A37AD3" w:rsidRDefault="00A37AD3" w:rsidP="00A37AD3">
      <w:pPr>
        <w:bidi/>
        <w:spacing w:line="360" w:lineRule="auto"/>
        <w:jc w:val="both"/>
        <w:rPr>
          <w:rFonts w:asciiTheme="minorHAnsi" w:hAnsiTheme="minorHAnsi" w:cstheme="minorHAnsi"/>
          <w:rtl/>
        </w:rPr>
      </w:pPr>
    </w:p>
    <w:p w:rsidR="00A37AD3" w:rsidRPr="00A37AD3" w:rsidRDefault="00A37AD3" w:rsidP="00A37AD3">
      <w:pPr>
        <w:bidi/>
        <w:spacing w:line="360" w:lineRule="auto"/>
        <w:jc w:val="both"/>
        <w:rPr>
          <w:rFonts w:asciiTheme="minorHAnsi" w:hAnsiTheme="minorHAnsi" w:cstheme="minorHAnsi"/>
          <w:color w:val="000000" w:themeColor="text1"/>
          <w:rtl/>
        </w:rPr>
      </w:pPr>
      <w:r w:rsidRPr="00A37AD3">
        <w:rPr>
          <w:rFonts w:asciiTheme="minorHAnsi" w:hAnsiTheme="minorHAnsi" w:cstheme="minorHAnsi"/>
          <w:color w:val="000000" w:themeColor="text1"/>
          <w:rtl/>
        </w:rPr>
        <w:t>מאמידת הפעילות הכוללת בעסקאות מול השקל המשתקפת בדיווחי מערכת הבנקאות המקומית ומדווחים זרים עולה כי חלקם היחסי של תושבי חוץ בנפח המסחר בעסקאות המרה  (ללא עסקאות החלף ואופציות) עמד ברביע השני על כ- 86%,</w:t>
      </w:r>
      <w:r w:rsidRPr="00A37AD3">
        <w:rPr>
          <w:rFonts w:asciiTheme="minorHAnsi" w:hAnsiTheme="minorHAnsi" w:cstheme="minorHAnsi"/>
          <w:b/>
          <w:bCs/>
          <w:color w:val="000000" w:themeColor="text1"/>
          <w:rtl/>
        </w:rPr>
        <w:t xml:space="preserve"> </w:t>
      </w:r>
      <w:r w:rsidRPr="00A37AD3">
        <w:rPr>
          <w:rFonts w:asciiTheme="minorHAnsi" w:hAnsiTheme="minorHAnsi" w:cstheme="minorHAnsi"/>
          <w:color w:val="000000" w:themeColor="text1"/>
          <w:rtl/>
        </w:rPr>
        <w:t xml:space="preserve">כאשר המסחר בין זרים מהווה כ-77% מהנפח, שעמד על ממוצע יומי של </w:t>
      </w:r>
      <w:r w:rsidRPr="00A37AD3">
        <w:rPr>
          <w:rFonts w:asciiTheme="minorHAnsi" w:hAnsiTheme="minorHAnsi" w:cstheme="minorHAnsi"/>
          <w:color w:val="000000" w:themeColor="text1"/>
        </w:rPr>
        <w:t xml:space="preserve"> </w:t>
      </w:r>
      <w:r w:rsidRPr="00A37AD3">
        <w:rPr>
          <w:rFonts w:asciiTheme="minorHAnsi" w:hAnsiTheme="minorHAnsi" w:cstheme="minorHAnsi"/>
          <w:color w:val="000000" w:themeColor="text1"/>
          <w:rtl/>
        </w:rPr>
        <w:t xml:space="preserve">כ-16.5 מיליארדי דולרים. </w:t>
      </w:r>
    </w:p>
    <w:p w:rsidR="00A37AD3" w:rsidRPr="00A37AD3" w:rsidRDefault="00A37AD3" w:rsidP="00A37AD3">
      <w:pPr>
        <w:bidi/>
        <w:spacing w:line="360" w:lineRule="auto"/>
        <w:jc w:val="both"/>
        <w:rPr>
          <w:rFonts w:asciiTheme="minorHAnsi" w:hAnsiTheme="minorHAnsi" w:cstheme="minorHAnsi"/>
          <w:rtl/>
        </w:rPr>
      </w:pPr>
    </w:p>
    <w:tbl>
      <w:tblPr>
        <w:bidiVisual/>
        <w:tblW w:w="10160" w:type="dxa"/>
        <w:tblLook w:val="04A0" w:firstRow="1" w:lastRow="0" w:firstColumn="1" w:lastColumn="0" w:noHBand="0" w:noVBand="1"/>
      </w:tblPr>
      <w:tblGrid>
        <w:gridCol w:w="3366"/>
        <w:gridCol w:w="1055"/>
        <w:gridCol w:w="991"/>
        <w:gridCol w:w="994"/>
        <w:gridCol w:w="1060"/>
        <w:gridCol w:w="1407"/>
        <w:gridCol w:w="1287"/>
      </w:tblGrid>
      <w:tr w:rsidR="00A37AD3" w:rsidRPr="00A37AD3" w:rsidTr="00AA2F7D">
        <w:trPr>
          <w:trHeight w:val="315"/>
        </w:trPr>
        <w:tc>
          <w:tcPr>
            <w:tcW w:w="3428" w:type="dxa"/>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Pr>
            </w:pPr>
            <w:r w:rsidRPr="00A37AD3">
              <w:rPr>
                <w:rFonts w:asciiTheme="minorHAnsi" w:hAnsiTheme="minorHAnsi" w:cstheme="minorHAnsi"/>
                <w:b/>
                <w:bCs/>
                <w:color w:val="FFFFFF"/>
                <w:rtl/>
              </w:rPr>
              <w:t> </w:t>
            </w:r>
          </w:p>
        </w:tc>
        <w:tc>
          <w:tcPr>
            <w:tcW w:w="996" w:type="dxa"/>
            <w:tcBorders>
              <w:top w:val="single" w:sz="8" w:space="0" w:color="4F81BD"/>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 </w:t>
            </w:r>
          </w:p>
        </w:tc>
        <w:tc>
          <w:tcPr>
            <w:tcW w:w="3030" w:type="dxa"/>
            <w:gridSpan w:val="3"/>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bookmarkStart w:id="7" w:name="RANGE!C1"/>
            <w:r w:rsidRPr="00A37AD3">
              <w:rPr>
                <w:rFonts w:asciiTheme="minorHAnsi" w:hAnsiTheme="minorHAnsi" w:cstheme="minorHAnsi"/>
                <w:b/>
                <w:bCs/>
                <w:color w:val="FFFFFF"/>
                <w:rtl/>
              </w:rPr>
              <w:t>החלק היחסי בנפח המסחר הכולל</w:t>
            </w:r>
            <w:bookmarkEnd w:id="7"/>
          </w:p>
        </w:tc>
        <w:tc>
          <w:tcPr>
            <w:tcW w:w="1412" w:type="dxa"/>
            <w:vMerge w:val="restart"/>
            <w:tcBorders>
              <w:top w:val="single" w:sz="8" w:space="0" w:color="4F81BD"/>
              <w:left w:val="single" w:sz="8" w:space="0" w:color="4F81BD"/>
              <w:bottom w:val="single" w:sz="8" w:space="0" w:color="4F81BD"/>
              <w:right w:val="single" w:sz="8" w:space="0" w:color="4F81BD"/>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סך הנפח (במיליוני $)</w:t>
            </w:r>
          </w:p>
        </w:tc>
        <w:tc>
          <w:tcPr>
            <w:tcW w:w="1294" w:type="dxa"/>
            <w:vMerge w:val="restart"/>
            <w:tcBorders>
              <w:top w:val="single" w:sz="8" w:space="0" w:color="4F81BD"/>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ממוצע יומי (במיליוני $)</w:t>
            </w:r>
          </w:p>
        </w:tc>
      </w:tr>
      <w:tr w:rsidR="00A37AD3" w:rsidRPr="00A37AD3" w:rsidTr="00AA2F7D">
        <w:trPr>
          <w:trHeight w:val="1515"/>
        </w:trPr>
        <w:tc>
          <w:tcPr>
            <w:tcW w:w="3428" w:type="dxa"/>
            <w:tcBorders>
              <w:top w:val="nil"/>
              <w:left w:val="single" w:sz="8" w:space="0" w:color="4F81BD"/>
              <w:bottom w:val="single" w:sz="8" w:space="0" w:color="4F81BD"/>
              <w:right w:val="single" w:sz="8" w:space="0" w:color="4F81BD"/>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 </w:t>
            </w:r>
          </w:p>
        </w:tc>
        <w:tc>
          <w:tcPr>
            <w:tcW w:w="996" w:type="dxa"/>
            <w:tcBorders>
              <w:top w:val="nil"/>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 </w:t>
            </w:r>
          </w:p>
        </w:tc>
        <w:tc>
          <w:tcPr>
            <w:tcW w:w="995" w:type="dxa"/>
            <w:tcBorders>
              <w:top w:val="nil"/>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מסחר בין זרים</w:t>
            </w:r>
          </w:p>
        </w:tc>
        <w:tc>
          <w:tcPr>
            <w:tcW w:w="997" w:type="dxa"/>
            <w:tcBorders>
              <w:top w:val="nil"/>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color w:val="0000FF"/>
                <w:u w:val="single"/>
                <w:rtl/>
              </w:rPr>
            </w:pPr>
            <w:hyperlink r:id="rId16" w:anchor="RANGE!_ftn1" w:history="1">
              <w:r w:rsidRPr="00A37AD3">
                <w:rPr>
                  <w:rFonts w:asciiTheme="minorHAnsi" w:hAnsiTheme="minorHAnsi" w:cstheme="minorHAnsi"/>
                  <w:b/>
                  <w:bCs/>
                  <w:color w:val="FFFFFF"/>
                  <w:rtl/>
                </w:rPr>
                <w:t>מסחר בין זר למקומי</w:t>
              </w:r>
            </w:hyperlink>
          </w:p>
        </w:tc>
        <w:tc>
          <w:tcPr>
            <w:tcW w:w="1038" w:type="dxa"/>
            <w:tcBorders>
              <w:top w:val="nil"/>
              <w:left w:val="single" w:sz="8" w:space="0" w:color="4F81BD"/>
              <w:bottom w:val="single" w:sz="8" w:space="0" w:color="4F81BD"/>
              <w:right w:val="nil"/>
            </w:tcBorders>
            <w:shd w:val="clear" w:color="000000" w:fill="5B9BD5"/>
            <w:vAlign w:val="center"/>
            <w:hideMark/>
          </w:tcPr>
          <w:p w:rsidR="00A37AD3" w:rsidRPr="00A37AD3" w:rsidRDefault="00A37AD3" w:rsidP="00AA2F7D">
            <w:pPr>
              <w:bidi/>
              <w:jc w:val="center"/>
              <w:rPr>
                <w:rFonts w:asciiTheme="minorHAnsi" w:hAnsiTheme="minorHAnsi" w:cstheme="minorHAnsi"/>
                <w:b/>
                <w:bCs/>
                <w:color w:val="FFFFFF"/>
                <w:rtl/>
              </w:rPr>
            </w:pPr>
            <w:r w:rsidRPr="00A37AD3">
              <w:rPr>
                <w:rFonts w:asciiTheme="minorHAnsi" w:hAnsiTheme="minorHAnsi" w:cstheme="minorHAnsi"/>
                <w:b/>
                <w:bCs/>
                <w:color w:val="FFFFFF"/>
                <w:rtl/>
              </w:rPr>
              <w:t>מסחר בין מערכת הבנקאות המקומית למקומיים</w:t>
            </w:r>
          </w:p>
        </w:tc>
        <w:tc>
          <w:tcPr>
            <w:tcW w:w="1412" w:type="dxa"/>
            <w:vMerge/>
            <w:tcBorders>
              <w:top w:val="single" w:sz="8" w:space="0" w:color="4F81BD"/>
              <w:left w:val="single" w:sz="8" w:space="0" w:color="4F81BD"/>
              <w:bottom w:val="single" w:sz="8" w:space="0" w:color="4F81BD"/>
              <w:right w:val="single" w:sz="8" w:space="0" w:color="4F81BD"/>
            </w:tcBorders>
            <w:vAlign w:val="center"/>
            <w:hideMark/>
          </w:tcPr>
          <w:p w:rsidR="00A37AD3" w:rsidRPr="00A37AD3" w:rsidRDefault="00A37AD3" w:rsidP="00AA2F7D">
            <w:pPr>
              <w:bidi/>
              <w:rPr>
                <w:rFonts w:asciiTheme="minorHAnsi" w:hAnsiTheme="minorHAnsi" w:cstheme="minorHAnsi"/>
                <w:b/>
                <w:bCs/>
                <w:color w:val="FFFFFF"/>
              </w:rPr>
            </w:pPr>
          </w:p>
        </w:tc>
        <w:tc>
          <w:tcPr>
            <w:tcW w:w="1294" w:type="dxa"/>
            <w:vMerge/>
            <w:tcBorders>
              <w:top w:val="single" w:sz="8" w:space="0" w:color="4F81BD"/>
              <w:left w:val="single" w:sz="8" w:space="0" w:color="4F81BD"/>
              <w:bottom w:val="single" w:sz="8" w:space="0" w:color="4F81BD"/>
              <w:right w:val="nil"/>
            </w:tcBorders>
            <w:vAlign w:val="center"/>
            <w:hideMark/>
          </w:tcPr>
          <w:p w:rsidR="00A37AD3" w:rsidRPr="00A37AD3" w:rsidRDefault="00A37AD3" w:rsidP="00AA2F7D">
            <w:pPr>
              <w:bidi/>
              <w:rPr>
                <w:rFonts w:asciiTheme="minorHAnsi" w:hAnsiTheme="minorHAnsi" w:cstheme="minorHAnsi"/>
                <w:b/>
                <w:bCs/>
                <w:color w:val="FFFFFF"/>
              </w:rPr>
            </w:pPr>
          </w:p>
        </w:tc>
      </w:tr>
      <w:tr w:rsidR="00A37AD3" w:rsidRPr="00A37AD3" w:rsidTr="00AA2F7D">
        <w:trPr>
          <w:trHeight w:val="1215"/>
        </w:trPr>
        <w:tc>
          <w:tcPr>
            <w:tcW w:w="3428" w:type="dxa"/>
            <w:vMerge w:val="restart"/>
            <w:tcBorders>
              <w:top w:val="nil"/>
              <w:left w:val="single" w:sz="8" w:space="0" w:color="9CC2E5"/>
              <w:bottom w:val="single" w:sz="12" w:space="0" w:color="000000"/>
              <w:right w:val="single" w:sz="8" w:space="0" w:color="9CC2E5"/>
            </w:tcBorders>
            <w:shd w:val="clear" w:color="000000" w:fill="DEEAF6"/>
            <w:vAlign w:val="center"/>
            <w:hideMark/>
          </w:tcPr>
          <w:p w:rsidR="00A37AD3" w:rsidRPr="00A37AD3" w:rsidRDefault="00A37AD3" w:rsidP="00AA2F7D">
            <w:pPr>
              <w:bidi/>
              <w:jc w:val="center"/>
              <w:rPr>
                <w:rFonts w:asciiTheme="minorHAnsi" w:hAnsiTheme="minorHAnsi" w:cstheme="minorHAnsi"/>
              </w:rPr>
            </w:pPr>
            <w:r w:rsidRPr="00A37AD3">
              <w:rPr>
                <w:rFonts w:asciiTheme="minorHAnsi" w:hAnsiTheme="minorHAnsi" w:cstheme="minorHAnsi"/>
                <w:rtl/>
              </w:rPr>
              <w:t>רביע שני 2025</w:t>
            </w:r>
          </w:p>
        </w:tc>
        <w:tc>
          <w:tcPr>
            <w:tcW w:w="996"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נפח המסחר בעסקאות המרה</w:t>
            </w:r>
          </w:p>
        </w:tc>
        <w:tc>
          <w:tcPr>
            <w:tcW w:w="995"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Pr>
            </w:pPr>
            <w:r w:rsidRPr="00A37AD3">
              <w:rPr>
                <w:rFonts w:asciiTheme="minorHAnsi" w:hAnsiTheme="minorHAnsi" w:cstheme="minorHAnsi"/>
                <w:rtl/>
              </w:rPr>
              <w:t>77.0%</w:t>
            </w:r>
          </w:p>
        </w:tc>
        <w:tc>
          <w:tcPr>
            <w:tcW w:w="997"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9.0%</w:t>
            </w:r>
          </w:p>
        </w:tc>
        <w:tc>
          <w:tcPr>
            <w:tcW w:w="1038"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14.0%</w:t>
            </w:r>
          </w:p>
        </w:tc>
        <w:tc>
          <w:tcPr>
            <w:tcW w:w="1412"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1,011,645 </w:t>
            </w:r>
          </w:p>
        </w:tc>
        <w:tc>
          <w:tcPr>
            <w:tcW w:w="1294"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16,584 </w:t>
            </w:r>
          </w:p>
        </w:tc>
      </w:tr>
      <w:tr w:rsidR="00A37AD3" w:rsidRPr="00A37AD3" w:rsidTr="00AA2F7D">
        <w:trPr>
          <w:trHeight w:val="1515"/>
        </w:trPr>
        <w:tc>
          <w:tcPr>
            <w:tcW w:w="3428" w:type="dxa"/>
            <w:vMerge/>
            <w:tcBorders>
              <w:top w:val="nil"/>
              <w:left w:val="single" w:sz="8" w:space="0" w:color="9CC2E5"/>
              <w:bottom w:val="single" w:sz="12" w:space="0" w:color="000000"/>
              <w:right w:val="single" w:sz="8" w:space="0" w:color="9CC2E5"/>
            </w:tcBorders>
            <w:vAlign w:val="center"/>
            <w:hideMark/>
          </w:tcPr>
          <w:p w:rsidR="00A37AD3" w:rsidRPr="00A37AD3" w:rsidRDefault="00A37AD3" w:rsidP="00AA2F7D">
            <w:pPr>
              <w:bidi/>
              <w:rPr>
                <w:rFonts w:asciiTheme="minorHAnsi" w:hAnsiTheme="minorHAnsi" w:cstheme="minorHAnsi"/>
              </w:rPr>
            </w:pPr>
          </w:p>
        </w:tc>
        <w:tc>
          <w:tcPr>
            <w:tcW w:w="996"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נפח המסחר בעסקאות החלף ואופציות</w:t>
            </w:r>
          </w:p>
        </w:tc>
        <w:tc>
          <w:tcPr>
            <w:tcW w:w="995"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52.3%</w:t>
            </w:r>
          </w:p>
        </w:tc>
        <w:tc>
          <w:tcPr>
            <w:tcW w:w="997"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21.4%</w:t>
            </w:r>
          </w:p>
        </w:tc>
        <w:tc>
          <w:tcPr>
            <w:tcW w:w="1038"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26.3%</w:t>
            </w:r>
          </w:p>
        </w:tc>
        <w:tc>
          <w:tcPr>
            <w:tcW w:w="1412"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1,375,130 </w:t>
            </w:r>
          </w:p>
        </w:tc>
        <w:tc>
          <w:tcPr>
            <w:tcW w:w="1294" w:type="dxa"/>
            <w:tcBorders>
              <w:top w:val="nil"/>
              <w:left w:val="single" w:sz="8" w:space="0" w:color="9CC2E5"/>
              <w:bottom w:val="single" w:sz="12" w:space="0" w:color="auto"/>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22,543 </w:t>
            </w:r>
          </w:p>
        </w:tc>
      </w:tr>
      <w:tr w:rsidR="00A37AD3" w:rsidRPr="00A37AD3" w:rsidTr="00AA2F7D">
        <w:trPr>
          <w:trHeight w:val="1230"/>
        </w:trPr>
        <w:tc>
          <w:tcPr>
            <w:tcW w:w="3428" w:type="dxa"/>
            <w:vMerge w:val="restart"/>
            <w:tcBorders>
              <w:top w:val="nil"/>
              <w:left w:val="single" w:sz="8" w:space="0" w:color="9CC2E5"/>
              <w:bottom w:val="nil"/>
              <w:right w:val="single" w:sz="8" w:space="0" w:color="9CC2E5"/>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רביע ראשון 2025</w:t>
            </w:r>
          </w:p>
        </w:tc>
        <w:tc>
          <w:tcPr>
            <w:tcW w:w="996"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נפח המסחר </w:t>
            </w:r>
            <w:r w:rsidRPr="00A37AD3">
              <w:rPr>
                <w:rFonts w:asciiTheme="minorHAnsi" w:hAnsiTheme="minorHAnsi" w:cstheme="minorHAnsi"/>
                <w:rtl/>
              </w:rPr>
              <w:lastRenderedPageBreak/>
              <w:t>בעסקאות המרה</w:t>
            </w:r>
          </w:p>
        </w:tc>
        <w:tc>
          <w:tcPr>
            <w:tcW w:w="995"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lastRenderedPageBreak/>
              <w:t>77.1%</w:t>
            </w:r>
          </w:p>
        </w:tc>
        <w:tc>
          <w:tcPr>
            <w:tcW w:w="997"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9.0%</w:t>
            </w:r>
          </w:p>
        </w:tc>
        <w:tc>
          <w:tcPr>
            <w:tcW w:w="1038"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13.9%</w:t>
            </w:r>
          </w:p>
        </w:tc>
        <w:tc>
          <w:tcPr>
            <w:tcW w:w="1412"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568,113 </w:t>
            </w:r>
          </w:p>
        </w:tc>
        <w:tc>
          <w:tcPr>
            <w:tcW w:w="1294" w:type="dxa"/>
            <w:tcBorders>
              <w:top w:val="nil"/>
              <w:left w:val="single" w:sz="8" w:space="0" w:color="9CC2E5"/>
              <w:bottom w:val="single" w:sz="8" w:space="0" w:color="4F81BD"/>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9,163 </w:t>
            </w:r>
          </w:p>
        </w:tc>
      </w:tr>
      <w:tr w:rsidR="00A37AD3" w:rsidRPr="00A37AD3" w:rsidTr="00AA2F7D">
        <w:trPr>
          <w:trHeight w:val="1500"/>
        </w:trPr>
        <w:tc>
          <w:tcPr>
            <w:tcW w:w="3428" w:type="dxa"/>
            <w:vMerge/>
            <w:tcBorders>
              <w:top w:val="nil"/>
              <w:left w:val="single" w:sz="8" w:space="0" w:color="9CC2E5"/>
              <w:bottom w:val="nil"/>
              <w:right w:val="single" w:sz="8" w:space="0" w:color="9CC2E5"/>
            </w:tcBorders>
            <w:vAlign w:val="center"/>
            <w:hideMark/>
          </w:tcPr>
          <w:p w:rsidR="00A37AD3" w:rsidRPr="00A37AD3" w:rsidRDefault="00A37AD3" w:rsidP="00AA2F7D">
            <w:pPr>
              <w:bidi/>
              <w:rPr>
                <w:rFonts w:asciiTheme="minorHAnsi" w:hAnsiTheme="minorHAnsi" w:cstheme="minorHAnsi"/>
              </w:rPr>
            </w:pPr>
          </w:p>
        </w:tc>
        <w:tc>
          <w:tcPr>
            <w:tcW w:w="996"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נפח המסחר בעסקאות החלף ואופציות</w:t>
            </w:r>
          </w:p>
        </w:tc>
        <w:tc>
          <w:tcPr>
            <w:tcW w:w="995"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49.4%</w:t>
            </w:r>
          </w:p>
        </w:tc>
        <w:tc>
          <w:tcPr>
            <w:tcW w:w="997"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24.0%</w:t>
            </w:r>
          </w:p>
        </w:tc>
        <w:tc>
          <w:tcPr>
            <w:tcW w:w="1038"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26.6%</w:t>
            </w:r>
          </w:p>
        </w:tc>
        <w:tc>
          <w:tcPr>
            <w:tcW w:w="1412"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902,726 </w:t>
            </w:r>
          </w:p>
        </w:tc>
        <w:tc>
          <w:tcPr>
            <w:tcW w:w="1294" w:type="dxa"/>
            <w:tcBorders>
              <w:top w:val="nil"/>
              <w:left w:val="single" w:sz="8" w:space="0" w:color="9CC2E5"/>
              <w:bottom w:val="nil"/>
              <w:right w:val="nil"/>
            </w:tcBorders>
            <w:shd w:val="clear" w:color="000000" w:fill="DEEAF6"/>
            <w:vAlign w:val="center"/>
            <w:hideMark/>
          </w:tcPr>
          <w:p w:rsidR="00A37AD3" w:rsidRPr="00A37AD3" w:rsidRDefault="00A37AD3" w:rsidP="00AA2F7D">
            <w:pPr>
              <w:bidi/>
              <w:jc w:val="center"/>
              <w:rPr>
                <w:rFonts w:asciiTheme="minorHAnsi" w:hAnsiTheme="minorHAnsi" w:cstheme="minorHAnsi"/>
                <w:rtl/>
              </w:rPr>
            </w:pPr>
            <w:r w:rsidRPr="00A37AD3">
              <w:rPr>
                <w:rFonts w:asciiTheme="minorHAnsi" w:hAnsiTheme="minorHAnsi" w:cstheme="minorHAnsi"/>
                <w:rtl/>
              </w:rPr>
              <w:t xml:space="preserve">             14,560 </w:t>
            </w:r>
          </w:p>
        </w:tc>
      </w:tr>
    </w:tbl>
    <w:p w:rsidR="00F25BB5" w:rsidRPr="00A37AD3" w:rsidRDefault="00F25BB5" w:rsidP="00F25BB5">
      <w:pPr>
        <w:bidi/>
        <w:spacing w:line="360" w:lineRule="auto"/>
        <w:rPr>
          <w:rFonts w:asciiTheme="minorHAnsi" w:hAnsiTheme="minorHAnsi" w:cstheme="minorHAnsi"/>
          <w:rtl/>
        </w:rPr>
      </w:pPr>
    </w:p>
    <w:p w:rsidR="00F25BB5" w:rsidRPr="00A37AD3" w:rsidRDefault="00F25BB5" w:rsidP="00F25BB5">
      <w:pPr>
        <w:bidi/>
        <w:spacing w:line="360" w:lineRule="auto"/>
        <w:rPr>
          <w:rFonts w:asciiTheme="minorHAnsi" w:hAnsiTheme="minorHAnsi" w:cstheme="minorHAnsi"/>
          <w:rtl/>
        </w:rPr>
      </w:pPr>
    </w:p>
    <w:p w:rsidR="003E7478" w:rsidRPr="00A37AD3" w:rsidRDefault="003E7478" w:rsidP="005E28F6">
      <w:pPr>
        <w:bidi/>
        <w:spacing w:line="360" w:lineRule="auto"/>
        <w:jc w:val="both"/>
        <w:rPr>
          <w:rFonts w:asciiTheme="minorHAnsi" w:hAnsiTheme="minorHAnsi" w:cstheme="minorHAnsi"/>
        </w:rPr>
      </w:pPr>
    </w:p>
    <w:sectPr w:rsidR="003E7478" w:rsidRPr="00A37AD3" w:rsidSect="00CC2499">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lang w:val="he-IL"/>
      </w:rPr>
      <w:id w:val="-916242249"/>
      <w:docPartObj>
        <w:docPartGallery w:val="Page Numbers (Bottom of Page)"/>
        <w:docPartUnique/>
      </w:docPartObj>
    </w:sdtPr>
    <w:sdtEndPr>
      <w:rPr>
        <w:cs/>
        <w:lang w:val="en-US"/>
      </w:rPr>
    </w:sdtEndPr>
    <w:sdtContent>
      <w:sdt>
        <w:sdtPr>
          <w:rPr>
            <w:rtl/>
            <w:lang w:val="he-IL"/>
          </w:rPr>
          <w:id w:val="2712275"/>
          <w:docPartObj>
            <w:docPartGallery w:val="Page Numbers (Top of Page)"/>
            <w:docPartUnique/>
          </w:docPartObj>
        </w:sdtPr>
        <w:sdtEndPr>
          <w:rPr>
            <w:lang w:val="en-US"/>
          </w:rPr>
        </w:sdtEndPr>
        <w:sdtContent>
          <w:p w:rsidR="00A37AD3" w:rsidRPr="002168C6" w:rsidRDefault="00A37AD3" w:rsidP="004F7549">
            <w:pPr>
              <w:pStyle w:val="a7"/>
              <w:bidi/>
              <w:rPr>
                <w:rtl/>
              </w:rPr>
            </w:pPr>
            <w:r w:rsidRPr="002168C6">
              <w:rPr>
                <w:rFonts w:hint="cs"/>
                <w:rtl/>
                <w:lang w:val="he-IL"/>
              </w:rPr>
              <w:t xml:space="preserve">בנק ישראל - המסחר בשוק מטבע החוץ ברביע </w:t>
            </w:r>
            <w:r>
              <w:rPr>
                <w:rFonts w:hint="cs"/>
                <w:rtl/>
                <w:lang w:val="he-IL"/>
              </w:rPr>
              <w:t>הרביעי של שנת</w:t>
            </w:r>
            <w:r w:rsidRPr="002168C6">
              <w:rPr>
                <w:rFonts w:hint="cs"/>
                <w:rtl/>
                <w:lang w:val="he-IL"/>
              </w:rPr>
              <w:t xml:space="preserve"> </w:t>
            </w:r>
            <w:r>
              <w:rPr>
                <w:rFonts w:hint="cs"/>
                <w:rtl/>
                <w:lang w:val="he-IL"/>
              </w:rPr>
              <w:t>2024</w:t>
            </w:r>
            <w:r w:rsidRPr="002168C6">
              <w:rPr>
                <w:rFonts w:hint="cs"/>
                <w:rtl/>
                <w:cs/>
                <w:lang w:val="he-IL"/>
              </w:rPr>
              <w:tab/>
            </w:r>
            <w:r w:rsidRPr="002168C6">
              <w:rPr>
                <w:rtl/>
                <w:cs/>
                <w:lang w:val="he-IL"/>
              </w:rPr>
              <w:t xml:space="preserve">עמוד </w:t>
            </w:r>
            <w:r w:rsidRPr="002168C6">
              <w:rPr>
                <w:b/>
                <w:bCs/>
              </w:rPr>
              <w:fldChar w:fldCharType="begin"/>
            </w:r>
            <w:r w:rsidRPr="002168C6">
              <w:rPr>
                <w:b/>
                <w:bCs/>
                <w:rtl/>
                <w:cs/>
              </w:rPr>
              <w:instrText>PAGE</w:instrText>
            </w:r>
            <w:r w:rsidRPr="002168C6">
              <w:rPr>
                <w:b/>
                <w:bCs/>
              </w:rPr>
              <w:fldChar w:fldCharType="separate"/>
            </w:r>
            <w:r>
              <w:rPr>
                <w:b/>
                <w:bCs/>
                <w:noProof/>
                <w:rtl/>
              </w:rPr>
              <w:t>5</w:t>
            </w:r>
            <w:r w:rsidRPr="002168C6">
              <w:rPr>
                <w:b/>
                <w:bCs/>
              </w:rPr>
              <w:fldChar w:fldCharType="end"/>
            </w:r>
            <w:r w:rsidRPr="002168C6">
              <w:rPr>
                <w:rtl/>
                <w:cs/>
                <w:lang w:val="he-IL"/>
              </w:rPr>
              <w:t xml:space="preserve"> מתוך </w:t>
            </w:r>
            <w:r w:rsidRPr="002168C6">
              <w:rPr>
                <w:b/>
                <w:bCs/>
              </w:rPr>
              <w:fldChar w:fldCharType="begin"/>
            </w:r>
            <w:r w:rsidRPr="002168C6">
              <w:rPr>
                <w:b/>
                <w:bCs/>
                <w:rtl/>
                <w:cs/>
              </w:rPr>
              <w:instrText>NUMPAGES</w:instrText>
            </w:r>
            <w:r w:rsidRPr="002168C6">
              <w:rPr>
                <w:b/>
                <w:bCs/>
              </w:rPr>
              <w:fldChar w:fldCharType="separate"/>
            </w:r>
            <w:r>
              <w:rPr>
                <w:b/>
                <w:bCs/>
                <w:noProof/>
                <w:rtl/>
              </w:rPr>
              <w:t>5</w:t>
            </w:r>
            <w:r w:rsidRPr="002168C6">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 w:id="1">
    <w:p w:rsidR="00A37AD3" w:rsidRPr="00855677" w:rsidRDefault="00A37AD3" w:rsidP="00A37AD3">
      <w:pPr>
        <w:pStyle w:val="af0"/>
        <w:bidi/>
        <w:rPr>
          <w:rFonts w:cstheme="minorBidi"/>
          <w:rtl/>
        </w:rPr>
      </w:pPr>
      <w:r w:rsidRPr="00855677">
        <w:rPr>
          <w:rStyle w:val="af2"/>
        </w:rPr>
        <w:footnoteRef/>
      </w:r>
      <w:r w:rsidRPr="00855677">
        <w:t xml:space="preserve"> </w:t>
      </w:r>
      <w:r w:rsidRPr="00855677">
        <w:rPr>
          <w:rFonts w:ascii="David" w:hAnsi="David" w:cs="David" w:hint="eastAsia"/>
          <w:rtl/>
        </w:rPr>
        <w:t>למידע</w:t>
      </w:r>
      <w:r w:rsidRPr="00855677">
        <w:rPr>
          <w:rFonts w:ascii="David" w:hAnsi="David" w:cs="David"/>
          <w:rtl/>
        </w:rPr>
        <w:t xml:space="preserve"> נוסף על פעילות המגזרים בשוק מטבע חוץ ראה את "מבט סטטיסטי 2024 – פרק ד" : </w:t>
      </w:r>
      <w:hyperlink r:id="rId1" w:tgtFrame="_blank" w:tooltip="https://www.boi.org.il/publications/regularpublications/statistic_bulletin/bulletin2024/" w:history="1">
        <w:r w:rsidRPr="00855677">
          <w:rPr>
            <w:rStyle w:val="Hyperlink"/>
            <w:rFonts w:ascii="David" w:hAnsi="David" w:cs="David"/>
          </w:rPr>
          <w:t>https://www.boi.org.il/publications/regularpublications/statistic_bulletin/bulletin2024/</w:t>
        </w:r>
      </w:hyperlink>
    </w:p>
  </w:footnote>
  <w:footnote w:id="2">
    <w:p w:rsidR="00A37AD3" w:rsidRPr="00855677" w:rsidRDefault="00A37AD3" w:rsidP="00A37AD3">
      <w:pPr>
        <w:pStyle w:val="af0"/>
        <w:bidi/>
        <w:rPr>
          <w:rFonts w:ascii="David" w:hAnsi="David" w:cs="David"/>
          <w:rtl/>
        </w:rPr>
      </w:pPr>
      <w:r w:rsidRPr="00855677">
        <w:rPr>
          <w:rStyle w:val="af2"/>
        </w:rPr>
        <w:footnoteRef/>
      </w:r>
      <w:r w:rsidRPr="00855677">
        <w:t xml:space="preserve"> </w:t>
      </w:r>
      <w:r w:rsidRPr="00855677">
        <w:rPr>
          <w:rFonts w:ascii="David" w:hAnsi="David" w:cs="David"/>
          <w:rtl/>
        </w:rPr>
        <w:t xml:space="preserve">המגזרים העיקריים המוצגים אינם מהווים את כל השוק - למידע נוסף ראה את" מערכת הנתונים על פעילות השוק שקל/מטבע חוץ" בפרסום מבט סטטיסטי </w:t>
      </w:r>
      <w:r w:rsidRPr="00855677">
        <w:rPr>
          <w:rFonts w:ascii="David" w:hAnsi="David" w:cs="David"/>
        </w:rPr>
        <w:t>2024</w:t>
      </w:r>
    </w:p>
    <w:p w:rsidR="00A37AD3" w:rsidRPr="00FC3FED" w:rsidRDefault="00A37AD3" w:rsidP="00A37AD3">
      <w:pPr>
        <w:pStyle w:val="af0"/>
        <w:bidi/>
        <w:rPr>
          <w:rFonts w:ascii="David" w:hAnsi="David" w:cs="David"/>
          <w:rtl/>
        </w:rPr>
      </w:pPr>
      <w:hyperlink r:id="rId2" w:history="1">
        <w:r w:rsidRPr="00855677">
          <w:rPr>
            <w:rStyle w:val="Hyperlink"/>
            <w:rFonts w:ascii="David" w:hAnsi="David" w:cs="David"/>
          </w:rPr>
          <w:t>https://www.boi.org.il/publications/regularpublications/statistic_bulletin/bulletin2024</w:t>
        </w:r>
        <w:r w:rsidRPr="00855677">
          <w:rPr>
            <w:rStyle w:val="Hyperlink"/>
            <w:rFonts w:ascii="David" w:hAnsi="David" w:cs="David"/>
            <w:rtl/>
          </w:rPr>
          <w:t>/</w:t>
        </w:r>
      </w:hyperlink>
    </w:p>
  </w:footnote>
  <w:footnote w:id="3">
    <w:p w:rsidR="00A37AD3" w:rsidRPr="004372A2" w:rsidRDefault="00A37AD3" w:rsidP="00A37AD3">
      <w:pPr>
        <w:pStyle w:val="af0"/>
        <w:bidi/>
        <w:rPr>
          <w:rFonts w:ascii="David" w:hAnsi="David" w:cs="David"/>
          <w:rtl/>
        </w:rPr>
      </w:pPr>
      <w:r w:rsidRPr="00256361">
        <w:rPr>
          <w:rStyle w:val="af2"/>
          <w:rFonts w:ascii="David" w:hAnsi="David" w:cs="David"/>
        </w:rPr>
        <w:footnoteRef/>
      </w:r>
      <w:r w:rsidRPr="00256361">
        <w:rPr>
          <w:rFonts w:ascii="David" w:hAnsi="David" w:cs="David"/>
        </w:rPr>
        <w:t xml:space="preserve"> </w:t>
      </w:r>
      <w:r>
        <w:rPr>
          <w:rFonts w:ascii="David" w:hAnsi="David" w:cs="David" w:hint="cs"/>
          <w:rtl/>
        </w:rPr>
        <w:t xml:space="preserve">החל משנת 2020, הנתונים לא כוללים סניפים של בנקים זרים בישראל. </w:t>
      </w:r>
    </w:p>
  </w:footnote>
  <w:footnote w:id="4">
    <w:p w:rsidR="00A37AD3" w:rsidRPr="005534E9" w:rsidRDefault="00A37AD3" w:rsidP="00A37AD3">
      <w:pPr>
        <w:bidi/>
        <w:rPr>
          <w:sz w:val="22"/>
          <w:szCs w:val="22"/>
          <w:rtl/>
        </w:rPr>
      </w:pPr>
      <w:r>
        <w:rPr>
          <w:rStyle w:val="af2"/>
        </w:rPr>
        <w:footnoteRef/>
      </w:r>
      <w:r>
        <w:t xml:space="preserve"> </w:t>
      </w:r>
      <w:r w:rsidRPr="005534E9">
        <w:rPr>
          <w:rFonts w:eastAsiaTheme="minorHAnsi"/>
          <w:rtl/>
        </w:rPr>
        <w:t xml:space="preserve">נפח המסחר הכולל </w:t>
      </w:r>
      <w:r w:rsidRPr="005534E9">
        <w:rPr>
          <w:rFonts w:eastAsiaTheme="minorHAnsi" w:hint="cs"/>
          <w:rtl/>
        </w:rPr>
        <w:t xml:space="preserve">הוא אומדן לפעילות הכוללת </w:t>
      </w:r>
      <w:r w:rsidRPr="00D2268D">
        <w:rPr>
          <w:rFonts w:eastAsiaTheme="minorHAnsi" w:hint="cs"/>
          <w:rtl/>
        </w:rPr>
        <w:t>בעסקאות מול השקל</w:t>
      </w:r>
      <w:r w:rsidRPr="005534E9">
        <w:rPr>
          <w:rFonts w:eastAsiaTheme="minorHAnsi" w:hint="cs"/>
          <w:rtl/>
        </w:rPr>
        <w:t xml:space="preserve">, מבוסס על דיווחים של </w:t>
      </w:r>
      <w:r w:rsidRPr="005534E9">
        <w:rPr>
          <w:rFonts w:eastAsiaTheme="minorHAnsi"/>
          <w:rtl/>
        </w:rPr>
        <w:t xml:space="preserve">מערכת הבנקאות המקומית </w:t>
      </w:r>
      <w:r w:rsidRPr="005534E9">
        <w:rPr>
          <w:rFonts w:eastAsiaTheme="minorHAnsi" w:hint="cs"/>
          <w:rtl/>
        </w:rPr>
        <w:t>ושל מדווחים זר</w:t>
      </w:r>
      <w:r w:rsidRPr="005534E9">
        <w:rPr>
          <w:rFonts w:eastAsiaTheme="minorHAnsi"/>
          <w:rtl/>
        </w:rPr>
        <w:t>ים</w:t>
      </w:r>
      <w:r w:rsidRPr="005534E9">
        <w:rPr>
          <w:rFonts w:eastAsiaTheme="minorHAnsi"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37AD3"/>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2A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paragraph" w:styleId="1">
    <w:name w:val="heading 1"/>
    <w:basedOn w:val="a"/>
    <w:next w:val="a"/>
    <w:link w:val="10"/>
    <w:uiPriority w:val="9"/>
    <w:qFormat/>
    <w:rsid w:val="00A37AD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he-IL"/>
    </w:rPr>
  </w:style>
  <w:style w:type="paragraph" w:styleId="2">
    <w:name w:val="heading 2"/>
    <w:basedOn w:val="a"/>
    <w:next w:val="a"/>
    <w:link w:val="20"/>
    <w:uiPriority w:val="9"/>
    <w:unhideWhenUsed/>
    <w:qFormat/>
    <w:rsid w:val="00A37AD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 w:type="character" w:customStyle="1" w:styleId="10">
    <w:name w:val="כותרת 1 תו"/>
    <w:basedOn w:val="a0"/>
    <w:link w:val="1"/>
    <w:uiPriority w:val="9"/>
    <w:rsid w:val="00A37AD3"/>
    <w:rPr>
      <w:rFonts w:asciiTheme="majorHAnsi" w:eastAsiaTheme="majorEastAsia" w:hAnsiTheme="majorHAnsi" w:cstheme="majorBidi"/>
      <w:b/>
      <w:bCs/>
      <w:color w:val="365F91" w:themeColor="accent1" w:themeShade="BF"/>
      <w:sz w:val="28"/>
      <w:szCs w:val="28"/>
      <w:lang w:eastAsia="he-IL"/>
    </w:rPr>
  </w:style>
  <w:style w:type="character" w:customStyle="1" w:styleId="20">
    <w:name w:val="כותרת 2 תו"/>
    <w:basedOn w:val="a0"/>
    <w:link w:val="2"/>
    <w:uiPriority w:val="9"/>
    <w:rsid w:val="00A37AD3"/>
    <w:rPr>
      <w:rFonts w:asciiTheme="majorHAnsi" w:eastAsiaTheme="majorEastAsia" w:hAnsiTheme="majorHAnsi" w:cstheme="majorBidi"/>
      <w:b/>
      <w:bCs/>
      <w:color w:val="4F81BD" w:themeColor="accent1"/>
      <w:sz w:val="26"/>
      <w:szCs w:val="26"/>
      <w:lang w:eastAsia="he-IL"/>
    </w:rPr>
  </w:style>
  <w:style w:type="paragraph" w:styleId="af0">
    <w:name w:val="footnote text"/>
    <w:basedOn w:val="a"/>
    <w:link w:val="af1"/>
    <w:uiPriority w:val="99"/>
    <w:unhideWhenUsed/>
    <w:rsid w:val="00A37AD3"/>
    <w:pPr>
      <w:spacing w:after="0" w:line="240" w:lineRule="auto"/>
    </w:pPr>
    <w:rPr>
      <w:rFonts w:ascii="Times New Roman" w:eastAsia="Times New Roman" w:hAnsi="Times New Roman" w:cs="Miriam"/>
      <w:sz w:val="20"/>
      <w:szCs w:val="20"/>
      <w:lang w:eastAsia="he-IL"/>
    </w:rPr>
  </w:style>
  <w:style w:type="character" w:customStyle="1" w:styleId="af1">
    <w:name w:val="טקסט הערת שוליים תו"/>
    <w:basedOn w:val="a0"/>
    <w:link w:val="af0"/>
    <w:uiPriority w:val="99"/>
    <w:rsid w:val="00A37AD3"/>
    <w:rPr>
      <w:rFonts w:ascii="Times New Roman" w:eastAsia="Times New Roman" w:hAnsi="Times New Roman" w:cs="Miriam"/>
      <w:sz w:val="20"/>
      <w:szCs w:val="20"/>
      <w:lang w:eastAsia="he-IL"/>
    </w:rPr>
  </w:style>
  <w:style w:type="character" w:styleId="af2">
    <w:name w:val="footnote reference"/>
    <w:basedOn w:val="a0"/>
    <w:uiPriority w:val="99"/>
    <w:semiHidden/>
    <w:unhideWhenUsed/>
    <w:rsid w:val="00A37AD3"/>
    <w:rPr>
      <w:vertAlign w:val="superscript"/>
    </w:rPr>
  </w:style>
  <w:style w:type="paragraph" w:styleId="af3">
    <w:name w:val="Title"/>
    <w:basedOn w:val="a"/>
    <w:next w:val="a"/>
    <w:link w:val="af4"/>
    <w:uiPriority w:val="10"/>
    <w:qFormat/>
    <w:rsid w:val="00A37A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he-IL"/>
    </w:rPr>
  </w:style>
  <w:style w:type="character" w:customStyle="1" w:styleId="af4">
    <w:name w:val="כותרת טקסט תו"/>
    <w:basedOn w:val="a0"/>
    <w:link w:val="af3"/>
    <w:uiPriority w:val="10"/>
    <w:rsid w:val="00A37AD3"/>
    <w:rPr>
      <w:rFonts w:asciiTheme="majorHAnsi" w:eastAsiaTheme="majorEastAsia" w:hAnsiTheme="majorHAnsi" w:cstheme="majorBidi"/>
      <w:color w:val="17365D" w:themeColor="text2" w:themeShade="BF"/>
      <w:spacing w:val="5"/>
      <w:kern w:val="28"/>
      <w:sz w:val="52"/>
      <w:szCs w:val="52"/>
      <w:lang w:eastAsia="he-IL"/>
    </w:rPr>
  </w:style>
  <w:style w:type="paragraph" w:styleId="NormalWeb">
    <w:name w:val="Normal (Web)"/>
    <w:basedOn w:val="a"/>
    <w:uiPriority w:val="99"/>
    <w:semiHidden/>
    <w:unhideWhenUsed/>
    <w:rsid w:val="00A37AD3"/>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987\AppData\Local\Microsoft\Windows\INetCache\Content.MSO\4867AE6D.xls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hyperlink" Target="https://www.facebook.com/bankisraelvc" TargetMode="External"/><Relationship Id="rId3" Type="http://schemas.openxmlformats.org/officeDocument/2006/relationships/image" Target="media/image9.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11.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0.png"/><Relationship Id="rId9" Type="http://schemas.microsoft.com/office/2007/relationships/hdphoto" Target="media/hdphoto3.wdp"/><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publications/regularpublications/statistic_bulletin/bulletin2024/" TargetMode="External"/><Relationship Id="rId1" Type="http://schemas.openxmlformats.org/officeDocument/2006/relationships/hyperlink" Target="https://www.boi.org.il/publications/regularpublications/statistic_bulletin/bulletin202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4564</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2025-08-05T07:56:00Z</dcterms:created>
  <dcterms:modified xsi:type="dcterms:W3CDTF">2025-08-05T07:56:00Z</dcterms:modified>
</cp:coreProperties>
</file>