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C726DC" w:rsidRPr="007F795C" w14:paraId="39C00C12" w14:textId="77777777" w:rsidTr="00374923">
        <w:tc>
          <w:tcPr>
            <w:tcW w:w="3343" w:type="dxa"/>
            <w:tcBorders>
              <w:top w:val="nil"/>
              <w:left w:val="nil"/>
              <w:bottom w:val="nil"/>
              <w:right w:val="nil"/>
            </w:tcBorders>
            <w:vAlign w:val="center"/>
          </w:tcPr>
          <w:p w14:paraId="18C70DF9" w14:textId="77777777" w:rsidR="00C726DC" w:rsidRPr="007F795C" w:rsidRDefault="00C726DC" w:rsidP="00374923">
            <w:pPr>
              <w:pStyle w:val="ListParagraph"/>
              <w:ind w:left="501"/>
              <w:jc w:val="center"/>
              <w:rPr>
                <w:rFonts w:asciiTheme="minorBidi" w:hAnsiTheme="minorBidi" w:cstheme="minorBidi"/>
                <w:b/>
                <w:bCs/>
                <w:sz w:val="28"/>
                <w:szCs w:val="28"/>
              </w:rPr>
            </w:pPr>
            <w:r w:rsidRPr="007F795C">
              <w:rPr>
                <w:rFonts w:asciiTheme="minorBidi" w:hAnsiTheme="minorBidi" w:cstheme="minorBidi"/>
                <w:b/>
                <w:bCs/>
                <w:sz w:val="28"/>
                <w:szCs w:val="28"/>
                <w:rtl/>
              </w:rPr>
              <w:t>בנק ישראל</w:t>
            </w:r>
          </w:p>
          <w:p w14:paraId="276FBB5C" w14:textId="77777777" w:rsidR="00C726DC" w:rsidRPr="007F795C" w:rsidRDefault="00C726DC" w:rsidP="00374923">
            <w:pPr>
              <w:pStyle w:val="ListParagraph"/>
              <w:ind w:left="501" w:right="-101"/>
              <w:jc w:val="center"/>
              <w:rPr>
                <w:rFonts w:asciiTheme="minorBidi" w:hAnsiTheme="minorBidi" w:cstheme="minorBidi"/>
              </w:rPr>
            </w:pPr>
            <w:r w:rsidRPr="007F795C">
              <w:rPr>
                <w:rFonts w:asciiTheme="minorBidi" w:hAnsiTheme="minorBidi" w:cstheme="minorBidi"/>
                <w:rtl/>
              </w:rPr>
              <w:t>דוברות והסברה כלכלית</w:t>
            </w:r>
          </w:p>
        </w:tc>
        <w:tc>
          <w:tcPr>
            <w:tcW w:w="2596" w:type="dxa"/>
            <w:tcBorders>
              <w:top w:val="nil"/>
              <w:left w:val="nil"/>
              <w:bottom w:val="nil"/>
              <w:right w:val="nil"/>
            </w:tcBorders>
            <w:shd w:val="clear" w:color="auto" w:fill="FFFFFF"/>
          </w:tcPr>
          <w:p w14:paraId="04739137" w14:textId="77777777" w:rsidR="00C726DC" w:rsidRPr="007F795C" w:rsidRDefault="00C726DC" w:rsidP="00374923">
            <w:pPr>
              <w:jc w:val="center"/>
              <w:rPr>
                <w:rFonts w:asciiTheme="minorBidi" w:hAnsiTheme="minorBidi" w:cstheme="minorBidi"/>
              </w:rPr>
            </w:pPr>
            <w:r w:rsidRPr="007F795C">
              <w:rPr>
                <w:rFonts w:asciiTheme="minorBidi" w:hAnsiTheme="minorBidi" w:cstheme="minorBidi"/>
                <w:noProof/>
                <w:lang w:bidi="ar-SA"/>
              </w:rPr>
              <w:drawing>
                <wp:inline distT="0" distB="0" distL="0" distR="0" wp14:anchorId="179BE53C" wp14:editId="52B5E857">
                  <wp:extent cx="842645" cy="842645"/>
                  <wp:effectExtent l="0" t="0" r="0" b="0"/>
                  <wp:docPr id="1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tc>
        <w:tc>
          <w:tcPr>
            <w:tcW w:w="3591" w:type="dxa"/>
            <w:tcBorders>
              <w:top w:val="nil"/>
              <w:left w:val="nil"/>
              <w:bottom w:val="nil"/>
              <w:right w:val="nil"/>
            </w:tcBorders>
            <w:vAlign w:val="center"/>
          </w:tcPr>
          <w:p w14:paraId="6096A7D2" w14:textId="77777777" w:rsidR="00C726DC" w:rsidRPr="007F795C" w:rsidRDefault="00C726DC" w:rsidP="00374923">
            <w:pPr>
              <w:spacing w:line="480" w:lineRule="auto"/>
              <w:jc w:val="right"/>
              <w:rPr>
                <w:rFonts w:asciiTheme="minorBidi" w:hAnsiTheme="minorBidi" w:cstheme="minorBidi"/>
              </w:rPr>
            </w:pPr>
            <w:r w:rsidRPr="007F795C">
              <w:rPr>
                <w:rFonts w:asciiTheme="minorBidi" w:hAnsiTheme="minorBidi" w:cstheme="minorBidi"/>
                <w:rtl/>
              </w:rPr>
              <w:t>‏ירושלים,‏ ד' באייר, תשפ"ד</w:t>
            </w:r>
          </w:p>
          <w:p w14:paraId="0EB11003" w14:textId="77777777" w:rsidR="00C726DC" w:rsidRPr="007F795C" w:rsidRDefault="00C726DC" w:rsidP="00374923">
            <w:pPr>
              <w:spacing w:line="480" w:lineRule="auto"/>
              <w:jc w:val="right"/>
              <w:rPr>
                <w:rFonts w:asciiTheme="minorBidi" w:hAnsiTheme="minorBidi" w:cstheme="minorBidi"/>
              </w:rPr>
            </w:pPr>
            <w:r w:rsidRPr="007F795C">
              <w:rPr>
                <w:rFonts w:asciiTheme="minorBidi" w:hAnsiTheme="minorBidi" w:cstheme="minorBidi"/>
                <w:rtl/>
              </w:rPr>
              <w:t>‏‏12 מאי, 2024</w:t>
            </w:r>
          </w:p>
        </w:tc>
      </w:tr>
    </w:tbl>
    <w:p w14:paraId="23327DA9" w14:textId="77777777" w:rsidR="00A36995" w:rsidRPr="007F795C" w:rsidRDefault="00A36995" w:rsidP="00C726DC">
      <w:pPr>
        <w:pStyle w:val="ListParagraph"/>
        <w:spacing w:after="240"/>
        <w:ind w:left="360"/>
        <w:rPr>
          <w:rFonts w:asciiTheme="minorBidi" w:hAnsiTheme="minorBidi" w:cstheme="minorBidi"/>
          <w:rtl/>
        </w:rPr>
      </w:pPr>
    </w:p>
    <w:p w14:paraId="6488BD4C" w14:textId="0AEB2A96" w:rsidR="00C726DC" w:rsidRPr="007F795C" w:rsidRDefault="007F795C" w:rsidP="00C726DC">
      <w:pPr>
        <w:pStyle w:val="ListParagraph"/>
        <w:spacing w:after="240"/>
        <w:ind w:left="360"/>
        <w:rPr>
          <w:rFonts w:asciiTheme="minorBidi" w:hAnsiTheme="minorBidi" w:cstheme="minorBidi"/>
          <w:rtl/>
        </w:rPr>
      </w:pPr>
      <w:r>
        <w:rPr>
          <w:rFonts w:asciiTheme="minorBidi" w:hAnsiTheme="minorBidi" w:cstheme="minorBidi" w:hint="cs"/>
          <w:rtl/>
          <w:lang w:bidi="ar-SA"/>
        </w:rPr>
        <w:t>إعلان للصحافة</w:t>
      </w:r>
      <w:r w:rsidR="00C726DC" w:rsidRPr="007F795C">
        <w:rPr>
          <w:rFonts w:asciiTheme="minorBidi" w:hAnsiTheme="minorBidi" w:cstheme="minorBidi"/>
          <w:rtl/>
        </w:rPr>
        <w:t>:</w:t>
      </w:r>
    </w:p>
    <w:p w14:paraId="39AD04C0" w14:textId="673DF441" w:rsidR="007F795C" w:rsidRPr="007F795C" w:rsidRDefault="00CE3829" w:rsidP="00CE3829">
      <w:pPr>
        <w:pStyle w:val="ListParagraph"/>
        <w:spacing w:after="240"/>
        <w:ind w:left="360"/>
        <w:jc w:val="center"/>
        <w:rPr>
          <w:rFonts w:asciiTheme="minorBidi" w:hAnsiTheme="minorBidi" w:cstheme="minorBidi"/>
          <w:b/>
          <w:bCs/>
          <w:sz w:val="28"/>
          <w:szCs w:val="28"/>
          <w:rtl/>
        </w:rPr>
      </w:pPr>
      <w:r>
        <w:rPr>
          <w:rFonts w:asciiTheme="minorBidi" w:hAnsiTheme="minorBidi" w:cs="Arial" w:hint="cs"/>
          <w:b/>
          <w:bCs/>
          <w:sz w:val="28"/>
          <w:szCs w:val="28"/>
          <w:rtl/>
          <w:lang w:bidi="ar-SA"/>
        </w:rPr>
        <w:t>مقالة من تقرير</w:t>
      </w:r>
      <w:r w:rsidR="007F795C" w:rsidRPr="007F795C">
        <w:rPr>
          <w:rFonts w:asciiTheme="minorBidi" w:hAnsiTheme="minorBidi" w:cs="Arial"/>
          <w:b/>
          <w:bCs/>
          <w:sz w:val="28"/>
          <w:szCs w:val="28"/>
          <w:rtl/>
          <w:lang w:bidi="ar-SA"/>
        </w:rPr>
        <w:t xml:space="preserve"> مراجعة النظام المصرفي في إسرائيل لعام 2023 </w:t>
      </w:r>
      <w:r>
        <w:rPr>
          <w:rFonts w:asciiTheme="minorBidi" w:hAnsiTheme="minorBidi" w:cs="Arial" w:hint="cs"/>
          <w:b/>
          <w:bCs/>
          <w:sz w:val="28"/>
          <w:szCs w:val="28"/>
          <w:rtl/>
          <w:lang w:bidi="ar-SA"/>
        </w:rPr>
        <w:t xml:space="preserve">الذي </w:t>
      </w:r>
      <w:r w:rsidR="007F795C" w:rsidRPr="007F795C">
        <w:rPr>
          <w:rFonts w:asciiTheme="minorBidi" w:hAnsiTheme="minorBidi" w:cs="Arial"/>
          <w:b/>
          <w:bCs/>
          <w:sz w:val="28"/>
          <w:szCs w:val="28"/>
          <w:rtl/>
          <w:lang w:bidi="ar-SA"/>
        </w:rPr>
        <w:t>سيتم نشره قريب</w:t>
      </w:r>
      <w:r w:rsidR="00BA2BF5">
        <w:rPr>
          <w:rFonts w:asciiTheme="minorBidi" w:hAnsiTheme="minorBidi" w:cs="Arial" w:hint="cs"/>
          <w:b/>
          <w:bCs/>
          <w:sz w:val="28"/>
          <w:szCs w:val="28"/>
          <w:rtl/>
          <w:lang w:bidi="ar-SA"/>
        </w:rPr>
        <w:t>اً</w:t>
      </w:r>
      <w:r w:rsidR="007F795C" w:rsidRPr="007F795C">
        <w:rPr>
          <w:rFonts w:asciiTheme="minorBidi" w:hAnsiTheme="minorBidi" w:cs="Arial"/>
          <w:b/>
          <w:bCs/>
          <w:sz w:val="28"/>
          <w:szCs w:val="28"/>
          <w:rtl/>
          <w:lang w:bidi="ar-SA"/>
        </w:rPr>
        <w:t>:</w:t>
      </w:r>
    </w:p>
    <w:p w14:paraId="40B51CE2" w14:textId="6E60F469" w:rsidR="007F795C" w:rsidRPr="007F795C" w:rsidRDefault="00CE3829" w:rsidP="00CE3829">
      <w:pPr>
        <w:pStyle w:val="ListParagraph"/>
        <w:spacing w:after="240"/>
        <w:ind w:left="360"/>
        <w:jc w:val="center"/>
        <w:rPr>
          <w:rFonts w:asciiTheme="minorBidi" w:hAnsiTheme="minorBidi" w:cstheme="minorBidi"/>
          <w:b/>
          <w:bCs/>
          <w:sz w:val="28"/>
          <w:szCs w:val="28"/>
          <w:rtl/>
          <w:lang w:bidi="ar-SA"/>
        </w:rPr>
      </w:pPr>
      <w:r>
        <w:rPr>
          <w:rFonts w:asciiTheme="minorBidi" w:hAnsiTheme="minorBidi" w:cs="Arial"/>
          <w:b/>
          <w:bCs/>
          <w:sz w:val="28"/>
          <w:szCs w:val="28"/>
          <w:rtl/>
          <w:lang w:bidi="ar-SA"/>
        </w:rPr>
        <w:t xml:space="preserve">تحليل أداء الودائع في </w:t>
      </w:r>
      <w:r w:rsidR="007F795C" w:rsidRPr="007F795C">
        <w:rPr>
          <w:rFonts w:asciiTheme="minorBidi" w:hAnsiTheme="minorBidi" w:cs="Arial"/>
          <w:b/>
          <w:bCs/>
          <w:sz w:val="28"/>
          <w:szCs w:val="28"/>
          <w:rtl/>
          <w:lang w:bidi="ar-SA"/>
        </w:rPr>
        <w:t xml:space="preserve">قطاع </w:t>
      </w:r>
      <w:r>
        <w:rPr>
          <w:rFonts w:asciiTheme="minorBidi" w:hAnsiTheme="minorBidi" w:cs="Arial" w:hint="cs"/>
          <w:b/>
          <w:bCs/>
          <w:sz w:val="28"/>
          <w:szCs w:val="28"/>
          <w:rtl/>
          <w:lang w:bidi="ar-SA"/>
        </w:rPr>
        <w:t>الأسر</w:t>
      </w:r>
    </w:p>
    <w:p w14:paraId="08DAC47C" w14:textId="77777777" w:rsidR="00684AFD" w:rsidRPr="007F795C" w:rsidRDefault="00684AFD" w:rsidP="00312C08">
      <w:pPr>
        <w:pStyle w:val="ListParagraph"/>
        <w:spacing w:after="240"/>
        <w:ind w:left="360"/>
        <w:jc w:val="center"/>
        <w:rPr>
          <w:rFonts w:asciiTheme="minorBidi" w:hAnsiTheme="minorBidi" w:cstheme="minorBidi"/>
          <w:b/>
          <w:bCs/>
          <w:sz w:val="12"/>
          <w:szCs w:val="12"/>
          <w:rtl/>
        </w:rPr>
      </w:pPr>
    </w:p>
    <w:p w14:paraId="4796639C" w14:textId="77777777" w:rsidR="00D325B8" w:rsidRPr="007F795C" w:rsidRDefault="00D325B8" w:rsidP="00D325B8">
      <w:pPr>
        <w:pStyle w:val="ListParagraph"/>
        <w:numPr>
          <w:ilvl w:val="0"/>
          <w:numId w:val="2"/>
        </w:numPr>
        <w:spacing w:after="240"/>
        <w:rPr>
          <w:rFonts w:asciiTheme="minorBidi" w:hAnsiTheme="minorBidi" w:cstheme="minorBidi"/>
          <w:b/>
          <w:bCs/>
          <w:rtl/>
        </w:rPr>
      </w:pPr>
      <w:r w:rsidRPr="007F795C">
        <w:rPr>
          <w:rFonts w:asciiTheme="minorBidi" w:hAnsiTheme="minorBidi" w:cs="Arial"/>
          <w:b/>
          <w:bCs/>
          <w:rtl/>
          <w:lang w:bidi="ar-SA"/>
        </w:rPr>
        <w:t xml:space="preserve">خلال عام 2023، ارتفع سعر الفائدة في بنك إسرائيل إلى مستوى 4.75%، وذلك في ظل وجود النظام المصرفي في </w:t>
      </w:r>
      <w:r>
        <w:rPr>
          <w:rFonts w:asciiTheme="minorBidi" w:hAnsiTheme="minorBidi" w:cs="Arial" w:hint="cs"/>
          <w:b/>
          <w:bCs/>
          <w:rtl/>
          <w:lang w:bidi="ar-SA"/>
        </w:rPr>
        <w:t>حالة غير مسبوقة من ارتفاع</w:t>
      </w:r>
      <w:r w:rsidRPr="007F795C">
        <w:rPr>
          <w:rFonts w:asciiTheme="minorBidi" w:hAnsiTheme="minorBidi" w:cs="Arial"/>
          <w:b/>
          <w:bCs/>
          <w:rtl/>
          <w:lang w:bidi="ar-SA"/>
        </w:rPr>
        <w:t xml:space="preserve"> فائض </w:t>
      </w:r>
      <w:r>
        <w:rPr>
          <w:rFonts w:asciiTheme="minorBidi" w:hAnsiTheme="minorBidi" w:cs="Arial" w:hint="cs"/>
          <w:b/>
          <w:bCs/>
          <w:rtl/>
          <w:lang w:bidi="ar-SA"/>
        </w:rPr>
        <w:t>ال</w:t>
      </w:r>
      <w:r w:rsidRPr="007F795C">
        <w:rPr>
          <w:rFonts w:asciiTheme="minorBidi" w:hAnsiTheme="minorBidi" w:cs="Arial"/>
          <w:b/>
          <w:bCs/>
          <w:rtl/>
          <w:lang w:bidi="ar-SA"/>
        </w:rPr>
        <w:t>سيولة.</w:t>
      </w:r>
    </w:p>
    <w:p w14:paraId="564E9A77" w14:textId="5EA24D3C" w:rsidR="007F795C" w:rsidRPr="00D325B8" w:rsidRDefault="00D325B8" w:rsidP="00D325B8">
      <w:pPr>
        <w:pStyle w:val="ListParagraph"/>
        <w:numPr>
          <w:ilvl w:val="0"/>
          <w:numId w:val="2"/>
        </w:numPr>
        <w:spacing w:after="240"/>
        <w:rPr>
          <w:rFonts w:asciiTheme="minorBidi" w:hAnsiTheme="minorBidi" w:cstheme="minorBidi"/>
          <w:b/>
          <w:bCs/>
        </w:rPr>
      </w:pPr>
      <w:r w:rsidRPr="007F795C">
        <w:rPr>
          <w:rFonts w:asciiTheme="minorBidi" w:hAnsiTheme="minorBidi" w:cs="Arial"/>
          <w:b/>
          <w:bCs/>
          <w:rtl/>
          <w:lang w:bidi="ar-SA"/>
        </w:rPr>
        <w:t xml:space="preserve">على خلفية ارتفاع </w:t>
      </w:r>
      <w:r>
        <w:rPr>
          <w:rFonts w:asciiTheme="minorBidi" w:hAnsiTheme="minorBidi" w:cs="Arial" w:hint="cs"/>
          <w:b/>
          <w:bCs/>
          <w:rtl/>
          <w:lang w:bidi="ar-SA"/>
        </w:rPr>
        <w:t>سعر</w:t>
      </w:r>
      <w:r w:rsidRPr="007F795C">
        <w:rPr>
          <w:rFonts w:asciiTheme="minorBidi" w:hAnsiTheme="minorBidi" w:cs="Arial"/>
          <w:b/>
          <w:bCs/>
          <w:rtl/>
          <w:lang w:bidi="ar-SA"/>
        </w:rPr>
        <w:t xml:space="preserve"> الفائدة في بنك إسرائيل، طرأ ارتفاع على أداء الودائع في جميع قطاعات النشاط، وخاصة في </w:t>
      </w:r>
      <w:r>
        <w:rPr>
          <w:rFonts w:asciiTheme="minorBidi" w:hAnsiTheme="minorBidi" w:cs="Arial" w:hint="cs"/>
          <w:b/>
          <w:bCs/>
          <w:rtl/>
          <w:lang w:bidi="ar-SA"/>
        </w:rPr>
        <w:t xml:space="preserve">قطاع </w:t>
      </w:r>
      <w:r w:rsidRPr="007F795C">
        <w:rPr>
          <w:rFonts w:asciiTheme="minorBidi" w:hAnsiTheme="minorBidi" w:cs="Arial"/>
          <w:b/>
          <w:bCs/>
          <w:rtl/>
          <w:lang w:bidi="ar-SA"/>
        </w:rPr>
        <w:t xml:space="preserve">الأسر. كما </w:t>
      </w:r>
      <w:r>
        <w:rPr>
          <w:rFonts w:asciiTheme="minorBidi" w:hAnsiTheme="minorBidi" w:cs="Arial" w:hint="cs"/>
          <w:b/>
          <w:bCs/>
          <w:rtl/>
          <w:lang w:bidi="ar-SA"/>
        </w:rPr>
        <w:t xml:space="preserve">لوحظ </w:t>
      </w:r>
      <w:r w:rsidR="00B43E14">
        <w:rPr>
          <w:rFonts w:asciiTheme="minorBidi" w:hAnsiTheme="minorBidi" w:cs="Arial" w:hint="cs"/>
          <w:b/>
          <w:bCs/>
          <w:rtl/>
          <w:lang w:bidi="ar-SA"/>
        </w:rPr>
        <w:t>ارتفاع</w:t>
      </w:r>
      <w:r w:rsidRPr="007F795C">
        <w:rPr>
          <w:rFonts w:asciiTheme="minorBidi" w:hAnsiTheme="minorBidi" w:cs="Arial"/>
          <w:b/>
          <w:bCs/>
          <w:rtl/>
          <w:lang w:bidi="ar-SA"/>
        </w:rPr>
        <w:t xml:space="preserve"> </w:t>
      </w:r>
      <w:r w:rsidR="00B43E14">
        <w:rPr>
          <w:rFonts w:asciiTheme="minorBidi" w:hAnsiTheme="minorBidi" w:cs="Arial" w:hint="cs"/>
          <w:b/>
          <w:bCs/>
          <w:rtl/>
          <w:lang w:bidi="ar-SA"/>
        </w:rPr>
        <w:t>ل</w:t>
      </w:r>
      <w:r w:rsidRPr="007F795C">
        <w:rPr>
          <w:rFonts w:asciiTheme="minorBidi" w:hAnsiTheme="minorBidi" w:cs="Arial"/>
          <w:b/>
          <w:bCs/>
          <w:rtl/>
          <w:lang w:bidi="ar-SA"/>
        </w:rPr>
        <w:t xml:space="preserve">معدل الودائع </w:t>
      </w:r>
      <w:r w:rsidR="00B43E14">
        <w:rPr>
          <w:rFonts w:asciiTheme="minorBidi" w:hAnsiTheme="minorBidi" w:cs="Arial" w:hint="cs"/>
          <w:b/>
          <w:bCs/>
          <w:rtl/>
          <w:lang w:bidi="ar-SA"/>
        </w:rPr>
        <w:t>الفردية التي تحمل فائدة</w:t>
      </w:r>
      <w:r w:rsidRPr="007F795C">
        <w:rPr>
          <w:rFonts w:asciiTheme="minorBidi" w:hAnsiTheme="minorBidi" w:cs="Arial"/>
          <w:b/>
          <w:bCs/>
          <w:rtl/>
          <w:lang w:bidi="ar-SA"/>
        </w:rPr>
        <w:t xml:space="preserve"> </w:t>
      </w:r>
      <w:r w:rsidR="003160CB" w:rsidRPr="007F795C">
        <w:rPr>
          <w:rStyle w:val="FootnoteReference"/>
          <w:rFonts w:asciiTheme="minorBidi" w:hAnsiTheme="minorBidi" w:cstheme="minorBidi"/>
          <w:b/>
          <w:bCs/>
          <w:rtl/>
        </w:rPr>
        <w:footnoteReference w:id="2"/>
      </w:r>
      <w:r w:rsidR="003160CB" w:rsidRPr="007F795C">
        <w:rPr>
          <w:rFonts w:asciiTheme="minorBidi" w:hAnsiTheme="minorBidi" w:cstheme="minorBidi"/>
          <w:b/>
          <w:bCs/>
          <w:rtl/>
        </w:rPr>
        <w:t xml:space="preserve"> </w:t>
      </w:r>
      <w:r w:rsidR="00B43E14">
        <w:rPr>
          <w:rFonts w:asciiTheme="minorBidi" w:hAnsiTheme="minorBidi" w:cs="Arial" w:hint="cs"/>
          <w:b/>
          <w:bCs/>
          <w:rtl/>
          <w:lang w:bidi="ar-SA"/>
        </w:rPr>
        <w:t xml:space="preserve">على </w:t>
      </w:r>
      <w:r w:rsidR="007F795C" w:rsidRPr="00BA2BF5">
        <w:rPr>
          <w:rFonts w:asciiTheme="minorBidi" w:hAnsiTheme="minorBidi" w:cs="Arial"/>
          <w:b/>
          <w:bCs/>
          <w:rtl/>
          <w:lang w:bidi="ar-SA"/>
        </w:rPr>
        <w:t>نسبة</w:t>
      </w:r>
      <w:r w:rsidR="007F795C" w:rsidRPr="00D325B8">
        <w:rPr>
          <w:rFonts w:asciiTheme="minorBidi" w:hAnsiTheme="minorBidi" w:cs="Arial"/>
          <w:b/>
          <w:bCs/>
          <w:rtl/>
          <w:lang w:bidi="ar-SA"/>
        </w:rPr>
        <w:t xml:space="preserve"> الأموال المودعة في الحسابات الجارية من إجمالي الودائع </w:t>
      </w:r>
      <w:r w:rsidR="00B43E14">
        <w:rPr>
          <w:rFonts w:asciiTheme="minorBidi" w:hAnsiTheme="minorBidi" w:cs="Arial" w:hint="cs"/>
          <w:b/>
          <w:bCs/>
          <w:rtl/>
          <w:lang w:bidi="ar-SA"/>
        </w:rPr>
        <w:t>الفردية</w:t>
      </w:r>
      <w:r w:rsidR="007F795C" w:rsidRPr="00D325B8">
        <w:rPr>
          <w:rFonts w:asciiTheme="minorBidi" w:hAnsiTheme="minorBidi" w:cs="Arial"/>
          <w:b/>
          <w:bCs/>
          <w:rtl/>
          <w:lang w:bidi="ar-SA"/>
        </w:rPr>
        <w:t xml:space="preserve">، حيث بلغ هذا المعدل </w:t>
      </w:r>
      <w:r w:rsidR="00CE3829" w:rsidRPr="00D325B8">
        <w:rPr>
          <w:rFonts w:asciiTheme="minorBidi" w:hAnsiTheme="minorBidi" w:cs="Arial"/>
          <w:b/>
          <w:bCs/>
          <w:rtl/>
          <w:lang w:bidi="ar-SA"/>
        </w:rPr>
        <w:t xml:space="preserve">في </w:t>
      </w:r>
      <w:r w:rsidR="00CE3829" w:rsidRPr="00D325B8">
        <w:rPr>
          <w:rFonts w:asciiTheme="minorBidi" w:hAnsiTheme="minorBidi" w:cs="Arial" w:hint="cs"/>
          <w:b/>
          <w:bCs/>
          <w:rtl/>
          <w:lang w:bidi="ar-SA"/>
        </w:rPr>
        <w:t>شباط</w:t>
      </w:r>
      <w:r w:rsidR="00CE3829" w:rsidRPr="00D325B8">
        <w:rPr>
          <w:rFonts w:asciiTheme="minorBidi" w:hAnsiTheme="minorBidi" w:cs="Arial"/>
          <w:b/>
          <w:bCs/>
          <w:rtl/>
          <w:lang w:bidi="ar-SA"/>
        </w:rPr>
        <w:t xml:space="preserve"> 2024</w:t>
      </w:r>
      <w:r w:rsidR="00CE3829" w:rsidRPr="00D325B8">
        <w:rPr>
          <w:rFonts w:asciiTheme="minorBidi" w:hAnsiTheme="minorBidi" w:cs="Arial" w:hint="cs"/>
          <w:b/>
          <w:bCs/>
          <w:rtl/>
          <w:lang w:bidi="ar-SA"/>
        </w:rPr>
        <w:t xml:space="preserve"> نحو </w:t>
      </w:r>
      <w:r w:rsidR="007F795C" w:rsidRPr="00D325B8">
        <w:rPr>
          <w:rFonts w:asciiTheme="minorBidi" w:hAnsiTheme="minorBidi" w:cs="Arial"/>
          <w:b/>
          <w:bCs/>
          <w:rtl/>
          <w:lang w:bidi="ar-SA"/>
        </w:rPr>
        <w:t>60%.</w:t>
      </w:r>
    </w:p>
    <w:p w14:paraId="27A11B83" w14:textId="1F9A6B56" w:rsidR="007F795C" w:rsidRPr="00D325B8" w:rsidRDefault="00D325B8" w:rsidP="00D325B8">
      <w:pPr>
        <w:pStyle w:val="ListParagraph"/>
        <w:numPr>
          <w:ilvl w:val="0"/>
          <w:numId w:val="2"/>
        </w:numPr>
        <w:spacing w:after="240"/>
        <w:rPr>
          <w:rFonts w:asciiTheme="minorBidi" w:hAnsiTheme="minorBidi" w:cstheme="minorBidi"/>
          <w:b/>
          <w:bCs/>
        </w:rPr>
      </w:pPr>
      <w:r w:rsidRPr="007F795C">
        <w:rPr>
          <w:rFonts w:asciiTheme="minorBidi" w:hAnsiTheme="minorBidi" w:cs="Arial"/>
          <w:b/>
          <w:bCs/>
          <w:rtl/>
          <w:lang w:bidi="ar-SA"/>
        </w:rPr>
        <w:t xml:space="preserve">في عام 2023، بلغ متوسط ​​معدل </w:t>
      </w:r>
      <w:r>
        <w:rPr>
          <w:rFonts w:asciiTheme="minorBidi" w:hAnsiTheme="minorBidi" w:cs="Arial" w:hint="cs"/>
          <w:b/>
          <w:bCs/>
          <w:rtl/>
          <w:lang w:bidi="ar-SA"/>
        </w:rPr>
        <w:t>التحول</w:t>
      </w:r>
      <w:r w:rsidR="00553F36" w:rsidRPr="007F795C">
        <w:rPr>
          <w:rStyle w:val="FootnoteReference"/>
          <w:rFonts w:asciiTheme="minorBidi" w:hAnsiTheme="minorBidi" w:cstheme="minorBidi"/>
          <w:b/>
          <w:bCs/>
          <w:rtl/>
        </w:rPr>
        <w:footnoteReference w:id="3"/>
      </w:r>
      <w:r w:rsidR="00553F36" w:rsidRPr="007F795C">
        <w:rPr>
          <w:rFonts w:asciiTheme="minorBidi" w:hAnsiTheme="minorBidi" w:cstheme="minorBidi"/>
          <w:b/>
          <w:bCs/>
          <w:rtl/>
        </w:rPr>
        <w:t xml:space="preserve"> </w:t>
      </w:r>
      <w:r w:rsidRPr="00D325B8">
        <w:rPr>
          <w:rFonts w:asciiTheme="minorBidi" w:hAnsiTheme="minorBidi" w:cs="Arial" w:hint="cs"/>
          <w:b/>
          <w:bCs/>
          <w:rtl/>
          <w:lang w:bidi="ar-SA"/>
        </w:rPr>
        <w:t>في</w:t>
      </w:r>
      <w:r w:rsidRPr="00D325B8">
        <w:rPr>
          <w:rFonts w:asciiTheme="minorBidi" w:hAnsiTheme="minorBidi" w:cs="Arial"/>
          <w:b/>
          <w:bCs/>
          <w:rtl/>
          <w:lang w:bidi="ar-SA"/>
        </w:rPr>
        <w:t xml:space="preserve"> </w:t>
      </w:r>
      <w:r w:rsidR="007F795C" w:rsidRPr="00D325B8">
        <w:rPr>
          <w:rFonts w:asciiTheme="minorBidi" w:hAnsiTheme="minorBidi" w:cs="Arial"/>
          <w:b/>
          <w:bCs/>
          <w:rtl/>
          <w:lang w:bidi="ar-SA"/>
        </w:rPr>
        <w:t xml:space="preserve">قطاع </w:t>
      </w:r>
      <w:r w:rsidRPr="00D325B8">
        <w:rPr>
          <w:rFonts w:asciiTheme="minorBidi" w:hAnsiTheme="minorBidi" w:cs="Arial" w:hint="cs"/>
          <w:b/>
          <w:bCs/>
          <w:rtl/>
          <w:lang w:bidi="ar-SA"/>
        </w:rPr>
        <w:t>الأسر</w:t>
      </w:r>
      <w:r w:rsidR="007F795C" w:rsidRPr="00D325B8">
        <w:rPr>
          <w:rFonts w:asciiTheme="minorBidi" w:hAnsiTheme="minorBidi" w:cs="Arial"/>
          <w:b/>
          <w:bCs/>
          <w:rtl/>
          <w:lang w:bidi="ar-SA"/>
        </w:rPr>
        <w:t xml:space="preserve"> حوالي 68%. وفي قطاعات النشاط التجاري، كان معدل التحول وسعر الفائدة على الودائع أعلى (83% و93% في المتوسط، لقطاعي </w:t>
      </w:r>
      <w:r w:rsidRPr="00D325B8">
        <w:rPr>
          <w:rFonts w:asciiTheme="minorBidi" w:hAnsiTheme="minorBidi" w:cs="Arial" w:hint="cs"/>
          <w:b/>
          <w:bCs/>
          <w:rtl/>
          <w:lang w:bidi="ar-SA"/>
        </w:rPr>
        <w:t>المصالح التجارية</w:t>
      </w:r>
      <w:r w:rsidR="007F795C" w:rsidRPr="00D325B8">
        <w:rPr>
          <w:rFonts w:asciiTheme="minorBidi" w:hAnsiTheme="minorBidi" w:cs="Arial"/>
          <w:b/>
          <w:bCs/>
          <w:rtl/>
          <w:lang w:bidi="ar-SA"/>
        </w:rPr>
        <w:t xml:space="preserve"> الصغيرة والكبيرة، على التوالي).</w:t>
      </w:r>
    </w:p>
    <w:p w14:paraId="16520E27" w14:textId="3A67CA85" w:rsidR="007F795C" w:rsidRPr="007F795C" w:rsidRDefault="007F795C" w:rsidP="00D325B8">
      <w:pPr>
        <w:pStyle w:val="ListParagraph"/>
        <w:numPr>
          <w:ilvl w:val="0"/>
          <w:numId w:val="2"/>
        </w:numPr>
        <w:spacing w:after="240"/>
        <w:rPr>
          <w:rFonts w:asciiTheme="minorBidi" w:hAnsiTheme="minorBidi" w:cstheme="minorBidi"/>
          <w:b/>
          <w:bCs/>
        </w:rPr>
      </w:pPr>
      <w:r w:rsidRPr="007F795C">
        <w:rPr>
          <w:rFonts w:asciiTheme="minorBidi" w:hAnsiTheme="minorBidi" w:cs="Arial"/>
          <w:b/>
          <w:bCs/>
          <w:rtl/>
          <w:lang w:bidi="ar-SA"/>
        </w:rPr>
        <w:t xml:space="preserve">في المتوسط ​​في عام 2023، </w:t>
      </w:r>
      <w:r w:rsidR="00B43E14">
        <w:rPr>
          <w:rFonts w:asciiTheme="minorBidi" w:hAnsiTheme="minorBidi" w:cs="Arial" w:hint="cs"/>
          <w:b/>
          <w:bCs/>
          <w:rtl/>
          <w:lang w:bidi="ar-SA"/>
        </w:rPr>
        <w:t xml:space="preserve">كان </w:t>
      </w:r>
      <w:r w:rsidRPr="007F795C">
        <w:rPr>
          <w:rFonts w:asciiTheme="minorBidi" w:hAnsiTheme="minorBidi" w:cs="Arial"/>
          <w:b/>
          <w:bCs/>
          <w:rtl/>
          <w:lang w:bidi="ar-SA"/>
        </w:rPr>
        <w:t>ثلث أداء ودائع الأسر</w:t>
      </w:r>
      <w:r w:rsidR="00D325B8">
        <w:rPr>
          <w:rFonts w:asciiTheme="minorBidi" w:hAnsiTheme="minorBidi" w:cs="Arial" w:hint="cs"/>
          <w:b/>
          <w:bCs/>
          <w:rtl/>
          <w:lang w:bidi="ar-SA"/>
        </w:rPr>
        <w:t xml:space="preserve"> تقريباً</w:t>
      </w:r>
      <w:r w:rsidRPr="007F795C">
        <w:rPr>
          <w:rFonts w:asciiTheme="minorBidi" w:hAnsiTheme="minorBidi" w:cs="Arial"/>
          <w:b/>
          <w:bCs/>
          <w:rtl/>
          <w:lang w:bidi="ar-SA"/>
        </w:rPr>
        <w:t xml:space="preserve"> </w:t>
      </w:r>
      <w:r w:rsidR="00B43E14">
        <w:rPr>
          <w:rFonts w:asciiTheme="minorBidi" w:hAnsiTheme="minorBidi" w:cs="Arial" w:hint="cs"/>
          <w:b/>
          <w:bCs/>
          <w:rtl/>
          <w:lang w:bidi="ar-SA"/>
        </w:rPr>
        <w:t>من</w:t>
      </w:r>
      <w:r w:rsidR="00D325B8">
        <w:rPr>
          <w:rFonts w:asciiTheme="minorBidi" w:hAnsiTheme="minorBidi" w:cs="Arial" w:hint="cs"/>
          <w:b/>
          <w:bCs/>
          <w:rtl/>
          <w:lang w:bidi="ar-SA"/>
        </w:rPr>
        <w:t xml:space="preserve"> </w:t>
      </w:r>
      <w:r w:rsidR="00BA2BF5">
        <w:rPr>
          <w:rFonts w:asciiTheme="minorBidi" w:hAnsiTheme="minorBidi" w:cs="Arial" w:hint="cs"/>
          <w:b/>
          <w:bCs/>
          <w:rtl/>
          <w:lang w:bidi="ar-SA"/>
        </w:rPr>
        <w:t>ودائع لفترة</w:t>
      </w:r>
      <w:r w:rsidRPr="007F795C">
        <w:rPr>
          <w:rFonts w:asciiTheme="minorBidi" w:hAnsiTheme="minorBidi" w:cs="Arial"/>
          <w:b/>
          <w:bCs/>
          <w:rtl/>
          <w:lang w:bidi="ar-SA"/>
        </w:rPr>
        <w:t xml:space="preserve"> </w:t>
      </w:r>
      <w:r w:rsidR="00BA2BF5">
        <w:rPr>
          <w:rFonts w:asciiTheme="minorBidi" w:hAnsiTheme="minorBidi" w:cs="Arial" w:hint="cs"/>
          <w:b/>
          <w:bCs/>
          <w:rtl/>
          <w:lang w:bidi="ar-SA"/>
        </w:rPr>
        <w:t>حتى</w:t>
      </w:r>
      <w:r w:rsidRPr="007F795C">
        <w:rPr>
          <w:rFonts w:asciiTheme="minorBidi" w:hAnsiTheme="minorBidi" w:cs="Arial"/>
          <w:b/>
          <w:bCs/>
          <w:rtl/>
          <w:lang w:bidi="ar-SA"/>
        </w:rPr>
        <w:t xml:space="preserve"> شهر واحد، </w:t>
      </w:r>
      <w:r w:rsidR="00D325B8">
        <w:rPr>
          <w:rFonts w:asciiTheme="minorBidi" w:hAnsiTheme="minorBidi" w:cs="Arial" w:hint="cs"/>
          <w:b/>
          <w:bCs/>
          <w:rtl/>
          <w:lang w:bidi="ar-SA"/>
        </w:rPr>
        <w:t xml:space="preserve">فيما </w:t>
      </w:r>
      <w:r w:rsidR="00B43E14">
        <w:rPr>
          <w:rFonts w:asciiTheme="minorBidi" w:hAnsiTheme="minorBidi" w:cs="Arial" w:hint="cs"/>
          <w:b/>
          <w:bCs/>
          <w:rtl/>
          <w:lang w:bidi="ar-SA"/>
        </w:rPr>
        <w:t>بلغت</w:t>
      </w:r>
      <w:r w:rsidRPr="007F795C">
        <w:rPr>
          <w:rFonts w:asciiTheme="minorBidi" w:hAnsiTheme="minorBidi" w:cs="Arial"/>
          <w:b/>
          <w:bCs/>
          <w:rtl/>
          <w:lang w:bidi="ar-SA"/>
        </w:rPr>
        <w:t xml:space="preserve"> </w:t>
      </w:r>
      <w:r w:rsidR="00D325B8">
        <w:rPr>
          <w:rFonts w:asciiTheme="minorBidi" w:hAnsiTheme="minorBidi" w:cs="Arial" w:hint="cs"/>
          <w:b/>
          <w:bCs/>
          <w:rtl/>
          <w:lang w:bidi="ar-SA"/>
        </w:rPr>
        <w:t xml:space="preserve">النسبة </w:t>
      </w:r>
      <w:r w:rsidRPr="007F795C">
        <w:rPr>
          <w:rFonts w:asciiTheme="minorBidi" w:hAnsiTheme="minorBidi" w:cs="Arial"/>
          <w:b/>
          <w:bCs/>
          <w:rtl/>
          <w:lang w:bidi="ar-SA"/>
        </w:rPr>
        <w:t xml:space="preserve">في الربع الأخير من عام 2023 ما يقرب من نصف </w:t>
      </w:r>
      <w:r w:rsidR="00D325B8">
        <w:rPr>
          <w:rFonts w:asciiTheme="minorBidi" w:hAnsiTheme="minorBidi" w:cs="Arial"/>
          <w:b/>
          <w:bCs/>
          <w:rtl/>
          <w:lang w:bidi="ar-SA"/>
        </w:rPr>
        <w:t xml:space="preserve">الودائع، وكان معدل </w:t>
      </w:r>
      <w:r w:rsidR="00D325B8">
        <w:rPr>
          <w:rFonts w:asciiTheme="minorBidi" w:hAnsiTheme="minorBidi" w:cs="Arial" w:hint="cs"/>
          <w:b/>
          <w:bCs/>
          <w:rtl/>
          <w:lang w:bidi="ar-SA"/>
        </w:rPr>
        <w:t>ال</w:t>
      </w:r>
      <w:r w:rsidR="00D325B8">
        <w:rPr>
          <w:rFonts w:asciiTheme="minorBidi" w:hAnsiTheme="minorBidi" w:cs="Arial"/>
          <w:b/>
          <w:bCs/>
          <w:rtl/>
          <w:lang w:bidi="ar-SA"/>
        </w:rPr>
        <w:t>تحو</w:t>
      </w:r>
      <w:r w:rsidRPr="007F795C">
        <w:rPr>
          <w:rFonts w:asciiTheme="minorBidi" w:hAnsiTheme="minorBidi" w:cs="Arial"/>
          <w:b/>
          <w:bCs/>
          <w:rtl/>
          <w:lang w:bidi="ar-SA"/>
        </w:rPr>
        <w:t xml:space="preserve">ل </w:t>
      </w:r>
      <w:r w:rsidR="00B43E14">
        <w:rPr>
          <w:rFonts w:asciiTheme="minorBidi" w:hAnsiTheme="minorBidi" w:cs="Arial" w:hint="cs"/>
          <w:b/>
          <w:bCs/>
          <w:rtl/>
          <w:lang w:bidi="ar-SA"/>
        </w:rPr>
        <w:t>في ا</w:t>
      </w:r>
      <w:r w:rsidRPr="007F795C">
        <w:rPr>
          <w:rFonts w:asciiTheme="minorBidi" w:hAnsiTheme="minorBidi" w:cs="Arial"/>
          <w:b/>
          <w:bCs/>
          <w:rtl/>
          <w:lang w:bidi="ar-SA"/>
        </w:rPr>
        <w:t xml:space="preserve">لودائع </w:t>
      </w:r>
      <w:r w:rsidR="00D325B8">
        <w:rPr>
          <w:rFonts w:asciiTheme="minorBidi" w:hAnsiTheme="minorBidi" w:cs="Arial" w:hint="cs"/>
          <w:b/>
          <w:bCs/>
          <w:rtl/>
          <w:lang w:bidi="ar-SA"/>
        </w:rPr>
        <w:t>ذات ال</w:t>
      </w:r>
      <w:r w:rsidRPr="007F795C">
        <w:rPr>
          <w:rFonts w:asciiTheme="minorBidi" w:hAnsiTheme="minorBidi" w:cs="Arial"/>
          <w:b/>
          <w:bCs/>
          <w:rtl/>
          <w:lang w:bidi="ar-SA"/>
        </w:rPr>
        <w:t xml:space="preserve">فترات </w:t>
      </w:r>
      <w:r w:rsidR="00D325B8">
        <w:rPr>
          <w:rFonts w:asciiTheme="minorBidi" w:hAnsiTheme="minorBidi" w:cs="Arial" w:hint="cs"/>
          <w:b/>
          <w:bCs/>
          <w:rtl/>
          <w:lang w:bidi="ar-SA"/>
        </w:rPr>
        <w:t>ال</w:t>
      </w:r>
      <w:r w:rsidRPr="007F795C">
        <w:rPr>
          <w:rFonts w:asciiTheme="minorBidi" w:hAnsiTheme="minorBidi" w:cs="Arial"/>
          <w:b/>
          <w:bCs/>
          <w:rtl/>
          <w:lang w:bidi="ar-SA"/>
        </w:rPr>
        <w:t xml:space="preserve">أطول </w:t>
      </w:r>
      <w:r w:rsidR="00D325B8">
        <w:rPr>
          <w:rFonts w:asciiTheme="minorBidi" w:hAnsiTheme="minorBidi" w:cs="Arial" w:hint="cs"/>
          <w:b/>
          <w:bCs/>
          <w:rtl/>
          <w:lang w:bidi="ar-SA"/>
        </w:rPr>
        <w:t>أعلى ب</w:t>
      </w:r>
      <w:r w:rsidRPr="007F795C">
        <w:rPr>
          <w:rFonts w:asciiTheme="minorBidi" w:hAnsiTheme="minorBidi" w:cs="Arial"/>
          <w:b/>
          <w:bCs/>
          <w:rtl/>
          <w:lang w:bidi="ar-SA"/>
        </w:rPr>
        <w:t>حوالي 20 نقطة مئوية وأقرب إلى قطاع الأعمال</w:t>
      </w:r>
      <w:r w:rsidR="00D325B8">
        <w:rPr>
          <w:rFonts w:asciiTheme="minorBidi" w:hAnsiTheme="minorBidi" w:cs="Arial" w:hint="cs"/>
          <w:b/>
          <w:bCs/>
          <w:rtl/>
          <w:lang w:bidi="ar-SA"/>
        </w:rPr>
        <w:t>.</w:t>
      </w:r>
      <w:r w:rsidRPr="007F795C">
        <w:rPr>
          <w:rFonts w:asciiTheme="minorBidi" w:hAnsiTheme="minorBidi" w:cs="Arial"/>
          <w:b/>
          <w:bCs/>
          <w:rtl/>
          <w:lang w:bidi="ar-SA"/>
        </w:rPr>
        <w:t xml:space="preserve"> </w:t>
      </w:r>
      <w:r w:rsidR="00D325B8">
        <w:rPr>
          <w:rFonts w:asciiTheme="minorBidi" w:hAnsiTheme="minorBidi" w:cs="Arial" w:hint="cs"/>
          <w:b/>
          <w:bCs/>
          <w:rtl/>
          <w:lang w:bidi="ar-SA"/>
        </w:rPr>
        <w:t>مع ذلك</w:t>
      </w:r>
      <w:r w:rsidRPr="007F795C">
        <w:rPr>
          <w:rFonts w:asciiTheme="minorBidi" w:hAnsiTheme="minorBidi" w:cs="Arial"/>
          <w:b/>
          <w:bCs/>
          <w:rtl/>
          <w:lang w:bidi="ar-SA"/>
        </w:rPr>
        <w:t xml:space="preserve"> </w:t>
      </w:r>
      <w:r w:rsidR="00D325B8">
        <w:rPr>
          <w:rFonts w:asciiTheme="minorBidi" w:hAnsiTheme="minorBidi" w:cs="Arial" w:hint="cs"/>
          <w:b/>
          <w:bCs/>
          <w:rtl/>
          <w:lang w:bidi="ar-SA"/>
        </w:rPr>
        <w:t>و</w:t>
      </w:r>
      <w:r w:rsidRPr="007F795C">
        <w:rPr>
          <w:rFonts w:asciiTheme="minorBidi" w:hAnsiTheme="minorBidi" w:cs="Arial"/>
          <w:b/>
          <w:bCs/>
          <w:rtl/>
          <w:lang w:bidi="ar-SA"/>
        </w:rPr>
        <w:t>خل</w:t>
      </w:r>
      <w:r w:rsidR="00D325B8">
        <w:rPr>
          <w:rFonts w:asciiTheme="minorBidi" w:hAnsiTheme="minorBidi" w:cs="Arial"/>
          <w:b/>
          <w:bCs/>
          <w:rtl/>
          <w:lang w:bidi="ar-SA"/>
        </w:rPr>
        <w:t>ال العام 2023، انخفض معدل التحو</w:t>
      </w:r>
      <w:r w:rsidRPr="007F795C">
        <w:rPr>
          <w:rFonts w:asciiTheme="minorBidi" w:hAnsiTheme="minorBidi" w:cs="Arial"/>
          <w:b/>
          <w:bCs/>
          <w:rtl/>
          <w:lang w:bidi="ar-SA"/>
        </w:rPr>
        <w:t xml:space="preserve">ل في الودائع التي تزيد مدتها عن سنة، بل وكان أقل من الودائع </w:t>
      </w:r>
      <w:r w:rsidR="00D325B8">
        <w:rPr>
          <w:rFonts w:asciiTheme="minorBidi" w:hAnsiTheme="minorBidi" w:cs="Arial" w:hint="cs"/>
          <w:b/>
          <w:bCs/>
          <w:rtl/>
          <w:lang w:bidi="ar-SA"/>
        </w:rPr>
        <w:t>ذات</w:t>
      </w:r>
      <w:r w:rsidRPr="007F795C">
        <w:rPr>
          <w:rFonts w:asciiTheme="minorBidi" w:hAnsiTheme="minorBidi" w:cs="Arial"/>
          <w:b/>
          <w:bCs/>
          <w:rtl/>
          <w:lang w:bidi="ar-SA"/>
        </w:rPr>
        <w:t xml:space="preserve"> المدى المتوسط ​​(بين شهر وسنة) و</w:t>
      </w:r>
      <w:r w:rsidR="00D325B8">
        <w:rPr>
          <w:rFonts w:asciiTheme="minorBidi" w:hAnsiTheme="minorBidi" w:cs="Arial" w:hint="cs"/>
          <w:b/>
          <w:bCs/>
          <w:rtl/>
          <w:lang w:bidi="ar-SA"/>
        </w:rPr>
        <w:t xml:space="preserve">يتماشى </w:t>
      </w:r>
      <w:r w:rsidRPr="007F795C">
        <w:rPr>
          <w:rFonts w:asciiTheme="minorBidi" w:hAnsiTheme="minorBidi" w:cs="Arial"/>
          <w:b/>
          <w:bCs/>
          <w:rtl/>
          <w:lang w:bidi="ar-SA"/>
        </w:rPr>
        <w:t>ذلك مع تطور توقعات أسعار الفائدة.</w:t>
      </w:r>
    </w:p>
    <w:p w14:paraId="7FA59479" w14:textId="6721A935" w:rsidR="007F795C" w:rsidRPr="00501424" w:rsidRDefault="00D325B8" w:rsidP="00501424">
      <w:pPr>
        <w:pStyle w:val="ListParagraph"/>
        <w:numPr>
          <w:ilvl w:val="0"/>
          <w:numId w:val="2"/>
        </w:numPr>
        <w:spacing w:after="240"/>
        <w:rPr>
          <w:rFonts w:asciiTheme="minorBidi" w:hAnsiTheme="minorBidi" w:cstheme="minorBidi"/>
          <w:b/>
          <w:bCs/>
        </w:rPr>
      </w:pPr>
      <w:r>
        <w:rPr>
          <w:rFonts w:asciiTheme="minorBidi" w:hAnsiTheme="minorBidi" w:cs="Arial" w:hint="cs"/>
          <w:b/>
          <w:bCs/>
          <w:rtl/>
          <w:lang w:bidi="ar-SA"/>
        </w:rPr>
        <w:t>يعرض</w:t>
      </w:r>
      <w:r w:rsidR="007F795C" w:rsidRPr="007F795C">
        <w:rPr>
          <w:rFonts w:asciiTheme="minorBidi" w:hAnsiTheme="minorBidi" w:cs="Arial"/>
          <w:b/>
          <w:bCs/>
          <w:rtl/>
          <w:lang w:bidi="ar-SA"/>
        </w:rPr>
        <w:t xml:space="preserve"> </w:t>
      </w:r>
      <w:r>
        <w:rPr>
          <w:rFonts w:asciiTheme="minorBidi" w:hAnsiTheme="minorBidi" w:cs="Arial" w:hint="cs"/>
          <w:b/>
          <w:bCs/>
          <w:rtl/>
          <w:lang w:bidi="ar-SA"/>
        </w:rPr>
        <w:t>النظام</w:t>
      </w:r>
      <w:r w:rsidR="007F795C" w:rsidRPr="007F795C">
        <w:rPr>
          <w:rFonts w:asciiTheme="minorBidi" w:hAnsiTheme="minorBidi" w:cs="Arial"/>
          <w:b/>
          <w:bCs/>
          <w:rtl/>
          <w:lang w:bidi="ar-SA"/>
        </w:rPr>
        <w:t xml:space="preserve"> المصرفي </w:t>
      </w:r>
      <w:r>
        <w:rPr>
          <w:rFonts w:asciiTheme="minorBidi" w:hAnsiTheme="minorBidi" w:cs="Arial" w:hint="cs"/>
          <w:b/>
          <w:bCs/>
          <w:rtl/>
          <w:lang w:bidi="ar-SA"/>
        </w:rPr>
        <w:t>على زبائنه</w:t>
      </w:r>
      <w:r w:rsidR="007F795C" w:rsidRPr="007F795C">
        <w:rPr>
          <w:rFonts w:asciiTheme="minorBidi" w:hAnsiTheme="minorBidi" w:cs="Arial"/>
          <w:b/>
          <w:bCs/>
          <w:rtl/>
          <w:lang w:bidi="ar-SA"/>
        </w:rPr>
        <w:t xml:space="preserve"> ودائع </w:t>
      </w:r>
      <w:r>
        <w:rPr>
          <w:rFonts w:asciiTheme="minorBidi" w:hAnsiTheme="minorBidi" w:cs="Arial" w:hint="cs"/>
          <w:b/>
          <w:bCs/>
          <w:rtl/>
          <w:lang w:bidi="ar-SA"/>
        </w:rPr>
        <w:t>بفوائد متغيرة</w:t>
      </w:r>
      <w:r w:rsidR="007F795C" w:rsidRPr="007F795C">
        <w:rPr>
          <w:rFonts w:asciiTheme="minorBidi" w:hAnsiTheme="minorBidi" w:cs="Arial"/>
          <w:b/>
          <w:bCs/>
          <w:rtl/>
          <w:lang w:bidi="ar-SA"/>
        </w:rPr>
        <w:t xml:space="preserve"> </w:t>
      </w:r>
      <w:r>
        <w:rPr>
          <w:rFonts w:asciiTheme="minorBidi" w:hAnsiTheme="minorBidi" w:cs="Arial" w:hint="cs"/>
          <w:b/>
          <w:bCs/>
          <w:rtl/>
          <w:lang w:bidi="ar-SA"/>
        </w:rPr>
        <w:t>و</w:t>
      </w:r>
      <w:r w:rsidR="007F795C" w:rsidRPr="007F795C">
        <w:rPr>
          <w:rFonts w:asciiTheme="minorBidi" w:hAnsiTheme="minorBidi" w:cs="Arial"/>
          <w:b/>
          <w:bCs/>
          <w:rtl/>
          <w:lang w:bidi="ar-SA"/>
        </w:rPr>
        <w:t xml:space="preserve">فوائد ثابتة، وفقا لتوقعات السوق </w:t>
      </w:r>
      <w:r>
        <w:rPr>
          <w:rFonts w:asciiTheme="minorBidi" w:hAnsiTheme="minorBidi" w:cs="Arial" w:hint="cs"/>
          <w:b/>
          <w:bCs/>
          <w:rtl/>
          <w:lang w:bidi="ar-SA"/>
        </w:rPr>
        <w:t xml:space="preserve">بشأن </w:t>
      </w:r>
      <w:r w:rsidR="007F795C" w:rsidRPr="007F795C">
        <w:rPr>
          <w:rFonts w:asciiTheme="minorBidi" w:hAnsiTheme="minorBidi" w:cs="Arial"/>
          <w:b/>
          <w:bCs/>
          <w:rtl/>
          <w:lang w:bidi="ar-SA"/>
        </w:rPr>
        <w:t xml:space="preserve">بيئة أسعار الفائدة. </w:t>
      </w:r>
      <w:r>
        <w:rPr>
          <w:rFonts w:asciiTheme="minorBidi" w:hAnsiTheme="minorBidi" w:cs="Arial" w:hint="cs"/>
          <w:b/>
          <w:bCs/>
          <w:rtl/>
          <w:lang w:bidi="ar-SA"/>
        </w:rPr>
        <w:t>منذ</w:t>
      </w:r>
      <w:r w:rsidR="007F795C" w:rsidRPr="007F795C">
        <w:rPr>
          <w:rFonts w:asciiTheme="minorBidi" w:hAnsiTheme="minorBidi" w:cs="Arial"/>
          <w:b/>
          <w:bCs/>
          <w:rtl/>
          <w:lang w:bidi="ar-SA"/>
        </w:rPr>
        <w:t xml:space="preserve"> نهاية </w:t>
      </w:r>
      <w:r>
        <w:rPr>
          <w:rFonts w:asciiTheme="minorBidi" w:hAnsiTheme="minorBidi" w:cs="Arial" w:hint="cs"/>
          <w:b/>
          <w:bCs/>
          <w:rtl/>
          <w:lang w:bidi="ar-SA"/>
        </w:rPr>
        <w:t>عام</w:t>
      </w:r>
      <w:r w:rsidR="007F795C" w:rsidRPr="007F795C">
        <w:rPr>
          <w:rFonts w:asciiTheme="minorBidi" w:hAnsiTheme="minorBidi" w:cs="Arial"/>
          <w:b/>
          <w:bCs/>
          <w:rtl/>
          <w:lang w:bidi="ar-SA"/>
        </w:rPr>
        <w:t xml:space="preserve"> 2023، استقر معدل توزيع أداء الودائع بين الفائدة المتغيرة والفائدة الثابتة، وكذ</w:t>
      </w:r>
      <w:r>
        <w:rPr>
          <w:rFonts w:asciiTheme="minorBidi" w:hAnsiTheme="minorBidi" w:cs="Arial" w:hint="cs"/>
          <w:b/>
          <w:bCs/>
          <w:rtl/>
          <w:lang w:bidi="ar-SA"/>
        </w:rPr>
        <w:t>لك</w:t>
      </w:r>
      <w:r>
        <w:rPr>
          <w:rFonts w:asciiTheme="minorBidi" w:hAnsiTheme="minorBidi" w:cs="Arial"/>
          <w:b/>
          <w:bCs/>
          <w:rtl/>
          <w:lang w:bidi="ar-SA"/>
        </w:rPr>
        <w:t xml:space="preserve"> معدل التحو</w:t>
      </w:r>
      <w:r w:rsidR="007F795C" w:rsidRPr="007F795C">
        <w:rPr>
          <w:rFonts w:asciiTheme="minorBidi" w:hAnsiTheme="minorBidi" w:cs="Arial"/>
          <w:b/>
          <w:bCs/>
          <w:rtl/>
          <w:lang w:bidi="ar-SA"/>
        </w:rPr>
        <w:t>ل في كل من هذه المسارات. يعكس هذا الاتجاه تزايد حالة عدم اليقين فيما يتعلق ببيئة أسعار الفائدة، ربما على خلفية الحرب.</w:t>
      </w:r>
    </w:p>
    <w:p w14:paraId="7487E5C7" w14:textId="4250C29B" w:rsidR="007F795C" w:rsidRPr="007F795C" w:rsidRDefault="00501424" w:rsidP="00501424">
      <w:pPr>
        <w:pStyle w:val="ListParagraph"/>
        <w:numPr>
          <w:ilvl w:val="0"/>
          <w:numId w:val="2"/>
        </w:numPr>
        <w:rPr>
          <w:rFonts w:asciiTheme="minorBidi" w:hAnsiTheme="minorBidi" w:cstheme="minorBidi"/>
          <w:b/>
          <w:bCs/>
        </w:rPr>
      </w:pPr>
      <w:r>
        <w:rPr>
          <w:rFonts w:asciiTheme="minorBidi" w:hAnsiTheme="minorBidi" w:cs="Arial" w:hint="cs"/>
          <w:b/>
          <w:bCs/>
          <w:rtl/>
          <w:lang w:bidi="ar-SA"/>
        </w:rPr>
        <w:t>على الرغم من</w:t>
      </w:r>
      <w:r w:rsidR="007F795C" w:rsidRPr="007F795C">
        <w:rPr>
          <w:rFonts w:asciiTheme="minorBidi" w:hAnsiTheme="minorBidi" w:cs="Arial"/>
          <w:b/>
          <w:bCs/>
          <w:rtl/>
          <w:lang w:bidi="ar-SA"/>
        </w:rPr>
        <w:t xml:space="preserve"> انخف</w:t>
      </w:r>
      <w:r>
        <w:rPr>
          <w:rFonts w:asciiTheme="minorBidi" w:hAnsiTheme="minorBidi" w:cs="Arial" w:hint="cs"/>
          <w:b/>
          <w:bCs/>
          <w:rtl/>
          <w:lang w:bidi="ar-SA"/>
        </w:rPr>
        <w:t>ا</w:t>
      </w:r>
      <w:r w:rsidR="007F795C" w:rsidRPr="007F795C">
        <w:rPr>
          <w:rFonts w:asciiTheme="minorBidi" w:hAnsiTheme="minorBidi" w:cs="Arial"/>
          <w:b/>
          <w:bCs/>
          <w:rtl/>
          <w:lang w:bidi="ar-SA"/>
        </w:rPr>
        <w:t xml:space="preserve">ض معدل </w:t>
      </w:r>
      <w:r>
        <w:rPr>
          <w:rFonts w:asciiTheme="minorBidi" w:hAnsiTheme="minorBidi" w:cs="Arial" w:hint="cs"/>
          <w:b/>
          <w:bCs/>
          <w:rtl/>
          <w:lang w:bidi="ar-SA"/>
        </w:rPr>
        <w:t>التحول</w:t>
      </w:r>
      <w:r w:rsidR="007F795C" w:rsidRPr="007F795C">
        <w:rPr>
          <w:rFonts w:asciiTheme="minorBidi" w:hAnsiTheme="minorBidi" w:cs="Arial"/>
          <w:b/>
          <w:bCs/>
          <w:rtl/>
          <w:lang w:bidi="ar-SA"/>
        </w:rPr>
        <w:t xml:space="preserve"> التراكمي لفائدة بنك إسرائيل </w:t>
      </w:r>
      <w:r>
        <w:rPr>
          <w:rFonts w:asciiTheme="minorBidi" w:hAnsiTheme="minorBidi" w:cs="Arial" w:hint="cs"/>
          <w:b/>
          <w:bCs/>
          <w:rtl/>
          <w:lang w:bidi="ar-SA"/>
        </w:rPr>
        <w:t>إ</w:t>
      </w:r>
      <w:r w:rsidR="007F795C" w:rsidRPr="007F795C">
        <w:rPr>
          <w:rFonts w:asciiTheme="minorBidi" w:hAnsiTheme="minorBidi" w:cs="Arial"/>
          <w:b/>
          <w:bCs/>
          <w:rtl/>
          <w:lang w:bidi="ar-SA"/>
        </w:rPr>
        <w:t xml:space="preserve">لى الفوائد على ودائع الأسر، </w:t>
      </w:r>
      <w:r>
        <w:rPr>
          <w:rFonts w:asciiTheme="minorBidi" w:hAnsiTheme="minorBidi" w:cs="Arial" w:hint="cs"/>
          <w:b/>
          <w:bCs/>
          <w:rtl/>
          <w:lang w:bidi="ar-SA"/>
        </w:rPr>
        <w:t>إلا أن</w:t>
      </w:r>
      <w:r w:rsidR="007F795C" w:rsidRPr="007F795C">
        <w:rPr>
          <w:rFonts w:asciiTheme="minorBidi" w:hAnsiTheme="minorBidi" w:cs="Arial"/>
          <w:b/>
          <w:bCs/>
          <w:rtl/>
          <w:lang w:bidi="ar-SA"/>
        </w:rPr>
        <w:t xml:space="preserve"> معدل </w:t>
      </w:r>
      <w:r>
        <w:rPr>
          <w:rFonts w:asciiTheme="minorBidi" w:hAnsiTheme="minorBidi" w:cs="Arial" w:hint="cs"/>
          <w:b/>
          <w:bCs/>
          <w:rtl/>
          <w:lang w:bidi="ar-SA"/>
        </w:rPr>
        <w:t>التحول</w:t>
      </w:r>
      <w:r w:rsidR="007F795C" w:rsidRPr="007F795C">
        <w:rPr>
          <w:rFonts w:asciiTheme="minorBidi" w:hAnsiTheme="minorBidi" w:cs="Arial"/>
          <w:b/>
          <w:bCs/>
          <w:rtl/>
          <w:lang w:bidi="ar-SA"/>
        </w:rPr>
        <w:t xml:space="preserve"> التراكمي لسعر الفائدة من بنك إ</w:t>
      </w:r>
      <w:r>
        <w:rPr>
          <w:rFonts w:asciiTheme="minorBidi" w:hAnsiTheme="minorBidi" w:cs="Arial"/>
          <w:b/>
          <w:bCs/>
          <w:rtl/>
          <w:lang w:bidi="ar-SA"/>
        </w:rPr>
        <w:t>سرائيل إلى الأسر لا يزال مرتفع</w:t>
      </w:r>
      <w:r>
        <w:rPr>
          <w:rFonts w:asciiTheme="minorBidi" w:hAnsiTheme="minorBidi" w:cs="Arial" w:hint="cs"/>
          <w:b/>
          <w:bCs/>
          <w:rtl/>
          <w:lang w:bidi="ar-SA"/>
        </w:rPr>
        <w:t>اً</w:t>
      </w:r>
      <w:r w:rsidR="007F795C" w:rsidRPr="007F795C">
        <w:rPr>
          <w:rFonts w:asciiTheme="minorBidi" w:hAnsiTheme="minorBidi" w:cs="Arial"/>
          <w:b/>
          <w:bCs/>
          <w:rtl/>
          <w:lang w:bidi="ar-SA"/>
        </w:rPr>
        <w:t xml:space="preserve"> مقارنة بالولايات المتحدة وأوروبا وأقل </w:t>
      </w:r>
      <w:r>
        <w:rPr>
          <w:rFonts w:asciiTheme="minorBidi" w:hAnsiTheme="minorBidi" w:cs="Arial" w:hint="cs"/>
          <w:b/>
          <w:bCs/>
          <w:rtl/>
          <w:lang w:bidi="ar-SA"/>
        </w:rPr>
        <w:t>بقليل</w:t>
      </w:r>
      <w:r w:rsidR="007F795C" w:rsidRPr="007F795C">
        <w:rPr>
          <w:rFonts w:asciiTheme="minorBidi" w:hAnsiTheme="minorBidi" w:cs="Arial"/>
          <w:b/>
          <w:bCs/>
          <w:rtl/>
          <w:lang w:bidi="ar-SA"/>
        </w:rPr>
        <w:t xml:space="preserve"> مقارنة ببريطانيا وأستراليا.</w:t>
      </w:r>
    </w:p>
    <w:p w14:paraId="3ACE8DFB" w14:textId="77777777" w:rsidR="00312C08" w:rsidRPr="007F795C" w:rsidRDefault="00312C08" w:rsidP="00312C08">
      <w:pPr>
        <w:pStyle w:val="ListParagraph"/>
        <w:ind w:left="360"/>
        <w:rPr>
          <w:rFonts w:asciiTheme="minorBidi" w:hAnsiTheme="minorBidi" w:cstheme="minorBidi"/>
          <w:b/>
          <w:bCs/>
        </w:rPr>
      </w:pPr>
    </w:p>
    <w:p w14:paraId="48132E42" w14:textId="2E0C1AA3" w:rsidR="003A3AA7" w:rsidRPr="007F795C" w:rsidRDefault="007F795C" w:rsidP="00F3432A">
      <w:pPr>
        <w:pStyle w:val="ListParagraph"/>
        <w:numPr>
          <w:ilvl w:val="0"/>
          <w:numId w:val="10"/>
        </w:numPr>
        <w:spacing w:before="240" w:after="240"/>
        <w:ind w:left="651" w:hanging="709"/>
        <w:rPr>
          <w:rFonts w:asciiTheme="minorBidi" w:hAnsiTheme="minorBidi" w:cstheme="minorBidi"/>
          <w:b/>
          <w:bCs/>
          <w:rtl/>
        </w:rPr>
      </w:pPr>
      <w:r>
        <w:rPr>
          <w:rFonts w:asciiTheme="minorBidi" w:hAnsiTheme="minorBidi" w:cstheme="minorBidi" w:hint="cs"/>
          <w:b/>
          <w:bCs/>
          <w:rtl/>
          <w:lang w:bidi="ar-SA"/>
        </w:rPr>
        <w:lastRenderedPageBreak/>
        <w:t>عام</w:t>
      </w:r>
    </w:p>
    <w:p w14:paraId="22E282CE" w14:textId="425816C9" w:rsidR="00A7637D" w:rsidRPr="007F795C" w:rsidRDefault="00FA1926" w:rsidP="00FA1926">
      <w:pPr>
        <w:spacing w:after="240"/>
        <w:rPr>
          <w:rFonts w:asciiTheme="minorBidi" w:hAnsiTheme="minorBidi" w:cstheme="minorBidi"/>
          <w:rtl/>
          <w:lang w:bidi="ar-SA"/>
        </w:rPr>
      </w:pPr>
      <w:r w:rsidRPr="007F795C">
        <w:rPr>
          <w:rFonts w:asciiTheme="minorBidi" w:hAnsiTheme="minorBidi" w:cs="Arial"/>
          <w:rtl/>
          <w:lang w:bidi="ar-SA"/>
        </w:rPr>
        <w:t xml:space="preserve">سعر فائدة البنك المركزي هو الأداة الرئيسية التي يتم من خلالها تنفيذ السياسة النقدية، وبالتالي فهو الذي </w:t>
      </w:r>
      <w:r w:rsidR="00B43E14">
        <w:rPr>
          <w:rFonts w:asciiTheme="minorBidi" w:hAnsiTheme="minorBidi" w:cs="Arial" w:hint="cs"/>
          <w:rtl/>
          <w:lang w:bidi="ar-SA"/>
        </w:rPr>
        <w:t>يتم</w:t>
      </w:r>
      <w:r w:rsidRPr="007F795C">
        <w:rPr>
          <w:rFonts w:asciiTheme="minorBidi" w:hAnsiTheme="minorBidi" w:cs="Arial"/>
          <w:rtl/>
          <w:lang w:bidi="ar-SA"/>
        </w:rPr>
        <w:t xml:space="preserve"> منه أيضًا </w:t>
      </w:r>
      <w:r w:rsidR="00B43E14">
        <w:rPr>
          <w:rFonts w:asciiTheme="minorBidi" w:hAnsiTheme="minorBidi" w:cs="Arial" w:hint="cs"/>
          <w:rtl/>
          <w:lang w:bidi="ar-SA"/>
        </w:rPr>
        <w:t xml:space="preserve">اشتقاق </w:t>
      </w:r>
      <w:r w:rsidRPr="007F795C">
        <w:rPr>
          <w:rFonts w:asciiTheme="minorBidi" w:hAnsiTheme="minorBidi" w:cs="Arial"/>
          <w:rtl/>
          <w:lang w:bidi="ar-SA"/>
        </w:rPr>
        <w:t xml:space="preserve">سعر الفائدة على الائتمان للجمهور </w:t>
      </w:r>
      <w:r>
        <w:rPr>
          <w:rFonts w:asciiTheme="minorBidi" w:hAnsiTheme="minorBidi" w:cs="Arial"/>
          <w:rtl/>
          <w:lang w:bidi="ar-SA"/>
        </w:rPr>
        <w:t>والفائدة المدفوعة له على ودائعه</w:t>
      </w:r>
      <w:r w:rsidR="00A7637D" w:rsidRPr="007F795C">
        <w:rPr>
          <w:rFonts w:asciiTheme="minorBidi" w:hAnsiTheme="minorBidi" w:cstheme="minorBidi"/>
          <w:rtl/>
        </w:rPr>
        <w:t>.</w:t>
      </w:r>
      <w:r w:rsidR="00A7637D" w:rsidRPr="007F795C">
        <w:rPr>
          <w:rStyle w:val="FootnoteReference"/>
          <w:rFonts w:asciiTheme="minorBidi" w:hAnsiTheme="minorBidi" w:cstheme="minorBidi"/>
          <w:rtl/>
        </w:rPr>
        <w:footnoteReference w:id="4"/>
      </w:r>
      <w:r w:rsidR="00A7637D" w:rsidRPr="007F795C">
        <w:rPr>
          <w:rFonts w:asciiTheme="minorBidi" w:hAnsiTheme="minorBidi" w:cstheme="minorBidi"/>
          <w:rtl/>
        </w:rPr>
        <w:t xml:space="preserve"> </w:t>
      </w:r>
      <w:r>
        <w:rPr>
          <w:rFonts w:asciiTheme="minorBidi" w:hAnsiTheme="minorBidi" w:cs="Arial"/>
          <w:rtl/>
          <w:lang w:bidi="ar-SA"/>
        </w:rPr>
        <w:t xml:space="preserve">يؤثر مستوى سعر </w:t>
      </w:r>
      <w:r w:rsidR="007F795C" w:rsidRPr="007F795C">
        <w:rPr>
          <w:rFonts w:asciiTheme="minorBidi" w:hAnsiTheme="minorBidi" w:cs="Arial"/>
          <w:rtl/>
          <w:lang w:bidi="ar-SA"/>
        </w:rPr>
        <w:t xml:space="preserve">فائدة البنك المركزي بشكل مباشر على تفضيلات </w:t>
      </w:r>
      <w:r>
        <w:rPr>
          <w:rFonts w:asciiTheme="minorBidi" w:hAnsiTheme="minorBidi" w:cs="Arial" w:hint="cs"/>
          <w:rtl/>
          <w:lang w:bidi="ar-SA"/>
        </w:rPr>
        <w:t xml:space="preserve">النظام </w:t>
      </w:r>
      <w:r w:rsidR="007F795C" w:rsidRPr="007F795C">
        <w:rPr>
          <w:rFonts w:asciiTheme="minorBidi" w:hAnsiTheme="minorBidi" w:cs="Arial"/>
          <w:rtl/>
          <w:lang w:bidi="ar-SA"/>
        </w:rPr>
        <w:t>الاقتصاد</w:t>
      </w:r>
      <w:r>
        <w:rPr>
          <w:rFonts w:asciiTheme="minorBidi" w:hAnsiTheme="minorBidi" w:cs="Arial" w:hint="cs"/>
          <w:rtl/>
          <w:lang w:bidi="ar-SA"/>
        </w:rPr>
        <w:t>ي</w:t>
      </w:r>
      <w:r w:rsidR="007F795C" w:rsidRPr="007F795C">
        <w:rPr>
          <w:rFonts w:asciiTheme="minorBidi" w:hAnsiTheme="minorBidi" w:cs="Arial"/>
          <w:rtl/>
          <w:lang w:bidi="ar-SA"/>
        </w:rPr>
        <w:t xml:space="preserve"> والأفراد الذين يعملون فيه </w:t>
      </w:r>
      <w:r>
        <w:rPr>
          <w:rFonts w:asciiTheme="minorBidi" w:hAnsiTheme="minorBidi" w:cs="Arial" w:hint="cs"/>
          <w:rtl/>
          <w:lang w:bidi="ar-SA"/>
        </w:rPr>
        <w:t>من حيث ا</w:t>
      </w:r>
      <w:r w:rsidR="007F795C" w:rsidRPr="007F795C">
        <w:rPr>
          <w:rFonts w:asciiTheme="minorBidi" w:hAnsiTheme="minorBidi" w:cs="Arial"/>
          <w:rtl/>
          <w:lang w:bidi="ar-SA"/>
        </w:rPr>
        <w:t xml:space="preserve">لاستهلاك أو الادخار - فعندما يكون مستوى الفائدة منخفضاً يكون الدافع </w:t>
      </w:r>
      <w:r>
        <w:rPr>
          <w:rFonts w:asciiTheme="minorBidi" w:hAnsiTheme="minorBidi" w:cs="Arial" w:hint="cs"/>
          <w:rtl/>
          <w:lang w:bidi="ar-SA"/>
        </w:rPr>
        <w:t>نحو ا</w:t>
      </w:r>
      <w:r w:rsidR="007F795C" w:rsidRPr="007F795C">
        <w:rPr>
          <w:rFonts w:asciiTheme="minorBidi" w:hAnsiTheme="minorBidi" w:cs="Arial"/>
          <w:rtl/>
          <w:lang w:bidi="ar-SA"/>
        </w:rPr>
        <w:t>لاستهلاك أك</w:t>
      </w:r>
      <w:r>
        <w:rPr>
          <w:rFonts w:asciiTheme="minorBidi" w:hAnsiTheme="minorBidi" w:cs="Arial" w:hint="cs"/>
          <w:rtl/>
          <w:lang w:bidi="ar-SA"/>
        </w:rPr>
        <w:t>ب</w:t>
      </w:r>
      <w:r w:rsidR="007F795C" w:rsidRPr="007F795C">
        <w:rPr>
          <w:rFonts w:asciiTheme="minorBidi" w:hAnsiTheme="minorBidi" w:cs="Arial"/>
          <w:rtl/>
          <w:lang w:bidi="ar-SA"/>
        </w:rPr>
        <w:t>ر من الادخار</w:t>
      </w:r>
      <w:r w:rsidR="00B43E14">
        <w:rPr>
          <w:rFonts w:asciiTheme="minorBidi" w:hAnsiTheme="minorBidi" w:cs="Arial" w:hint="cs"/>
          <w:rtl/>
          <w:lang w:bidi="ar-SA"/>
        </w:rPr>
        <w:t>،</w:t>
      </w:r>
      <w:r w:rsidR="007F795C" w:rsidRPr="007F795C">
        <w:rPr>
          <w:rFonts w:asciiTheme="minorBidi" w:hAnsiTheme="minorBidi" w:cs="Arial"/>
          <w:rtl/>
          <w:lang w:bidi="ar-SA"/>
        </w:rPr>
        <w:t xml:space="preserve"> والعكس </w:t>
      </w:r>
      <w:r>
        <w:rPr>
          <w:rFonts w:asciiTheme="minorBidi" w:hAnsiTheme="minorBidi" w:cs="Arial" w:hint="cs"/>
          <w:rtl/>
          <w:lang w:bidi="ar-SA"/>
        </w:rPr>
        <w:t xml:space="preserve">صحيح </w:t>
      </w:r>
      <w:r w:rsidR="007F795C" w:rsidRPr="007F795C">
        <w:rPr>
          <w:rFonts w:asciiTheme="minorBidi" w:hAnsiTheme="minorBidi" w:cs="Arial"/>
          <w:rtl/>
          <w:lang w:bidi="ar-SA"/>
        </w:rPr>
        <w:t xml:space="preserve">عندما </w:t>
      </w:r>
      <w:r>
        <w:rPr>
          <w:rFonts w:asciiTheme="minorBidi" w:hAnsiTheme="minorBidi" w:cs="Arial" w:hint="cs"/>
          <w:rtl/>
          <w:lang w:bidi="ar-SA"/>
        </w:rPr>
        <w:t>يكون مستوى الفائدة</w:t>
      </w:r>
      <w:r w:rsidR="007F795C" w:rsidRPr="007F795C">
        <w:rPr>
          <w:rFonts w:asciiTheme="minorBidi" w:hAnsiTheme="minorBidi" w:cs="Arial"/>
          <w:rtl/>
          <w:lang w:bidi="ar-SA"/>
        </w:rPr>
        <w:t xml:space="preserve"> مرتفع</w:t>
      </w:r>
      <w:r>
        <w:rPr>
          <w:rFonts w:asciiTheme="minorBidi" w:hAnsiTheme="minorBidi" w:cs="Arial" w:hint="cs"/>
          <w:rtl/>
          <w:lang w:bidi="ar-SA"/>
        </w:rPr>
        <w:t>اً</w:t>
      </w:r>
      <w:r w:rsidR="007F795C" w:rsidRPr="007F795C">
        <w:rPr>
          <w:rFonts w:asciiTheme="minorBidi" w:hAnsiTheme="minorBidi" w:cs="Arial"/>
          <w:rtl/>
          <w:lang w:bidi="ar-SA"/>
        </w:rPr>
        <w:t>.</w:t>
      </w:r>
      <w:r w:rsidR="00FC46FE" w:rsidRPr="007F795C">
        <w:rPr>
          <w:rFonts w:asciiTheme="minorBidi" w:hAnsiTheme="minorBidi" w:cstheme="minorBidi"/>
          <w:rtl/>
        </w:rPr>
        <w:t xml:space="preserve"> </w:t>
      </w:r>
      <w:r w:rsidRPr="007F795C">
        <w:rPr>
          <w:rFonts w:asciiTheme="minorBidi" w:hAnsiTheme="minorBidi" w:cs="Arial"/>
          <w:rtl/>
          <w:lang w:bidi="ar-SA"/>
        </w:rPr>
        <w:t xml:space="preserve">في العقد الذي سبق أزمة كورونا، كان سعر الفائدة في بنك إسرائيل، وكذلك </w:t>
      </w:r>
      <w:r>
        <w:rPr>
          <w:rFonts w:asciiTheme="minorBidi" w:hAnsiTheme="minorBidi" w:cs="Arial" w:hint="cs"/>
          <w:rtl/>
          <w:lang w:bidi="ar-SA"/>
        </w:rPr>
        <w:t xml:space="preserve">في </w:t>
      </w:r>
      <w:r w:rsidRPr="007F795C">
        <w:rPr>
          <w:rFonts w:asciiTheme="minorBidi" w:hAnsiTheme="minorBidi" w:cs="Arial"/>
          <w:rtl/>
          <w:lang w:bidi="ar-SA"/>
        </w:rPr>
        <w:t xml:space="preserve">البنوك المركزية الكبرى في العالم، عند معدلات منخفضة </w:t>
      </w:r>
      <w:r>
        <w:rPr>
          <w:rFonts w:asciiTheme="minorBidi" w:hAnsiTheme="minorBidi" w:cs="Arial" w:hint="cs"/>
          <w:rtl/>
          <w:lang w:bidi="ar-SA"/>
        </w:rPr>
        <w:t>نسبياً</w:t>
      </w:r>
      <w:r w:rsidR="00FC46FE" w:rsidRPr="007F795C">
        <w:rPr>
          <w:rFonts w:asciiTheme="minorBidi" w:hAnsiTheme="minorBidi" w:cstheme="minorBidi"/>
          <w:rtl/>
        </w:rPr>
        <w:t>.</w:t>
      </w:r>
      <w:r w:rsidR="00FC46FE" w:rsidRPr="007F795C">
        <w:rPr>
          <w:rStyle w:val="FootnoteReference"/>
          <w:rFonts w:asciiTheme="minorBidi" w:hAnsiTheme="minorBidi" w:cstheme="minorBidi"/>
          <w:rtl/>
        </w:rPr>
        <w:footnoteReference w:id="5"/>
      </w:r>
      <w:r w:rsidR="00FC46FE" w:rsidRPr="007F795C">
        <w:rPr>
          <w:rFonts w:asciiTheme="minorBidi" w:hAnsiTheme="minorBidi" w:cstheme="minorBidi"/>
          <w:rtl/>
        </w:rPr>
        <w:t xml:space="preserve"> </w:t>
      </w:r>
      <w:r w:rsidRPr="007F795C">
        <w:rPr>
          <w:rFonts w:asciiTheme="minorBidi" w:hAnsiTheme="minorBidi" w:cs="Arial"/>
          <w:rtl/>
          <w:lang w:bidi="ar-SA"/>
        </w:rPr>
        <w:t xml:space="preserve">ابتداءً من </w:t>
      </w:r>
      <w:r>
        <w:rPr>
          <w:rFonts w:asciiTheme="minorBidi" w:hAnsiTheme="minorBidi" w:cs="Arial" w:hint="cs"/>
          <w:rtl/>
          <w:lang w:bidi="ar-SA"/>
        </w:rPr>
        <w:t>نيسان</w:t>
      </w:r>
      <w:r w:rsidRPr="007F795C">
        <w:rPr>
          <w:rFonts w:asciiTheme="minorBidi" w:hAnsiTheme="minorBidi" w:cs="Arial"/>
          <w:rtl/>
          <w:lang w:bidi="ar-SA"/>
        </w:rPr>
        <w:t xml:space="preserve"> 2022، ونظراً لارتفاع معدل التضخم في إسرائيل وفي العالم</w:t>
      </w:r>
      <w:r>
        <w:rPr>
          <w:rFonts w:asciiTheme="minorBidi" w:hAnsiTheme="minorBidi" w:cs="Arial"/>
          <w:rtl/>
          <w:lang w:bidi="ar-SA"/>
        </w:rPr>
        <w:t xml:space="preserve"> ومن أجل إبقاء التضخم عند هدفه،</w:t>
      </w:r>
      <w:r w:rsidR="00FC46FE" w:rsidRPr="007F795C">
        <w:rPr>
          <w:rStyle w:val="FootnoteReference"/>
          <w:rFonts w:asciiTheme="minorBidi" w:hAnsiTheme="minorBidi" w:cstheme="minorBidi"/>
          <w:rtl/>
        </w:rPr>
        <w:footnoteReference w:id="6"/>
      </w:r>
      <w:r w:rsidR="00FC46FE" w:rsidRPr="007F795C">
        <w:rPr>
          <w:rFonts w:asciiTheme="minorBidi" w:hAnsiTheme="minorBidi" w:cstheme="minorBidi"/>
          <w:rtl/>
        </w:rPr>
        <w:t xml:space="preserve"> </w:t>
      </w:r>
      <w:r w:rsidRPr="007F795C">
        <w:rPr>
          <w:rFonts w:asciiTheme="minorBidi" w:hAnsiTheme="minorBidi" w:cs="Arial"/>
          <w:rtl/>
          <w:lang w:bidi="ar-SA"/>
        </w:rPr>
        <w:t xml:space="preserve">بدأ بنك إسرائيل، على غرار البنوك المركزية في العالم، برفع سعر الفائدة </w:t>
      </w:r>
      <w:r>
        <w:rPr>
          <w:rFonts w:asciiTheme="minorBidi" w:hAnsiTheme="minorBidi" w:cs="Arial" w:hint="cs"/>
          <w:rtl/>
          <w:lang w:bidi="ar-SA"/>
        </w:rPr>
        <w:t>لتصل إلى</w:t>
      </w:r>
      <w:r w:rsidRPr="007F795C">
        <w:rPr>
          <w:rFonts w:asciiTheme="minorBidi" w:hAnsiTheme="minorBidi" w:cs="Arial"/>
          <w:rtl/>
          <w:lang w:bidi="ar-SA"/>
        </w:rPr>
        <w:t xml:space="preserve"> مستوى 4.75% في </w:t>
      </w:r>
      <w:r>
        <w:rPr>
          <w:rFonts w:asciiTheme="minorBidi" w:hAnsiTheme="minorBidi" w:cs="Arial" w:hint="cs"/>
          <w:rtl/>
          <w:lang w:bidi="ar-SA"/>
        </w:rPr>
        <w:t>أيار</w:t>
      </w:r>
      <w:r>
        <w:rPr>
          <w:rFonts w:asciiTheme="minorBidi" w:hAnsiTheme="minorBidi" w:cs="Arial"/>
          <w:rtl/>
          <w:lang w:bidi="ar-SA"/>
        </w:rPr>
        <w:t xml:space="preserve"> 2023</w:t>
      </w:r>
      <w:r w:rsidR="00FC46FE" w:rsidRPr="007F795C">
        <w:rPr>
          <w:rFonts w:asciiTheme="minorBidi" w:hAnsiTheme="minorBidi" w:cstheme="minorBidi"/>
          <w:rtl/>
        </w:rPr>
        <w:t>.</w:t>
      </w:r>
      <w:r w:rsidR="00FC46FE" w:rsidRPr="007F795C">
        <w:rPr>
          <w:rStyle w:val="FootnoteReference"/>
          <w:rFonts w:asciiTheme="minorBidi" w:hAnsiTheme="minorBidi" w:cstheme="minorBidi"/>
          <w:rtl/>
        </w:rPr>
        <w:footnoteReference w:id="7"/>
      </w:r>
      <w:r w:rsidR="00FC46FE" w:rsidRPr="007F795C">
        <w:rPr>
          <w:rFonts w:asciiTheme="minorBidi" w:hAnsiTheme="minorBidi" w:cstheme="minorBidi"/>
          <w:rtl/>
        </w:rPr>
        <w:t xml:space="preserve"> </w:t>
      </w:r>
      <w:r w:rsidR="007F795C" w:rsidRPr="007F795C">
        <w:rPr>
          <w:rFonts w:asciiTheme="minorBidi" w:hAnsiTheme="minorBidi" w:cs="Arial"/>
          <w:rtl/>
          <w:lang w:bidi="ar-SA"/>
        </w:rPr>
        <w:t xml:space="preserve">أدت هذه الزيادة الحادة في سعر الفائدة في بنك إسرائيل إلى زيادة </w:t>
      </w:r>
      <w:r>
        <w:rPr>
          <w:rFonts w:asciiTheme="minorBidi" w:hAnsiTheme="minorBidi" w:cs="Arial" w:hint="cs"/>
          <w:rtl/>
          <w:lang w:bidi="ar-SA"/>
        </w:rPr>
        <w:t>مماثلة</w:t>
      </w:r>
      <w:r w:rsidR="007F795C" w:rsidRPr="007F795C">
        <w:rPr>
          <w:rFonts w:asciiTheme="minorBidi" w:hAnsiTheme="minorBidi" w:cs="Arial"/>
          <w:rtl/>
          <w:lang w:bidi="ar-SA"/>
        </w:rPr>
        <w:t xml:space="preserve"> في سعر الفائدة على الائتمان للجمهور وكذلك إ</w:t>
      </w:r>
      <w:r>
        <w:rPr>
          <w:rFonts w:asciiTheme="minorBidi" w:hAnsiTheme="minorBidi" w:cs="Arial"/>
          <w:rtl/>
          <w:lang w:bidi="ar-SA"/>
        </w:rPr>
        <w:t xml:space="preserve">لى زيادة الفائدة المدفوعة على </w:t>
      </w:r>
      <w:r w:rsidR="007F795C" w:rsidRPr="007F795C">
        <w:rPr>
          <w:rFonts w:asciiTheme="minorBidi" w:hAnsiTheme="minorBidi" w:cs="Arial"/>
          <w:rtl/>
          <w:lang w:bidi="ar-SA"/>
        </w:rPr>
        <w:t xml:space="preserve">ودائع </w:t>
      </w:r>
      <w:r>
        <w:rPr>
          <w:rFonts w:asciiTheme="minorBidi" w:hAnsiTheme="minorBidi" w:cs="Arial" w:hint="cs"/>
          <w:rtl/>
          <w:lang w:bidi="ar-SA"/>
        </w:rPr>
        <w:t>الجمهور</w:t>
      </w:r>
      <w:r w:rsidR="007F795C" w:rsidRPr="007F795C">
        <w:rPr>
          <w:rFonts w:asciiTheme="minorBidi" w:hAnsiTheme="minorBidi" w:cs="Arial"/>
          <w:rtl/>
          <w:lang w:bidi="ar-SA"/>
        </w:rPr>
        <w:t>.</w:t>
      </w:r>
    </w:p>
    <w:p w14:paraId="66C0D0BB" w14:textId="486EEADF" w:rsidR="007224CE" w:rsidRPr="007F795C" w:rsidRDefault="007F795C" w:rsidP="00F27CD1">
      <w:pPr>
        <w:spacing w:after="240"/>
        <w:rPr>
          <w:rFonts w:asciiTheme="minorBidi" w:hAnsiTheme="minorBidi" w:cstheme="minorBidi"/>
        </w:rPr>
      </w:pPr>
      <w:r w:rsidRPr="007F795C">
        <w:rPr>
          <w:rFonts w:asciiTheme="minorBidi" w:hAnsiTheme="minorBidi" w:cs="Arial"/>
          <w:rtl/>
          <w:lang w:bidi="ar-SA"/>
        </w:rPr>
        <w:t xml:space="preserve">البنك هو مؤسسة مالية عملها </w:t>
      </w:r>
      <w:r w:rsidR="00FA1926">
        <w:rPr>
          <w:rFonts w:asciiTheme="minorBidi" w:hAnsiTheme="minorBidi" w:cs="Arial" w:hint="cs"/>
          <w:rtl/>
          <w:lang w:bidi="ar-SA"/>
        </w:rPr>
        <w:t>الأساسي</w:t>
      </w:r>
      <w:r w:rsidRPr="007F795C">
        <w:rPr>
          <w:rFonts w:asciiTheme="minorBidi" w:hAnsiTheme="minorBidi" w:cs="Arial"/>
          <w:rtl/>
          <w:lang w:bidi="ar-SA"/>
        </w:rPr>
        <w:t xml:space="preserve"> هو الوساطة بين أموال المودعين وأموال المقترضين. ومن أجل </w:t>
      </w:r>
      <w:r w:rsidR="00FA1926">
        <w:rPr>
          <w:rFonts w:asciiTheme="minorBidi" w:hAnsiTheme="minorBidi" w:cs="Arial" w:hint="cs"/>
          <w:rtl/>
          <w:lang w:bidi="ar-SA"/>
        </w:rPr>
        <w:t>تنفيذ هذه المهمة</w:t>
      </w:r>
      <w:r w:rsidRPr="007F795C">
        <w:rPr>
          <w:rFonts w:asciiTheme="minorBidi" w:hAnsiTheme="minorBidi" w:cs="Arial"/>
          <w:rtl/>
          <w:lang w:bidi="ar-SA"/>
        </w:rPr>
        <w:t>، يتعين عل</w:t>
      </w:r>
      <w:r w:rsidR="00FA1926">
        <w:rPr>
          <w:rFonts w:asciiTheme="minorBidi" w:hAnsiTheme="minorBidi" w:cs="Arial" w:hint="cs"/>
          <w:rtl/>
          <w:lang w:bidi="ar-SA"/>
        </w:rPr>
        <w:t>ى البنك</w:t>
      </w:r>
      <w:r w:rsidRPr="007F795C">
        <w:rPr>
          <w:rFonts w:asciiTheme="minorBidi" w:hAnsiTheme="minorBidi" w:cs="Arial"/>
          <w:rtl/>
          <w:lang w:bidi="ar-SA"/>
        </w:rPr>
        <w:t xml:space="preserve"> إدارة نظام يمكنه من الاستمرار في تقديم الائتمان </w:t>
      </w:r>
      <w:r w:rsidR="00FA1926">
        <w:rPr>
          <w:rFonts w:asciiTheme="minorBidi" w:hAnsiTheme="minorBidi" w:cs="Arial" w:hint="cs"/>
          <w:rtl/>
          <w:lang w:bidi="ar-SA"/>
        </w:rPr>
        <w:t>لزبائنه من ناحية،</w:t>
      </w:r>
      <w:r w:rsidRPr="007F795C">
        <w:rPr>
          <w:rFonts w:asciiTheme="minorBidi" w:hAnsiTheme="minorBidi" w:cs="Arial"/>
          <w:rtl/>
          <w:lang w:bidi="ar-SA"/>
        </w:rPr>
        <w:t xml:space="preserve"> ومن ناحية أخرى الحفاظ على </w:t>
      </w:r>
      <w:r w:rsidR="00FA1926">
        <w:rPr>
          <w:rFonts w:asciiTheme="minorBidi" w:hAnsiTheme="minorBidi" w:cs="Arial" w:hint="cs"/>
          <w:rtl/>
          <w:lang w:bidi="ar-SA"/>
        </w:rPr>
        <w:t>قدرته</w:t>
      </w:r>
      <w:r w:rsidRPr="007F795C">
        <w:rPr>
          <w:rFonts w:asciiTheme="minorBidi" w:hAnsiTheme="minorBidi" w:cs="Arial"/>
          <w:rtl/>
          <w:lang w:bidi="ar-SA"/>
        </w:rPr>
        <w:t xml:space="preserve"> على الوفاء بالتزاماته تجاه </w:t>
      </w:r>
      <w:r w:rsidR="00FA1926">
        <w:rPr>
          <w:rFonts w:asciiTheme="minorBidi" w:hAnsiTheme="minorBidi" w:cs="Arial" w:hint="cs"/>
          <w:rtl/>
          <w:lang w:bidi="ar-SA"/>
        </w:rPr>
        <w:t>زبائنه</w:t>
      </w:r>
      <w:r w:rsidRPr="007F795C">
        <w:rPr>
          <w:rFonts w:asciiTheme="minorBidi" w:hAnsiTheme="minorBidi" w:cs="Arial"/>
          <w:rtl/>
          <w:lang w:bidi="ar-SA"/>
        </w:rPr>
        <w:t>.</w:t>
      </w:r>
      <w:r w:rsidR="00F27CD1">
        <w:rPr>
          <w:rFonts w:asciiTheme="minorBidi" w:hAnsiTheme="minorBidi" w:cs="Arial"/>
          <w:rtl/>
          <w:lang w:bidi="ar-SA"/>
        </w:rPr>
        <w:t xml:space="preserve"> تتم إدارة هذا النظام من خلال </w:t>
      </w:r>
      <w:r w:rsidRPr="007F795C">
        <w:rPr>
          <w:rFonts w:asciiTheme="minorBidi" w:hAnsiTheme="minorBidi" w:cs="Arial"/>
          <w:rtl/>
          <w:lang w:bidi="ar-SA"/>
        </w:rPr>
        <w:t xml:space="preserve">أقسام </w:t>
      </w:r>
      <w:r w:rsidR="00F27CD1" w:rsidRPr="007F795C">
        <w:rPr>
          <w:rFonts w:asciiTheme="minorBidi" w:hAnsiTheme="minorBidi" w:cs="Arial"/>
          <w:rtl/>
          <w:lang w:bidi="ar-SA"/>
        </w:rPr>
        <w:t xml:space="preserve">إدارة الأصول </w:t>
      </w:r>
      <w:r w:rsidR="00F27CD1">
        <w:rPr>
          <w:rFonts w:asciiTheme="minorBidi" w:hAnsiTheme="minorBidi" w:cs="Arial" w:hint="cs"/>
          <w:rtl/>
          <w:lang w:bidi="ar-SA"/>
        </w:rPr>
        <w:t>والالتزامات</w:t>
      </w:r>
      <w:r w:rsidR="00F27CD1" w:rsidRPr="007F795C">
        <w:rPr>
          <w:rFonts w:asciiTheme="minorBidi" w:hAnsiTheme="minorBidi" w:cs="Arial"/>
          <w:rtl/>
          <w:lang w:bidi="ar-SA"/>
        </w:rPr>
        <w:t xml:space="preserve"> </w:t>
      </w:r>
      <w:r w:rsidR="00F27CD1">
        <w:rPr>
          <w:rFonts w:asciiTheme="minorBidi" w:hAnsiTheme="minorBidi" w:cs="Arial"/>
          <w:rtl/>
          <w:lang w:bidi="ar-SA"/>
        </w:rPr>
        <w:t>في البنوك</w:t>
      </w:r>
      <w:r w:rsidRPr="007F795C">
        <w:rPr>
          <w:rFonts w:asciiTheme="minorBidi" w:hAnsiTheme="minorBidi" w:cs="Arial"/>
          <w:rtl/>
          <w:lang w:bidi="ar-SA"/>
        </w:rPr>
        <w:t xml:space="preserve">، والتي يتضمن </w:t>
      </w:r>
      <w:r w:rsidR="00F27CD1">
        <w:rPr>
          <w:rFonts w:asciiTheme="minorBidi" w:hAnsiTheme="minorBidi" w:cs="Arial" w:hint="cs"/>
          <w:rtl/>
          <w:lang w:bidi="ar-SA"/>
        </w:rPr>
        <w:t>عملها</w:t>
      </w:r>
      <w:r w:rsidRPr="007F795C">
        <w:rPr>
          <w:rFonts w:asciiTheme="minorBidi" w:hAnsiTheme="minorBidi" w:cs="Arial"/>
          <w:rtl/>
          <w:lang w:bidi="ar-SA"/>
        </w:rPr>
        <w:t xml:space="preserve"> التعديل المستمر لمزيج أصول البنك مع التزاماته (أو إدارة الفجوة بينهما)، سواء من حيث سيولتها ومن حيث تكيفها مع التغيرات غير المتوقعة في أسعار الفائدة وأسعار الصرف والتضخم.</w:t>
      </w:r>
      <w:r w:rsidR="00434B6D" w:rsidRPr="007F795C">
        <w:rPr>
          <w:rFonts w:asciiTheme="minorBidi" w:hAnsiTheme="minorBidi" w:cstheme="minorBidi"/>
          <w:rtl/>
        </w:rPr>
        <w:t xml:space="preserve"> </w:t>
      </w:r>
      <w:r w:rsidRPr="007F795C">
        <w:rPr>
          <w:rFonts w:asciiTheme="minorBidi" w:hAnsiTheme="minorBidi" w:cs="Arial"/>
          <w:rtl/>
          <w:lang w:bidi="ar-SA"/>
        </w:rPr>
        <w:t xml:space="preserve">تدير </w:t>
      </w:r>
      <w:r w:rsidR="00F27CD1" w:rsidRPr="007F795C">
        <w:rPr>
          <w:rFonts w:asciiTheme="minorBidi" w:hAnsiTheme="minorBidi" w:cs="Arial"/>
          <w:rtl/>
          <w:lang w:bidi="ar-SA"/>
        </w:rPr>
        <w:t xml:space="preserve">أقسام إدارة الأصول </w:t>
      </w:r>
      <w:r w:rsidR="00F27CD1">
        <w:rPr>
          <w:rFonts w:asciiTheme="minorBidi" w:hAnsiTheme="minorBidi" w:cs="Arial" w:hint="cs"/>
          <w:rtl/>
          <w:lang w:bidi="ar-SA"/>
        </w:rPr>
        <w:t>والالتزامات</w:t>
      </w:r>
      <w:r w:rsidR="00F27CD1" w:rsidRPr="007F795C">
        <w:rPr>
          <w:rFonts w:asciiTheme="minorBidi" w:hAnsiTheme="minorBidi" w:cs="Arial"/>
          <w:rtl/>
          <w:lang w:bidi="ar-SA"/>
        </w:rPr>
        <w:t xml:space="preserve"> </w:t>
      </w:r>
      <w:r w:rsidRPr="007F795C">
        <w:rPr>
          <w:rFonts w:asciiTheme="minorBidi" w:hAnsiTheme="minorBidi" w:cs="Arial"/>
          <w:rtl/>
          <w:lang w:bidi="ar-SA"/>
        </w:rPr>
        <w:t xml:space="preserve">في البنوك هذا النشاط من خلال تسعير الودائع وتسعير الائتمان. </w:t>
      </w:r>
      <w:r w:rsidR="00F27CD1">
        <w:rPr>
          <w:rFonts w:asciiTheme="minorBidi" w:hAnsiTheme="minorBidi" w:cs="Arial" w:hint="cs"/>
          <w:rtl/>
          <w:lang w:bidi="ar-SA"/>
        </w:rPr>
        <w:t>يشار إلى</w:t>
      </w:r>
      <w:r w:rsidR="00F27CD1">
        <w:rPr>
          <w:rFonts w:asciiTheme="minorBidi" w:hAnsiTheme="minorBidi" w:cs="Arial"/>
          <w:rtl/>
          <w:lang w:bidi="ar-SA"/>
        </w:rPr>
        <w:t xml:space="preserve"> أن </w:t>
      </w:r>
      <w:r w:rsidRPr="007F795C">
        <w:rPr>
          <w:rFonts w:asciiTheme="minorBidi" w:hAnsiTheme="minorBidi" w:cs="Arial"/>
          <w:rtl/>
          <w:lang w:bidi="ar-SA"/>
        </w:rPr>
        <w:t xml:space="preserve">ودائع </w:t>
      </w:r>
      <w:r w:rsidR="00F27CD1">
        <w:rPr>
          <w:rFonts w:asciiTheme="minorBidi" w:hAnsiTheme="minorBidi" w:cs="Arial" w:hint="cs"/>
          <w:rtl/>
          <w:lang w:bidi="ar-SA"/>
        </w:rPr>
        <w:t>الجمهور</w:t>
      </w:r>
      <w:r w:rsidRPr="007F795C">
        <w:rPr>
          <w:rFonts w:asciiTheme="minorBidi" w:hAnsiTheme="minorBidi" w:cs="Arial"/>
          <w:rtl/>
          <w:lang w:bidi="ar-SA"/>
        </w:rPr>
        <w:t xml:space="preserve"> في إسرائيل تشكل المصدر الرئيسي لتمويل الجهاز المصرفي.</w:t>
      </w:r>
    </w:p>
    <w:p w14:paraId="0E14831C" w14:textId="1B290E7A" w:rsidR="009952AD" w:rsidRPr="007F795C" w:rsidRDefault="00F27CD1" w:rsidP="00701E34">
      <w:pPr>
        <w:spacing w:before="240" w:after="240"/>
        <w:rPr>
          <w:rFonts w:asciiTheme="minorBidi" w:hAnsiTheme="minorBidi" w:cstheme="minorBidi"/>
          <w:rtl/>
        </w:rPr>
      </w:pPr>
      <w:r>
        <w:rPr>
          <w:rFonts w:asciiTheme="minorBidi" w:hAnsiTheme="minorBidi" w:cs="Arial" w:hint="cs"/>
          <w:rtl/>
          <w:lang w:bidi="ar-SA"/>
        </w:rPr>
        <w:t>يأخذ</w:t>
      </w:r>
      <w:r w:rsidR="007F795C" w:rsidRPr="007F795C">
        <w:rPr>
          <w:rFonts w:asciiTheme="minorBidi" w:hAnsiTheme="minorBidi" w:cs="Arial"/>
          <w:rtl/>
          <w:lang w:bidi="ar-SA"/>
        </w:rPr>
        <w:t xml:space="preserve"> النظام المصرفي عدة اعتبارات في طريقة إدارة هذه المصادر، في مقدمتها مخاطر السيولة لدى البنك. يعكس مستوى سيولة البنك قدرة البنك على تمويل زيادة أصوله، مع الوفاء بسداد التزاماته في </w:t>
      </w:r>
      <w:r>
        <w:rPr>
          <w:rFonts w:asciiTheme="minorBidi" w:hAnsiTheme="minorBidi" w:cs="Arial" w:hint="cs"/>
          <w:rtl/>
          <w:lang w:bidi="ar-SA"/>
        </w:rPr>
        <w:t>موعد</w:t>
      </w:r>
      <w:r w:rsidR="007F795C" w:rsidRPr="007F795C">
        <w:rPr>
          <w:rFonts w:asciiTheme="minorBidi" w:hAnsiTheme="minorBidi" w:cs="Arial"/>
          <w:rtl/>
          <w:lang w:bidi="ar-SA"/>
        </w:rPr>
        <w:t xml:space="preserve"> استحقاقها، دون تكبد خسائر </w:t>
      </w:r>
      <w:r>
        <w:rPr>
          <w:rFonts w:asciiTheme="minorBidi" w:hAnsiTheme="minorBidi" w:cs="Arial" w:hint="cs"/>
          <w:rtl/>
          <w:lang w:bidi="ar-SA"/>
        </w:rPr>
        <w:t>استثنائية</w:t>
      </w:r>
      <w:r w:rsidR="007F795C" w:rsidRPr="007F795C">
        <w:rPr>
          <w:rFonts w:asciiTheme="minorBidi" w:hAnsiTheme="minorBidi" w:cs="Arial"/>
          <w:rtl/>
          <w:lang w:bidi="ar-SA"/>
        </w:rPr>
        <w:t xml:space="preserve">. أدت الأزمة المالية العالمية في عام 2008 إلى زيادة الوعي بأهمية إدارة مخاطر السيولة </w:t>
      </w:r>
      <w:r>
        <w:rPr>
          <w:rFonts w:asciiTheme="minorBidi" w:hAnsiTheme="minorBidi" w:cs="Arial" w:hint="cs"/>
          <w:rtl/>
          <w:lang w:bidi="ar-SA"/>
        </w:rPr>
        <w:t>والتي صارت</w:t>
      </w:r>
      <w:r w:rsidR="007F795C" w:rsidRPr="007F795C">
        <w:rPr>
          <w:rFonts w:asciiTheme="minorBidi" w:hAnsiTheme="minorBidi" w:cs="Arial"/>
          <w:rtl/>
          <w:lang w:bidi="ar-SA"/>
        </w:rPr>
        <w:t xml:space="preserve"> تحظى باهتمام كبير في جميع أنحاء العالم (خاصة في بيئة أسعار الفائدة المرتفعة، </w:t>
      </w:r>
      <w:r>
        <w:rPr>
          <w:rFonts w:asciiTheme="minorBidi" w:hAnsiTheme="minorBidi" w:cs="Arial" w:hint="cs"/>
          <w:rtl/>
          <w:lang w:bidi="ar-SA"/>
        </w:rPr>
        <w:t>بعد</w:t>
      </w:r>
      <w:r>
        <w:rPr>
          <w:rFonts w:asciiTheme="minorBidi" w:hAnsiTheme="minorBidi" w:cs="Arial"/>
          <w:rtl/>
          <w:lang w:bidi="ar-SA"/>
        </w:rPr>
        <w:t xml:space="preserve"> إفلاس بنوك </w:t>
      </w:r>
      <w:r w:rsidR="007F795C" w:rsidRPr="007F795C">
        <w:rPr>
          <w:rFonts w:asciiTheme="minorBidi" w:hAnsiTheme="minorBidi" w:cs="Arial"/>
          <w:rtl/>
          <w:lang w:bidi="ar-SA"/>
        </w:rPr>
        <w:t xml:space="preserve">عالمية في بداية عام 2023؛ لمزيد من التفاصيل، انظر </w:t>
      </w:r>
      <w:r>
        <w:rPr>
          <w:rFonts w:asciiTheme="minorBidi" w:hAnsiTheme="minorBidi" w:cs="Arial" w:hint="cs"/>
          <w:rtl/>
          <w:lang w:bidi="ar-SA"/>
        </w:rPr>
        <w:t>الفصل هـ 2</w:t>
      </w:r>
      <w:r w:rsidR="007F795C" w:rsidRPr="007F795C">
        <w:rPr>
          <w:rFonts w:asciiTheme="minorBidi" w:hAnsiTheme="minorBidi" w:cs="Arial"/>
          <w:rtl/>
          <w:lang w:bidi="ar-SA"/>
        </w:rPr>
        <w:t xml:space="preserve"> في هذ</w:t>
      </w:r>
      <w:r>
        <w:rPr>
          <w:rFonts w:asciiTheme="minorBidi" w:hAnsiTheme="minorBidi" w:cs="Arial" w:hint="cs"/>
          <w:rtl/>
          <w:lang w:bidi="ar-SA"/>
        </w:rPr>
        <w:t>ا</w:t>
      </w:r>
      <w:r w:rsidR="007F795C" w:rsidRPr="007F795C">
        <w:rPr>
          <w:rFonts w:asciiTheme="minorBidi" w:hAnsiTheme="minorBidi" w:cs="Arial"/>
          <w:rtl/>
          <w:lang w:bidi="ar-SA"/>
        </w:rPr>
        <w:t xml:space="preserve"> </w:t>
      </w:r>
      <w:r>
        <w:rPr>
          <w:rFonts w:asciiTheme="minorBidi" w:hAnsiTheme="minorBidi" w:cs="Arial" w:hint="cs"/>
          <w:rtl/>
          <w:lang w:bidi="ar-SA"/>
        </w:rPr>
        <w:t>التقرير</w:t>
      </w:r>
      <w:r w:rsidR="007F795C" w:rsidRPr="007F795C">
        <w:rPr>
          <w:rFonts w:asciiTheme="minorBidi" w:hAnsiTheme="minorBidi" w:cs="Arial"/>
          <w:rtl/>
          <w:lang w:bidi="ar-SA"/>
        </w:rPr>
        <w:t>).</w:t>
      </w:r>
      <w:r w:rsidR="007F795C">
        <w:rPr>
          <w:rFonts w:asciiTheme="minorBidi" w:hAnsiTheme="minorBidi" w:cs="Arial" w:hint="cs"/>
          <w:rtl/>
          <w:lang w:bidi="ar-SA"/>
        </w:rPr>
        <w:t xml:space="preserve"> </w:t>
      </w:r>
      <w:r w:rsidRPr="007F795C">
        <w:rPr>
          <w:rFonts w:asciiTheme="minorBidi" w:hAnsiTheme="minorBidi" w:cs="Arial"/>
          <w:rtl/>
          <w:lang w:bidi="ar-SA"/>
        </w:rPr>
        <w:t>كجزء من إدارة مخاطر السيولة، يتعين على البنوك تحقيق نسبة تغطية سيولة (</w:t>
      </w:r>
      <w:r w:rsidRPr="007F795C">
        <w:rPr>
          <w:rFonts w:asciiTheme="minorBidi" w:hAnsiTheme="minorBidi" w:cstheme="minorBidi"/>
        </w:rPr>
        <w:t>LCR</w:t>
      </w:r>
      <w:r>
        <w:rPr>
          <w:rFonts w:asciiTheme="minorBidi" w:hAnsiTheme="minorBidi" w:cs="Arial"/>
          <w:rtl/>
          <w:lang w:bidi="ar-SA"/>
        </w:rPr>
        <w:t>)</w:t>
      </w:r>
      <w:r w:rsidR="000C6C72" w:rsidRPr="007F795C">
        <w:rPr>
          <w:rStyle w:val="FootnoteReference"/>
          <w:rFonts w:asciiTheme="minorBidi" w:hAnsiTheme="minorBidi" w:cstheme="minorBidi"/>
          <w:rtl/>
        </w:rPr>
        <w:footnoteReference w:id="8"/>
      </w:r>
      <w:r w:rsidR="000C6C72" w:rsidRPr="007F795C">
        <w:rPr>
          <w:rFonts w:asciiTheme="minorBidi" w:hAnsiTheme="minorBidi" w:cstheme="minorBidi"/>
          <w:rtl/>
        </w:rPr>
        <w:t xml:space="preserve"> </w:t>
      </w:r>
      <w:r w:rsidR="007F795C" w:rsidRPr="007F795C">
        <w:rPr>
          <w:rFonts w:asciiTheme="minorBidi" w:hAnsiTheme="minorBidi" w:cs="Arial"/>
          <w:rtl/>
          <w:lang w:bidi="ar-SA"/>
        </w:rPr>
        <w:t xml:space="preserve">أعلى من 100%، وذلك بهدف تحسين </w:t>
      </w:r>
      <w:r>
        <w:rPr>
          <w:rFonts w:asciiTheme="minorBidi" w:hAnsiTheme="minorBidi" w:cs="Arial" w:hint="cs"/>
          <w:rtl/>
          <w:lang w:bidi="ar-SA"/>
        </w:rPr>
        <w:t>قوة</w:t>
      </w:r>
      <w:r w:rsidR="007F795C" w:rsidRPr="007F795C">
        <w:rPr>
          <w:rFonts w:asciiTheme="minorBidi" w:hAnsiTheme="minorBidi" w:cs="Arial"/>
          <w:rtl/>
          <w:lang w:bidi="ar-SA"/>
        </w:rPr>
        <w:t xml:space="preserve"> سيولة البنك على المدى القصير (لمزيد من التفاصيل، راجع الفصل </w:t>
      </w:r>
      <w:r>
        <w:rPr>
          <w:rFonts w:asciiTheme="minorBidi" w:hAnsiTheme="minorBidi" w:cs="Arial" w:hint="cs"/>
          <w:rtl/>
          <w:lang w:bidi="ar-SA"/>
        </w:rPr>
        <w:t xml:space="preserve">هـ3 </w:t>
      </w:r>
      <w:r w:rsidR="007F795C" w:rsidRPr="007F795C">
        <w:rPr>
          <w:rFonts w:asciiTheme="minorBidi" w:hAnsiTheme="minorBidi" w:cs="Arial"/>
          <w:rtl/>
          <w:lang w:bidi="ar-SA"/>
        </w:rPr>
        <w:t>من هذ</w:t>
      </w:r>
      <w:r>
        <w:rPr>
          <w:rFonts w:asciiTheme="minorBidi" w:hAnsiTheme="minorBidi" w:cs="Arial" w:hint="cs"/>
          <w:rtl/>
          <w:lang w:bidi="ar-SA"/>
        </w:rPr>
        <w:t>ا</w:t>
      </w:r>
      <w:r w:rsidR="007F795C" w:rsidRPr="007F795C">
        <w:rPr>
          <w:rFonts w:asciiTheme="minorBidi" w:hAnsiTheme="minorBidi" w:cs="Arial"/>
          <w:rtl/>
          <w:lang w:bidi="ar-SA"/>
        </w:rPr>
        <w:t xml:space="preserve"> </w:t>
      </w:r>
      <w:r>
        <w:rPr>
          <w:rFonts w:asciiTheme="minorBidi" w:hAnsiTheme="minorBidi" w:cs="Arial" w:hint="cs"/>
          <w:rtl/>
          <w:lang w:bidi="ar-SA"/>
        </w:rPr>
        <w:t>التقرير</w:t>
      </w:r>
      <w:r w:rsidR="007F795C" w:rsidRPr="007F795C">
        <w:rPr>
          <w:rFonts w:asciiTheme="minorBidi" w:hAnsiTheme="minorBidi" w:cs="Arial"/>
          <w:rtl/>
          <w:lang w:bidi="ar-SA"/>
        </w:rPr>
        <w:t xml:space="preserve">). </w:t>
      </w:r>
      <w:r>
        <w:rPr>
          <w:rFonts w:asciiTheme="minorBidi" w:hAnsiTheme="minorBidi" w:cs="Arial" w:hint="cs"/>
          <w:rtl/>
          <w:lang w:bidi="ar-SA"/>
        </w:rPr>
        <w:t>تتراجع</w:t>
      </w:r>
      <w:r w:rsidR="007F795C" w:rsidRPr="007F795C">
        <w:rPr>
          <w:rFonts w:asciiTheme="minorBidi" w:hAnsiTheme="minorBidi" w:cs="Arial"/>
          <w:rtl/>
          <w:lang w:bidi="ar-SA"/>
        </w:rPr>
        <w:t xml:space="preserve"> نسبة تغطية السيولة </w:t>
      </w:r>
      <w:r>
        <w:rPr>
          <w:rFonts w:asciiTheme="minorBidi" w:hAnsiTheme="minorBidi" w:cs="Arial" w:hint="cs"/>
          <w:rtl/>
          <w:lang w:bidi="ar-SA"/>
        </w:rPr>
        <w:t>كلما كانت</w:t>
      </w:r>
      <w:r w:rsidR="007F795C" w:rsidRPr="007F795C">
        <w:rPr>
          <w:rFonts w:asciiTheme="minorBidi" w:hAnsiTheme="minorBidi" w:cs="Arial"/>
          <w:rtl/>
          <w:lang w:bidi="ar-SA"/>
        </w:rPr>
        <w:t xml:space="preserve"> لدى البنك التزامات أقل استقرارا</w:t>
      </w:r>
      <w:r>
        <w:rPr>
          <w:rFonts w:asciiTheme="minorBidi" w:hAnsiTheme="minorBidi" w:cs="Arial" w:hint="cs"/>
          <w:rtl/>
          <w:lang w:bidi="ar-SA"/>
        </w:rPr>
        <w:t>ً</w:t>
      </w:r>
      <w:r w:rsidR="007F795C" w:rsidRPr="007F795C">
        <w:rPr>
          <w:rFonts w:asciiTheme="minorBidi" w:hAnsiTheme="minorBidi" w:cs="Arial"/>
          <w:rtl/>
          <w:lang w:bidi="ar-SA"/>
        </w:rPr>
        <w:t xml:space="preserve">. فيما يتعلق بطبيعة الودائع الموجودة في البنك، </w:t>
      </w:r>
      <w:r>
        <w:rPr>
          <w:rFonts w:asciiTheme="minorBidi" w:hAnsiTheme="minorBidi" w:cs="Arial" w:hint="cs"/>
          <w:rtl/>
          <w:lang w:bidi="ar-SA"/>
        </w:rPr>
        <w:lastRenderedPageBreak/>
        <w:t>نشير إلى</w:t>
      </w:r>
      <w:r w:rsidR="007F795C" w:rsidRPr="007F795C">
        <w:rPr>
          <w:rFonts w:asciiTheme="minorBidi" w:hAnsiTheme="minorBidi" w:cs="Arial"/>
          <w:rtl/>
          <w:lang w:bidi="ar-SA"/>
        </w:rPr>
        <w:t xml:space="preserve"> أن الودائع طويلة الأجل تعتبر أكثر استقرارا</w:t>
      </w:r>
      <w:r>
        <w:rPr>
          <w:rFonts w:asciiTheme="minorBidi" w:hAnsiTheme="minorBidi" w:cs="Arial" w:hint="cs"/>
          <w:rtl/>
          <w:lang w:bidi="ar-SA"/>
        </w:rPr>
        <w:t>ً</w:t>
      </w:r>
      <w:r w:rsidR="007F795C" w:rsidRPr="007F795C">
        <w:rPr>
          <w:rFonts w:asciiTheme="minorBidi" w:hAnsiTheme="minorBidi" w:cs="Arial"/>
          <w:rtl/>
          <w:lang w:bidi="ar-SA"/>
        </w:rPr>
        <w:t xml:space="preserve"> من الودائع قصيرة الأجل</w:t>
      </w:r>
      <w:r>
        <w:rPr>
          <w:rFonts w:asciiTheme="minorBidi" w:hAnsiTheme="minorBidi" w:cs="Arial" w:hint="cs"/>
          <w:rtl/>
          <w:lang w:bidi="ar-SA"/>
        </w:rPr>
        <w:t>،</w:t>
      </w:r>
      <w:r w:rsidR="007F795C" w:rsidRPr="007F795C">
        <w:rPr>
          <w:rFonts w:asciiTheme="minorBidi" w:hAnsiTheme="minorBidi" w:cs="Arial"/>
          <w:rtl/>
          <w:lang w:bidi="ar-SA"/>
        </w:rPr>
        <w:t xml:space="preserve"> </w:t>
      </w:r>
      <w:r>
        <w:rPr>
          <w:rFonts w:asciiTheme="minorBidi" w:hAnsiTheme="minorBidi" w:cs="Arial" w:hint="cs"/>
          <w:rtl/>
          <w:lang w:bidi="ar-SA"/>
        </w:rPr>
        <w:t>كما</w:t>
      </w:r>
      <w:r w:rsidR="007F795C" w:rsidRPr="007F795C">
        <w:rPr>
          <w:rFonts w:asciiTheme="minorBidi" w:hAnsiTheme="minorBidi" w:cs="Arial"/>
          <w:rtl/>
          <w:lang w:bidi="ar-SA"/>
        </w:rPr>
        <w:t xml:space="preserve"> تعتبر ودائع </w:t>
      </w:r>
      <w:r w:rsidR="00701E34">
        <w:rPr>
          <w:rFonts w:asciiTheme="minorBidi" w:hAnsiTheme="minorBidi" w:cs="Arial" w:hint="cs"/>
          <w:rtl/>
          <w:lang w:bidi="ar-SA"/>
        </w:rPr>
        <w:t>التجزئة</w:t>
      </w:r>
      <w:r w:rsidR="007F795C" w:rsidRPr="007F795C">
        <w:rPr>
          <w:rFonts w:asciiTheme="minorBidi" w:hAnsiTheme="minorBidi" w:cs="Arial"/>
          <w:rtl/>
          <w:lang w:bidi="ar-SA"/>
        </w:rPr>
        <w:t xml:space="preserve"> </w:t>
      </w:r>
      <w:r w:rsidR="00701E34">
        <w:rPr>
          <w:rFonts w:asciiTheme="minorBidi" w:hAnsiTheme="minorBidi" w:cs="Arial" w:hint="cs"/>
          <w:rtl/>
          <w:lang w:bidi="ar-SA"/>
        </w:rPr>
        <w:t>والمصالح التجارية</w:t>
      </w:r>
      <w:r w:rsidR="007F795C" w:rsidRPr="007F795C">
        <w:rPr>
          <w:rFonts w:asciiTheme="minorBidi" w:hAnsiTheme="minorBidi" w:cs="Arial"/>
          <w:rtl/>
          <w:lang w:bidi="ar-SA"/>
        </w:rPr>
        <w:t xml:space="preserve"> الصغيرة</w:t>
      </w:r>
      <w:r>
        <w:rPr>
          <w:rFonts w:asciiTheme="minorBidi" w:hAnsiTheme="minorBidi" w:cs="Arial" w:hint="cs"/>
          <w:rtl/>
          <w:lang w:bidi="ar-SA"/>
        </w:rPr>
        <w:t xml:space="preserve"> بشكل عام</w:t>
      </w:r>
      <w:r w:rsidR="007F795C" w:rsidRPr="007F795C">
        <w:rPr>
          <w:rFonts w:asciiTheme="minorBidi" w:hAnsiTheme="minorBidi" w:cs="Arial"/>
          <w:rtl/>
          <w:lang w:bidi="ar-SA"/>
        </w:rPr>
        <w:t xml:space="preserve"> أكثر استقرارا من ودائع الجملة </w:t>
      </w:r>
      <w:r w:rsidR="00701E34">
        <w:rPr>
          <w:rFonts w:asciiTheme="minorBidi" w:hAnsiTheme="minorBidi" w:cs="Arial" w:hint="cs"/>
          <w:rtl/>
          <w:lang w:bidi="ar-SA"/>
        </w:rPr>
        <w:t>و</w:t>
      </w:r>
      <w:r w:rsidR="00701E34">
        <w:rPr>
          <w:rFonts w:asciiTheme="minorBidi" w:hAnsiTheme="minorBidi" w:cs="Arial"/>
          <w:rtl/>
          <w:lang w:bidi="ar-SA"/>
        </w:rPr>
        <w:t>الودائع الأكبر حجم</w:t>
      </w:r>
      <w:r w:rsidR="00701E34">
        <w:rPr>
          <w:rFonts w:asciiTheme="minorBidi" w:hAnsiTheme="minorBidi" w:cs="Arial" w:hint="cs"/>
          <w:rtl/>
          <w:lang w:bidi="ar-SA"/>
        </w:rPr>
        <w:t>اً والتي تعتبر</w:t>
      </w:r>
      <w:r w:rsidR="00701E34">
        <w:rPr>
          <w:rFonts w:asciiTheme="minorBidi" w:hAnsiTheme="minorBidi" w:cs="Arial"/>
          <w:rtl/>
          <w:lang w:bidi="ar-SA"/>
        </w:rPr>
        <w:t xml:space="preserve"> أقل استقرار</w:t>
      </w:r>
      <w:r w:rsidR="00701E34">
        <w:rPr>
          <w:rFonts w:asciiTheme="minorBidi" w:hAnsiTheme="minorBidi" w:cs="Arial" w:hint="cs"/>
          <w:rtl/>
          <w:lang w:bidi="ar-SA"/>
        </w:rPr>
        <w:t>اً</w:t>
      </w:r>
      <w:r w:rsidR="007F795C" w:rsidRPr="007F795C">
        <w:rPr>
          <w:rFonts w:asciiTheme="minorBidi" w:hAnsiTheme="minorBidi" w:cs="Arial"/>
          <w:rtl/>
          <w:lang w:bidi="ar-SA"/>
        </w:rPr>
        <w:t>.</w:t>
      </w:r>
      <w:r w:rsidR="002B3567" w:rsidRPr="007F795C">
        <w:rPr>
          <w:rFonts w:asciiTheme="minorBidi" w:hAnsiTheme="minorBidi" w:cstheme="minorBidi"/>
          <w:rtl/>
        </w:rPr>
        <w:t xml:space="preserve"> </w:t>
      </w:r>
      <w:r w:rsidR="007F795C" w:rsidRPr="007F795C">
        <w:rPr>
          <w:rFonts w:asciiTheme="minorBidi" w:hAnsiTheme="minorBidi" w:cs="Arial"/>
          <w:rtl/>
          <w:lang w:bidi="ar-SA"/>
        </w:rPr>
        <w:t xml:space="preserve">منذ عام 2008، اتسمت </w:t>
      </w:r>
      <w:r w:rsidR="00701E34">
        <w:rPr>
          <w:rFonts w:asciiTheme="minorBidi" w:hAnsiTheme="minorBidi" w:cs="Arial" w:hint="cs"/>
          <w:rtl/>
          <w:lang w:bidi="ar-SA"/>
        </w:rPr>
        <w:t>الانظمة</w:t>
      </w:r>
      <w:r w:rsidR="00701E34">
        <w:rPr>
          <w:rFonts w:asciiTheme="minorBidi" w:hAnsiTheme="minorBidi" w:cs="Arial"/>
          <w:rtl/>
          <w:lang w:bidi="ar-SA"/>
        </w:rPr>
        <w:t xml:space="preserve"> المصرفية في إسرائيل والعالم بفائض سيولة عالي</w:t>
      </w:r>
      <w:r w:rsidR="007F795C" w:rsidRPr="007F795C">
        <w:rPr>
          <w:rFonts w:asciiTheme="minorBidi" w:hAnsiTheme="minorBidi" w:cs="Arial"/>
          <w:rtl/>
          <w:lang w:bidi="ar-SA"/>
        </w:rPr>
        <w:t xml:space="preserve"> في أعقاب الأزمة المالية العالمية وتنفيذ </w:t>
      </w:r>
      <w:r w:rsidR="00701E34">
        <w:rPr>
          <w:rFonts w:asciiTheme="minorBidi" w:hAnsiTheme="minorBidi" w:cs="Arial" w:hint="cs"/>
          <w:rtl/>
          <w:lang w:bidi="ar-SA"/>
        </w:rPr>
        <w:t>توجيهات</w:t>
      </w:r>
      <w:r w:rsidR="007F795C" w:rsidRPr="007F795C">
        <w:rPr>
          <w:rFonts w:asciiTheme="minorBidi" w:hAnsiTheme="minorBidi" w:cs="Arial"/>
          <w:rtl/>
          <w:lang w:bidi="ar-SA"/>
        </w:rPr>
        <w:t xml:space="preserve"> لجنة بازل (الحفاظ على نسبة تغطية السيولة). </w:t>
      </w:r>
      <w:r w:rsidR="00701E34">
        <w:rPr>
          <w:rFonts w:asciiTheme="minorBidi" w:hAnsiTheme="minorBidi" w:cs="Arial" w:hint="cs"/>
          <w:rtl/>
          <w:lang w:bidi="ar-SA"/>
        </w:rPr>
        <w:t>اشتد</w:t>
      </w:r>
      <w:r w:rsidR="007F795C" w:rsidRPr="007F795C">
        <w:rPr>
          <w:rFonts w:asciiTheme="minorBidi" w:hAnsiTheme="minorBidi" w:cs="Arial"/>
          <w:rtl/>
          <w:lang w:bidi="ar-SA"/>
        </w:rPr>
        <w:t xml:space="preserve"> هذا الاتجاه أكثر بعد التوسعات المالية والكمية التي نفذتها الحكومات والبنوك المركزية حول العالم في محاولة للتعامل مع أزمة كورونا</w:t>
      </w:r>
      <w:r w:rsidR="00701E34">
        <w:rPr>
          <w:rFonts w:asciiTheme="minorBidi" w:hAnsiTheme="minorBidi" w:cs="Arial"/>
          <w:rtl/>
          <w:lang w:bidi="ar-SA"/>
        </w:rPr>
        <w:t xml:space="preserve">. وأدت هذه التوسعات إلى زيادة </w:t>
      </w:r>
      <w:r w:rsidR="007F795C" w:rsidRPr="007F795C">
        <w:rPr>
          <w:rFonts w:asciiTheme="minorBidi" w:hAnsiTheme="minorBidi" w:cs="Arial"/>
          <w:rtl/>
          <w:lang w:bidi="ar-SA"/>
        </w:rPr>
        <w:t xml:space="preserve">ودائع </w:t>
      </w:r>
      <w:r w:rsidR="00701E34">
        <w:rPr>
          <w:rFonts w:asciiTheme="minorBidi" w:hAnsiTheme="minorBidi" w:cs="Arial" w:hint="cs"/>
          <w:rtl/>
          <w:lang w:bidi="ar-SA"/>
        </w:rPr>
        <w:t>الجمهور</w:t>
      </w:r>
      <w:r w:rsidR="007F795C" w:rsidRPr="007F795C">
        <w:rPr>
          <w:rFonts w:asciiTheme="minorBidi" w:hAnsiTheme="minorBidi" w:cs="Arial"/>
          <w:rtl/>
          <w:lang w:bidi="ar-SA"/>
        </w:rPr>
        <w:t xml:space="preserve">، بحيث انخفض الطلب </w:t>
      </w:r>
      <w:r w:rsidR="0059703C">
        <w:rPr>
          <w:rFonts w:asciiTheme="minorBidi" w:hAnsiTheme="minorBidi" w:cs="Arial" w:hint="cs"/>
          <w:rtl/>
          <w:lang w:bidi="ar-SA"/>
        </w:rPr>
        <w:t xml:space="preserve">من البنوك </w:t>
      </w:r>
      <w:r w:rsidR="007F795C" w:rsidRPr="007F795C">
        <w:rPr>
          <w:rFonts w:asciiTheme="minorBidi" w:hAnsiTheme="minorBidi" w:cs="Arial"/>
          <w:rtl/>
          <w:lang w:bidi="ar-SA"/>
        </w:rPr>
        <w:t>على المصادر (خاص</w:t>
      </w:r>
      <w:r w:rsidR="00701E34">
        <w:rPr>
          <w:rFonts w:asciiTheme="minorBidi" w:hAnsiTheme="minorBidi" w:cs="Arial"/>
          <w:rtl/>
          <w:lang w:bidi="ar-SA"/>
        </w:rPr>
        <w:t xml:space="preserve">ة الودائع) وأضعف </w:t>
      </w:r>
      <w:r w:rsidR="00701E34">
        <w:rPr>
          <w:rFonts w:asciiTheme="minorBidi" w:hAnsiTheme="minorBidi" w:cs="Arial" w:hint="cs"/>
          <w:rtl/>
          <w:lang w:bidi="ar-SA"/>
        </w:rPr>
        <w:t xml:space="preserve">من </w:t>
      </w:r>
      <w:r w:rsidR="0059703C">
        <w:rPr>
          <w:rFonts w:asciiTheme="minorBidi" w:hAnsiTheme="minorBidi" w:cs="Arial" w:hint="cs"/>
          <w:rtl/>
          <w:lang w:bidi="ar-SA"/>
        </w:rPr>
        <w:t>ال</w:t>
      </w:r>
      <w:r w:rsidR="00701E34">
        <w:rPr>
          <w:rFonts w:asciiTheme="minorBidi" w:hAnsiTheme="minorBidi" w:cs="Arial"/>
          <w:rtl/>
          <w:lang w:bidi="ar-SA"/>
        </w:rPr>
        <w:t>تحو</w:t>
      </w:r>
      <w:r w:rsidR="007F795C" w:rsidRPr="007F795C">
        <w:rPr>
          <w:rFonts w:asciiTheme="minorBidi" w:hAnsiTheme="minorBidi" w:cs="Arial"/>
          <w:rtl/>
          <w:lang w:bidi="ar-SA"/>
        </w:rPr>
        <w:t xml:space="preserve">ل </w:t>
      </w:r>
      <w:r w:rsidR="0059703C">
        <w:rPr>
          <w:rFonts w:asciiTheme="minorBidi" w:hAnsiTheme="minorBidi" w:cs="Arial" w:hint="cs"/>
          <w:rtl/>
          <w:lang w:bidi="ar-SA"/>
        </w:rPr>
        <w:t xml:space="preserve">من </w:t>
      </w:r>
      <w:r w:rsidR="007F795C" w:rsidRPr="007F795C">
        <w:rPr>
          <w:rFonts w:asciiTheme="minorBidi" w:hAnsiTheme="minorBidi" w:cs="Arial"/>
          <w:rtl/>
          <w:lang w:bidi="ar-SA"/>
        </w:rPr>
        <w:t xml:space="preserve">سعر فائدة البنك المركزي إلى سعر </w:t>
      </w:r>
      <w:r w:rsidR="0059703C">
        <w:rPr>
          <w:rFonts w:asciiTheme="minorBidi" w:hAnsiTheme="minorBidi" w:cs="Arial" w:hint="cs"/>
          <w:rtl/>
          <w:lang w:bidi="ar-SA"/>
        </w:rPr>
        <w:t>ال</w:t>
      </w:r>
      <w:r w:rsidR="007F795C" w:rsidRPr="007F795C">
        <w:rPr>
          <w:rFonts w:asciiTheme="minorBidi" w:hAnsiTheme="minorBidi" w:cs="Arial"/>
          <w:rtl/>
          <w:lang w:bidi="ar-SA"/>
        </w:rPr>
        <w:t>فائدة</w:t>
      </w:r>
      <w:r w:rsidR="0059703C">
        <w:rPr>
          <w:rFonts w:asciiTheme="minorBidi" w:hAnsiTheme="minorBidi" w:cs="Arial" w:hint="cs"/>
          <w:rtl/>
          <w:lang w:bidi="ar-SA"/>
        </w:rPr>
        <w:t xml:space="preserve"> على</w:t>
      </w:r>
      <w:r w:rsidR="007F795C" w:rsidRPr="007F795C">
        <w:rPr>
          <w:rFonts w:asciiTheme="minorBidi" w:hAnsiTheme="minorBidi" w:cs="Arial"/>
          <w:rtl/>
          <w:lang w:bidi="ar-SA"/>
        </w:rPr>
        <w:t xml:space="preserve"> الودائع.</w:t>
      </w:r>
    </w:p>
    <w:p w14:paraId="43F66F3C" w14:textId="111D2488" w:rsidR="00771E05" w:rsidRPr="007F795C" w:rsidRDefault="007F795C" w:rsidP="00701E34">
      <w:pPr>
        <w:spacing w:after="240"/>
        <w:rPr>
          <w:rFonts w:asciiTheme="minorBidi" w:hAnsiTheme="minorBidi" w:cstheme="minorBidi"/>
          <w:rtl/>
          <w:lang w:bidi="ar-SA"/>
        </w:rPr>
      </w:pPr>
      <w:r w:rsidRPr="007F795C">
        <w:rPr>
          <w:rFonts w:asciiTheme="minorBidi" w:hAnsiTheme="minorBidi" w:cs="Arial"/>
          <w:rtl/>
          <w:lang w:bidi="ar-SA"/>
        </w:rPr>
        <w:t xml:space="preserve">يقدم النظام المصرفي </w:t>
      </w:r>
      <w:r w:rsidR="00701E34">
        <w:rPr>
          <w:rFonts w:asciiTheme="minorBidi" w:hAnsiTheme="minorBidi" w:cs="Arial" w:hint="cs"/>
          <w:rtl/>
          <w:lang w:bidi="ar-SA"/>
        </w:rPr>
        <w:t>لزبائنه</w:t>
      </w:r>
      <w:r w:rsidRPr="007F795C">
        <w:rPr>
          <w:rFonts w:asciiTheme="minorBidi" w:hAnsiTheme="minorBidi" w:cs="Arial"/>
          <w:rtl/>
          <w:lang w:bidi="ar-SA"/>
        </w:rPr>
        <w:t xml:space="preserve"> ودائع لفترات زمنية مختلفة، تبدأ بالودائع اليومية وتنتهي بالودائع لفترات طويلة </w:t>
      </w:r>
      <w:r w:rsidR="00701E34">
        <w:rPr>
          <w:rFonts w:asciiTheme="minorBidi" w:hAnsiTheme="minorBidi" w:cs="Arial" w:hint="cs"/>
          <w:rtl/>
          <w:lang w:bidi="ar-SA"/>
        </w:rPr>
        <w:t>جداً</w:t>
      </w:r>
      <w:r w:rsidRPr="007F795C">
        <w:rPr>
          <w:rFonts w:asciiTheme="minorBidi" w:hAnsiTheme="minorBidi" w:cs="Arial"/>
          <w:rtl/>
          <w:lang w:bidi="ar-SA"/>
        </w:rPr>
        <w:t xml:space="preserve"> (أكثر من عامين) وي</w:t>
      </w:r>
      <w:r w:rsidR="00701E34">
        <w:rPr>
          <w:rFonts w:asciiTheme="minorBidi" w:hAnsiTheme="minorBidi" w:cs="Arial" w:hint="cs"/>
          <w:rtl/>
          <w:lang w:bidi="ar-SA"/>
        </w:rPr>
        <w:t>قوم بت</w:t>
      </w:r>
      <w:r w:rsidRPr="007F795C">
        <w:rPr>
          <w:rFonts w:asciiTheme="minorBidi" w:hAnsiTheme="minorBidi" w:cs="Arial"/>
          <w:rtl/>
          <w:lang w:bidi="ar-SA"/>
        </w:rPr>
        <w:t>سع</w:t>
      </w:r>
      <w:r w:rsidR="00701E34">
        <w:rPr>
          <w:rFonts w:asciiTheme="minorBidi" w:hAnsiTheme="minorBidi" w:cs="Arial" w:hint="cs"/>
          <w:rtl/>
          <w:lang w:bidi="ar-SA"/>
        </w:rPr>
        <w:t>ي</w:t>
      </w:r>
      <w:r w:rsidRPr="007F795C">
        <w:rPr>
          <w:rFonts w:asciiTheme="minorBidi" w:hAnsiTheme="minorBidi" w:cs="Arial"/>
          <w:rtl/>
          <w:lang w:bidi="ar-SA"/>
        </w:rPr>
        <w:t xml:space="preserve">رها بشكل مختلف. فالبنوك من الناحية الهيكلية </w:t>
      </w:r>
      <w:r w:rsidR="00701E34">
        <w:rPr>
          <w:rFonts w:asciiTheme="minorBidi" w:hAnsiTheme="minorBidi" w:cs="Arial" w:hint="cs"/>
          <w:rtl/>
          <w:lang w:bidi="ar-SA"/>
        </w:rPr>
        <w:t xml:space="preserve">لديها </w:t>
      </w:r>
      <w:r w:rsidRPr="007F795C">
        <w:rPr>
          <w:rFonts w:asciiTheme="minorBidi" w:hAnsiTheme="minorBidi" w:cs="Arial"/>
          <w:rtl/>
          <w:lang w:bidi="ar-SA"/>
        </w:rPr>
        <w:t xml:space="preserve">فائض في الأصول مقارنة بالالتزامات، عندما تتمتع الأصول (التي يتكون </w:t>
      </w:r>
      <w:r w:rsidR="00701E34">
        <w:rPr>
          <w:rFonts w:asciiTheme="minorBidi" w:hAnsiTheme="minorBidi" w:cs="Arial" w:hint="cs"/>
          <w:rtl/>
          <w:lang w:bidi="ar-SA"/>
        </w:rPr>
        <w:t>أغلبها</w:t>
      </w:r>
      <w:r w:rsidRPr="007F795C">
        <w:rPr>
          <w:rFonts w:asciiTheme="minorBidi" w:hAnsiTheme="minorBidi" w:cs="Arial"/>
          <w:rtl/>
          <w:lang w:bidi="ar-SA"/>
        </w:rPr>
        <w:t xml:space="preserve"> من الائتمان) بفترات سداد أطول من الالتزامات (التي </w:t>
      </w:r>
      <w:r w:rsidR="00701E34">
        <w:rPr>
          <w:rFonts w:asciiTheme="minorBidi" w:hAnsiTheme="minorBidi" w:cs="Arial" w:hint="cs"/>
          <w:rtl/>
          <w:lang w:bidi="ar-SA"/>
        </w:rPr>
        <w:t>يتكون أغلبها</w:t>
      </w:r>
      <w:r w:rsidRPr="007F795C">
        <w:rPr>
          <w:rFonts w:asciiTheme="minorBidi" w:hAnsiTheme="minorBidi" w:cs="Arial"/>
          <w:rtl/>
          <w:lang w:bidi="ar-SA"/>
        </w:rPr>
        <w:t xml:space="preserve"> المطلق من الودائع).</w:t>
      </w:r>
      <w:r w:rsidR="00CD7750" w:rsidRPr="007F795C">
        <w:rPr>
          <w:rFonts w:asciiTheme="minorBidi" w:hAnsiTheme="minorBidi" w:cstheme="minorBidi"/>
          <w:rtl/>
        </w:rPr>
        <w:t xml:space="preserve"> </w:t>
      </w:r>
      <w:r w:rsidRPr="007F795C">
        <w:rPr>
          <w:rFonts w:asciiTheme="minorBidi" w:hAnsiTheme="minorBidi" w:cs="Arial"/>
          <w:rtl/>
          <w:lang w:bidi="ar-SA"/>
        </w:rPr>
        <w:t xml:space="preserve">وبناء على ذلك، فإن الودائع طويلة الأجل تسمح للبنك "بالاعتماد" عليها كمصدر مستقر للائتمان. مع ذلك، فمن المهم أن </w:t>
      </w:r>
      <w:r w:rsidR="00701E34">
        <w:rPr>
          <w:rFonts w:asciiTheme="minorBidi" w:hAnsiTheme="minorBidi" w:cs="Arial" w:hint="cs"/>
          <w:rtl/>
          <w:lang w:bidi="ar-SA"/>
        </w:rPr>
        <w:t>نشير إلى</w:t>
      </w:r>
      <w:r w:rsidRPr="007F795C">
        <w:rPr>
          <w:rFonts w:asciiTheme="minorBidi" w:hAnsiTheme="minorBidi" w:cs="Arial"/>
          <w:rtl/>
          <w:lang w:bidi="ar-SA"/>
        </w:rPr>
        <w:t xml:space="preserve"> أن تسعير الودائع من قبل البنوك لا </w:t>
      </w:r>
      <w:r w:rsidR="00701E34">
        <w:rPr>
          <w:rFonts w:asciiTheme="minorBidi" w:hAnsiTheme="minorBidi" w:cs="Arial" w:hint="cs"/>
          <w:rtl/>
          <w:lang w:bidi="ar-SA"/>
        </w:rPr>
        <w:t>يسير</w:t>
      </w:r>
      <w:r w:rsidRPr="007F795C">
        <w:rPr>
          <w:rFonts w:asciiTheme="minorBidi" w:hAnsiTheme="minorBidi" w:cs="Arial"/>
          <w:rtl/>
          <w:lang w:bidi="ar-SA"/>
        </w:rPr>
        <w:t xml:space="preserve"> خطيا</w:t>
      </w:r>
      <w:r w:rsidR="0059703C">
        <w:rPr>
          <w:rFonts w:asciiTheme="minorBidi" w:hAnsiTheme="minorBidi" w:cs="Arial" w:hint="cs"/>
          <w:rtl/>
          <w:lang w:bidi="ar-SA"/>
        </w:rPr>
        <w:t>ً</w:t>
      </w:r>
      <w:r w:rsidRPr="007F795C">
        <w:rPr>
          <w:rFonts w:asciiTheme="minorBidi" w:hAnsiTheme="minorBidi" w:cs="Arial"/>
          <w:rtl/>
          <w:lang w:bidi="ar-SA"/>
        </w:rPr>
        <w:t xml:space="preserve"> مع </w:t>
      </w:r>
      <w:r w:rsidR="00701E34">
        <w:rPr>
          <w:rFonts w:asciiTheme="minorBidi" w:hAnsiTheme="minorBidi" w:cs="Arial" w:hint="cs"/>
          <w:rtl/>
          <w:lang w:bidi="ar-SA"/>
        </w:rPr>
        <w:t>فترة</w:t>
      </w:r>
      <w:r w:rsidRPr="007F795C">
        <w:rPr>
          <w:rFonts w:asciiTheme="minorBidi" w:hAnsiTheme="minorBidi" w:cs="Arial"/>
          <w:rtl/>
          <w:lang w:bidi="ar-SA"/>
        </w:rPr>
        <w:t xml:space="preserve"> الوديعة ويعتمد على </w:t>
      </w:r>
      <w:r w:rsidR="00701E34">
        <w:rPr>
          <w:rFonts w:asciiTheme="minorBidi" w:hAnsiTheme="minorBidi" w:cs="Arial" w:hint="cs"/>
          <w:rtl/>
          <w:lang w:bidi="ar-SA"/>
        </w:rPr>
        <w:t>ال</w:t>
      </w:r>
      <w:r w:rsidRPr="007F795C">
        <w:rPr>
          <w:rFonts w:asciiTheme="minorBidi" w:hAnsiTheme="minorBidi" w:cs="Arial"/>
          <w:rtl/>
          <w:lang w:bidi="ar-SA"/>
        </w:rPr>
        <w:t xml:space="preserve">نموذج </w:t>
      </w:r>
      <w:r w:rsidR="00701E34">
        <w:rPr>
          <w:rFonts w:asciiTheme="minorBidi" w:hAnsiTheme="minorBidi" w:cs="Arial" w:hint="cs"/>
          <w:rtl/>
          <w:lang w:bidi="ar-SA"/>
        </w:rPr>
        <w:t>التجاري</w:t>
      </w:r>
      <w:r w:rsidRPr="007F795C">
        <w:rPr>
          <w:rFonts w:asciiTheme="minorBidi" w:hAnsiTheme="minorBidi" w:cs="Arial"/>
          <w:rtl/>
          <w:lang w:bidi="ar-SA"/>
        </w:rPr>
        <w:t xml:space="preserve"> و</w:t>
      </w:r>
      <w:r w:rsidR="00701E34">
        <w:rPr>
          <w:rFonts w:asciiTheme="minorBidi" w:hAnsiTheme="minorBidi" w:cs="Arial" w:hint="cs"/>
          <w:rtl/>
          <w:lang w:bidi="ar-SA"/>
        </w:rPr>
        <w:t xml:space="preserve">على </w:t>
      </w:r>
      <w:r w:rsidRPr="007F795C">
        <w:rPr>
          <w:rFonts w:asciiTheme="minorBidi" w:hAnsiTheme="minorBidi" w:cs="Arial"/>
          <w:rtl/>
          <w:lang w:bidi="ar-SA"/>
        </w:rPr>
        <w:t xml:space="preserve">إدارة الأصول والالتزامات </w:t>
      </w:r>
      <w:r w:rsidR="00701E34">
        <w:rPr>
          <w:rFonts w:asciiTheme="minorBidi" w:hAnsiTheme="minorBidi" w:cs="Arial" w:hint="cs"/>
          <w:rtl/>
          <w:lang w:bidi="ar-SA"/>
        </w:rPr>
        <w:t xml:space="preserve">في </w:t>
      </w:r>
      <w:r w:rsidRPr="007F795C">
        <w:rPr>
          <w:rFonts w:asciiTheme="minorBidi" w:hAnsiTheme="minorBidi" w:cs="Arial"/>
          <w:rtl/>
          <w:lang w:bidi="ar-SA"/>
        </w:rPr>
        <w:t xml:space="preserve">كل بنك على حدة (كما </w:t>
      </w:r>
      <w:r w:rsidR="00701E34">
        <w:rPr>
          <w:rFonts w:asciiTheme="minorBidi" w:hAnsiTheme="minorBidi" w:cs="Arial" w:hint="cs"/>
          <w:rtl/>
          <w:lang w:bidi="ar-SA"/>
        </w:rPr>
        <w:t>سي</w:t>
      </w:r>
      <w:r w:rsidRPr="007F795C">
        <w:rPr>
          <w:rFonts w:asciiTheme="minorBidi" w:hAnsiTheme="minorBidi" w:cs="Arial"/>
          <w:rtl/>
          <w:lang w:bidi="ar-SA"/>
        </w:rPr>
        <w:t>وضح أدناه).</w:t>
      </w:r>
    </w:p>
    <w:p w14:paraId="4E1407FE" w14:textId="50F66446" w:rsidR="00724336" w:rsidRPr="007F795C" w:rsidRDefault="007F795C" w:rsidP="00760775">
      <w:pPr>
        <w:spacing w:after="240"/>
        <w:rPr>
          <w:rFonts w:asciiTheme="minorBidi" w:hAnsiTheme="minorBidi" w:cstheme="minorBidi"/>
          <w:rtl/>
        </w:rPr>
      </w:pPr>
      <w:r w:rsidRPr="007F795C">
        <w:rPr>
          <w:rFonts w:asciiTheme="minorBidi" w:hAnsiTheme="minorBidi" w:cs="Arial"/>
          <w:rtl/>
          <w:lang w:bidi="ar-SA"/>
        </w:rPr>
        <w:t>بالإضافة إلى كون الوديعة مصدر</w:t>
      </w:r>
      <w:r w:rsidR="0059703C">
        <w:rPr>
          <w:rFonts w:asciiTheme="minorBidi" w:hAnsiTheme="minorBidi" w:cs="Arial" w:hint="cs"/>
          <w:rtl/>
          <w:lang w:bidi="ar-SA"/>
        </w:rPr>
        <w:t>اً</w:t>
      </w:r>
      <w:r w:rsidRPr="007F795C">
        <w:rPr>
          <w:rFonts w:asciiTheme="minorBidi" w:hAnsiTheme="minorBidi" w:cs="Arial"/>
          <w:rtl/>
          <w:lang w:bidi="ar-SA"/>
        </w:rPr>
        <w:t xml:space="preserve"> ل</w:t>
      </w:r>
      <w:r w:rsidR="008B1833">
        <w:rPr>
          <w:rFonts w:asciiTheme="minorBidi" w:hAnsiTheme="minorBidi" w:cs="Arial" w:hint="cs"/>
          <w:rtl/>
          <w:lang w:bidi="ar-SA"/>
        </w:rPr>
        <w:t>تخصيص ا</w:t>
      </w:r>
      <w:r w:rsidRPr="007F795C">
        <w:rPr>
          <w:rFonts w:asciiTheme="minorBidi" w:hAnsiTheme="minorBidi" w:cs="Arial"/>
          <w:rtl/>
          <w:lang w:bidi="ar-SA"/>
        </w:rPr>
        <w:t xml:space="preserve">لائتمان، فمن المحتمل أن يتمكن </w:t>
      </w:r>
      <w:r w:rsidR="008B1833">
        <w:rPr>
          <w:rFonts w:asciiTheme="minorBidi" w:hAnsiTheme="minorBidi" w:cs="Arial" w:hint="cs"/>
          <w:rtl/>
          <w:lang w:bidi="ar-SA"/>
        </w:rPr>
        <w:t>الزبائن</w:t>
      </w:r>
      <w:r w:rsidRPr="007F795C">
        <w:rPr>
          <w:rFonts w:asciiTheme="minorBidi" w:hAnsiTheme="minorBidi" w:cs="Arial"/>
          <w:rtl/>
          <w:lang w:bidi="ar-SA"/>
        </w:rPr>
        <w:t xml:space="preserve"> الذين يتمتعون بقدرة أكبر على المساومة من الحصول على شروط </w:t>
      </w:r>
      <w:r w:rsidR="008B1833">
        <w:rPr>
          <w:rFonts w:asciiTheme="minorBidi" w:hAnsiTheme="minorBidi" w:cs="Arial" w:hint="cs"/>
          <w:rtl/>
          <w:lang w:bidi="ar-SA"/>
        </w:rPr>
        <w:t>أفضل</w:t>
      </w:r>
      <w:r w:rsidRPr="007F795C">
        <w:rPr>
          <w:rFonts w:asciiTheme="minorBidi" w:hAnsiTheme="minorBidi" w:cs="Arial"/>
          <w:rtl/>
          <w:lang w:bidi="ar-SA"/>
        </w:rPr>
        <w:t xml:space="preserve"> </w:t>
      </w:r>
      <w:r w:rsidR="008B1833">
        <w:rPr>
          <w:rFonts w:asciiTheme="minorBidi" w:hAnsiTheme="minorBidi" w:cs="Arial" w:hint="cs"/>
          <w:rtl/>
          <w:lang w:bidi="ar-SA"/>
        </w:rPr>
        <w:t xml:space="preserve">مقابل </w:t>
      </w:r>
      <w:r w:rsidRPr="007F795C">
        <w:rPr>
          <w:rFonts w:asciiTheme="minorBidi" w:hAnsiTheme="minorBidi" w:cs="Arial"/>
          <w:rtl/>
          <w:lang w:bidi="ar-SA"/>
        </w:rPr>
        <w:t xml:space="preserve">ودائعهم. يمكن أن </w:t>
      </w:r>
      <w:r w:rsidR="008B1833">
        <w:rPr>
          <w:rFonts w:asciiTheme="minorBidi" w:hAnsiTheme="minorBidi" w:cs="Arial" w:hint="cs"/>
          <w:rtl/>
          <w:lang w:bidi="ar-SA"/>
        </w:rPr>
        <w:t>تتأثر</w:t>
      </w:r>
      <w:r w:rsidRPr="007F795C">
        <w:rPr>
          <w:rFonts w:asciiTheme="minorBidi" w:hAnsiTheme="minorBidi" w:cs="Arial"/>
          <w:rtl/>
          <w:lang w:bidi="ar-SA"/>
        </w:rPr>
        <w:t xml:space="preserve"> </w:t>
      </w:r>
      <w:r w:rsidR="008B1833">
        <w:rPr>
          <w:rFonts w:asciiTheme="minorBidi" w:hAnsiTheme="minorBidi" w:cs="Arial" w:hint="cs"/>
          <w:rtl/>
          <w:lang w:bidi="ar-SA"/>
        </w:rPr>
        <w:t>قدر</w:t>
      </w:r>
      <w:r w:rsidR="00CF7C8C">
        <w:rPr>
          <w:rFonts w:asciiTheme="minorBidi" w:hAnsiTheme="minorBidi" w:cs="Arial" w:hint="cs"/>
          <w:rtl/>
          <w:lang w:bidi="ar-SA"/>
        </w:rPr>
        <w:t>ة</w:t>
      </w:r>
      <w:r w:rsidR="008B1833">
        <w:rPr>
          <w:rFonts w:asciiTheme="minorBidi" w:hAnsiTheme="minorBidi" w:cs="Arial" w:hint="cs"/>
          <w:rtl/>
          <w:lang w:bidi="ar-SA"/>
        </w:rPr>
        <w:t xml:space="preserve"> الزبون على التفاوض</w:t>
      </w:r>
      <w:r w:rsidRPr="007F795C">
        <w:rPr>
          <w:rFonts w:asciiTheme="minorBidi" w:hAnsiTheme="minorBidi" w:cs="Arial"/>
          <w:rtl/>
          <w:lang w:bidi="ar-SA"/>
        </w:rPr>
        <w:t xml:space="preserve"> </w:t>
      </w:r>
      <w:r w:rsidR="008B1833">
        <w:rPr>
          <w:rFonts w:asciiTheme="minorBidi" w:hAnsiTheme="minorBidi" w:cs="Arial" w:hint="cs"/>
          <w:rtl/>
          <w:lang w:bidi="ar-SA"/>
        </w:rPr>
        <w:t>مع</w:t>
      </w:r>
      <w:r w:rsidRPr="007F795C">
        <w:rPr>
          <w:rFonts w:asciiTheme="minorBidi" w:hAnsiTheme="minorBidi" w:cs="Arial"/>
          <w:rtl/>
          <w:lang w:bidi="ar-SA"/>
        </w:rPr>
        <w:t xml:space="preserve"> البنك </w:t>
      </w:r>
      <w:r w:rsidR="008B1833">
        <w:rPr>
          <w:rFonts w:asciiTheme="minorBidi" w:hAnsiTheme="minorBidi" w:cs="Arial" w:hint="cs"/>
          <w:rtl/>
          <w:lang w:bidi="ar-SA"/>
        </w:rPr>
        <w:t>ب</w:t>
      </w:r>
      <w:r w:rsidRPr="007F795C">
        <w:rPr>
          <w:rFonts w:asciiTheme="minorBidi" w:hAnsiTheme="minorBidi" w:cs="Arial"/>
          <w:rtl/>
          <w:lang w:bidi="ar-SA"/>
        </w:rPr>
        <w:t xml:space="preserve">سلة أنشطته الإجمالية في البنك (على سبيل المثال، النشاط في الائتمان أو </w:t>
      </w:r>
      <w:r w:rsidR="008B1833">
        <w:rPr>
          <w:rFonts w:asciiTheme="minorBidi" w:hAnsiTheme="minorBidi" w:cs="Arial" w:hint="cs"/>
          <w:rtl/>
          <w:lang w:bidi="ar-SA"/>
        </w:rPr>
        <w:t>الأوراق المالية</w:t>
      </w:r>
      <w:r w:rsidRPr="007F795C">
        <w:rPr>
          <w:rFonts w:asciiTheme="minorBidi" w:hAnsiTheme="minorBidi" w:cs="Arial"/>
          <w:rtl/>
          <w:lang w:bidi="ar-SA"/>
        </w:rPr>
        <w:t xml:space="preserve">)، وحجم الوديعة، وقدرته على </w:t>
      </w:r>
      <w:r w:rsidR="008B1833">
        <w:rPr>
          <w:rFonts w:asciiTheme="minorBidi" w:hAnsiTheme="minorBidi" w:cs="Arial" w:hint="cs"/>
          <w:rtl/>
          <w:lang w:bidi="ar-SA"/>
        </w:rPr>
        <w:t>المقارنة</w:t>
      </w:r>
      <w:r w:rsidRPr="007F795C">
        <w:rPr>
          <w:rFonts w:asciiTheme="minorBidi" w:hAnsiTheme="minorBidi" w:cs="Arial"/>
          <w:rtl/>
          <w:lang w:bidi="ar-SA"/>
        </w:rPr>
        <w:t xml:space="preserve"> بين البنوك ومعرفته</w:t>
      </w:r>
      <w:r w:rsidR="008B1833">
        <w:rPr>
          <w:rFonts w:asciiTheme="minorBidi" w:hAnsiTheme="minorBidi" w:cs="Arial" w:hint="cs"/>
          <w:rtl/>
          <w:lang w:bidi="ar-SA"/>
        </w:rPr>
        <w:t xml:space="preserve"> ب</w:t>
      </w:r>
      <w:r w:rsidRPr="007F795C">
        <w:rPr>
          <w:rFonts w:asciiTheme="minorBidi" w:hAnsiTheme="minorBidi" w:cs="Arial"/>
          <w:rtl/>
          <w:lang w:bidi="ar-SA"/>
        </w:rPr>
        <w:t xml:space="preserve">بدائل الادخار الأخرى في السوق (شراء </w:t>
      </w:r>
      <w:r w:rsidR="008B1833">
        <w:rPr>
          <w:rFonts w:asciiTheme="minorBidi" w:hAnsiTheme="minorBidi" w:cs="Arial" w:hint="cs"/>
          <w:rtl/>
          <w:lang w:bidi="ar-SA"/>
        </w:rPr>
        <w:t>قرض قصير الأجل</w:t>
      </w:r>
      <w:r w:rsidRPr="007F795C">
        <w:rPr>
          <w:rFonts w:asciiTheme="minorBidi" w:hAnsiTheme="minorBidi" w:cs="Arial"/>
          <w:rtl/>
          <w:lang w:bidi="ar-SA"/>
        </w:rPr>
        <w:t xml:space="preserve"> أو صندوق مالي).</w:t>
      </w:r>
      <w:r w:rsidR="00F453BC" w:rsidRPr="007F795C">
        <w:rPr>
          <w:rFonts w:asciiTheme="minorBidi" w:hAnsiTheme="minorBidi" w:cstheme="minorBidi"/>
          <w:rtl/>
        </w:rPr>
        <w:t xml:space="preserve"> </w:t>
      </w:r>
      <w:r w:rsidRPr="007F795C">
        <w:rPr>
          <w:rFonts w:asciiTheme="minorBidi" w:hAnsiTheme="minorBidi" w:cs="Arial"/>
          <w:rtl/>
          <w:lang w:bidi="ar-SA"/>
        </w:rPr>
        <w:t xml:space="preserve">يتميز </w:t>
      </w:r>
      <w:r w:rsidR="008B1833">
        <w:rPr>
          <w:rFonts w:asciiTheme="minorBidi" w:hAnsiTheme="minorBidi" w:cs="Arial" w:hint="cs"/>
          <w:rtl/>
          <w:lang w:bidi="ar-SA"/>
        </w:rPr>
        <w:t>الزبائن</w:t>
      </w:r>
      <w:r w:rsidRPr="007F795C">
        <w:rPr>
          <w:rFonts w:asciiTheme="minorBidi" w:hAnsiTheme="minorBidi" w:cs="Arial"/>
          <w:rtl/>
          <w:lang w:bidi="ar-SA"/>
        </w:rPr>
        <w:t xml:space="preserve"> التجاريون عموم</w:t>
      </w:r>
      <w:r w:rsidR="00CF7C8C">
        <w:rPr>
          <w:rFonts w:asciiTheme="minorBidi" w:hAnsiTheme="minorBidi" w:cs="Arial" w:hint="cs"/>
          <w:rtl/>
          <w:lang w:bidi="ar-SA"/>
        </w:rPr>
        <w:t>اً</w:t>
      </w:r>
      <w:r w:rsidRPr="007F795C">
        <w:rPr>
          <w:rFonts w:asciiTheme="minorBidi" w:hAnsiTheme="minorBidi" w:cs="Arial"/>
          <w:rtl/>
          <w:lang w:bidi="ar-SA"/>
        </w:rPr>
        <w:t xml:space="preserve"> بسلة أنشطة </w:t>
      </w:r>
      <w:r w:rsidR="00CF7C8C">
        <w:rPr>
          <w:rFonts w:asciiTheme="minorBidi" w:hAnsiTheme="minorBidi" w:cs="Arial" w:hint="cs"/>
          <w:rtl/>
          <w:lang w:bidi="ar-SA"/>
        </w:rPr>
        <w:t>أوسع</w:t>
      </w:r>
      <w:r w:rsidRPr="007F795C">
        <w:rPr>
          <w:rFonts w:asciiTheme="minorBidi" w:hAnsiTheme="minorBidi" w:cs="Arial"/>
          <w:rtl/>
          <w:lang w:bidi="ar-SA"/>
        </w:rPr>
        <w:t xml:space="preserve"> وودائع </w:t>
      </w:r>
      <w:r w:rsidR="008B1833">
        <w:rPr>
          <w:rFonts w:asciiTheme="minorBidi" w:hAnsiTheme="minorBidi" w:cs="Arial" w:hint="cs"/>
          <w:rtl/>
          <w:lang w:bidi="ar-SA"/>
        </w:rPr>
        <w:t>أكبر حجماً</w:t>
      </w:r>
      <w:r w:rsidRPr="007F795C">
        <w:rPr>
          <w:rFonts w:asciiTheme="minorBidi" w:hAnsiTheme="minorBidi" w:cs="Arial"/>
          <w:rtl/>
          <w:lang w:bidi="ar-SA"/>
        </w:rPr>
        <w:t>، و</w:t>
      </w:r>
      <w:r w:rsidR="008B1833">
        <w:rPr>
          <w:rFonts w:asciiTheme="minorBidi" w:hAnsiTheme="minorBidi" w:cs="Arial" w:hint="cs"/>
          <w:rtl/>
          <w:lang w:bidi="ar-SA"/>
        </w:rPr>
        <w:t>ب</w:t>
      </w:r>
      <w:r w:rsidRPr="007F795C">
        <w:rPr>
          <w:rFonts w:asciiTheme="minorBidi" w:hAnsiTheme="minorBidi" w:cs="Arial"/>
          <w:rtl/>
          <w:lang w:bidi="ar-SA"/>
        </w:rPr>
        <w:t xml:space="preserve">كونهم شريحة </w:t>
      </w:r>
      <w:r w:rsidR="008B1833">
        <w:rPr>
          <w:rFonts w:asciiTheme="minorBidi" w:hAnsiTheme="minorBidi" w:cs="Arial" w:hint="cs"/>
          <w:rtl/>
          <w:lang w:bidi="ar-SA"/>
        </w:rPr>
        <w:t>زبائن</w:t>
      </w:r>
      <w:r w:rsidRPr="007F795C">
        <w:rPr>
          <w:rFonts w:asciiTheme="minorBidi" w:hAnsiTheme="minorBidi" w:cs="Arial"/>
          <w:rtl/>
          <w:lang w:bidi="ar-SA"/>
        </w:rPr>
        <w:t xml:space="preserve"> </w:t>
      </w:r>
      <w:r w:rsidR="008B1833">
        <w:rPr>
          <w:rFonts w:asciiTheme="minorBidi" w:hAnsiTheme="minorBidi" w:cs="Arial" w:hint="cs"/>
          <w:rtl/>
          <w:lang w:bidi="ar-SA"/>
        </w:rPr>
        <w:t>أكثر خبرة</w:t>
      </w:r>
      <w:r w:rsidRPr="007F795C">
        <w:rPr>
          <w:rFonts w:asciiTheme="minorBidi" w:hAnsiTheme="minorBidi" w:cs="Arial"/>
          <w:rtl/>
          <w:lang w:bidi="ar-SA"/>
        </w:rPr>
        <w:t xml:space="preserve">، </w:t>
      </w:r>
      <w:r w:rsidR="00CF7C8C">
        <w:rPr>
          <w:rFonts w:asciiTheme="minorBidi" w:hAnsiTheme="minorBidi" w:cs="Arial" w:hint="cs"/>
          <w:rtl/>
          <w:lang w:bidi="ar-SA"/>
        </w:rPr>
        <w:t>تكون لديهم</w:t>
      </w:r>
      <w:r w:rsidRPr="007F795C">
        <w:rPr>
          <w:rFonts w:asciiTheme="minorBidi" w:hAnsiTheme="minorBidi" w:cs="Arial"/>
          <w:rtl/>
          <w:lang w:bidi="ar-SA"/>
        </w:rPr>
        <w:t xml:space="preserve"> قدرة أفضل على مقارنة الأسعار. يمكن ملاحظة مثال على ذلك في الاختلافات في معدل </w:t>
      </w:r>
      <w:r w:rsidR="008B1833">
        <w:rPr>
          <w:rFonts w:asciiTheme="minorBidi" w:hAnsiTheme="minorBidi" w:cs="Arial" w:hint="cs"/>
          <w:rtl/>
          <w:lang w:bidi="ar-SA"/>
        </w:rPr>
        <w:t>التحول</w:t>
      </w:r>
      <w:r w:rsidRPr="007F795C">
        <w:rPr>
          <w:rFonts w:asciiTheme="minorBidi" w:hAnsiTheme="minorBidi" w:cs="Arial"/>
          <w:rtl/>
          <w:lang w:bidi="ar-SA"/>
        </w:rPr>
        <w:t xml:space="preserve"> وفقًا لقطاعات النشاط في قطاع العملة الإسرائيلية</w:t>
      </w:r>
      <w:r w:rsidR="008B1833">
        <w:rPr>
          <w:rFonts w:asciiTheme="minorBidi" w:hAnsiTheme="minorBidi" w:cs="Arial" w:hint="cs"/>
          <w:rtl/>
          <w:lang w:bidi="ar-SA"/>
        </w:rPr>
        <w:t xml:space="preserve"> </w:t>
      </w:r>
      <w:r w:rsidRPr="007F795C">
        <w:rPr>
          <w:rFonts w:asciiTheme="minorBidi" w:hAnsiTheme="minorBidi" w:cs="Arial"/>
          <w:rtl/>
          <w:lang w:bidi="ar-SA"/>
        </w:rPr>
        <w:t>غير المرتبط</w:t>
      </w:r>
      <w:r w:rsidR="008B1833">
        <w:rPr>
          <w:rFonts w:asciiTheme="minorBidi" w:hAnsiTheme="minorBidi" w:cs="Arial" w:hint="cs"/>
          <w:rtl/>
          <w:lang w:bidi="ar-SA"/>
        </w:rPr>
        <w:t xml:space="preserve"> بالمؤشر</w:t>
      </w:r>
      <w:r w:rsidRPr="007F795C">
        <w:rPr>
          <w:rFonts w:asciiTheme="minorBidi" w:hAnsiTheme="minorBidi" w:cs="Arial"/>
          <w:rtl/>
          <w:lang w:bidi="ar-SA"/>
        </w:rPr>
        <w:t xml:space="preserve"> </w:t>
      </w:r>
      <w:r w:rsidR="00CF7C8C">
        <w:rPr>
          <w:rFonts w:asciiTheme="minorBidi" w:hAnsiTheme="minorBidi" w:cs="Arial" w:hint="cs"/>
          <w:rtl/>
          <w:lang w:bidi="ar-SA"/>
        </w:rPr>
        <w:t>منذ</w:t>
      </w:r>
      <w:r w:rsidRPr="007F795C">
        <w:rPr>
          <w:rFonts w:asciiTheme="minorBidi" w:hAnsiTheme="minorBidi" w:cs="Arial"/>
          <w:rtl/>
          <w:lang w:bidi="ar-SA"/>
        </w:rPr>
        <w:t xml:space="preserve"> زيادة </w:t>
      </w:r>
      <w:r w:rsidR="00CF7C8C">
        <w:rPr>
          <w:rFonts w:asciiTheme="minorBidi" w:hAnsiTheme="minorBidi" w:cs="Arial" w:hint="cs"/>
          <w:rtl/>
          <w:lang w:bidi="ar-SA"/>
        </w:rPr>
        <w:t>أسعار</w:t>
      </w:r>
      <w:r w:rsidRPr="007F795C">
        <w:rPr>
          <w:rFonts w:asciiTheme="minorBidi" w:hAnsiTheme="minorBidi" w:cs="Arial"/>
          <w:rtl/>
          <w:lang w:bidi="ar-SA"/>
        </w:rPr>
        <w:t xml:space="preserve"> الفائدة في </w:t>
      </w:r>
      <w:r w:rsidR="00760775">
        <w:rPr>
          <w:rFonts w:asciiTheme="minorBidi" w:hAnsiTheme="minorBidi" w:cs="Arial" w:hint="cs"/>
          <w:rtl/>
          <w:lang w:bidi="ar-SA"/>
        </w:rPr>
        <w:t>نيسان</w:t>
      </w:r>
      <w:r w:rsidRPr="007F795C">
        <w:rPr>
          <w:rFonts w:asciiTheme="minorBidi" w:hAnsiTheme="minorBidi" w:cs="Arial"/>
          <w:rtl/>
          <w:lang w:bidi="ar-SA"/>
        </w:rPr>
        <w:t xml:space="preserve"> 2022. في معظم الحالات، كلما ارتفع</w:t>
      </w:r>
      <w:r w:rsidR="00760775">
        <w:rPr>
          <w:rFonts w:asciiTheme="minorBidi" w:hAnsiTheme="minorBidi" w:cs="Arial" w:hint="cs"/>
          <w:rtl/>
          <w:lang w:bidi="ar-SA"/>
        </w:rPr>
        <w:t>ت سلة</w:t>
      </w:r>
      <w:r w:rsidRPr="007F795C">
        <w:rPr>
          <w:rFonts w:asciiTheme="minorBidi" w:hAnsiTheme="minorBidi" w:cs="Arial"/>
          <w:rtl/>
          <w:lang w:bidi="ar-SA"/>
        </w:rPr>
        <w:t xml:space="preserve"> </w:t>
      </w:r>
      <w:r w:rsidR="00760775">
        <w:rPr>
          <w:rFonts w:asciiTheme="minorBidi" w:hAnsiTheme="minorBidi" w:cs="Arial" w:hint="cs"/>
          <w:rtl/>
          <w:lang w:bidi="ar-SA"/>
        </w:rPr>
        <w:t>ال</w:t>
      </w:r>
      <w:r w:rsidRPr="007F795C">
        <w:rPr>
          <w:rFonts w:asciiTheme="minorBidi" w:hAnsiTheme="minorBidi" w:cs="Arial"/>
          <w:rtl/>
          <w:lang w:bidi="ar-SA"/>
        </w:rPr>
        <w:t xml:space="preserve">نشاط </w:t>
      </w:r>
      <w:r w:rsidR="00760775">
        <w:rPr>
          <w:rFonts w:asciiTheme="minorBidi" w:hAnsiTheme="minorBidi" w:cs="Arial" w:hint="cs"/>
          <w:rtl/>
          <w:lang w:bidi="ar-SA"/>
        </w:rPr>
        <w:t>وحجم الودائع</w:t>
      </w:r>
      <w:r w:rsidRPr="007F795C">
        <w:rPr>
          <w:rFonts w:asciiTheme="minorBidi" w:hAnsiTheme="minorBidi" w:cs="Arial"/>
          <w:rtl/>
          <w:lang w:bidi="ar-SA"/>
        </w:rPr>
        <w:t xml:space="preserve"> كلما استفاد </w:t>
      </w:r>
      <w:r w:rsidR="00760775">
        <w:rPr>
          <w:rFonts w:asciiTheme="minorBidi" w:hAnsiTheme="minorBidi" w:cs="Arial" w:hint="cs"/>
          <w:rtl/>
          <w:lang w:bidi="ar-SA"/>
        </w:rPr>
        <w:t>الزبون</w:t>
      </w:r>
      <w:r w:rsidRPr="007F795C">
        <w:rPr>
          <w:rFonts w:asciiTheme="minorBidi" w:hAnsiTheme="minorBidi" w:cs="Arial"/>
          <w:rtl/>
          <w:lang w:bidi="ar-SA"/>
        </w:rPr>
        <w:t xml:space="preserve"> بشكل أكبر من تحويل سعر الفائدة في بنك إسرائيل إ</w:t>
      </w:r>
      <w:r w:rsidR="00760775">
        <w:rPr>
          <w:rFonts w:asciiTheme="minorBidi" w:hAnsiTheme="minorBidi" w:cs="Arial"/>
          <w:rtl/>
          <w:lang w:bidi="ar-SA"/>
        </w:rPr>
        <w:t>لى فائدة على الوديعة (</w:t>
      </w:r>
      <w:r w:rsidR="00760775">
        <w:rPr>
          <w:rFonts w:asciiTheme="minorBidi" w:hAnsiTheme="minorBidi" w:cs="Arial" w:hint="cs"/>
          <w:rtl/>
          <w:lang w:bidi="ar-SA"/>
        </w:rPr>
        <w:t>تصبح نسبة</w:t>
      </w:r>
      <w:r w:rsidR="00760775">
        <w:rPr>
          <w:rFonts w:asciiTheme="minorBidi" w:hAnsiTheme="minorBidi" w:cs="Arial"/>
          <w:rtl/>
          <w:lang w:bidi="ar-SA"/>
        </w:rPr>
        <w:t xml:space="preserve"> التحو</w:t>
      </w:r>
      <w:r w:rsidRPr="007F795C">
        <w:rPr>
          <w:rFonts w:asciiTheme="minorBidi" w:hAnsiTheme="minorBidi" w:cs="Arial"/>
          <w:rtl/>
          <w:lang w:bidi="ar-SA"/>
        </w:rPr>
        <w:t>ل أعلى؛ الشكل 1).</w:t>
      </w:r>
    </w:p>
    <w:p w14:paraId="0B6E1A76" w14:textId="77777777" w:rsidR="00760775" w:rsidRDefault="00760775" w:rsidP="002D02A0">
      <w:pPr>
        <w:spacing w:after="240"/>
        <w:rPr>
          <w:rFonts w:asciiTheme="minorBidi" w:hAnsiTheme="minorBidi" w:cstheme="minorBidi"/>
          <w:rtl/>
          <w:lang w:bidi="ar-SA"/>
        </w:rPr>
      </w:pPr>
    </w:p>
    <w:p w14:paraId="19F9E3DB" w14:textId="77777777" w:rsidR="00760775" w:rsidRDefault="00760775" w:rsidP="002D02A0">
      <w:pPr>
        <w:spacing w:after="240"/>
        <w:rPr>
          <w:rFonts w:asciiTheme="minorBidi" w:hAnsiTheme="minorBidi" w:cstheme="minorBidi"/>
          <w:rtl/>
          <w:lang w:bidi="ar-SA"/>
        </w:rPr>
      </w:pPr>
    </w:p>
    <w:p w14:paraId="58B00910" w14:textId="77777777" w:rsidR="00760775" w:rsidRDefault="00760775" w:rsidP="002D02A0">
      <w:pPr>
        <w:spacing w:after="240"/>
        <w:rPr>
          <w:rFonts w:asciiTheme="minorBidi" w:hAnsiTheme="minorBidi" w:cstheme="minorBidi"/>
          <w:rtl/>
          <w:lang w:bidi="ar-SA"/>
        </w:rPr>
      </w:pPr>
    </w:p>
    <w:p w14:paraId="745884A6" w14:textId="77777777" w:rsidR="00760775" w:rsidRDefault="00760775" w:rsidP="002D02A0">
      <w:pPr>
        <w:spacing w:after="240"/>
        <w:rPr>
          <w:rFonts w:asciiTheme="minorBidi" w:hAnsiTheme="minorBidi" w:cstheme="minorBidi"/>
          <w:rtl/>
          <w:lang w:bidi="ar-SA"/>
        </w:rPr>
      </w:pPr>
    </w:p>
    <w:p w14:paraId="02E5CC58" w14:textId="77777777" w:rsidR="00760775" w:rsidRDefault="00760775" w:rsidP="002D02A0">
      <w:pPr>
        <w:spacing w:after="240"/>
        <w:rPr>
          <w:rFonts w:asciiTheme="minorBidi" w:hAnsiTheme="minorBidi" w:cstheme="minorBidi"/>
          <w:rtl/>
          <w:lang w:bidi="ar-SA"/>
        </w:rPr>
      </w:pPr>
    </w:p>
    <w:p w14:paraId="35E305C1" w14:textId="3E297E7F" w:rsidR="00760775" w:rsidRDefault="00760775" w:rsidP="00760775">
      <w:pPr>
        <w:spacing w:after="240"/>
        <w:rPr>
          <w:rFonts w:asciiTheme="minorBidi" w:hAnsiTheme="minorBidi" w:cstheme="minorBidi"/>
          <w:rtl/>
          <w:lang w:bidi="ar-SA"/>
        </w:rPr>
      </w:pPr>
      <w:r w:rsidRPr="007F795C">
        <w:rPr>
          <w:rFonts w:asciiTheme="minorBidi" w:hAnsiTheme="minorBidi" w:cstheme="minorBidi"/>
          <w:noProof/>
          <w:lang w:bidi="ar-SA"/>
        </w:rPr>
        <w:lastRenderedPageBreak/>
        <w:drawing>
          <wp:anchor distT="0" distB="0" distL="114300" distR="114300" simplePos="0" relativeHeight="251704320" behindDoc="1" locked="0" layoutInCell="1" allowOverlap="1" wp14:anchorId="7723DD68" wp14:editId="58E6A7C0">
            <wp:simplePos x="0" y="0"/>
            <wp:positionH relativeFrom="margin">
              <wp:posOffset>5080</wp:posOffset>
            </wp:positionH>
            <wp:positionV relativeFrom="paragraph">
              <wp:posOffset>296545</wp:posOffset>
            </wp:positionV>
            <wp:extent cx="5358765" cy="2795905"/>
            <wp:effectExtent l="0" t="0" r="0" b="4445"/>
            <wp:wrapSquare wrapText="bothSides"/>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33D727D" w14:textId="577BC7A9" w:rsidR="002D02A0" w:rsidRPr="007F795C" w:rsidRDefault="00760775" w:rsidP="00760775">
      <w:pPr>
        <w:spacing w:after="240"/>
        <w:rPr>
          <w:rFonts w:asciiTheme="minorBidi" w:hAnsiTheme="minorBidi" w:cstheme="minorBidi"/>
          <w:rtl/>
        </w:rPr>
      </w:pPr>
      <w:r w:rsidRPr="007F795C">
        <w:rPr>
          <w:rFonts w:asciiTheme="minorBidi" w:hAnsiTheme="minorBidi" w:cs="Arial"/>
          <w:rtl/>
          <w:lang w:bidi="ar-SA"/>
        </w:rPr>
        <w:t>يمكن أن نرى</w:t>
      </w:r>
      <w:r>
        <w:rPr>
          <w:rFonts w:asciiTheme="minorBidi" w:hAnsiTheme="minorBidi" w:cs="Arial" w:hint="cs"/>
          <w:rtl/>
          <w:lang w:bidi="ar-SA"/>
        </w:rPr>
        <w:t xml:space="preserve"> من الشكل</w:t>
      </w:r>
      <w:r w:rsidRPr="007F795C">
        <w:rPr>
          <w:rFonts w:asciiTheme="minorBidi" w:hAnsiTheme="minorBidi" w:cs="Arial"/>
          <w:rtl/>
          <w:lang w:bidi="ar-SA"/>
        </w:rPr>
        <w:t xml:space="preserve"> أيضًا أنه بدءًا من </w:t>
      </w:r>
      <w:r>
        <w:rPr>
          <w:rFonts w:asciiTheme="minorBidi" w:hAnsiTheme="minorBidi" w:cs="Arial" w:hint="cs"/>
          <w:rtl/>
          <w:lang w:bidi="ar-SA"/>
        </w:rPr>
        <w:t>نيسان</w:t>
      </w:r>
      <w:r w:rsidRPr="007F795C">
        <w:rPr>
          <w:rFonts w:asciiTheme="minorBidi" w:hAnsiTheme="minorBidi" w:cs="Arial"/>
          <w:rtl/>
          <w:lang w:bidi="ar-SA"/>
        </w:rPr>
        <w:t xml:space="preserve"> 2022، كانت هناك زيادة ثابتة في تحويل الفوائد عل</w:t>
      </w:r>
      <w:r>
        <w:rPr>
          <w:rFonts w:asciiTheme="minorBidi" w:hAnsiTheme="minorBidi" w:cs="Arial"/>
          <w:rtl/>
          <w:lang w:bidi="ar-SA"/>
        </w:rPr>
        <w:t>ى ودائع الأسر</w:t>
      </w:r>
      <w:r w:rsidRPr="007F795C">
        <w:rPr>
          <w:rFonts w:asciiTheme="minorBidi" w:hAnsiTheme="minorBidi" w:cs="Arial"/>
          <w:rtl/>
          <w:lang w:bidi="ar-SA"/>
        </w:rPr>
        <w:t xml:space="preserve"> واستقر</w:t>
      </w:r>
      <w:r>
        <w:rPr>
          <w:rFonts w:asciiTheme="minorBidi" w:hAnsiTheme="minorBidi" w:cs="Arial" w:hint="cs"/>
          <w:rtl/>
          <w:lang w:bidi="ar-SA"/>
        </w:rPr>
        <w:t>ت</w:t>
      </w:r>
      <w:r w:rsidRPr="007F795C">
        <w:rPr>
          <w:rFonts w:asciiTheme="minorBidi" w:hAnsiTheme="minorBidi" w:cs="Arial"/>
          <w:rtl/>
          <w:lang w:bidi="ar-SA"/>
        </w:rPr>
        <w:t xml:space="preserve"> </w:t>
      </w:r>
      <w:r>
        <w:rPr>
          <w:rFonts w:asciiTheme="minorBidi" w:hAnsiTheme="minorBidi" w:cs="Arial" w:hint="cs"/>
          <w:rtl/>
          <w:lang w:bidi="ar-SA"/>
        </w:rPr>
        <w:t>هذه الزيادة</w:t>
      </w:r>
      <w:r w:rsidRPr="007F795C">
        <w:rPr>
          <w:rFonts w:asciiTheme="minorBidi" w:hAnsiTheme="minorBidi" w:cs="Arial"/>
          <w:rtl/>
          <w:lang w:bidi="ar-SA"/>
        </w:rPr>
        <w:t xml:space="preserve"> بدء</w:t>
      </w:r>
      <w:r w:rsidR="00CF7C8C">
        <w:rPr>
          <w:rFonts w:asciiTheme="minorBidi" w:hAnsiTheme="minorBidi" w:cs="Arial" w:hint="cs"/>
          <w:rtl/>
          <w:lang w:bidi="ar-SA"/>
        </w:rPr>
        <w:t>اً</w:t>
      </w:r>
      <w:r w:rsidRPr="007F795C">
        <w:rPr>
          <w:rFonts w:asciiTheme="minorBidi" w:hAnsiTheme="minorBidi" w:cs="Arial"/>
          <w:rtl/>
          <w:lang w:bidi="ar-SA"/>
        </w:rPr>
        <w:t xml:space="preserve"> من الربع الأخير من عام 2022. الزيادة الأبطأ في الفائدة ع</w:t>
      </w:r>
      <w:r>
        <w:rPr>
          <w:rFonts w:asciiTheme="minorBidi" w:hAnsiTheme="minorBidi" w:cs="Arial"/>
          <w:rtl/>
          <w:lang w:bidi="ar-SA"/>
        </w:rPr>
        <w:t xml:space="preserve">لى الودائع مقارنة بالزيادة في </w:t>
      </w:r>
      <w:r w:rsidRPr="007F795C">
        <w:rPr>
          <w:rFonts w:asciiTheme="minorBidi" w:hAnsiTheme="minorBidi" w:cs="Arial"/>
          <w:rtl/>
          <w:lang w:bidi="ar-SA"/>
        </w:rPr>
        <w:t xml:space="preserve">فائدة </w:t>
      </w:r>
      <w:r>
        <w:rPr>
          <w:rFonts w:asciiTheme="minorBidi" w:hAnsiTheme="minorBidi" w:cs="Arial" w:hint="cs"/>
          <w:rtl/>
          <w:lang w:bidi="ar-SA"/>
        </w:rPr>
        <w:t>البنك المركزي</w:t>
      </w:r>
      <w:r w:rsidRPr="007F795C">
        <w:rPr>
          <w:rFonts w:asciiTheme="minorBidi" w:hAnsiTheme="minorBidi" w:cs="Arial"/>
          <w:rtl/>
          <w:lang w:bidi="ar-SA"/>
        </w:rPr>
        <w:t xml:space="preserve"> في بداية دورة زيادة </w:t>
      </w:r>
      <w:r>
        <w:rPr>
          <w:rFonts w:asciiTheme="minorBidi" w:hAnsiTheme="minorBidi" w:cs="Arial" w:hint="cs"/>
          <w:rtl/>
          <w:lang w:bidi="ar-SA"/>
        </w:rPr>
        <w:t>أسعار</w:t>
      </w:r>
      <w:r w:rsidRPr="007F795C">
        <w:rPr>
          <w:rFonts w:asciiTheme="minorBidi" w:hAnsiTheme="minorBidi" w:cs="Arial"/>
          <w:rtl/>
          <w:lang w:bidi="ar-SA"/>
        </w:rPr>
        <w:t xml:space="preserve"> الفائدة (ظاهرة لا تقتصر على إسرائيل)، يتم تفسيره</w:t>
      </w:r>
      <w:r>
        <w:rPr>
          <w:rFonts w:asciiTheme="minorBidi" w:hAnsiTheme="minorBidi" w:cs="Arial" w:hint="cs"/>
          <w:rtl/>
          <w:lang w:bidi="ar-SA"/>
        </w:rPr>
        <w:t>ا</w:t>
      </w:r>
      <w:r w:rsidRPr="007F795C">
        <w:rPr>
          <w:rFonts w:asciiTheme="minorBidi" w:hAnsiTheme="minorBidi" w:cs="Arial"/>
          <w:rtl/>
          <w:lang w:bidi="ar-SA"/>
        </w:rPr>
        <w:t xml:space="preserve"> من بين أمور أخرى، من خلال عودة الفارق بين سعر الفائدة على الودائع وسعر الفائدة في البنك المركزي إلى النطاقات التي كانت سائدة ق</w:t>
      </w:r>
      <w:r>
        <w:rPr>
          <w:rFonts w:asciiTheme="minorBidi" w:hAnsiTheme="minorBidi" w:cs="Arial"/>
          <w:rtl/>
          <w:lang w:bidi="ar-SA"/>
        </w:rPr>
        <w:t>بل عصر أسعار الفائدة الصفرية وف</w:t>
      </w:r>
      <w:r w:rsidRPr="007F795C">
        <w:rPr>
          <w:rFonts w:asciiTheme="minorBidi" w:hAnsiTheme="minorBidi" w:cs="Arial"/>
          <w:rtl/>
          <w:lang w:bidi="ar-SA"/>
        </w:rPr>
        <w:t>ائض السيولة الكبير الت</w:t>
      </w:r>
      <w:r>
        <w:rPr>
          <w:rFonts w:asciiTheme="minorBidi" w:hAnsiTheme="minorBidi" w:cs="Arial"/>
          <w:rtl/>
          <w:lang w:bidi="ar-SA"/>
        </w:rPr>
        <w:t>ي كانت موجودة في النظام المصرفي</w:t>
      </w:r>
      <w:r w:rsidR="00724336" w:rsidRPr="007F795C">
        <w:rPr>
          <w:rFonts w:asciiTheme="minorBidi" w:hAnsiTheme="minorBidi" w:cstheme="minorBidi"/>
          <w:rtl/>
        </w:rPr>
        <w:t>.</w:t>
      </w:r>
      <w:r w:rsidR="009164B8" w:rsidRPr="007F795C">
        <w:rPr>
          <w:rStyle w:val="FootnoteReference"/>
          <w:rFonts w:asciiTheme="minorBidi" w:hAnsiTheme="minorBidi" w:cstheme="minorBidi"/>
          <w:rtl/>
        </w:rPr>
        <w:footnoteReference w:id="9"/>
      </w:r>
      <w:r w:rsidR="00724336" w:rsidRPr="007F795C">
        <w:rPr>
          <w:rFonts w:asciiTheme="minorBidi" w:hAnsiTheme="minorBidi" w:cstheme="minorBidi"/>
          <w:rtl/>
        </w:rPr>
        <w:t xml:space="preserve"> </w:t>
      </w:r>
    </w:p>
    <w:p w14:paraId="71D5468B" w14:textId="671F486F" w:rsidR="005E20BC" w:rsidRPr="007F795C" w:rsidRDefault="00466CEA" w:rsidP="00466CEA">
      <w:pPr>
        <w:spacing w:before="480" w:after="240"/>
        <w:rPr>
          <w:rFonts w:asciiTheme="minorBidi" w:hAnsiTheme="minorBidi" w:cstheme="minorBidi"/>
          <w:b/>
          <w:bCs/>
          <w:rtl/>
          <w:lang w:bidi="ar-SA"/>
        </w:rPr>
      </w:pPr>
      <w:r w:rsidRPr="007F795C">
        <w:rPr>
          <w:rFonts w:asciiTheme="minorBidi" w:hAnsiTheme="minorBidi" w:cs="Arial"/>
          <w:rtl/>
          <w:lang w:bidi="ar-SA"/>
        </w:rPr>
        <w:t xml:space="preserve">هناك </w:t>
      </w:r>
      <w:r>
        <w:rPr>
          <w:rFonts w:asciiTheme="minorBidi" w:hAnsiTheme="minorBidi" w:cs="Arial" w:hint="cs"/>
          <w:rtl/>
          <w:lang w:bidi="ar-SA"/>
        </w:rPr>
        <w:t>موضوع</w:t>
      </w:r>
      <w:r w:rsidRPr="007F795C">
        <w:rPr>
          <w:rFonts w:asciiTheme="minorBidi" w:hAnsiTheme="minorBidi" w:cs="Arial"/>
          <w:rtl/>
          <w:lang w:bidi="ar-SA"/>
        </w:rPr>
        <w:t xml:space="preserve"> آخر يأخذه البنك في الاعتبار عند إدارة أصوله </w:t>
      </w:r>
      <w:r>
        <w:rPr>
          <w:rFonts w:asciiTheme="minorBidi" w:hAnsiTheme="minorBidi" w:cs="Arial" w:hint="cs"/>
          <w:rtl/>
          <w:lang w:bidi="ar-SA"/>
        </w:rPr>
        <w:t>والتزاماته</w:t>
      </w:r>
      <w:r w:rsidRPr="007F795C">
        <w:rPr>
          <w:rFonts w:asciiTheme="minorBidi" w:hAnsiTheme="minorBidi" w:cs="Arial"/>
          <w:rtl/>
          <w:lang w:bidi="ar-SA"/>
        </w:rPr>
        <w:t xml:space="preserve"> وهو مخاطر أسعار الفائدة، أي المخاطر التي تنشأ من التغيرات المستقبلية المحتملة في أسعار الفائدة، والتي تؤثر على أرباح البنك، </w:t>
      </w:r>
      <w:r>
        <w:rPr>
          <w:rFonts w:asciiTheme="minorBidi" w:hAnsiTheme="minorBidi" w:cs="Arial" w:hint="cs"/>
          <w:rtl/>
          <w:lang w:bidi="ar-SA"/>
        </w:rPr>
        <w:t xml:space="preserve">وبالتالي </w:t>
      </w:r>
      <w:r w:rsidRPr="007F795C">
        <w:rPr>
          <w:rFonts w:asciiTheme="minorBidi" w:hAnsiTheme="minorBidi" w:cs="Arial"/>
          <w:rtl/>
          <w:lang w:bidi="ar-SA"/>
        </w:rPr>
        <w:t>على رأسماله أيضًا</w:t>
      </w:r>
      <w:r w:rsidR="000C6C72" w:rsidRPr="007F795C">
        <w:rPr>
          <w:rFonts w:asciiTheme="minorBidi" w:hAnsiTheme="minorBidi" w:cstheme="minorBidi"/>
          <w:rtl/>
        </w:rPr>
        <w:t>.</w:t>
      </w:r>
      <w:r w:rsidR="000C6C72" w:rsidRPr="007F795C">
        <w:rPr>
          <w:rStyle w:val="FootnoteReference"/>
          <w:rFonts w:asciiTheme="minorBidi" w:hAnsiTheme="minorBidi" w:cstheme="minorBidi"/>
          <w:rtl/>
        </w:rPr>
        <w:footnoteReference w:id="10"/>
      </w:r>
      <w:r w:rsidR="000C6C72" w:rsidRPr="007F795C">
        <w:rPr>
          <w:rFonts w:asciiTheme="minorBidi" w:hAnsiTheme="minorBidi" w:cstheme="minorBidi"/>
          <w:rtl/>
        </w:rPr>
        <w:t xml:space="preserve"> </w:t>
      </w:r>
      <w:r w:rsidR="007F795C" w:rsidRPr="007F795C">
        <w:rPr>
          <w:rFonts w:asciiTheme="minorBidi" w:hAnsiTheme="minorBidi" w:cs="Arial"/>
          <w:rtl/>
          <w:lang w:bidi="ar-SA"/>
        </w:rPr>
        <w:t xml:space="preserve">بشكل عام، تقوم البنوك بتسعير الودائع بمعدل فائدة متغير أو ثابت وفقًا لتوقعاتها فيما يتعلق ببيئة أسعار الفائدة. ولذلك يقوم البنك بتسعير الودائع التي يقدمها </w:t>
      </w:r>
      <w:r>
        <w:rPr>
          <w:rFonts w:asciiTheme="minorBidi" w:hAnsiTheme="minorBidi" w:cs="Arial" w:hint="cs"/>
          <w:rtl/>
          <w:lang w:bidi="ar-SA"/>
        </w:rPr>
        <w:t>لزبائنه</w:t>
      </w:r>
      <w:r w:rsidR="007F795C" w:rsidRPr="007F795C">
        <w:rPr>
          <w:rFonts w:asciiTheme="minorBidi" w:hAnsiTheme="minorBidi" w:cs="Arial"/>
          <w:rtl/>
          <w:lang w:bidi="ar-SA"/>
        </w:rPr>
        <w:t xml:space="preserve"> </w:t>
      </w:r>
      <w:r w:rsidR="00CF7C8C">
        <w:rPr>
          <w:rFonts w:asciiTheme="minorBidi" w:hAnsiTheme="minorBidi" w:cs="Arial" w:hint="cs"/>
          <w:rtl/>
          <w:lang w:bidi="ar-SA"/>
        </w:rPr>
        <w:t>بعد</w:t>
      </w:r>
      <w:r w:rsidR="007F795C" w:rsidRPr="007F795C">
        <w:rPr>
          <w:rFonts w:asciiTheme="minorBidi" w:hAnsiTheme="minorBidi" w:cs="Arial"/>
          <w:rtl/>
          <w:lang w:bidi="ar-SA"/>
        </w:rPr>
        <w:t xml:space="preserve"> فحص الأصول والالتزامات الموجودة في البنك واحتياجات السيولة المتوقعة </w:t>
      </w:r>
      <w:r>
        <w:rPr>
          <w:rFonts w:asciiTheme="minorBidi" w:hAnsiTheme="minorBidi" w:cs="Arial" w:hint="cs"/>
          <w:rtl/>
          <w:lang w:bidi="ar-SA"/>
        </w:rPr>
        <w:t>مستقبلياً</w:t>
      </w:r>
      <w:r w:rsidR="007F795C" w:rsidRPr="007F795C">
        <w:rPr>
          <w:rFonts w:asciiTheme="minorBidi" w:hAnsiTheme="minorBidi" w:cs="Arial"/>
          <w:rtl/>
          <w:lang w:bidi="ar-SA"/>
        </w:rPr>
        <w:t xml:space="preserve"> وتوقعات البنك </w:t>
      </w:r>
      <w:r>
        <w:rPr>
          <w:rFonts w:asciiTheme="minorBidi" w:hAnsiTheme="minorBidi" w:cs="Arial" w:hint="cs"/>
          <w:rtl/>
          <w:lang w:bidi="ar-SA"/>
        </w:rPr>
        <w:t xml:space="preserve">بشأن </w:t>
      </w:r>
      <w:r w:rsidR="007F795C" w:rsidRPr="007F795C">
        <w:rPr>
          <w:rFonts w:asciiTheme="minorBidi" w:hAnsiTheme="minorBidi" w:cs="Arial"/>
          <w:rtl/>
          <w:lang w:bidi="ar-SA"/>
        </w:rPr>
        <w:t xml:space="preserve">مؤشرات السوق </w:t>
      </w:r>
      <w:r>
        <w:rPr>
          <w:rFonts w:asciiTheme="minorBidi" w:hAnsiTheme="minorBidi" w:cs="Arial" w:hint="cs"/>
          <w:rtl/>
          <w:lang w:bidi="ar-SA"/>
        </w:rPr>
        <w:t>ذات الصلة</w:t>
      </w:r>
      <w:r w:rsidR="007F795C" w:rsidRPr="007F795C">
        <w:rPr>
          <w:rFonts w:asciiTheme="minorBidi" w:hAnsiTheme="minorBidi" w:cs="Arial"/>
          <w:rtl/>
          <w:lang w:bidi="ar-SA"/>
        </w:rPr>
        <w:t>.</w:t>
      </w:r>
    </w:p>
    <w:p w14:paraId="081D03C2" w14:textId="362AC85B" w:rsidR="00842409" w:rsidRPr="007F795C" w:rsidRDefault="009F5BAC" w:rsidP="00CF7C8C">
      <w:pPr>
        <w:spacing w:after="240"/>
        <w:rPr>
          <w:rFonts w:asciiTheme="minorBidi" w:hAnsiTheme="minorBidi" w:cstheme="minorBidi"/>
          <w:rtl/>
          <w:lang w:bidi="ar-SA"/>
        </w:rPr>
      </w:pPr>
      <w:r w:rsidRPr="007F795C">
        <w:rPr>
          <w:rFonts w:asciiTheme="minorBidi" w:hAnsiTheme="minorBidi" w:cstheme="minorBidi"/>
          <w:noProof/>
          <w:lang w:bidi="ar-SA"/>
        </w:rPr>
        <mc:AlternateContent>
          <mc:Choice Requires="wps">
            <w:drawing>
              <wp:anchor distT="0" distB="0" distL="114300" distR="114300" simplePos="0" relativeHeight="251697152" behindDoc="0" locked="0" layoutInCell="1" allowOverlap="1" wp14:anchorId="02B3CC30" wp14:editId="46ACF2C0">
                <wp:simplePos x="0" y="0"/>
                <wp:positionH relativeFrom="margin">
                  <wp:align>right</wp:align>
                </wp:positionH>
                <wp:positionV relativeFrom="paragraph">
                  <wp:posOffset>5445214</wp:posOffset>
                </wp:positionV>
                <wp:extent cx="3065928" cy="285750"/>
                <wp:effectExtent l="0" t="0" r="0" b="0"/>
                <wp:wrapNone/>
                <wp:docPr id="2" name="TextBox 1"/>
                <wp:cNvGraphicFramePr/>
                <a:graphic xmlns:a="http://schemas.openxmlformats.org/drawingml/2006/main">
                  <a:graphicData uri="http://schemas.microsoft.com/office/word/2010/wordprocessingShape">
                    <wps:wsp>
                      <wps:cNvSpPr txBox="1"/>
                      <wps:spPr>
                        <a:xfrm>
                          <a:off x="0" y="0"/>
                          <a:ext cx="3065928" cy="285750"/>
                        </a:xfrm>
                        <a:prstGeom prst="rect">
                          <a:avLst/>
                        </a:prstGeom>
                      </wps:spPr>
                      <wps:txbx>
                        <w:txbxContent>
                          <w:p w14:paraId="46D862CE" w14:textId="77777777" w:rsidR="009F5BAC" w:rsidRDefault="009F5BAC" w:rsidP="009F5BAC">
                            <w:pPr>
                              <w:pStyle w:val="NormalWeb"/>
                              <w:bidi/>
                              <w:spacing w:before="0" w:beforeAutospacing="0" w:after="0" w:afterAutospacing="0"/>
                            </w:pPr>
                            <w:r>
                              <w:rPr>
                                <w:rFonts w:ascii="Assistant" w:hAnsi="Assistant" w:cs="Assistant"/>
                                <w:b/>
                                <w:bCs/>
                                <w:sz w:val="20"/>
                                <w:szCs w:val="20"/>
                                <w:rtl/>
                              </w:rPr>
                              <w:t>המקור:</w:t>
                            </w:r>
                            <w:r>
                              <w:rPr>
                                <w:rFonts w:ascii="Assistant" w:hAnsi="Assistant" w:cs="Assistant"/>
                                <w:sz w:val="20"/>
                                <w:szCs w:val="20"/>
                                <w:rtl/>
                              </w:rPr>
                              <w:t xml:space="preserve"> דיווחים לפיקוח על הבנקים ועיבודי הפיקוח על הבנקים</w:t>
                            </w:r>
                          </w:p>
                        </w:txbxContent>
                      </wps:txbx>
                      <wps:bodyPr vertOverflow="clip" wrap="square" rtlCol="1"/>
                    </wps:wsp>
                  </a:graphicData>
                </a:graphic>
                <wp14:sizeRelH relativeFrom="margin">
                  <wp14:pctWidth>0</wp14:pctWidth>
                </wp14:sizeRelH>
              </wp:anchor>
            </w:drawing>
          </mc:Choice>
          <mc:Fallback>
            <w:pict>
              <v:shapetype w14:anchorId="02B3CC30" id="_x0000_t202" coordsize="21600,21600" o:spt="202" path="m,l,21600r21600,l21600,xe">
                <v:stroke joinstyle="miter"/>
                <v:path gradientshapeok="t" o:connecttype="rect"/>
              </v:shapetype>
              <v:shape id="TextBox 1" o:spid="_x0000_s1026" type="#_x0000_t202" style="position:absolute;left:0;text-align:left;margin-left:190.2pt;margin-top:428.75pt;width:241.4pt;height:22.5pt;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GpeQEAANgCAAAOAAAAZHJzL2Uyb0RvYy54bWysUsFOwzAMvSPxD1HurN3QxqjWTYIJLogh&#10;DT4gS5O1UlMHO1u7v8cNY0NwQ1zc2E6fn9/LbNG5WuwNUgVNLoeDVArTaCiqZpvLt9eHq6kUFFRT&#10;qBoak8uDIbmYX17MWp+ZEZRQFwYFgzSUtT6XZQg+SxLSpXGKBuBNw00L6FTgFLdJgapldFcnozSd&#10;JC1g4RG0IeLq8rMp5xHfWqPDyloyQdS5ZG4hRoxx08dkPlPZFpUvK32kof7Awqmq4aEnqKUKSuyw&#10;+gXlKo1AYMNAg0vA2kqbuANvM0x/bLMulTdxFxaH/Ekm+j9Y/bxf+xcUobuDjg3sBWk9ZcTFfp/O&#10;ouu/zFRwnyU8nGQzXRCai9fpZHw7YqM190bT8c046pqc//ZI4dGAE/0hl8i2RLXU/okCT+SrX1c4&#10;Oc/vT6HbdEdSGygOzJWfW1hxsDW0udR15aVo2cJc0vtOoZECQ30P7HhcJ+KxfHHM0eren+95nHp+&#10;kPMPAAAA//8DAFBLAwQUAAYACAAAACEA2kNJ9twAAAAIAQAADwAAAGRycy9kb3ducmV2LnhtbEyP&#10;QU+DQBCF7yb+h82YeLO7kqIUGRqj8aqxapPetjAFIjtL2G3Bf+94ssfJm7z3fcV6dr060Rg6zwi3&#10;CwOKuPJ1xw3C58fLTQYqRMu17T0Twg8FWJeXF4XNaz/xO502sVFSwiG3CG2MQ651qFpyNiz8QCzZ&#10;wY/ORjnHRtejnaTc9Tox5k4727EstHagp5aq783RIXy9HnbbpXlrnl06TH42mt1KI15fzY8PoCLN&#10;8f8Z/vAFHUph2vsj10H1CCISEbL0PgUl8TJLxGSPsDJJCros9LlA+QsAAP//AwBQSwECLQAUAAYA&#10;CAAAACEAtoM4kv4AAADhAQAAEwAAAAAAAAAAAAAAAAAAAAAAW0NvbnRlbnRfVHlwZXNdLnhtbFBL&#10;AQItABQABgAIAAAAIQA4/SH/1gAAAJQBAAALAAAAAAAAAAAAAAAAAC8BAABfcmVscy8ucmVsc1BL&#10;AQItABQABgAIAAAAIQDjfYGpeQEAANgCAAAOAAAAAAAAAAAAAAAAAC4CAABkcnMvZTJvRG9jLnht&#10;bFBLAQItABQABgAIAAAAIQDaQ0n23AAAAAgBAAAPAAAAAAAAAAAAAAAAANMDAABkcnMvZG93bnJl&#10;di54bWxQSwUGAAAAAAQABADzAAAA3AQAAAAA&#10;" filled="f" stroked="f">
                <v:textbox>
                  <w:txbxContent>
                    <w:p w14:paraId="46D862CE" w14:textId="77777777" w:rsidR="009F5BAC" w:rsidRDefault="009F5BAC" w:rsidP="009F5BAC">
                      <w:pPr>
                        <w:pStyle w:val="NormalWeb"/>
                        <w:bidi/>
                        <w:spacing w:before="0" w:beforeAutospacing="0" w:after="0" w:afterAutospacing="0"/>
                      </w:pPr>
                      <w:r>
                        <w:rPr>
                          <w:rFonts w:ascii="Assistant" w:hAnsi="Assistant" w:cs="Assistant"/>
                          <w:b/>
                          <w:bCs/>
                          <w:sz w:val="20"/>
                          <w:szCs w:val="20"/>
                          <w:rtl/>
                        </w:rPr>
                        <w:t>המקור:</w:t>
                      </w:r>
                      <w:r>
                        <w:rPr>
                          <w:rFonts w:ascii="Assistant" w:hAnsi="Assistant" w:cs="Assistant"/>
                          <w:sz w:val="20"/>
                          <w:szCs w:val="20"/>
                          <w:rtl/>
                        </w:rPr>
                        <w:t xml:space="preserve"> דיווחים לפיקוח על הבנקים ועיבודי הפיקוח על הבנקים</w:t>
                      </w:r>
                    </w:p>
                  </w:txbxContent>
                </v:textbox>
                <w10:wrap anchorx="margin"/>
              </v:shape>
            </w:pict>
          </mc:Fallback>
        </mc:AlternateContent>
      </w:r>
      <w:r w:rsidR="00466CEA" w:rsidRPr="007F795C">
        <w:rPr>
          <w:rFonts w:asciiTheme="minorBidi" w:hAnsiTheme="minorBidi" w:cs="Arial"/>
          <w:rtl/>
          <w:lang w:bidi="ar-SA"/>
        </w:rPr>
        <w:t xml:space="preserve">على خلفية الزيادة في سعر الفائدة في بنك إسرائيل اعتبارًا من </w:t>
      </w:r>
      <w:r w:rsidR="00466CEA">
        <w:rPr>
          <w:rFonts w:asciiTheme="minorBidi" w:hAnsiTheme="minorBidi" w:cs="Arial" w:hint="cs"/>
          <w:rtl/>
          <w:lang w:bidi="ar-SA"/>
        </w:rPr>
        <w:t>نيسان</w:t>
      </w:r>
      <w:r w:rsidR="00466CEA" w:rsidRPr="007F795C">
        <w:rPr>
          <w:rFonts w:asciiTheme="minorBidi" w:hAnsiTheme="minorBidi" w:cs="Arial"/>
          <w:rtl/>
          <w:lang w:bidi="ar-SA"/>
        </w:rPr>
        <w:t xml:space="preserve"> 2022 ونتيجة لذلك أيضًا في سعر الفائدة على الودائع، هناك حافز أكبر </w:t>
      </w:r>
      <w:r w:rsidR="00466CEA">
        <w:rPr>
          <w:rFonts w:asciiTheme="minorBidi" w:hAnsiTheme="minorBidi" w:cs="Arial" w:hint="cs"/>
          <w:rtl/>
          <w:lang w:bidi="ar-SA"/>
        </w:rPr>
        <w:t>لدى الزبائن</w:t>
      </w:r>
      <w:r w:rsidR="00466CEA" w:rsidRPr="007F795C">
        <w:rPr>
          <w:rFonts w:asciiTheme="minorBidi" w:hAnsiTheme="minorBidi" w:cs="Arial"/>
          <w:rtl/>
          <w:lang w:bidi="ar-SA"/>
        </w:rPr>
        <w:t xml:space="preserve"> </w:t>
      </w:r>
      <w:r w:rsidR="00466CEA">
        <w:rPr>
          <w:rFonts w:asciiTheme="minorBidi" w:hAnsiTheme="minorBidi" w:cs="Arial" w:hint="cs"/>
          <w:rtl/>
          <w:lang w:bidi="ar-SA"/>
        </w:rPr>
        <w:t>لحجز</w:t>
      </w:r>
      <w:r w:rsidR="00466CEA" w:rsidRPr="007F795C">
        <w:rPr>
          <w:rFonts w:asciiTheme="minorBidi" w:hAnsiTheme="minorBidi" w:cs="Arial"/>
          <w:rtl/>
          <w:lang w:bidi="ar-SA"/>
        </w:rPr>
        <w:t xml:space="preserve"> الأموال في الودائع لفترات زمنية مختلفة. كان أداء الودائع خلال العام 2023 مرتفعاً مقارنة بالسنوات الماضية، حيث بدأ هذا الارتفاع </w:t>
      </w:r>
      <w:r w:rsidR="00466CEA">
        <w:rPr>
          <w:rFonts w:asciiTheme="minorBidi" w:hAnsiTheme="minorBidi" w:cs="Arial" w:hint="cs"/>
          <w:rtl/>
          <w:lang w:bidi="ar-SA"/>
        </w:rPr>
        <w:t>فعلياً</w:t>
      </w:r>
      <w:r w:rsidR="00466CEA" w:rsidRPr="007F795C">
        <w:rPr>
          <w:rFonts w:asciiTheme="minorBidi" w:hAnsiTheme="minorBidi" w:cs="Arial"/>
          <w:rtl/>
          <w:lang w:bidi="ar-SA"/>
        </w:rPr>
        <w:t xml:space="preserve"> خلال النصف الثاني من العام 2022 (الشكل 2). وت</w:t>
      </w:r>
      <w:r w:rsidR="00466CEA">
        <w:rPr>
          <w:rFonts w:asciiTheme="minorBidi" w:hAnsiTheme="minorBidi" w:cs="Arial" w:hint="cs"/>
          <w:rtl/>
          <w:lang w:bidi="ar-SA"/>
        </w:rPr>
        <w:t>ميز</w:t>
      </w:r>
      <w:r w:rsidR="00466CEA" w:rsidRPr="007F795C">
        <w:rPr>
          <w:rFonts w:asciiTheme="minorBidi" w:hAnsiTheme="minorBidi" w:cs="Arial"/>
          <w:rtl/>
          <w:lang w:bidi="ar-SA"/>
        </w:rPr>
        <w:t xml:space="preserve"> أداء الودائع </w:t>
      </w:r>
      <w:r w:rsidR="00EB064B" w:rsidRPr="007F795C">
        <w:rPr>
          <w:rStyle w:val="FootnoteReference"/>
          <w:rFonts w:asciiTheme="minorBidi" w:hAnsiTheme="minorBidi" w:cstheme="minorBidi"/>
          <w:rtl/>
        </w:rPr>
        <w:footnoteReference w:id="11"/>
      </w:r>
      <w:r w:rsidR="00EB064B" w:rsidRPr="007F795C">
        <w:rPr>
          <w:rFonts w:asciiTheme="minorBidi" w:hAnsiTheme="minorBidi" w:cstheme="minorBidi"/>
          <w:rtl/>
        </w:rPr>
        <w:t xml:space="preserve"> </w:t>
      </w:r>
      <w:r w:rsidR="007F795C" w:rsidRPr="007F795C">
        <w:rPr>
          <w:rFonts w:asciiTheme="minorBidi" w:hAnsiTheme="minorBidi" w:cs="Arial"/>
          <w:rtl/>
          <w:lang w:bidi="ar-SA"/>
        </w:rPr>
        <w:t xml:space="preserve">في السنوات الخمس 2016 حتى 2021 التي سبقت رفع أسعار </w:t>
      </w:r>
      <w:r w:rsidR="007F795C" w:rsidRPr="007F795C">
        <w:rPr>
          <w:rFonts w:asciiTheme="minorBidi" w:hAnsiTheme="minorBidi" w:cs="Arial"/>
          <w:rtl/>
          <w:lang w:bidi="ar-SA"/>
        </w:rPr>
        <w:lastRenderedPageBreak/>
        <w:t xml:space="preserve">الفائدة </w:t>
      </w:r>
      <w:r w:rsidR="00466CEA">
        <w:rPr>
          <w:rFonts w:asciiTheme="minorBidi" w:hAnsiTheme="minorBidi" w:cs="Arial" w:hint="cs"/>
          <w:rtl/>
          <w:lang w:bidi="ar-SA"/>
        </w:rPr>
        <w:t>بتقلبات طفيفة بنحو</w:t>
      </w:r>
      <w:r w:rsidR="007F795C" w:rsidRPr="007F795C">
        <w:rPr>
          <w:rFonts w:asciiTheme="minorBidi" w:hAnsiTheme="minorBidi" w:cs="Arial"/>
          <w:rtl/>
          <w:lang w:bidi="ar-SA"/>
        </w:rPr>
        <w:t xml:space="preserve"> 1.7 تريليون شيكل سنوياً في </w:t>
      </w:r>
      <w:r w:rsidR="00466CEA">
        <w:rPr>
          <w:rFonts w:asciiTheme="minorBidi" w:hAnsiTheme="minorBidi" w:cs="Arial" w:hint="cs"/>
          <w:rtl/>
          <w:lang w:bidi="ar-SA"/>
        </w:rPr>
        <w:t>المعدل</w:t>
      </w:r>
      <w:r w:rsidR="007F795C" w:rsidRPr="007F795C">
        <w:rPr>
          <w:rFonts w:asciiTheme="minorBidi" w:hAnsiTheme="minorBidi" w:cs="Arial"/>
          <w:rtl/>
          <w:lang w:bidi="ar-SA"/>
        </w:rPr>
        <w:t>.</w:t>
      </w:r>
      <w:r w:rsidR="00EB064B" w:rsidRPr="007F795C">
        <w:rPr>
          <w:rFonts w:asciiTheme="minorBidi" w:hAnsiTheme="minorBidi" w:cstheme="minorBidi"/>
          <w:rtl/>
        </w:rPr>
        <w:t xml:space="preserve"> </w:t>
      </w:r>
      <w:r w:rsidR="007F795C" w:rsidRPr="007F795C">
        <w:rPr>
          <w:rFonts w:asciiTheme="minorBidi" w:hAnsiTheme="minorBidi" w:cs="Arial"/>
          <w:rtl/>
          <w:lang w:bidi="ar-SA"/>
        </w:rPr>
        <w:t xml:space="preserve">في عام 2023، </w:t>
      </w:r>
      <w:r w:rsidR="00466CEA">
        <w:rPr>
          <w:rFonts w:asciiTheme="minorBidi" w:hAnsiTheme="minorBidi" w:cs="Arial" w:hint="cs"/>
          <w:rtl/>
          <w:lang w:bidi="ar-SA"/>
        </w:rPr>
        <w:t>سجلت</w:t>
      </w:r>
      <w:r w:rsidR="007F795C" w:rsidRPr="007F795C">
        <w:rPr>
          <w:rFonts w:asciiTheme="minorBidi" w:hAnsiTheme="minorBidi" w:cs="Arial"/>
          <w:rtl/>
          <w:lang w:bidi="ar-SA"/>
        </w:rPr>
        <w:t xml:space="preserve"> الودائع </w:t>
      </w:r>
      <w:r w:rsidR="00466CEA">
        <w:rPr>
          <w:rFonts w:asciiTheme="minorBidi" w:hAnsiTheme="minorBidi" w:cs="Arial" w:hint="cs"/>
          <w:rtl/>
          <w:lang w:bidi="ar-SA"/>
        </w:rPr>
        <w:t xml:space="preserve">أداءاً </w:t>
      </w:r>
      <w:r w:rsidR="007F795C" w:rsidRPr="007F795C">
        <w:rPr>
          <w:rFonts w:asciiTheme="minorBidi" w:hAnsiTheme="minorBidi" w:cs="Arial"/>
          <w:rtl/>
          <w:lang w:bidi="ar-SA"/>
        </w:rPr>
        <w:t xml:space="preserve">بمبلغ 3.2 تريليون شيكل (بما في ذلك الودائع المتجددة)، بزيادة قدرها 24% في أداء الودائع </w:t>
      </w:r>
      <w:r w:rsidR="00466CEA">
        <w:rPr>
          <w:rFonts w:asciiTheme="minorBidi" w:hAnsiTheme="minorBidi" w:cs="Arial" w:hint="cs"/>
          <w:rtl/>
          <w:lang w:bidi="ar-SA"/>
        </w:rPr>
        <w:t xml:space="preserve">الإجمالي </w:t>
      </w:r>
      <w:r w:rsidR="007F795C" w:rsidRPr="007F795C">
        <w:rPr>
          <w:rFonts w:asciiTheme="minorBidi" w:hAnsiTheme="minorBidi" w:cs="Arial"/>
          <w:rtl/>
          <w:lang w:bidi="ar-SA"/>
        </w:rPr>
        <w:t>مقارنة بعام 2022، حيث تم تسجيل أداء</w:t>
      </w:r>
      <w:r w:rsidR="00466CEA">
        <w:rPr>
          <w:rFonts w:asciiTheme="minorBidi" w:hAnsiTheme="minorBidi" w:cs="Arial" w:hint="cs"/>
          <w:rtl/>
          <w:lang w:bidi="ar-SA"/>
        </w:rPr>
        <w:t xml:space="preserve"> بقيمة</w:t>
      </w:r>
      <w:r w:rsidR="007F795C" w:rsidRPr="007F795C">
        <w:rPr>
          <w:rFonts w:asciiTheme="minorBidi" w:hAnsiTheme="minorBidi" w:cs="Arial"/>
          <w:rtl/>
          <w:lang w:bidi="ar-SA"/>
        </w:rPr>
        <w:t xml:space="preserve"> 2.6 تريليون شيكل (بمعدل نمو 36% مقارنة </w:t>
      </w:r>
      <w:r w:rsidR="00466CEA">
        <w:rPr>
          <w:rFonts w:asciiTheme="minorBidi" w:hAnsiTheme="minorBidi" w:cs="Arial" w:hint="cs"/>
          <w:rtl/>
          <w:lang w:bidi="ar-SA"/>
        </w:rPr>
        <w:t>بعام</w:t>
      </w:r>
      <w:r w:rsidR="007F795C" w:rsidRPr="007F795C">
        <w:rPr>
          <w:rFonts w:asciiTheme="minorBidi" w:hAnsiTheme="minorBidi" w:cs="Arial"/>
          <w:rtl/>
          <w:lang w:bidi="ar-SA"/>
        </w:rPr>
        <w:t xml:space="preserve"> 2021). </w:t>
      </w:r>
      <w:r w:rsidR="00466CEA">
        <w:rPr>
          <w:rFonts w:asciiTheme="minorBidi" w:hAnsiTheme="minorBidi" w:cs="Arial" w:hint="cs"/>
          <w:rtl/>
          <w:lang w:bidi="ar-SA"/>
        </w:rPr>
        <w:t>وظهر</w:t>
      </w:r>
      <w:r w:rsidR="007F795C" w:rsidRPr="007F795C">
        <w:rPr>
          <w:rFonts w:asciiTheme="minorBidi" w:hAnsiTheme="minorBidi" w:cs="Arial"/>
          <w:rtl/>
          <w:lang w:bidi="ar-SA"/>
        </w:rPr>
        <w:t xml:space="preserve"> </w:t>
      </w:r>
      <w:r w:rsidR="00466CEA">
        <w:rPr>
          <w:rFonts w:asciiTheme="minorBidi" w:hAnsiTheme="minorBidi" w:cs="Arial" w:hint="cs"/>
          <w:rtl/>
          <w:lang w:bidi="ar-SA"/>
        </w:rPr>
        <w:t>نمط</w:t>
      </w:r>
      <w:r w:rsidR="007F795C" w:rsidRPr="007F795C">
        <w:rPr>
          <w:rFonts w:asciiTheme="minorBidi" w:hAnsiTheme="minorBidi" w:cs="Arial"/>
          <w:rtl/>
          <w:lang w:bidi="ar-SA"/>
        </w:rPr>
        <w:t xml:space="preserve"> مماثل </w:t>
      </w:r>
      <w:r w:rsidR="00466CEA">
        <w:rPr>
          <w:rFonts w:asciiTheme="minorBidi" w:hAnsiTheme="minorBidi" w:cs="Arial" w:hint="cs"/>
          <w:rtl/>
          <w:lang w:bidi="ar-SA"/>
        </w:rPr>
        <w:t>في قطاع الأسر</w:t>
      </w:r>
      <w:r w:rsidR="007F795C" w:rsidRPr="007F795C">
        <w:rPr>
          <w:rFonts w:asciiTheme="minorBidi" w:hAnsiTheme="minorBidi" w:cs="Arial"/>
          <w:rtl/>
          <w:lang w:bidi="ar-SA"/>
        </w:rPr>
        <w:t>. بين الأعوام 2016 و2021، تراوح إجمالي حجم أداء الودائع السنوي حول متوسط ​​ 370 مليار شيكل سنويًا</w:t>
      </w:r>
      <w:r w:rsidR="00466CEA">
        <w:rPr>
          <w:rFonts w:asciiTheme="minorBidi" w:hAnsiTheme="minorBidi" w:cs="Arial" w:hint="cs"/>
          <w:rtl/>
          <w:lang w:bidi="ar-SA"/>
        </w:rPr>
        <w:t xml:space="preserve"> تقريباً</w:t>
      </w:r>
      <w:r w:rsidR="007F795C" w:rsidRPr="007F795C">
        <w:rPr>
          <w:rFonts w:asciiTheme="minorBidi" w:hAnsiTheme="minorBidi" w:cs="Arial"/>
          <w:rtl/>
          <w:lang w:bidi="ar-SA"/>
        </w:rPr>
        <w:t xml:space="preserve">، دون تغيير </w:t>
      </w:r>
      <w:r w:rsidR="00466CEA">
        <w:rPr>
          <w:rFonts w:asciiTheme="minorBidi" w:hAnsiTheme="minorBidi" w:cs="Arial" w:hint="cs"/>
          <w:rtl/>
          <w:lang w:bidi="ar-SA"/>
        </w:rPr>
        <w:t>يذكر</w:t>
      </w:r>
      <w:r w:rsidR="007F795C" w:rsidRPr="007F795C">
        <w:rPr>
          <w:rFonts w:asciiTheme="minorBidi" w:hAnsiTheme="minorBidi" w:cs="Arial"/>
          <w:rtl/>
          <w:lang w:bidi="ar-SA"/>
        </w:rPr>
        <w:t xml:space="preserve"> من عام إلى آخر، بينما ارتفع بشكل حاد في عامي 2022 و2023 (حجم أداء</w:t>
      </w:r>
      <w:r w:rsidR="00466CEA">
        <w:rPr>
          <w:rFonts w:asciiTheme="minorBidi" w:hAnsiTheme="minorBidi" w:cs="Arial" w:hint="cs"/>
          <w:rtl/>
          <w:lang w:bidi="ar-SA"/>
        </w:rPr>
        <w:t xml:space="preserve"> بقيمة</w:t>
      </w:r>
      <w:r w:rsidR="007F795C" w:rsidRPr="007F795C">
        <w:rPr>
          <w:rFonts w:asciiTheme="minorBidi" w:hAnsiTheme="minorBidi" w:cs="Arial"/>
          <w:rtl/>
          <w:lang w:bidi="ar-SA"/>
        </w:rPr>
        <w:t xml:space="preserve"> 488 مليار شيكل و 595 مليار شيكل، بمعدل تغير سنوي</w:t>
      </w:r>
      <w:r w:rsidR="00466CEA">
        <w:rPr>
          <w:rFonts w:asciiTheme="minorBidi" w:hAnsiTheme="minorBidi" w:cs="Arial" w:hint="cs"/>
          <w:rtl/>
          <w:lang w:bidi="ar-SA"/>
        </w:rPr>
        <w:t xml:space="preserve"> بلغ</w:t>
      </w:r>
      <w:r w:rsidR="007F795C" w:rsidRPr="007F795C">
        <w:rPr>
          <w:rFonts w:asciiTheme="minorBidi" w:hAnsiTheme="minorBidi" w:cs="Arial"/>
          <w:rtl/>
          <w:lang w:bidi="ar-SA"/>
        </w:rPr>
        <w:t xml:space="preserve"> 36% و22% على التوالي</w:t>
      </w:r>
      <w:r w:rsidR="00466CEA">
        <w:rPr>
          <w:rFonts w:asciiTheme="minorBidi" w:hAnsiTheme="minorBidi" w:cs="Arial" w:hint="cs"/>
          <w:rtl/>
          <w:lang w:bidi="ar-SA"/>
        </w:rPr>
        <w:t>؛ الشكل 2)</w:t>
      </w:r>
    </w:p>
    <w:p w14:paraId="0B6A7A6F" w14:textId="22551278" w:rsidR="00704503" w:rsidRPr="007F795C" w:rsidRDefault="00854612" w:rsidP="00901506">
      <w:pPr>
        <w:spacing w:before="480" w:after="240"/>
        <w:rPr>
          <w:rFonts w:asciiTheme="minorBidi" w:hAnsiTheme="minorBidi" w:cstheme="minorBidi"/>
          <w:rtl/>
          <w:lang w:bidi="ar-SA"/>
        </w:rPr>
      </w:pPr>
      <w:r w:rsidRPr="007F795C">
        <w:rPr>
          <w:rFonts w:asciiTheme="minorBidi" w:hAnsiTheme="minorBidi" w:cstheme="minorBidi"/>
          <w:noProof/>
          <w:lang w:bidi="ar-SA"/>
        </w:rPr>
        <w:drawing>
          <wp:anchor distT="0" distB="0" distL="114300" distR="114300" simplePos="0" relativeHeight="251709440" behindDoc="0" locked="0" layoutInCell="1" allowOverlap="1" wp14:anchorId="615C2D57" wp14:editId="07B19A27">
            <wp:simplePos x="0" y="0"/>
            <wp:positionH relativeFrom="margin">
              <wp:align>right</wp:align>
            </wp:positionH>
            <wp:positionV relativeFrom="margin">
              <wp:align>top</wp:align>
            </wp:positionV>
            <wp:extent cx="5274310" cy="2753360"/>
            <wp:effectExtent l="0" t="0" r="2540" b="8890"/>
            <wp:wrapSquare wrapText="bothSides"/>
            <wp:docPr id="12" name="תרשים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66CEA" w:rsidRPr="007F795C">
        <w:rPr>
          <w:rFonts w:asciiTheme="minorBidi" w:hAnsiTheme="minorBidi" w:cs="Arial"/>
          <w:rtl/>
          <w:lang w:bidi="ar-SA"/>
        </w:rPr>
        <w:t>الغالبية المطل</w:t>
      </w:r>
      <w:r w:rsidR="00466CEA">
        <w:rPr>
          <w:rFonts w:asciiTheme="minorBidi" w:hAnsiTheme="minorBidi" w:cs="Arial"/>
          <w:rtl/>
          <w:lang w:bidi="ar-SA"/>
        </w:rPr>
        <w:t xml:space="preserve">قة من </w:t>
      </w:r>
      <w:r w:rsidR="00466CEA" w:rsidRPr="007F795C">
        <w:rPr>
          <w:rFonts w:asciiTheme="minorBidi" w:hAnsiTheme="minorBidi" w:cs="Arial"/>
          <w:rtl/>
          <w:lang w:bidi="ar-SA"/>
        </w:rPr>
        <w:t xml:space="preserve">ودائع </w:t>
      </w:r>
      <w:r w:rsidR="00466CEA">
        <w:rPr>
          <w:rFonts w:asciiTheme="minorBidi" w:hAnsiTheme="minorBidi" w:cs="Arial" w:hint="cs"/>
          <w:rtl/>
          <w:lang w:bidi="ar-SA"/>
        </w:rPr>
        <w:t>الجمهور</w:t>
      </w:r>
      <w:r w:rsidR="00466CEA" w:rsidRPr="007F795C">
        <w:rPr>
          <w:rFonts w:asciiTheme="minorBidi" w:hAnsiTheme="minorBidi" w:cs="Arial"/>
          <w:rtl/>
          <w:lang w:bidi="ar-SA"/>
        </w:rPr>
        <w:t xml:space="preserve"> </w:t>
      </w:r>
      <w:r w:rsidR="00466CEA">
        <w:rPr>
          <w:rFonts w:asciiTheme="minorBidi" w:hAnsiTheme="minorBidi" w:cs="Arial" w:hint="cs"/>
          <w:rtl/>
          <w:lang w:bidi="ar-SA"/>
        </w:rPr>
        <w:t>تعود</w:t>
      </w:r>
      <w:r w:rsidR="00466CEA" w:rsidRPr="007F795C">
        <w:rPr>
          <w:rFonts w:asciiTheme="minorBidi" w:hAnsiTheme="minorBidi" w:cs="Arial"/>
          <w:rtl/>
          <w:lang w:bidi="ar-SA"/>
        </w:rPr>
        <w:t xml:space="preserve"> للأسر،</w:t>
      </w:r>
      <w:r w:rsidR="00704503" w:rsidRPr="007F795C">
        <w:rPr>
          <w:rStyle w:val="FootnoteReference"/>
          <w:rFonts w:asciiTheme="minorBidi" w:hAnsiTheme="minorBidi" w:cstheme="minorBidi"/>
          <w:rtl/>
        </w:rPr>
        <w:footnoteReference w:id="12"/>
      </w:r>
      <w:r w:rsidR="00CF5BE9" w:rsidRPr="007F795C">
        <w:rPr>
          <w:rFonts w:asciiTheme="minorBidi" w:hAnsiTheme="minorBidi" w:cstheme="minorBidi"/>
          <w:rtl/>
        </w:rPr>
        <w:t xml:space="preserve"> </w:t>
      </w:r>
      <w:r w:rsidR="00466CEA" w:rsidRPr="007F795C">
        <w:rPr>
          <w:rFonts w:asciiTheme="minorBidi" w:hAnsiTheme="minorBidi" w:cs="Arial"/>
          <w:rtl/>
          <w:lang w:bidi="ar-SA"/>
        </w:rPr>
        <w:t xml:space="preserve">لكن </w:t>
      </w:r>
      <w:r w:rsidR="00466CEA">
        <w:rPr>
          <w:rFonts w:asciiTheme="minorBidi" w:hAnsiTheme="minorBidi" w:cs="Arial" w:hint="cs"/>
          <w:rtl/>
          <w:lang w:bidi="ar-SA"/>
        </w:rPr>
        <w:t>حجمها</w:t>
      </w:r>
      <w:r w:rsidR="00466CEA" w:rsidRPr="007F795C">
        <w:rPr>
          <w:rFonts w:asciiTheme="minorBidi" w:hAnsiTheme="minorBidi" w:cs="Arial"/>
          <w:rtl/>
          <w:lang w:bidi="ar-SA"/>
        </w:rPr>
        <w:t xml:space="preserve"> المالي ثانوي مقارنة بقطاعات النشاط الأخرى مثل قطاع الأعمال والهيئات المؤسسية. من بين عدد الودائع، تعتبر حصة الأسر هي الأعلى حيث وصلت في عام 2023 إلى حوالي 8.6 مليون وديعة</w:t>
      </w:r>
      <w:r w:rsidR="00466CEA" w:rsidRPr="007F795C">
        <w:rPr>
          <w:rStyle w:val="FootnoteReference"/>
          <w:rFonts w:asciiTheme="minorBidi" w:hAnsiTheme="minorBidi" w:cstheme="minorBidi"/>
          <w:rtl/>
        </w:rPr>
        <w:t xml:space="preserve"> </w:t>
      </w:r>
      <w:r w:rsidR="00CF5BE9" w:rsidRPr="007F795C">
        <w:rPr>
          <w:rStyle w:val="FootnoteReference"/>
          <w:rFonts w:asciiTheme="minorBidi" w:hAnsiTheme="minorBidi" w:cstheme="minorBidi"/>
          <w:rtl/>
        </w:rPr>
        <w:footnoteReference w:id="13"/>
      </w:r>
      <w:r w:rsidR="00CF5BE9" w:rsidRPr="007F795C">
        <w:rPr>
          <w:rFonts w:asciiTheme="minorBidi" w:hAnsiTheme="minorBidi" w:cstheme="minorBidi"/>
          <w:rtl/>
        </w:rPr>
        <w:t xml:space="preserve"> </w:t>
      </w:r>
      <w:r w:rsidR="00466CEA">
        <w:rPr>
          <w:rFonts w:asciiTheme="minorBidi" w:hAnsiTheme="minorBidi" w:cs="Arial" w:hint="cs"/>
          <w:rtl/>
          <w:lang w:bidi="ar-SA"/>
        </w:rPr>
        <w:t>شكلت</w:t>
      </w:r>
      <w:r w:rsidR="00466CEA">
        <w:rPr>
          <w:rFonts w:asciiTheme="minorBidi" w:hAnsiTheme="minorBidi" w:cs="Arial"/>
          <w:rtl/>
          <w:lang w:bidi="ar-SA"/>
        </w:rPr>
        <w:t xml:space="preserve"> حوالي 79٪ من إجمالي مبلغ </w:t>
      </w:r>
      <w:r w:rsidR="007F795C" w:rsidRPr="007F795C">
        <w:rPr>
          <w:rFonts w:asciiTheme="minorBidi" w:hAnsiTheme="minorBidi" w:cs="Arial"/>
          <w:rtl/>
          <w:lang w:bidi="ar-SA"/>
        </w:rPr>
        <w:t xml:space="preserve">ودائع </w:t>
      </w:r>
      <w:r w:rsidR="00466CEA">
        <w:rPr>
          <w:rFonts w:asciiTheme="minorBidi" w:hAnsiTheme="minorBidi" w:cs="Arial" w:hint="cs"/>
          <w:rtl/>
          <w:lang w:bidi="ar-SA"/>
        </w:rPr>
        <w:t>الجمهور</w:t>
      </w:r>
      <w:r w:rsidR="007F795C" w:rsidRPr="007F795C">
        <w:rPr>
          <w:rFonts w:asciiTheme="minorBidi" w:hAnsiTheme="minorBidi" w:cs="Arial"/>
          <w:rtl/>
          <w:lang w:bidi="ar-SA"/>
        </w:rPr>
        <w:t xml:space="preserve"> </w:t>
      </w:r>
      <w:r w:rsidR="00466CEA">
        <w:rPr>
          <w:rFonts w:asciiTheme="minorBidi" w:hAnsiTheme="minorBidi" w:cs="Arial" w:hint="cs"/>
          <w:rtl/>
          <w:lang w:bidi="ar-SA"/>
        </w:rPr>
        <w:t>المسجلة</w:t>
      </w:r>
      <w:r w:rsidR="007F795C" w:rsidRPr="007F795C">
        <w:rPr>
          <w:rFonts w:asciiTheme="minorBidi" w:hAnsiTheme="minorBidi" w:cs="Arial"/>
          <w:rtl/>
          <w:lang w:bidi="ar-SA"/>
        </w:rPr>
        <w:t xml:space="preserve"> خلال العام.</w:t>
      </w:r>
      <w:r w:rsidR="00CF5BE9" w:rsidRPr="007F795C">
        <w:rPr>
          <w:rFonts w:asciiTheme="minorBidi" w:hAnsiTheme="minorBidi" w:cstheme="minorBidi"/>
          <w:rtl/>
        </w:rPr>
        <w:t xml:space="preserve"> </w:t>
      </w:r>
      <w:r w:rsidR="007F795C" w:rsidRPr="007F795C">
        <w:rPr>
          <w:rFonts w:asciiTheme="minorBidi" w:hAnsiTheme="minorBidi" w:cs="Arial"/>
          <w:rtl/>
          <w:lang w:bidi="ar-SA"/>
        </w:rPr>
        <w:t xml:space="preserve">من ناحية أخرى، يشكل </w:t>
      </w:r>
      <w:r w:rsidR="00901506">
        <w:rPr>
          <w:rFonts w:asciiTheme="minorBidi" w:hAnsiTheme="minorBidi" w:cs="Arial" w:hint="cs"/>
          <w:rtl/>
          <w:lang w:bidi="ar-SA"/>
        </w:rPr>
        <w:t>الحجم</w:t>
      </w:r>
      <w:r w:rsidR="007F795C" w:rsidRPr="007F795C">
        <w:rPr>
          <w:rFonts w:asciiTheme="minorBidi" w:hAnsiTheme="minorBidi" w:cs="Arial"/>
          <w:rtl/>
          <w:lang w:bidi="ar-SA"/>
        </w:rPr>
        <w:t xml:space="preserve"> المالي الإجمالي لأداء ودائع الأسر نحو 16% فقط من إجمالي </w:t>
      </w:r>
      <w:r w:rsidR="00901506">
        <w:rPr>
          <w:rFonts w:asciiTheme="minorBidi" w:hAnsiTheme="minorBidi" w:cs="Arial" w:hint="cs"/>
          <w:rtl/>
          <w:lang w:bidi="ar-SA"/>
        </w:rPr>
        <w:t>حجم</w:t>
      </w:r>
      <w:r w:rsidR="007F795C" w:rsidRPr="007F795C">
        <w:rPr>
          <w:rFonts w:asciiTheme="minorBidi" w:hAnsiTheme="minorBidi" w:cs="Arial"/>
          <w:rtl/>
          <w:lang w:bidi="ar-SA"/>
        </w:rPr>
        <w:t xml:space="preserve"> </w:t>
      </w:r>
      <w:r w:rsidR="00901506">
        <w:rPr>
          <w:rFonts w:asciiTheme="minorBidi" w:hAnsiTheme="minorBidi" w:cs="Arial" w:hint="cs"/>
          <w:rtl/>
          <w:lang w:bidi="ar-SA"/>
        </w:rPr>
        <w:t>ا</w:t>
      </w:r>
      <w:r w:rsidR="007F795C" w:rsidRPr="007F795C">
        <w:rPr>
          <w:rFonts w:asciiTheme="minorBidi" w:hAnsiTheme="minorBidi" w:cs="Arial"/>
          <w:rtl/>
          <w:lang w:bidi="ar-SA"/>
        </w:rPr>
        <w:t xml:space="preserve">لأداء </w:t>
      </w:r>
      <w:r w:rsidR="00901506">
        <w:rPr>
          <w:rFonts w:asciiTheme="minorBidi" w:hAnsiTheme="minorBidi" w:cs="Arial" w:hint="cs"/>
          <w:rtl/>
          <w:lang w:bidi="ar-SA"/>
        </w:rPr>
        <w:t xml:space="preserve">لودائع </w:t>
      </w:r>
      <w:r w:rsidR="007F795C" w:rsidRPr="007F795C">
        <w:rPr>
          <w:rFonts w:asciiTheme="minorBidi" w:hAnsiTheme="minorBidi" w:cs="Arial"/>
          <w:rtl/>
          <w:lang w:bidi="ar-SA"/>
        </w:rPr>
        <w:t>الجمهور. أي أن معظم الودائع مملوكة للأسر، لكنها في المتوسط ​​ودائع صغيرة مقارنة ب</w:t>
      </w:r>
      <w:r w:rsidR="00901506">
        <w:rPr>
          <w:rFonts w:asciiTheme="minorBidi" w:hAnsiTheme="minorBidi" w:cs="Arial" w:hint="cs"/>
          <w:rtl/>
          <w:lang w:bidi="ar-SA"/>
        </w:rPr>
        <w:t>ال</w:t>
      </w:r>
      <w:r w:rsidR="007F795C" w:rsidRPr="007F795C">
        <w:rPr>
          <w:rFonts w:asciiTheme="minorBidi" w:hAnsiTheme="minorBidi" w:cs="Arial"/>
          <w:rtl/>
          <w:lang w:bidi="ar-SA"/>
        </w:rPr>
        <w:t>قطاعات</w:t>
      </w:r>
      <w:r w:rsidR="00901506">
        <w:rPr>
          <w:rFonts w:asciiTheme="minorBidi" w:hAnsiTheme="minorBidi" w:cs="Arial" w:hint="cs"/>
          <w:rtl/>
          <w:lang w:bidi="ar-SA"/>
        </w:rPr>
        <w:t xml:space="preserve"> الأخرى</w:t>
      </w:r>
      <w:r w:rsidR="007F795C" w:rsidRPr="007F795C">
        <w:rPr>
          <w:rFonts w:asciiTheme="minorBidi" w:hAnsiTheme="minorBidi" w:cs="Arial"/>
          <w:rtl/>
          <w:lang w:bidi="ar-SA"/>
        </w:rPr>
        <w:t xml:space="preserve"> (الأعمال).</w:t>
      </w:r>
    </w:p>
    <w:p w14:paraId="0EE7B8D0" w14:textId="34DC925C" w:rsidR="00200237" w:rsidRPr="007F795C" w:rsidRDefault="00667B2D" w:rsidP="00854612">
      <w:pPr>
        <w:spacing w:after="240"/>
        <w:rPr>
          <w:rFonts w:asciiTheme="minorBidi" w:hAnsiTheme="minorBidi" w:cstheme="minorBidi"/>
          <w:rtl/>
          <w:lang w:bidi="ar-SA"/>
        </w:rPr>
      </w:pPr>
      <w:r w:rsidRPr="00667B2D">
        <w:rPr>
          <w:rFonts w:asciiTheme="minorBidi" w:hAnsiTheme="minorBidi" w:cs="Arial"/>
          <w:rtl/>
          <w:lang w:bidi="ar-SA"/>
        </w:rPr>
        <w:t>على</w:t>
      </w:r>
      <w:r w:rsidRPr="007F795C">
        <w:rPr>
          <w:rFonts w:asciiTheme="minorBidi" w:hAnsiTheme="minorBidi" w:cs="Arial"/>
          <w:rtl/>
          <w:lang w:bidi="ar-SA"/>
        </w:rPr>
        <w:t xml:space="preserve"> خلفية ارتفاع الفوائد المدفوعة على الودائع، ارتفعت نسبة الودائع التي تدر فوائد </w:t>
      </w:r>
      <w:r w:rsidR="00200237" w:rsidRPr="007F795C">
        <w:rPr>
          <w:rStyle w:val="FootnoteReference"/>
          <w:rFonts w:asciiTheme="minorBidi" w:hAnsiTheme="minorBidi" w:cstheme="minorBidi"/>
          <w:rtl/>
        </w:rPr>
        <w:footnoteReference w:id="14"/>
      </w:r>
      <w:r w:rsidR="00200237" w:rsidRPr="007F795C">
        <w:rPr>
          <w:rFonts w:asciiTheme="minorBidi" w:hAnsiTheme="minorBidi" w:cstheme="minorBidi"/>
          <w:rtl/>
        </w:rPr>
        <w:t xml:space="preserve"> </w:t>
      </w:r>
      <w:r w:rsidR="007F795C" w:rsidRPr="007F795C">
        <w:rPr>
          <w:rFonts w:asciiTheme="minorBidi" w:hAnsiTheme="minorBidi" w:cs="Arial"/>
          <w:rtl/>
          <w:lang w:bidi="ar-SA"/>
        </w:rPr>
        <w:t xml:space="preserve">من إجمالي رصيد الودائع الخاصة (الشكل 3). في الفترة ما بين شهري </w:t>
      </w:r>
      <w:r>
        <w:rPr>
          <w:rFonts w:asciiTheme="minorBidi" w:hAnsiTheme="minorBidi" w:cs="Arial" w:hint="cs"/>
          <w:rtl/>
          <w:lang w:bidi="ar-SA"/>
        </w:rPr>
        <w:t>آذار</w:t>
      </w:r>
      <w:r w:rsidR="007F795C" w:rsidRPr="007F795C">
        <w:rPr>
          <w:rFonts w:asciiTheme="minorBidi" w:hAnsiTheme="minorBidi" w:cs="Arial"/>
          <w:rtl/>
          <w:lang w:bidi="ar-SA"/>
        </w:rPr>
        <w:t xml:space="preserve"> 2023 </w:t>
      </w:r>
      <w:r>
        <w:rPr>
          <w:rFonts w:asciiTheme="minorBidi" w:hAnsiTheme="minorBidi" w:cs="Arial" w:hint="cs"/>
          <w:rtl/>
          <w:lang w:bidi="ar-SA"/>
        </w:rPr>
        <w:t>وأيلول</w:t>
      </w:r>
      <w:r w:rsidR="007F795C" w:rsidRPr="007F795C">
        <w:rPr>
          <w:rFonts w:asciiTheme="minorBidi" w:hAnsiTheme="minorBidi" w:cs="Arial"/>
          <w:rtl/>
          <w:lang w:bidi="ar-SA"/>
        </w:rPr>
        <w:t xml:space="preserve"> 2023، كانت هناك زيادة </w:t>
      </w:r>
      <w:r>
        <w:rPr>
          <w:rFonts w:asciiTheme="minorBidi" w:hAnsiTheme="minorBidi" w:cs="Arial" w:hint="cs"/>
          <w:rtl/>
          <w:lang w:bidi="ar-SA"/>
        </w:rPr>
        <w:t>ثابتة</w:t>
      </w:r>
      <w:r w:rsidR="007F795C" w:rsidRPr="007F795C">
        <w:rPr>
          <w:rFonts w:asciiTheme="minorBidi" w:hAnsiTheme="minorBidi" w:cs="Arial"/>
          <w:rtl/>
          <w:lang w:bidi="ar-SA"/>
        </w:rPr>
        <w:t xml:space="preserve"> في هذا المعدل من 52.6% إلى 58.6%، حيث </w:t>
      </w:r>
      <w:r>
        <w:rPr>
          <w:rFonts w:asciiTheme="minorBidi" w:hAnsiTheme="minorBidi" w:cs="Arial" w:hint="cs"/>
          <w:rtl/>
          <w:lang w:bidi="ar-SA"/>
        </w:rPr>
        <w:t>أتت</w:t>
      </w:r>
      <w:r w:rsidR="007F795C" w:rsidRPr="007F795C">
        <w:rPr>
          <w:rFonts w:asciiTheme="minorBidi" w:hAnsiTheme="minorBidi" w:cs="Arial"/>
          <w:rtl/>
          <w:lang w:bidi="ar-SA"/>
        </w:rPr>
        <w:t xml:space="preserve"> بعض الأموال المودعة من قبل الجمهور في ودائع </w:t>
      </w:r>
      <w:r>
        <w:rPr>
          <w:rFonts w:asciiTheme="minorBidi" w:hAnsiTheme="minorBidi" w:cs="Arial" w:hint="cs"/>
          <w:rtl/>
          <w:lang w:bidi="ar-SA"/>
        </w:rPr>
        <w:t xml:space="preserve">تحمل </w:t>
      </w:r>
      <w:r w:rsidR="007F795C" w:rsidRPr="007F795C">
        <w:rPr>
          <w:rFonts w:asciiTheme="minorBidi" w:hAnsiTheme="minorBidi" w:cs="Arial"/>
          <w:rtl/>
          <w:lang w:bidi="ar-SA"/>
        </w:rPr>
        <w:t xml:space="preserve">فائدة </w:t>
      </w:r>
      <w:r>
        <w:rPr>
          <w:rFonts w:asciiTheme="minorBidi" w:hAnsiTheme="minorBidi" w:cs="Arial" w:hint="cs"/>
          <w:rtl/>
          <w:lang w:bidi="ar-SA"/>
        </w:rPr>
        <w:t>من</w:t>
      </w:r>
      <w:r w:rsidR="007F795C" w:rsidRPr="007F795C">
        <w:rPr>
          <w:rFonts w:asciiTheme="minorBidi" w:hAnsiTheme="minorBidi" w:cs="Arial"/>
          <w:rtl/>
          <w:lang w:bidi="ar-SA"/>
        </w:rPr>
        <w:t xml:space="preserve"> </w:t>
      </w:r>
      <w:r w:rsidR="00224D69">
        <w:rPr>
          <w:rFonts w:asciiTheme="minorBidi" w:hAnsiTheme="minorBidi" w:cs="Arial" w:hint="cs"/>
          <w:rtl/>
          <w:lang w:bidi="ar-SA"/>
        </w:rPr>
        <w:t>تجاوز</w:t>
      </w:r>
      <w:r w:rsidR="007F795C" w:rsidRPr="007F795C">
        <w:rPr>
          <w:rFonts w:asciiTheme="minorBidi" w:hAnsiTheme="minorBidi" w:cs="Arial"/>
          <w:rtl/>
          <w:lang w:bidi="ar-SA"/>
        </w:rPr>
        <w:t xml:space="preserve"> أرصدة الحسابات الجارية.</w:t>
      </w:r>
      <w:r w:rsidR="007F795C">
        <w:rPr>
          <w:rFonts w:asciiTheme="minorBidi" w:hAnsiTheme="minorBidi" w:cs="Arial" w:hint="cs"/>
          <w:rtl/>
          <w:lang w:bidi="ar-SA"/>
        </w:rPr>
        <w:t xml:space="preserve"> </w:t>
      </w:r>
      <w:r w:rsidR="00224D69">
        <w:rPr>
          <w:rFonts w:asciiTheme="minorBidi" w:hAnsiTheme="minorBidi" w:cs="Arial" w:hint="cs"/>
          <w:rtl/>
          <w:lang w:bidi="ar-SA"/>
        </w:rPr>
        <w:t>ابتداءً من شهر أيلول</w:t>
      </w:r>
      <w:r w:rsidR="007F795C" w:rsidRPr="007F795C">
        <w:rPr>
          <w:rFonts w:asciiTheme="minorBidi" w:hAnsiTheme="minorBidi" w:cs="Arial"/>
          <w:rtl/>
          <w:lang w:bidi="ar-SA"/>
        </w:rPr>
        <w:t xml:space="preserve"> 2023 </w:t>
      </w:r>
      <w:r w:rsidR="00224D69">
        <w:rPr>
          <w:rFonts w:asciiTheme="minorBidi" w:hAnsiTheme="minorBidi" w:cs="Arial" w:hint="cs"/>
          <w:rtl/>
          <w:lang w:bidi="ar-SA"/>
        </w:rPr>
        <w:t>وحتى شباط</w:t>
      </w:r>
      <w:r w:rsidR="007F795C" w:rsidRPr="007F795C">
        <w:rPr>
          <w:rFonts w:asciiTheme="minorBidi" w:hAnsiTheme="minorBidi" w:cs="Arial"/>
          <w:rtl/>
          <w:lang w:bidi="ar-SA"/>
        </w:rPr>
        <w:t xml:space="preserve"> 2024، </w:t>
      </w:r>
      <w:r w:rsidR="00224D69">
        <w:rPr>
          <w:rFonts w:asciiTheme="minorBidi" w:hAnsiTheme="minorBidi" w:cs="Arial" w:hint="cs"/>
          <w:rtl/>
          <w:lang w:bidi="ar-SA"/>
        </w:rPr>
        <w:t>طرأت</w:t>
      </w:r>
      <w:r w:rsidR="007F795C" w:rsidRPr="007F795C">
        <w:rPr>
          <w:rFonts w:asciiTheme="minorBidi" w:hAnsiTheme="minorBidi" w:cs="Arial"/>
          <w:rtl/>
          <w:lang w:bidi="ar-SA"/>
        </w:rPr>
        <w:t xml:space="preserve"> زيادة </w:t>
      </w:r>
      <w:r w:rsidR="007F795C" w:rsidRPr="007F795C">
        <w:rPr>
          <w:rFonts w:asciiTheme="minorBidi" w:hAnsiTheme="minorBidi" w:cs="Arial"/>
          <w:rtl/>
          <w:lang w:bidi="ar-SA"/>
        </w:rPr>
        <w:lastRenderedPageBreak/>
        <w:t>أكثر اعتدالا</w:t>
      </w:r>
      <w:r w:rsidR="00224D69">
        <w:rPr>
          <w:rFonts w:asciiTheme="minorBidi" w:hAnsiTheme="minorBidi" w:cs="Arial" w:hint="cs"/>
          <w:rtl/>
          <w:lang w:bidi="ar-SA"/>
        </w:rPr>
        <w:t>ً</w:t>
      </w:r>
      <w:r w:rsidR="007F795C" w:rsidRPr="007F795C">
        <w:rPr>
          <w:rFonts w:asciiTheme="minorBidi" w:hAnsiTheme="minorBidi" w:cs="Arial"/>
          <w:rtl/>
          <w:lang w:bidi="ar-SA"/>
        </w:rPr>
        <w:t xml:space="preserve"> </w:t>
      </w:r>
      <w:r w:rsidR="00224D69">
        <w:rPr>
          <w:rFonts w:asciiTheme="minorBidi" w:hAnsiTheme="minorBidi" w:cs="Arial" w:hint="cs"/>
          <w:rtl/>
          <w:lang w:bidi="ar-SA"/>
        </w:rPr>
        <w:t>على</w:t>
      </w:r>
      <w:r w:rsidR="007F795C" w:rsidRPr="007F795C">
        <w:rPr>
          <w:rFonts w:asciiTheme="minorBidi" w:hAnsiTheme="minorBidi" w:cs="Arial"/>
          <w:rtl/>
          <w:lang w:bidi="ar-SA"/>
        </w:rPr>
        <w:t xml:space="preserve"> الودائع ذات الفائدة إلى 59.1%، </w:t>
      </w:r>
      <w:r w:rsidR="00224D69">
        <w:rPr>
          <w:rFonts w:asciiTheme="minorBidi" w:hAnsiTheme="minorBidi" w:cs="Arial" w:hint="cs"/>
          <w:rtl/>
          <w:lang w:bidi="ar-SA"/>
        </w:rPr>
        <w:t>حيث نجم</w:t>
      </w:r>
      <w:r w:rsidR="007F795C" w:rsidRPr="007F795C">
        <w:rPr>
          <w:rFonts w:asciiTheme="minorBidi" w:hAnsiTheme="minorBidi" w:cs="Arial"/>
          <w:rtl/>
          <w:lang w:bidi="ar-SA"/>
        </w:rPr>
        <w:t xml:space="preserve"> اعتدال الزيادة على ما يبدو </w:t>
      </w:r>
      <w:r w:rsidR="00224D69">
        <w:rPr>
          <w:rFonts w:asciiTheme="minorBidi" w:hAnsiTheme="minorBidi" w:cs="Arial" w:hint="cs"/>
          <w:rtl/>
          <w:lang w:bidi="ar-SA"/>
        </w:rPr>
        <w:t>من</w:t>
      </w:r>
      <w:r w:rsidR="007F795C" w:rsidRPr="007F795C">
        <w:rPr>
          <w:rFonts w:asciiTheme="minorBidi" w:hAnsiTheme="minorBidi" w:cs="Arial"/>
          <w:rtl/>
          <w:lang w:bidi="ar-SA"/>
        </w:rPr>
        <w:t xml:space="preserve"> </w:t>
      </w:r>
      <w:r w:rsidR="00224D69">
        <w:rPr>
          <w:rFonts w:asciiTheme="minorBidi" w:hAnsiTheme="minorBidi" w:cs="Arial" w:hint="cs"/>
          <w:rtl/>
          <w:lang w:bidi="ar-SA"/>
        </w:rPr>
        <w:t>تأثيرات</w:t>
      </w:r>
      <w:r w:rsidR="007F795C" w:rsidRPr="007F795C">
        <w:rPr>
          <w:rFonts w:asciiTheme="minorBidi" w:hAnsiTheme="minorBidi" w:cs="Arial"/>
          <w:rtl/>
          <w:lang w:bidi="ar-SA"/>
        </w:rPr>
        <w:t xml:space="preserve"> الحرب. </w:t>
      </w:r>
      <w:r w:rsidR="00224D69">
        <w:rPr>
          <w:rFonts w:asciiTheme="minorBidi" w:hAnsiTheme="minorBidi" w:cs="Arial" w:hint="cs"/>
          <w:rtl/>
          <w:lang w:bidi="ar-SA"/>
        </w:rPr>
        <w:t>ي</w:t>
      </w:r>
      <w:r w:rsidR="007F795C" w:rsidRPr="007F795C">
        <w:rPr>
          <w:rFonts w:asciiTheme="minorBidi" w:hAnsiTheme="minorBidi" w:cs="Arial"/>
          <w:rtl/>
          <w:lang w:bidi="ar-SA"/>
        </w:rPr>
        <w:t xml:space="preserve">شمل </w:t>
      </w:r>
      <w:r w:rsidR="00224D69">
        <w:rPr>
          <w:rFonts w:asciiTheme="minorBidi" w:hAnsiTheme="minorBidi" w:cs="Arial" w:hint="cs"/>
          <w:rtl/>
          <w:lang w:bidi="ar-SA"/>
        </w:rPr>
        <w:t>ذلك</w:t>
      </w:r>
      <w:r w:rsidR="007F795C" w:rsidRPr="007F795C">
        <w:rPr>
          <w:rFonts w:asciiTheme="minorBidi" w:hAnsiTheme="minorBidi" w:cs="Arial"/>
          <w:rtl/>
          <w:lang w:bidi="ar-SA"/>
        </w:rPr>
        <w:t xml:space="preserve"> الزيادة في إجمالي عدد ودائع </w:t>
      </w:r>
      <w:r w:rsidR="00224D69">
        <w:rPr>
          <w:rFonts w:asciiTheme="minorBidi" w:hAnsiTheme="minorBidi" w:cs="Arial" w:hint="cs"/>
          <w:rtl/>
          <w:lang w:bidi="ar-SA"/>
        </w:rPr>
        <w:t>الجمهور</w:t>
      </w:r>
      <w:r w:rsidR="007F795C" w:rsidRPr="007F795C">
        <w:rPr>
          <w:rFonts w:asciiTheme="minorBidi" w:hAnsiTheme="minorBidi" w:cs="Arial"/>
          <w:rtl/>
          <w:lang w:bidi="ar-SA"/>
        </w:rPr>
        <w:t xml:space="preserve"> بسبب التوسعات المالية (زيادة الإنفاق الحكومي بعد الحرب)</w:t>
      </w:r>
      <w:r w:rsidR="00224D69">
        <w:rPr>
          <w:rFonts w:asciiTheme="minorBidi" w:hAnsiTheme="minorBidi" w:cs="Arial" w:hint="cs"/>
          <w:rtl/>
          <w:lang w:bidi="ar-SA"/>
        </w:rPr>
        <w:t>،</w:t>
      </w:r>
      <w:r w:rsidR="007F795C" w:rsidRPr="007F795C">
        <w:rPr>
          <w:rFonts w:asciiTheme="minorBidi" w:hAnsiTheme="minorBidi" w:cs="Arial"/>
          <w:rtl/>
          <w:lang w:bidi="ar-SA"/>
        </w:rPr>
        <w:t xml:space="preserve"> و</w:t>
      </w:r>
      <w:r w:rsidR="00224D69">
        <w:rPr>
          <w:rFonts w:asciiTheme="minorBidi" w:hAnsiTheme="minorBidi" w:cs="Arial" w:hint="cs"/>
          <w:rtl/>
          <w:lang w:bidi="ar-SA"/>
        </w:rPr>
        <w:t xml:space="preserve">قد تكون </w:t>
      </w:r>
      <w:r w:rsidR="007F795C" w:rsidRPr="007F795C">
        <w:rPr>
          <w:rFonts w:asciiTheme="minorBidi" w:hAnsiTheme="minorBidi" w:cs="Arial"/>
          <w:rtl/>
          <w:lang w:bidi="ar-SA"/>
        </w:rPr>
        <w:t xml:space="preserve">زيادة حالة عدم اليقين وتفضيل الجمهور للاحتفاظ بأموال سائلة في سياق حدث متطرف من هذا النوع </w:t>
      </w:r>
      <w:r w:rsidR="00224D69">
        <w:rPr>
          <w:rFonts w:asciiTheme="minorBidi" w:hAnsiTheme="minorBidi" w:cs="Arial" w:hint="cs"/>
          <w:rtl/>
          <w:lang w:bidi="ar-SA"/>
        </w:rPr>
        <w:t>قد ساهمت في ذلك</w:t>
      </w:r>
      <w:r w:rsidR="007F795C" w:rsidRPr="007F795C">
        <w:rPr>
          <w:rFonts w:asciiTheme="minorBidi" w:hAnsiTheme="minorBidi" w:cs="Arial"/>
          <w:rtl/>
          <w:lang w:bidi="ar-SA"/>
        </w:rPr>
        <w:t>.</w:t>
      </w:r>
    </w:p>
    <w:p w14:paraId="6AA9B7C9" w14:textId="2AE103B3" w:rsidR="006C6023" w:rsidRPr="007F795C" w:rsidRDefault="00854612" w:rsidP="00854612">
      <w:pPr>
        <w:spacing w:before="480" w:after="240"/>
        <w:rPr>
          <w:rFonts w:asciiTheme="minorBidi" w:hAnsiTheme="minorBidi" w:cstheme="minorBidi"/>
          <w:rtl/>
          <w:lang w:bidi="ar-SA"/>
        </w:rPr>
      </w:pPr>
      <w:r w:rsidRPr="007F795C">
        <w:rPr>
          <w:rFonts w:asciiTheme="minorBidi" w:hAnsiTheme="minorBidi" w:cstheme="minorBidi"/>
          <w:noProof/>
          <w:lang w:bidi="ar-SA"/>
        </w:rPr>
        <w:drawing>
          <wp:anchor distT="0" distB="0" distL="114300" distR="114300" simplePos="0" relativeHeight="251711488" behindDoc="0" locked="0" layoutInCell="1" allowOverlap="1" wp14:anchorId="5E4D7C9E" wp14:editId="4A3C1AFA">
            <wp:simplePos x="0" y="0"/>
            <wp:positionH relativeFrom="margin">
              <wp:align>right</wp:align>
            </wp:positionH>
            <wp:positionV relativeFrom="margin">
              <wp:align>top</wp:align>
            </wp:positionV>
            <wp:extent cx="5274310" cy="2548255"/>
            <wp:effectExtent l="0" t="0" r="2540" b="4445"/>
            <wp:wrapSquare wrapText="bothSides"/>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24D69">
        <w:rPr>
          <w:rFonts w:asciiTheme="minorBidi" w:hAnsiTheme="minorBidi" w:cs="Arial" w:hint="cs"/>
          <w:rtl/>
          <w:lang w:bidi="ar-SA"/>
        </w:rPr>
        <w:t>نشير إلى</w:t>
      </w:r>
      <w:r w:rsidR="007F795C" w:rsidRPr="007F795C">
        <w:rPr>
          <w:rFonts w:asciiTheme="minorBidi" w:hAnsiTheme="minorBidi" w:cs="Arial"/>
          <w:rtl/>
          <w:lang w:bidi="ar-SA"/>
        </w:rPr>
        <w:t xml:space="preserve"> أنه مع ارتفاع سعر الفائدة في بنك إسرائيل في </w:t>
      </w:r>
      <w:r w:rsidR="00224D69">
        <w:rPr>
          <w:rFonts w:asciiTheme="minorBidi" w:hAnsiTheme="minorBidi" w:cs="Arial" w:hint="cs"/>
          <w:rtl/>
          <w:lang w:bidi="ar-SA"/>
        </w:rPr>
        <w:t>نيسان</w:t>
      </w:r>
      <w:r w:rsidR="007F795C" w:rsidRPr="007F795C">
        <w:rPr>
          <w:rFonts w:asciiTheme="minorBidi" w:hAnsiTheme="minorBidi" w:cs="Arial"/>
          <w:rtl/>
          <w:lang w:bidi="ar-SA"/>
        </w:rPr>
        <w:t xml:space="preserve"> 2022، بدأ خطاب عام </w:t>
      </w:r>
      <w:r w:rsidR="00224D69">
        <w:rPr>
          <w:rFonts w:asciiTheme="minorBidi" w:hAnsiTheme="minorBidi" w:cs="Arial" w:hint="cs"/>
          <w:rtl/>
          <w:lang w:bidi="ar-SA"/>
        </w:rPr>
        <w:t>نشط</w:t>
      </w:r>
      <w:r w:rsidR="007F795C" w:rsidRPr="007F795C">
        <w:rPr>
          <w:rFonts w:asciiTheme="minorBidi" w:hAnsiTheme="minorBidi" w:cs="Arial"/>
          <w:rtl/>
          <w:lang w:bidi="ar-SA"/>
        </w:rPr>
        <w:t xml:space="preserve"> حول موضوع الفائدة على ودائع الأسر. في </w:t>
      </w:r>
      <w:r w:rsidR="00224D69">
        <w:rPr>
          <w:rFonts w:asciiTheme="minorBidi" w:hAnsiTheme="minorBidi" w:cs="Arial" w:hint="cs"/>
          <w:rtl/>
          <w:lang w:bidi="ar-SA"/>
        </w:rPr>
        <w:t>المقابل</w:t>
      </w:r>
      <w:r w:rsidR="007F795C" w:rsidRPr="007F795C">
        <w:rPr>
          <w:rFonts w:asciiTheme="minorBidi" w:hAnsiTheme="minorBidi" w:cs="Arial"/>
          <w:rtl/>
          <w:lang w:bidi="ar-SA"/>
        </w:rPr>
        <w:t xml:space="preserve"> وعلى خلفية التغيرات في بيئة أسعار الفائدة، أرسل </w:t>
      </w:r>
      <w:r w:rsidR="00224D69">
        <w:rPr>
          <w:rFonts w:asciiTheme="minorBidi" w:hAnsiTheme="minorBidi" w:cs="Arial" w:hint="cs"/>
          <w:rtl/>
          <w:lang w:bidi="ar-SA"/>
        </w:rPr>
        <w:t>المراقب</w:t>
      </w:r>
      <w:r w:rsidR="007F795C" w:rsidRPr="007F795C">
        <w:rPr>
          <w:rFonts w:asciiTheme="minorBidi" w:hAnsiTheme="minorBidi" w:cs="Arial"/>
          <w:rtl/>
          <w:lang w:bidi="ar-SA"/>
        </w:rPr>
        <w:t xml:space="preserve"> على البنوك خطابًا إلى النظام المصرفي، تضمن من بين أمور أخرى </w:t>
      </w:r>
      <w:r w:rsidR="00224D69">
        <w:rPr>
          <w:rFonts w:asciiTheme="minorBidi" w:hAnsiTheme="minorBidi" w:cs="Arial" w:hint="cs"/>
          <w:rtl/>
          <w:lang w:bidi="ar-SA"/>
        </w:rPr>
        <w:t>مطالبة</w:t>
      </w:r>
      <w:r w:rsidR="007F795C" w:rsidRPr="007F795C">
        <w:rPr>
          <w:rFonts w:asciiTheme="minorBidi" w:hAnsiTheme="minorBidi" w:cs="Arial"/>
          <w:rtl/>
          <w:lang w:bidi="ar-SA"/>
        </w:rPr>
        <w:t xml:space="preserve"> البنوك </w:t>
      </w:r>
      <w:r w:rsidR="00224D69">
        <w:rPr>
          <w:rFonts w:asciiTheme="minorBidi" w:hAnsiTheme="minorBidi" w:cs="Arial" w:hint="cs"/>
          <w:rtl/>
          <w:lang w:bidi="ar-SA"/>
        </w:rPr>
        <w:t>بملاءمة</w:t>
      </w:r>
      <w:r w:rsidR="007F795C" w:rsidRPr="007F795C">
        <w:rPr>
          <w:rFonts w:asciiTheme="minorBidi" w:hAnsiTheme="minorBidi" w:cs="Arial"/>
          <w:rtl/>
          <w:lang w:bidi="ar-SA"/>
        </w:rPr>
        <w:t xml:space="preserve"> منتجاتها وخدماتها مع </w:t>
      </w:r>
      <w:r w:rsidR="00D0682C">
        <w:rPr>
          <w:rFonts w:asciiTheme="minorBidi" w:hAnsiTheme="minorBidi" w:cs="Arial" w:hint="cs"/>
          <w:rtl/>
          <w:lang w:bidi="ar-SA"/>
        </w:rPr>
        <w:t>البيئة</w:t>
      </w:r>
      <w:r w:rsidR="007F795C" w:rsidRPr="007F795C">
        <w:rPr>
          <w:rFonts w:asciiTheme="minorBidi" w:hAnsiTheme="minorBidi" w:cs="Arial"/>
          <w:rtl/>
          <w:lang w:bidi="ar-SA"/>
        </w:rPr>
        <w:t xml:space="preserve"> المتغيرة</w:t>
      </w:r>
      <w:r w:rsidR="00D0682C">
        <w:rPr>
          <w:rFonts w:asciiTheme="minorBidi" w:hAnsiTheme="minorBidi" w:cs="Arial" w:hint="cs"/>
          <w:rtl/>
          <w:lang w:bidi="ar-SA"/>
        </w:rPr>
        <w:t xml:space="preserve"> </w:t>
      </w:r>
      <w:r w:rsidR="007F795C" w:rsidRPr="007F795C">
        <w:rPr>
          <w:rFonts w:asciiTheme="minorBidi" w:hAnsiTheme="minorBidi" w:cs="Arial"/>
          <w:rtl/>
          <w:lang w:bidi="ar-SA"/>
        </w:rPr>
        <w:t xml:space="preserve">والتصرف بشكل </w:t>
      </w:r>
      <w:r w:rsidR="00D0682C">
        <w:rPr>
          <w:rFonts w:asciiTheme="minorBidi" w:hAnsiTheme="minorBidi" w:cs="Arial" w:hint="cs"/>
          <w:rtl/>
          <w:lang w:bidi="ar-SA"/>
        </w:rPr>
        <w:t>نزيه</w:t>
      </w:r>
      <w:r w:rsidR="007F795C" w:rsidRPr="007F795C">
        <w:rPr>
          <w:rFonts w:asciiTheme="minorBidi" w:hAnsiTheme="minorBidi" w:cs="Arial"/>
          <w:rtl/>
          <w:lang w:bidi="ar-SA"/>
        </w:rPr>
        <w:t xml:space="preserve"> مع </w:t>
      </w:r>
      <w:r w:rsidR="00D0682C">
        <w:rPr>
          <w:rFonts w:asciiTheme="minorBidi" w:hAnsiTheme="minorBidi" w:cs="Arial" w:hint="cs"/>
          <w:rtl/>
          <w:lang w:bidi="ar-SA"/>
        </w:rPr>
        <w:t>زبائنه</w:t>
      </w:r>
      <w:r w:rsidR="00CF7C8C">
        <w:rPr>
          <w:rFonts w:asciiTheme="minorBidi" w:hAnsiTheme="minorBidi" w:cs="Arial" w:hint="cs"/>
          <w:rtl/>
          <w:lang w:bidi="ar-SA"/>
        </w:rPr>
        <w:t>ا</w:t>
      </w:r>
      <w:r w:rsidR="007F795C" w:rsidRPr="007F795C">
        <w:rPr>
          <w:rFonts w:asciiTheme="minorBidi" w:hAnsiTheme="minorBidi" w:cs="Arial"/>
          <w:rtl/>
          <w:lang w:bidi="ar-SA"/>
        </w:rPr>
        <w:t xml:space="preserve">. بالإضافة إلى ذلك، دعا </w:t>
      </w:r>
      <w:r w:rsidR="00D0682C">
        <w:rPr>
          <w:rFonts w:asciiTheme="minorBidi" w:hAnsiTheme="minorBidi" w:cs="Arial" w:hint="cs"/>
          <w:rtl/>
          <w:lang w:bidi="ar-SA"/>
        </w:rPr>
        <w:t>المراقب</w:t>
      </w:r>
      <w:r w:rsidR="007F795C" w:rsidRPr="007F795C">
        <w:rPr>
          <w:rFonts w:asciiTheme="minorBidi" w:hAnsiTheme="minorBidi" w:cs="Arial"/>
          <w:rtl/>
          <w:lang w:bidi="ar-SA"/>
        </w:rPr>
        <w:t xml:space="preserve"> الجمهور إلى مقارنة منتجات الودائع المختلفة </w:t>
      </w:r>
      <w:r w:rsidR="00D0682C">
        <w:rPr>
          <w:rFonts w:asciiTheme="minorBidi" w:hAnsiTheme="minorBidi" w:cs="Arial" w:hint="cs"/>
          <w:rtl/>
          <w:lang w:bidi="ar-SA"/>
        </w:rPr>
        <w:t>وبدائلها المتوفرة</w:t>
      </w:r>
      <w:r w:rsidR="007F795C" w:rsidRPr="007F795C">
        <w:rPr>
          <w:rFonts w:asciiTheme="minorBidi" w:hAnsiTheme="minorBidi" w:cs="Arial"/>
          <w:rtl/>
          <w:lang w:bidi="ar-SA"/>
        </w:rPr>
        <w:t xml:space="preserve"> في السوق.</w:t>
      </w:r>
      <w:r w:rsidR="00C46E02" w:rsidRPr="007F795C">
        <w:rPr>
          <w:rFonts w:asciiTheme="minorBidi" w:hAnsiTheme="minorBidi" w:cstheme="minorBidi"/>
          <w:rtl/>
        </w:rPr>
        <w:t xml:space="preserve"> </w:t>
      </w:r>
      <w:r w:rsidR="007F795C" w:rsidRPr="007F795C">
        <w:rPr>
          <w:rFonts w:asciiTheme="minorBidi" w:hAnsiTheme="minorBidi" w:cs="Arial"/>
          <w:rtl/>
          <w:lang w:bidi="ar-SA"/>
        </w:rPr>
        <w:t xml:space="preserve">من أجل مساعدة الجمهور على إجراء هذه المقارنة، بدأ بنك إسرائيل بنشر معلومات </w:t>
      </w:r>
      <w:r w:rsidR="00D0682C">
        <w:rPr>
          <w:rFonts w:asciiTheme="minorBidi" w:hAnsiTheme="minorBidi" w:cs="Arial" w:hint="cs"/>
          <w:rtl/>
          <w:lang w:bidi="ar-SA"/>
        </w:rPr>
        <w:t>لل</w:t>
      </w:r>
      <w:r w:rsidR="007F795C" w:rsidRPr="007F795C">
        <w:rPr>
          <w:rFonts w:asciiTheme="minorBidi" w:hAnsiTheme="minorBidi" w:cs="Arial"/>
          <w:rtl/>
          <w:lang w:bidi="ar-SA"/>
        </w:rPr>
        <w:t xml:space="preserve">مقارنة على مستوى البنوك الفردية حول ودائع الأسر لفترات زمنية مختلفة (لمزيد من التفاصيل، انظر </w:t>
      </w:r>
      <w:r w:rsidR="00D0682C">
        <w:rPr>
          <w:rFonts w:asciiTheme="minorBidi" w:hAnsiTheme="minorBidi" w:cs="Arial" w:hint="cs"/>
          <w:rtl/>
          <w:lang w:bidi="ar-SA"/>
        </w:rPr>
        <w:t>الفصل</w:t>
      </w:r>
      <w:r w:rsidR="007F795C" w:rsidRPr="007F795C">
        <w:rPr>
          <w:rFonts w:asciiTheme="minorBidi" w:hAnsiTheme="minorBidi" w:cs="Arial"/>
          <w:rtl/>
          <w:lang w:bidi="ar-SA"/>
        </w:rPr>
        <w:t xml:space="preserve"> </w:t>
      </w:r>
      <w:r w:rsidR="00D0682C">
        <w:rPr>
          <w:rFonts w:asciiTheme="minorBidi" w:hAnsiTheme="minorBidi" w:cs="Arial" w:hint="cs"/>
          <w:rtl/>
          <w:lang w:bidi="ar-SA"/>
        </w:rPr>
        <w:t>و-4</w:t>
      </w:r>
      <w:r w:rsidR="007F795C" w:rsidRPr="007F795C">
        <w:rPr>
          <w:rFonts w:asciiTheme="minorBidi" w:hAnsiTheme="minorBidi" w:cs="Arial"/>
          <w:rtl/>
          <w:lang w:bidi="ar-SA"/>
        </w:rPr>
        <w:t xml:space="preserve"> </w:t>
      </w:r>
      <w:r w:rsidR="00D0682C">
        <w:rPr>
          <w:rFonts w:asciiTheme="minorBidi" w:hAnsiTheme="minorBidi" w:cs="Arial" w:hint="cs"/>
          <w:rtl/>
          <w:lang w:bidi="ar-SA"/>
        </w:rPr>
        <w:t>من هذا التقرير</w:t>
      </w:r>
      <w:r w:rsidR="007F795C" w:rsidRPr="007F795C">
        <w:rPr>
          <w:rFonts w:asciiTheme="minorBidi" w:hAnsiTheme="minorBidi" w:cs="Arial"/>
          <w:rtl/>
          <w:lang w:bidi="ar-SA"/>
        </w:rPr>
        <w:t xml:space="preserve">). كما التقى المحافظ </w:t>
      </w:r>
      <w:r w:rsidR="00D0682C">
        <w:rPr>
          <w:rFonts w:asciiTheme="minorBidi" w:hAnsiTheme="minorBidi" w:cs="Arial" w:hint="cs"/>
          <w:rtl/>
          <w:lang w:bidi="ar-SA"/>
        </w:rPr>
        <w:t>والمراقب</w:t>
      </w:r>
      <w:r w:rsidR="007F795C" w:rsidRPr="007F795C">
        <w:rPr>
          <w:rFonts w:asciiTheme="minorBidi" w:hAnsiTheme="minorBidi" w:cs="Arial"/>
          <w:rtl/>
          <w:lang w:bidi="ar-SA"/>
        </w:rPr>
        <w:t xml:space="preserve"> على البنوك في الربع الثاني من عام 2023 مع مديري البنوك </w:t>
      </w:r>
      <w:r w:rsidR="00D0682C">
        <w:rPr>
          <w:rFonts w:asciiTheme="minorBidi" w:hAnsiTheme="minorBidi" w:cs="Arial" w:hint="cs"/>
          <w:rtl/>
          <w:lang w:bidi="ar-SA"/>
        </w:rPr>
        <w:t>وطلبوا منهم</w:t>
      </w:r>
      <w:r w:rsidR="007F795C" w:rsidRPr="007F795C">
        <w:rPr>
          <w:rFonts w:asciiTheme="minorBidi" w:hAnsiTheme="minorBidi" w:cs="Arial"/>
          <w:rtl/>
          <w:lang w:bidi="ar-SA"/>
        </w:rPr>
        <w:t xml:space="preserve"> بأن </w:t>
      </w:r>
      <w:r w:rsidR="00D0682C">
        <w:rPr>
          <w:rFonts w:asciiTheme="minorBidi" w:hAnsiTheme="minorBidi" w:cs="Arial" w:hint="cs"/>
          <w:rtl/>
          <w:lang w:bidi="ar-SA"/>
        </w:rPr>
        <w:t>تدفع</w:t>
      </w:r>
      <w:r w:rsidR="007F795C" w:rsidRPr="007F795C">
        <w:rPr>
          <w:rFonts w:asciiTheme="minorBidi" w:hAnsiTheme="minorBidi" w:cs="Arial"/>
          <w:rtl/>
          <w:lang w:bidi="ar-SA"/>
        </w:rPr>
        <w:t xml:space="preserve"> البنوك فوائد على أرصدة الحسابات الجارية، </w:t>
      </w:r>
      <w:r w:rsidR="00D0682C">
        <w:rPr>
          <w:rFonts w:asciiTheme="minorBidi" w:hAnsiTheme="minorBidi" w:cs="Arial" w:hint="cs"/>
          <w:rtl/>
          <w:lang w:bidi="ar-SA"/>
        </w:rPr>
        <w:t xml:space="preserve">وذلك </w:t>
      </w:r>
      <w:r w:rsidR="007F795C" w:rsidRPr="007F795C">
        <w:rPr>
          <w:rFonts w:asciiTheme="minorBidi" w:hAnsiTheme="minorBidi" w:cs="Arial"/>
          <w:rtl/>
          <w:lang w:bidi="ar-SA"/>
        </w:rPr>
        <w:t xml:space="preserve">من أجل تسعير عادل لمنتجات ودائع </w:t>
      </w:r>
      <w:r w:rsidR="00D0682C">
        <w:rPr>
          <w:rFonts w:asciiTheme="minorBidi" w:hAnsiTheme="minorBidi" w:cs="Arial" w:hint="cs"/>
          <w:rtl/>
          <w:lang w:bidi="ar-SA"/>
        </w:rPr>
        <w:t>الأسر</w:t>
      </w:r>
      <w:r w:rsidR="007F795C" w:rsidRPr="007F795C">
        <w:rPr>
          <w:rFonts w:asciiTheme="minorBidi" w:hAnsiTheme="minorBidi" w:cs="Arial"/>
          <w:rtl/>
          <w:lang w:bidi="ar-SA"/>
        </w:rPr>
        <w:t xml:space="preserve">، إلى جانب خطوات </w:t>
      </w:r>
      <w:r w:rsidR="00D0682C">
        <w:rPr>
          <w:rFonts w:asciiTheme="minorBidi" w:hAnsiTheme="minorBidi" w:cs="Arial" w:hint="cs"/>
          <w:rtl/>
          <w:lang w:bidi="ar-SA"/>
        </w:rPr>
        <w:t>ل</w:t>
      </w:r>
      <w:r w:rsidR="007F795C" w:rsidRPr="007F795C">
        <w:rPr>
          <w:rFonts w:asciiTheme="minorBidi" w:hAnsiTheme="minorBidi" w:cs="Arial"/>
          <w:rtl/>
          <w:lang w:bidi="ar-SA"/>
        </w:rPr>
        <w:t>تخفيف عبء الديون على الأسر.</w:t>
      </w:r>
    </w:p>
    <w:p w14:paraId="579B5941" w14:textId="77777777" w:rsidR="00F3432A" w:rsidRPr="007F795C" w:rsidRDefault="00F3432A" w:rsidP="00F3432A">
      <w:pPr>
        <w:spacing w:before="240" w:after="240"/>
        <w:rPr>
          <w:rFonts w:asciiTheme="minorBidi" w:hAnsiTheme="minorBidi" w:cstheme="minorBidi"/>
          <w:rtl/>
        </w:rPr>
      </w:pPr>
    </w:p>
    <w:p w14:paraId="0BFC8B04" w14:textId="041252F4" w:rsidR="0076364E" w:rsidRPr="007F795C" w:rsidRDefault="007F795C" w:rsidP="007F795C">
      <w:pPr>
        <w:pStyle w:val="ListParagraph"/>
        <w:numPr>
          <w:ilvl w:val="0"/>
          <w:numId w:val="10"/>
        </w:numPr>
        <w:spacing w:before="240" w:after="240"/>
        <w:rPr>
          <w:rFonts w:asciiTheme="minorBidi" w:hAnsiTheme="minorBidi" w:cstheme="minorBidi"/>
          <w:b/>
          <w:bCs/>
          <w:rtl/>
        </w:rPr>
      </w:pPr>
      <w:r w:rsidRPr="007F795C">
        <w:rPr>
          <w:rFonts w:asciiTheme="minorBidi" w:hAnsiTheme="minorBidi" w:cs="Arial"/>
          <w:b/>
          <w:bCs/>
          <w:rtl/>
          <w:lang w:bidi="ar-SA"/>
        </w:rPr>
        <w:t xml:space="preserve">تحليل </w:t>
      </w:r>
      <w:r w:rsidR="00D0682C">
        <w:rPr>
          <w:rFonts w:asciiTheme="minorBidi" w:hAnsiTheme="minorBidi" w:cs="Arial" w:hint="cs"/>
          <w:b/>
          <w:bCs/>
          <w:rtl/>
          <w:lang w:bidi="ar-SA"/>
        </w:rPr>
        <w:t>تحولات</w:t>
      </w:r>
      <w:r w:rsidRPr="007F795C">
        <w:rPr>
          <w:rFonts w:asciiTheme="minorBidi" w:hAnsiTheme="minorBidi" w:cs="Arial"/>
          <w:b/>
          <w:bCs/>
          <w:rtl/>
          <w:lang w:bidi="ar-SA"/>
        </w:rPr>
        <w:t xml:space="preserve"> الأسر ومقارنة بين قطاعات النشاط وفترات الإيداع وآلية أسعار الفائدة ومقارن</w:t>
      </w:r>
      <w:r w:rsidR="00D0682C">
        <w:rPr>
          <w:rFonts w:asciiTheme="minorBidi" w:hAnsiTheme="minorBidi" w:cs="Arial" w:hint="cs"/>
          <w:b/>
          <w:bCs/>
          <w:rtl/>
          <w:lang w:bidi="ar-SA"/>
        </w:rPr>
        <w:t>تها</w:t>
      </w:r>
      <w:r w:rsidRPr="007F795C">
        <w:rPr>
          <w:rFonts w:asciiTheme="minorBidi" w:hAnsiTheme="minorBidi" w:cs="Arial"/>
          <w:b/>
          <w:bCs/>
          <w:rtl/>
          <w:lang w:bidi="ar-SA"/>
        </w:rPr>
        <w:t xml:space="preserve"> مع العالم</w:t>
      </w:r>
    </w:p>
    <w:p w14:paraId="726DC8A1" w14:textId="3E6A37C0" w:rsidR="002C4977" w:rsidRPr="007F795C" w:rsidRDefault="0024611D" w:rsidP="00477F46">
      <w:pPr>
        <w:spacing w:after="240"/>
        <w:rPr>
          <w:rFonts w:asciiTheme="minorBidi" w:hAnsiTheme="minorBidi" w:cstheme="minorBidi"/>
          <w:rtl/>
          <w:lang w:bidi="ar-SA"/>
        </w:rPr>
      </w:pPr>
      <w:r>
        <w:rPr>
          <w:rFonts w:asciiTheme="minorBidi" w:hAnsiTheme="minorBidi" w:cs="Arial" w:hint="cs"/>
          <w:rtl/>
          <w:lang w:bidi="ar-SA"/>
        </w:rPr>
        <w:t>إلى جانب</w:t>
      </w:r>
      <w:r w:rsidR="007F795C" w:rsidRPr="007F795C">
        <w:rPr>
          <w:rFonts w:asciiTheme="minorBidi" w:hAnsiTheme="minorBidi" w:cs="Arial"/>
          <w:rtl/>
          <w:lang w:bidi="ar-SA"/>
        </w:rPr>
        <w:t xml:space="preserve"> حجم الوديعة، تختلف ودائع </w:t>
      </w:r>
      <w:r>
        <w:rPr>
          <w:rFonts w:asciiTheme="minorBidi" w:hAnsiTheme="minorBidi" w:cs="Arial" w:hint="cs"/>
          <w:rtl/>
          <w:lang w:bidi="ar-SA"/>
        </w:rPr>
        <w:t>الزبائن</w:t>
      </w:r>
      <w:r w:rsidR="007F795C" w:rsidRPr="007F795C">
        <w:rPr>
          <w:rFonts w:asciiTheme="minorBidi" w:hAnsiTheme="minorBidi" w:cs="Arial"/>
          <w:rtl/>
          <w:lang w:bidi="ar-SA"/>
        </w:rPr>
        <w:t xml:space="preserve"> من قطاع </w:t>
      </w:r>
      <w:r>
        <w:rPr>
          <w:rFonts w:asciiTheme="minorBidi" w:hAnsiTheme="minorBidi" w:cs="Arial" w:hint="cs"/>
          <w:rtl/>
          <w:lang w:bidi="ar-SA"/>
        </w:rPr>
        <w:t>الأسر</w:t>
      </w:r>
      <w:r w:rsidR="007F795C" w:rsidRPr="007F795C">
        <w:rPr>
          <w:rFonts w:asciiTheme="minorBidi" w:hAnsiTheme="minorBidi" w:cs="Arial"/>
          <w:rtl/>
          <w:lang w:bidi="ar-SA"/>
        </w:rPr>
        <w:t xml:space="preserve"> عن ودائع </w:t>
      </w:r>
      <w:r>
        <w:rPr>
          <w:rFonts w:asciiTheme="minorBidi" w:hAnsiTheme="minorBidi" w:cs="Arial" w:hint="cs"/>
          <w:rtl/>
          <w:lang w:bidi="ar-SA"/>
        </w:rPr>
        <w:t>الزبائن التجاريين من بين أمور أخرى</w:t>
      </w:r>
      <w:r w:rsidR="007F795C" w:rsidRPr="007F795C">
        <w:rPr>
          <w:rFonts w:asciiTheme="minorBidi" w:hAnsiTheme="minorBidi" w:cs="Arial"/>
          <w:rtl/>
          <w:lang w:bidi="ar-SA"/>
        </w:rPr>
        <w:t xml:space="preserve"> </w:t>
      </w:r>
      <w:r>
        <w:rPr>
          <w:rFonts w:asciiTheme="minorBidi" w:hAnsiTheme="minorBidi" w:cs="Arial" w:hint="cs"/>
          <w:rtl/>
          <w:lang w:bidi="ar-SA"/>
        </w:rPr>
        <w:t>من حيث</w:t>
      </w:r>
      <w:r w:rsidR="007F795C" w:rsidRPr="007F795C">
        <w:rPr>
          <w:rFonts w:asciiTheme="minorBidi" w:hAnsiTheme="minorBidi" w:cs="Arial"/>
          <w:rtl/>
          <w:lang w:bidi="ar-SA"/>
        </w:rPr>
        <w:t xml:space="preserve"> فترة السداد. في المتوسط ​​في عام 2023، كان نصف أداء الودائع في قطاع الأعمال</w:t>
      </w:r>
      <w:r w:rsidR="00224B4B">
        <w:rPr>
          <w:rFonts w:asciiTheme="minorBidi" w:hAnsiTheme="minorBidi" w:cs="Arial" w:hint="cs"/>
          <w:rtl/>
          <w:lang w:bidi="ar-SA"/>
        </w:rPr>
        <w:t xml:space="preserve"> على الأقل</w:t>
      </w:r>
      <w:r w:rsidR="007F795C" w:rsidRPr="007F795C">
        <w:rPr>
          <w:rFonts w:asciiTheme="minorBidi" w:hAnsiTheme="minorBidi" w:cs="Arial"/>
          <w:rtl/>
          <w:lang w:bidi="ar-SA"/>
        </w:rPr>
        <w:t xml:space="preserve"> لمدة تصل إلى شهر (كلما زاد حجم مبيعات </w:t>
      </w:r>
      <w:r w:rsidR="00224B4B">
        <w:rPr>
          <w:rFonts w:asciiTheme="minorBidi" w:hAnsiTheme="minorBidi" w:cs="Arial" w:hint="cs"/>
          <w:rtl/>
          <w:lang w:bidi="ar-SA"/>
        </w:rPr>
        <w:t>المصلحة التجارية</w:t>
      </w:r>
      <w:r w:rsidR="007F795C" w:rsidRPr="007F795C">
        <w:rPr>
          <w:rFonts w:asciiTheme="minorBidi" w:hAnsiTheme="minorBidi" w:cs="Arial"/>
          <w:rtl/>
          <w:lang w:bidi="ar-SA"/>
        </w:rPr>
        <w:t xml:space="preserve">، كانت فترة </w:t>
      </w:r>
      <w:r w:rsidR="00224B4B">
        <w:rPr>
          <w:rFonts w:asciiTheme="minorBidi" w:hAnsiTheme="minorBidi" w:cs="Arial" w:hint="cs"/>
          <w:rtl/>
          <w:lang w:bidi="ar-SA"/>
        </w:rPr>
        <w:t>الوديعة</w:t>
      </w:r>
      <w:r w:rsidR="007F795C" w:rsidRPr="007F795C">
        <w:rPr>
          <w:rFonts w:asciiTheme="minorBidi" w:hAnsiTheme="minorBidi" w:cs="Arial"/>
          <w:rtl/>
          <w:lang w:bidi="ar-SA"/>
        </w:rPr>
        <w:t xml:space="preserve"> أقصر)، في حين أن حوالي ثلثي أداء الودائع في قطاع </w:t>
      </w:r>
      <w:r w:rsidR="00224B4B">
        <w:rPr>
          <w:rFonts w:asciiTheme="minorBidi" w:hAnsiTheme="minorBidi" w:cs="Arial" w:hint="cs"/>
          <w:rtl/>
          <w:lang w:bidi="ar-SA"/>
        </w:rPr>
        <w:t>الأسر</w:t>
      </w:r>
      <w:r w:rsidR="007F795C" w:rsidRPr="007F795C">
        <w:rPr>
          <w:rFonts w:asciiTheme="minorBidi" w:hAnsiTheme="minorBidi" w:cs="Arial"/>
          <w:rtl/>
          <w:lang w:bidi="ar-SA"/>
        </w:rPr>
        <w:t xml:space="preserve"> كان لفترة أطول من شهر واحد (في المتوسط ​​في عام 2023، كان أداء معظم ودائع الأسر لفترات أطول على عكس قطاعات النشاط الأخرى).</w:t>
      </w:r>
    </w:p>
    <w:p w14:paraId="11EAC3C0" w14:textId="484B75D8" w:rsidR="00477F46" w:rsidRPr="007F795C" w:rsidRDefault="007F795C" w:rsidP="00477F46">
      <w:pPr>
        <w:spacing w:after="240"/>
        <w:rPr>
          <w:rFonts w:asciiTheme="minorBidi" w:hAnsiTheme="minorBidi" w:cstheme="minorBidi"/>
          <w:rtl/>
        </w:rPr>
      </w:pPr>
      <w:r w:rsidRPr="007F795C">
        <w:rPr>
          <w:rFonts w:asciiTheme="minorBidi" w:hAnsiTheme="minorBidi" w:cs="Arial"/>
          <w:rtl/>
          <w:lang w:bidi="ar-SA"/>
        </w:rPr>
        <w:lastRenderedPageBreak/>
        <w:t xml:space="preserve">في مقارنة بين معدل تحويل الفائدة للودائع حتى شهر واحد والودائع </w:t>
      </w:r>
      <w:r w:rsidR="00224B4B">
        <w:rPr>
          <w:rFonts w:asciiTheme="minorBidi" w:hAnsiTheme="minorBidi" w:cs="Arial" w:hint="cs"/>
          <w:rtl/>
          <w:lang w:bidi="ar-SA"/>
        </w:rPr>
        <w:t>لمدة</w:t>
      </w:r>
      <w:r w:rsidRPr="007F795C">
        <w:rPr>
          <w:rFonts w:asciiTheme="minorBidi" w:hAnsiTheme="minorBidi" w:cs="Arial"/>
          <w:rtl/>
          <w:lang w:bidi="ar-SA"/>
        </w:rPr>
        <w:t xml:space="preserve"> شهر وحتى ثلاثة أشهر بين قطاعات النشاط المختلفة، (الشكل 4)، يمكن ملاحظة أن التغيير الأكبر في </w:t>
      </w:r>
      <w:r w:rsidR="00224B4B">
        <w:rPr>
          <w:rFonts w:asciiTheme="minorBidi" w:hAnsiTheme="minorBidi" w:cs="Arial" w:hint="cs"/>
          <w:rtl/>
          <w:lang w:bidi="ar-SA"/>
        </w:rPr>
        <w:t>تحويل</w:t>
      </w:r>
      <w:r w:rsidRPr="007F795C">
        <w:rPr>
          <w:rFonts w:asciiTheme="minorBidi" w:hAnsiTheme="minorBidi" w:cs="Arial"/>
          <w:rtl/>
          <w:lang w:bidi="ar-SA"/>
        </w:rPr>
        <w:t xml:space="preserve"> الفائدة بين </w:t>
      </w:r>
      <w:r w:rsidR="00224B4B">
        <w:rPr>
          <w:rFonts w:asciiTheme="minorBidi" w:hAnsiTheme="minorBidi" w:cs="Arial" w:hint="cs"/>
          <w:rtl/>
          <w:lang w:bidi="ar-SA"/>
        </w:rPr>
        <w:t xml:space="preserve">فترات </w:t>
      </w:r>
      <w:r w:rsidRPr="007F795C">
        <w:rPr>
          <w:rFonts w:asciiTheme="minorBidi" w:hAnsiTheme="minorBidi" w:cs="Arial"/>
          <w:rtl/>
          <w:lang w:bidi="ar-SA"/>
        </w:rPr>
        <w:t>الودائع مقارنة بقطاعات النشاط الأخرى</w:t>
      </w:r>
      <w:r w:rsidR="00224B4B">
        <w:rPr>
          <w:rFonts w:asciiTheme="minorBidi" w:hAnsiTheme="minorBidi" w:cs="Arial" w:hint="cs"/>
          <w:rtl/>
          <w:lang w:bidi="ar-SA"/>
        </w:rPr>
        <w:t xml:space="preserve"> كانت</w:t>
      </w:r>
      <w:r w:rsidRPr="007F795C">
        <w:rPr>
          <w:rFonts w:asciiTheme="minorBidi" w:hAnsiTheme="minorBidi" w:cs="Arial"/>
          <w:rtl/>
          <w:lang w:bidi="ar-SA"/>
        </w:rPr>
        <w:t xml:space="preserve"> بالنسبة لقطاع </w:t>
      </w:r>
      <w:r w:rsidR="00224B4B">
        <w:rPr>
          <w:rFonts w:asciiTheme="minorBidi" w:hAnsiTheme="minorBidi" w:cs="Arial" w:hint="cs"/>
          <w:rtl/>
          <w:lang w:bidi="ar-SA"/>
        </w:rPr>
        <w:t>الأسر</w:t>
      </w:r>
      <w:r w:rsidRPr="007F795C">
        <w:rPr>
          <w:rFonts w:asciiTheme="minorBidi" w:hAnsiTheme="minorBidi" w:cs="Arial"/>
          <w:rtl/>
          <w:lang w:bidi="ar-SA"/>
        </w:rPr>
        <w:t xml:space="preserve">: يزداد </w:t>
      </w:r>
      <w:r w:rsidR="00224B4B">
        <w:rPr>
          <w:rFonts w:asciiTheme="minorBidi" w:hAnsiTheme="minorBidi" w:cs="Arial" w:hint="cs"/>
          <w:rtl/>
          <w:lang w:bidi="ar-SA"/>
        </w:rPr>
        <w:t>التحول</w:t>
      </w:r>
      <w:r w:rsidRPr="007F795C">
        <w:rPr>
          <w:rFonts w:asciiTheme="minorBidi" w:hAnsiTheme="minorBidi" w:cs="Arial"/>
          <w:rtl/>
          <w:lang w:bidi="ar-SA"/>
        </w:rPr>
        <w:t xml:space="preserve"> للودائع </w:t>
      </w:r>
      <w:r w:rsidR="00CF7C8C">
        <w:rPr>
          <w:rFonts w:asciiTheme="minorBidi" w:hAnsiTheme="minorBidi" w:cs="Arial" w:hint="cs"/>
          <w:rtl/>
          <w:lang w:bidi="ar-SA"/>
        </w:rPr>
        <w:t xml:space="preserve">لفترة </w:t>
      </w:r>
      <w:r w:rsidRPr="007F795C">
        <w:rPr>
          <w:rFonts w:asciiTheme="minorBidi" w:hAnsiTheme="minorBidi" w:cs="Arial"/>
          <w:rtl/>
          <w:lang w:bidi="ar-SA"/>
        </w:rPr>
        <w:t xml:space="preserve">ما بين شهر إلى ثلاثة أشهر (من 51% إلى 63%). وبالنسبة لبقية قطاعات النشاط فإن نسبة </w:t>
      </w:r>
      <w:r w:rsidR="00224B4B">
        <w:rPr>
          <w:rFonts w:asciiTheme="minorBidi" w:hAnsiTheme="minorBidi" w:cs="Arial" w:hint="cs"/>
          <w:rtl/>
          <w:lang w:bidi="ar-SA"/>
        </w:rPr>
        <w:t>التحول</w:t>
      </w:r>
      <w:r w:rsidRPr="007F795C">
        <w:rPr>
          <w:rFonts w:asciiTheme="minorBidi" w:hAnsiTheme="minorBidi" w:cs="Arial"/>
          <w:rtl/>
          <w:lang w:bidi="ar-SA"/>
        </w:rPr>
        <w:t xml:space="preserve"> مرتفعة نسبيا</w:t>
      </w:r>
      <w:r w:rsidR="00224B4B">
        <w:rPr>
          <w:rFonts w:asciiTheme="minorBidi" w:hAnsiTheme="minorBidi" w:cs="Arial" w:hint="cs"/>
          <w:rtl/>
          <w:lang w:bidi="ar-SA"/>
        </w:rPr>
        <w:t>ً</w:t>
      </w:r>
      <w:r w:rsidRPr="007F795C">
        <w:rPr>
          <w:rFonts w:asciiTheme="minorBidi" w:hAnsiTheme="minorBidi" w:cs="Arial"/>
          <w:rtl/>
          <w:lang w:bidi="ar-SA"/>
        </w:rPr>
        <w:t xml:space="preserve"> ولا تختلف كثيرا</w:t>
      </w:r>
      <w:r w:rsidR="00224B4B">
        <w:rPr>
          <w:rFonts w:asciiTheme="minorBidi" w:hAnsiTheme="minorBidi" w:cs="Arial" w:hint="cs"/>
          <w:rtl/>
          <w:lang w:bidi="ar-SA"/>
        </w:rPr>
        <w:t>ً</w:t>
      </w:r>
      <w:r w:rsidRPr="007F795C">
        <w:rPr>
          <w:rFonts w:asciiTheme="minorBidi" w:hAnsiTheme="minorBidi" w:cs="Arial"/>
          <w:rtl/>
          <w:lang w:bidi="ar-SA"/>
        </w:rPr>
        <w:t xml:space="preserve"> حتى بالنسبة للودائع </w:t>
      </w:r>
      <w:r w:rsidR="00224B4B">
        <w:rPr>
          <w:rFonts w:asciiTheme="minorBidi" w:hAnsiTheme="minorBidi" w:cs="Arial" w:hint="cs"/>
          <w:rtl/>
          <w:lang w:bidi="ar-SA"/>
        </w:rPr>
        <w:t>المغلقة</w:t>
      </w:r>
      <w:r w:rsidRPr="007F795C">
        <w:rPr>
          <w:rFonts w:asciiTheme="minorBidi" w:hAnsiTheme="minorBidi" w:cs="Arial"/>
          <w:rtl/>
          <w:lang w:bidi="ar-SA"/>
        </w:rPr>
        <w:t xml:space="preserve"> لفترة قصيرة جدا</w:t>
      </w:r>
      <w:r w:rsidR="00224B4B">
        <w:rPr>
          <w:rFonts w:asciiTheme="minorBidi" w:hAnsiTheme="minorBidi" w:cs="Arial" w:hint="cs"/>
          <w:rtl/>
          <w:lang w:bidi="ar-SA"/>
        </w:rPr>
        <w:t>ً</w:t>
      </w:r>
      <w:r w:rsidRPr="007F795C">
        <w:rPr>
          <w:rFonts w:asciiTheme="minorBidi" w:hAnsiTheme="minorBidi" w:cs="Arial"/>
          <w:rtl/>
          <w:lang w:bidi="ar-SA"/>
        </w:rPr>
        <w:t xml:space="preserve"> تصل إلى شهر. جزء كبير من أداء ودائع الأسر في العامين الماضيين كان لفترة تصل إلى عام واحد.</w:t>
      </w:r>
    </w:p>
    <w:p w14:paraId="697662F9" w14:textId="30BD881D" w:rsidR="003C17E5" w:rsidRDefault="00854612" w:rsidP="003761EE">
      <w:pPr>
        <w:spacing w:before="480" w:after="240"/>
        <w:rPr>
          <w:rFonts w:asciiTheme="minorBidi" w:hAnsiTheme="minorBidi" w:cstheme="minorBidi"/>
          <w:rtl/>
        </w:rPr>
      </w:pPr>
      <w:r w:rsidRPr="007F795C">
        <w:rPr>
          <w:rFonts w:asciiTheme="minorBidi" w:hAnsiTheme="minorBidi" w:cstheme="minorBidi"/>
          <w:noProof/>
          <w:lang w:bidi="ar-SA"/>
        </w:rPr>
        <w:drawing>
          <wp:anchor distT="0" distB="0" distL="114300" distR="114300" simplePos="0" relativeHeight="251716608" behindDoc="0" locked="0" layoutInCell="1" allowOverlap="1" wp14:anchorId="46CB537B" wp14:editId="4E15B868">
            <wp:simplePos x="0" y="0"/>
            <wp:positionH relativeFrom="margin">
              <wp:posOffset>-50</wp:posOffset>
            </wp:positionH>
            <wp:positionV relativeFrom="margin">
              <wp:posOffset>6875247</wp:posOffset>
            </wp:positionV>
            <wp:extent cx="5274310" cy="2492152"/>
            <wp:effectExtent l="0" t="0" r="2540" b="3810"/>
            <wp:wrapSquare wrapText="bothSides"/>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F795C" w:rsidRPr="007F795C">
        <w:rPr>
          <w:rFonts w:asciiTheme="minorBidi" w:hAnsiTheme="minorBidi" w:cs="Arial"/>
          <w:rtl/>
          <w:lang w:bidi="ar-SA"/>
        </w:rPr>
        <w:t xml:space="preserve">في عام 2023، في متوسط ​​شهري، </w:t>
      </w:r>
      <w:r w:rsidR="00224B4B">
        <w:rPr>
          <w:rFonts w:asciiTheme="minorBidi" w:hAnsiTheme="minorBidi" w:cs="Arial" w:hint="cs"/>
          <w:rtl/>
          <w:lang w:bidi="ar-SA"/>
        </w:rPr>
        <w:t>نحو</w:t>
      </w:r>
      <w:r w:rsidR="007F795C" w:rsidRPr="007F795C">
        <w:rPr>
          <w:rFonts w:asciiTheme="minorBidi" w:hAnsiTheme="minorBidi" w:cs="Arial"/>
          <w:rtl/>
          <w:lang w:bidi="ar-SA"/>
        </w:rPr>
        <w:t xml:space="preserve"> نصف </w:t>
      </w:r>
      <w:r w:rsidR="00224B4B">
        <w:rPr>
          <w:rFonts w:asciiTheme="minorBidi" w:hAnsiTheme="minorBidi" w:cs="Arial" w:hint="cs"/>
          <w:rtl/>
          <w:lang w:bidi="ar-SA"/>
        </w:rPr>
        <w:t>الأداء كان</w:t>
      </w:r>
      <w:r w:rsidR="007F795C" w:rsidRPr="007F795C">
        <w:rPr>
          <w:rFonts w:asciiTheme="minorBidi" w:hAnsiTheme="minorBidi" w:cs="Arial"/>
          <w:rtl/>
          <w:lang w:bidi="ar-SA"/>
        </w:rPr>
        <w:t xml:space="preserve"> </w:t>
      </w:r>
      <w:r w:rsidR="00224B4B">
        <w:rPr>
          <w:rFonts w:asciiTheme="minorBidi" w:hAnsiTheme="minorBidi" w:cs="Arial" w:hint="cs"/>
          <w:rtl/>
          <w:lang w:bidi="ar-SA"/>
        </w:rPr>
        <w:t xml:space="preserve">من </w:t>
      </w:r>
      <w:r w:rsidR="007F795C" w:rsidRPr="007F795C">
        <w:rPr>
          <w:rFonts w:asciiTheme="minorBidi" w:hAnsiTheme="minorBidi" w:cs="Arial"/>
          <w:rtl/>
          <w:lang w:bidi="ar-SA"/>
        </w:rPr>
        <w:t xml:space="preserve">ودائع </w:t>
      </w:r>
      <w:r w:rsidR="00224B4B">
        <w:rPr>
          <w:rFonts w:asciiTheme="minorBidi" w:hAnsiTheme="minorBidi" w:cs="Arial" w:hint="cs"/>
          <w:rtl/>
          <w:lang w:bidi="ar-SA"/>
        </w:rPr>
        <w:t>لفترة</w:t>
      </w:r>
      <w:r w:rsidR="007F795C" w:rsidRPr="007F795C">
        <w:rPr>
          <w:rFonts w:asciiTheme="minorBidi" w:hAnsiTheme="minorBidi" w:cs="Arial"/>
          <w:rtl/>
          <w:lang w:bidi="ar-SA"/>
        </w:rPr>
        <w:t xml:space="preserve"> تصل إلى ثلاثة أشهر و36٪ </w:t>
      </w:r>
      <w:r w:rsidR="00224B4B">
        <w:rPr>
          <w:rFonts w:asciiTheme="minorBidi" w:hAnsiTheme="minorBidi" w:cs="Arial" w:hint="cs"/>
          <w:rtl/>
          <w:lang w:bidi="ar-SA"/>
        </w:rPr>
        <w:t>كان</w:t>
      </w:r>
      <w:r w:rsidR="007F795C" w:rsidRPr="007F795C">
        <w:rPr>
          <w:rFonts w:asciiTheme="minorBidi" w:hAnsiTheme="minorBidi" w:cs="Arial"/>
          <w:rtl/>
          <w:lang w:bidi="ar-SA"/>
        </w:rPr>
        <w:t xml:space="preserve"> </w:t>
      </w:r>
      <w:r w:rsidR="00224B4B">
        <w:rPr>
          <w:rFonts w:asciiTheme="minorBidi" w:hAnsiTheme="minorBidi" w:cs="Arial" w:hint="cs"/>
          <w:rtl/>
          <w:lang w:bidi="ar-SA"/>
        </w:rPr>
        <w:t>من</w:t>
      </w:r>
      <w:r w:rsidR="007F795C" w:rsidRPr="007F795C">
        <w:rPr>
          <w:rFonts w:asciiTheme="minorBidi" w:hAnsiTheme="minorBidi" w:cs="Arial"/>
          <w:rtl/>
          <w:lang w:bidi="ar-SA"/>
        </w:rPr>
        <w:t xml:space="preserve"> ودائع </w:t>
      </w:r>
      <w:r w:rsidR="00224B4B">
        <w:rPr>
          <w:rFonts w:asciiTheme="minorBidi" w:hAnsiTheme="minorBidi" w:cs="Arial" w:hint="cs"/>
          <w:rtl/>
          <w:lang w:bidi="ar-SA"/>
        </w:rPr>
        <w:t>لفترة</w:t>
      </w:r>
      <w:r w:rsidR="007F795C" w:rsidRPr="007F795C">
        <w:rPr>
          <w:rFonts w:asciiTheme="minorBidi" w:hAnsiTheme="minorBidi" w:cs="Arial"/>
          <w:rtl/>
          <w:lang w:bidi="ar-SA"/>
        </w:rPr>
        <w:t xml:space="preserve"> تصل إلى شهر واحد. </w:t>
      </w:r>
      <w:r w:rsidR="00224B4B">
        <w:rPr>
          <w:rFonts w:asciiTheme="minorBidi" w:hAnsiTheme="minorBidi" w:cs="Arial" w:hint="cs"/>
          <w:rtl/>
          <w:lang w:bidi="ar-SA"/>
        </w:rPr>
        <w:t>واستمر</w:t>
      </w:r>
      <w:r w:rsidR="007F795C" w:rsidRPr="007F795C">
        <w:rPr>
          <w:rFonts w:asciiTheme="minorBidi" w:hAnsiTheme="minorBidi" w:cs="Arial"/>
          <w:rtl/>
          <w:lang w:bidi="ar-SA"/>
        </w:rPr>
        <w:t xml:space="preserve"> هذا التوزيع بمعدلات مماثلة في الربع الأول من عام 2024. من الممكن أن يكون تفضيل الأسر عدم إغلاق الأموال لفترات زمنية أطول نابع</w:t>
      </w:r>
      <w:r w:rsidR="00224B4B">
        <w:rPr>
          <w:rFonts w:asciiTheme="minorBidi" w:hAnsiTheme="minorBidi" w:cs="Arial" w:hint="cs"/>
          <w:rtl/>
          <w:lang w:bidi="ar-SA"/>
        </w:rPr>
        <w:t>اً</w:t>
      </w:r>
      <w:r w:rsidR="007F795C" w:rsidRPr="007F795C">
        <w:rPr>
          <w:rFonts w:asciiTheme="minorBidi" w:hAnsiTheme="minorBidi" w:cs="Arial"/>
          <w:rtl/>
          <w:lang w:bidi="ar-SA"/>
        </w:rPr>
        <w:t xml:space="preserve"> من </w:t>
      </w:r>
      <w:r w:rsidR="00224B4B">
        <w:rPr>
          <w:rFonts w:asciiTheme="minorBidi" w:hAnsiTheme="minorBidi" w:cs="Arial" w:hint="cs"/>
          <w:rtl/>
          <w:lang w:bidi="ar-SA"/>
        </w:rPr>
        <w:t>استمرار</w:t>
      </w:r>
      <w:r w:rsidR="007F795C" w:rsidRPr="007F795C">
        <w:rPr>
          <w:rFonts w:asciiTheme="minorBidi" w:hAnsiTheme="minorBidi" w:cs="Arial"/>
          <w:rtl/>
          <w:lang w:bidi="ar-SA"/>
        </w:rPr>
        <w:t xml:space="preserve"> بيئة أسعار الفائدة </w:t>
      </w:r>
      <w:r w:rsidR="007F7F79">
        <w:rPr>
          <w:rFonts w:asciiTheme="minorBidi" w:hAnsiTheme="minorBidi" w:cs="Arial" w:hint="cs"/>
          <w:rtl/>
          <w:lang w:bidi="ar-SA"/>
        </w:rPr>
        <w:t>ال</w:t>
      </w:r>
      <w:r w:rsidR="00224B4B">
        <w:rPr>
          <w:rFonts w:asciiTheme="minorBidi" w:hAnsiTheme="minorBidi" w:cs="Arial" w:hint="cs"/>
          <w:rtl/>
          <w:lang w:bidi="ar-SA"/>
        </w:rPr>
        <w:t>صفرية لسنوات عديدة،</w:t>
      </w:r>
      <w:r w:rsidR="007F795C" w:rsidRPr="007F795C">
        <w:rPr>
          <w:rFonts w:asciiTheme="minorBidi" w:hAnsiTheme="minorBidi" w:cs="Arial"/>
          <w:rtl/>
          <w:lang w:bidi="ar-SA"/>
        </w:rPr>
        <w:t xml:space="preserve"> و</w:t>
      </w:r>
      <w:r w:rsidR="00224B4B">
        <w:rPr>
          <w:rFonts w:asciiTheme="minorBidi" w:hAnsiTheme="minorBidi" w:cs="Arial" w:hint="cs"/>
          <w:rtl/>
          <w:lang w:bidi="ar-SA"/>
        </w:rPr>
        <w:t xml:space="preserve">من أن </w:t>
      </w:r>
      <w:r w:rsidR="007F795C" w:rsidRPr="007F795C">
        <w:rPr>
          <w:rFonts w:asciiTheme="minorBidi" w:hAnsiTheme="minorBidi" w:cs="Arial"/>
          <w:rtl/>
          <w:lang w:bidi="ar-SA"/>
        </w:rPr>
        <w:t xml:space="preserve">أغلب أموالهم كانت </w:t>
      </w:r>
      <w:r w:rsidR="00224B4B">
        <w:rPr>
          <w:rFonts w:asciiTheme="minorBidi" w:hAnsiTheme="minorBidi" w:cs="Arial" w:hint="cs"/>
          <w:rtl/>
          <w:lang w:bidi="ar-SA"/>
        </w:rPr>
        <w:t>سائلة</w:t>
      </w:r>
      <w:r w:rsidR="007F795C" w:rsidRPr="007F795C">
        <w:rPr>
          <w:rFonts w:asciiTheme="minorBidi" w:hAnsiTheme="minorBidi" w:cs="Arial"/>
          <w:rtl/>
          <w:lang w:bidi="ar-SA"/>
        </w:rPr>
        <w:t xml:space="preserve"> في ودائع </w:t>
      </w:r>
      <w:r w:rsidR="00224B4B">
        <w:rPr>
          <w:rFonts w:asciiTheme="minorBidi" w:hAnsiTheme="minorBidi" w:cs="Arial" w:hint="cs"/>
          <w:rtl/>
          <w:lang w:bidi="ar-SA"/>
        </w:rPr>
        <w:t>بحسب</w:t>
      </w:r>
      <w:r w:rsidR="007F795C" w:rsidRPr="007F795C">
        <w:rPr>
          <w:rFonts w:asciiTheme="minorBidi" w:hAnsiTheme="minorBidi" w:cs="Arial"/>
          <w:rtl/>
          <w:lang w:bidi="ar-SA"/>
        </w:rPr>
        <w:t xml:space="preserve"> الطلب (الحساب الجاري والودائع اليومية أو حتى أسبوع)، حيث أن سعر الفائدة لم يكن مرتفعا</w:t>
      </w:r>
      <w:r w:rsidR="00224B4B">
        <w:rPr>
          <w:rFonts w:asciiTheme="minorBidi" w:hAnsiTheme="minorBidi" w:cs="Arial" w:hint="cs"/>
          <w:rtl/>
          <w:lang w:bidi="ar-SA"/>
        </w:rPr>
        <w:t>ً</w:t>
      </w:r>
      <w:r w:rsidR="007F795C" w:rsidRPr="007F795C">
        <w:rPr>
          <w:rFonts w:asciiTheme="minorBidi" w:hAnsiTheme="minorBidi" w:cs="Arial"/>
          <w:rtl/>
          <w:lang w:bidi="ar-SA"/>
        </w:rPr>
        <w:t xml:space="preserve"> بما يكفي لتعويض المودعين عن فقدان السيولة.</w:t>
      </w:r>
      <w:r w:rsidR="007F795C">
        <w:rPr>
          <w:rFonts w:asciiTheme="minorBidi" w:hAnsiTheme="minorBidi" w:cs="Arial" w:hint="cs"/>
          <w:rtl/>
          <w:lang w:bidi="ar-SA"/>
        </w:rPr>
        <w:t xml:space="preserve"> </w:t>
      </w:r>
    </w:p>
    <w:p w14:paraId="16102DB4" w14:textId="1CE42577" w:rsidR="00E64666" w:rsidRPr="007F795C" w:rsidRDefault="007F795C" w:rsidP="003761EE">
      <w:pPr>
        <w:spacing w:before="480" w:after="240"/>
        <w:rPr>
          <w:rFonts w:asciiTheme="minorBidi" w:hAnsiTheme="minorBidi" w:cstheme="minorBidi"/>
          <w:rtl/>
          <w:lang w:bidi="ar-SA"/>
        </w:rPr>
      </w:pPr>
      <w:r w:rsidRPr="007F795C">
        <w:rPr>
          <w:rFonts w:asciiTheme="minorBidi" w:hAnsiTheme="minorBidi" w:cs="Arial"/>
          <w:rtl/>
          <w:lang w:bidi="ar-SA"/>
        </w:rPr>
        <w:t>إن التطورات في سوق رأس المال والتطورات التكنولوجية التي أدت إلى تو</w:t>
      </w:r>
      <w:r w:rsidR="003C17E5">
        <w:rPr>
          <w:rFonts w:asciiTheme="minorBidi" w:hAnsiTheme="minorBidi" w:cs="Arial" w:hint="cs"/>
          <w:rtl/>
          <w:lang w:bidi="ar-SA"/>
        </w:rPr>
        <w:t>ا</w:t>
      </w:r>
      <w:r w:rsidRPr="007F795C">
        <w:rPr>
          <w:rFonts w:asciiTheme="minorBidi" w:hAnsiTheme="minorBidi" w:cs="Arial"/>
          <w:rtl/>
          <w:lang w:bidi="ar-SA"/>
        </w:rPr>
        <w:t xml:space="preserve">فر </w:t>
      </w:r>
      <w:r w:rsidR="003C17E5">
        <w:rPr>
          <w:rFonts w:asciiTheme="minorBidi" w:hAnsiTheme="minorBidi" w:cs="Arial" w:hint="cs"/>
          <w:rtl/>
          <w:lang w:bidi="ar-SA"/>
        </w:rPr>
        <w:t>وتسريع</w:t>
      </w:r>
      <w:r w:rsidRPr="007F795C">
        <w:rPr>
          <w:rFonts w:asciiTheme="minorBidi" w:hAnsiTheme="minorBidi" w:cs="Arial"/>
          <w:rtl/>
          <w:lang w:bidi="ar-SA"/>
        </w:rPr>
        <w:t xml:space="preserve"> إجراء </w:t>
      </w:r>
      <w:r w:rsidR="003C17E5">
        <w:rPr>
          <w:rFonts w:asciiTheme="minorBidi" w:hAnsiTheme="minorBidi" w:cs="Arial" w:hint="cs"/>
          <w:rtl/>
          <w:lang w:bidi="ar-SA"/>
        </w:rPr>
        <w:t>الدفع</w:t>
      </w:r>
      <w:r w:rsidRPr="007F795C">
        <w:rPr>
          <w:rFonts w:asciiTheme="minorBidi" w:hAnsiTheme="minorBidi" w:cs="Arial"/>
          <w:rtl/>
          <w:lang w:bidi="ar-SA"/>
        </w:rPr>
        <w:t xml:space="preserve"> والعمليات</w:t>
      </w:r>
      <w:r w:rsidR="003C17E5">
        <w:rPr>
          <w:rFonts w:asciiTheme="minorBidi" w:hAnsiTheme="minorBidi" w:cs="Arial" w:hint="cs"/>
          <w:rtl/>
          <w:lang w:bidi="ar-SA"/>
        </w:rPr>
        <w:t xml:space="preserve"> الأخرى</w:t>
      </w:r>
      <w:r w:rsidRPr="007F795C">
        <w:rPr>
          <w:rFonts w:asciiTheme="minorBidi" w:hAnsiTheme="minorBidi" w:cs="Arial"/>
          <w:rtl/>
          <w:lang w:bidi="ar-SA"/>
        </w:rPr>
        <w:t xml:space="preserve">، </w:t>
      </w:r>
      <w:r w:rsidR="003C17E5">
        <w:rPr>
          <w:rFonts w:asciiTheme="minorBidi" w:hAnsiTheme="minorBidi" w:cs="Arial" w:hint="cs"/>
          <w:rtl/>
          <w:lang w:bidi="ar-SA"/>
        </w:rPr>
        <w:t>حتى بشكل مباشر</w:t>
      </w:r>
      <w:r w:rsidRPr="007F795C">
        <w:rPr>
          <w:rFonts w:asciiTheme="minorBidi" w:hAnsiTheme="minorBidi" w:cs="Arial"/>
          <w:rtl/>
          <w:lang w:bidi="ar-SA"/>
        </w:rPr>
        <w:t xml:space="preserve"> من الحساب الجاري (مقارنة</w:t>
      </w:r>
      <w:r w:rsidR="003C17E5">
        <w:rPr>
          <w:rFonts w:asciiTheme="minorBidi" w:hAnsiTheme="minorBidi" w:cs="Arial" w:hint="cs"/>
          <w:rtl/>
          <w:lang w:bidi="ar-SA"/>
        </w:rPr>
        <w:t xml:space="preserve"> مثلاً</w:t>
      </w:r>
      <w:r w:rsidRPr="007F795C">
        <w:rPr>
          <w:rFonts w:asciiTheme="minorBidi" w:hAnsiTheme="minorBidi" w:cs="Arial"/>
          <w:rtl/>
          <w:lang w:bidi="ar-SA"/>
        </w:rPr>
        <w:t xml:space="preserve"> </w:t>
      </w:r>
      <w:r w:rsidR="003C17E5">
        <w:rPr>
          <w:rFonts w:asciiTheme="minorBidi" w:hAnsiTheme="minorBidi" w:cs="Arial" w:hint="cs"/>
          <w:rtl/>
          <w:lang w:bidi="ar-SA"/>
        </w:rPr>
        <w:t>ب</w:t>
      </w:r>
      <w:r w:rsidRPr="007F795C">
        <w:rPr>
          <w:rFonts w:asciiTheme="minorBidi" w:hAnsiTheme="minorBidi" w:cs="Arial"/>
          <w:rtl/>
          <w:lang w:bidi="ar-SA"/>
        </w:rPr>
        <w:t>الدفع ببطاقة الائتمان)، أدت إلى زيادة الحاجة إلى الاحتفاظ بمعدل أعلى من السيولة</w:t>
      </w:r>
      <w:r w:rsidR="003C17E5">
        <w:rPr>
          <w:rFonts w:asciiTheme="minorBidi" w:hAnsiTheme="minorBidi" w:cs="Arial" w:hint="cs"/>
          <w:rtl/>
          <w:lang w:bidi="ar-SA"/>
        </w:rPr>
        <w:t>.</w:t>
      </w:r>
      <w:r w:rsidRPr="007F795C">
        <w:rPr>
          <w:rFonts w:asciiTheme="minorBidi" w:hAnsiTheme="minorBidi" w:cs="Arial"/>
          <w:rtl/>
          <w:lang w:bidi="ar-SA"/>
        </w:rPr>
        <w:t xml:space="preserve"> وفيما يتعلق بالحرب، </w:t>
      </w:r>
      <w:r w:rsidR="003C17E5">
        <w:rPr>
          <w:rFonts w:asciiTheme="minorBidi" w:hAnsiTheme="minorBidi" w:cs="Arial" w:hint="cs"/>
          <w:rtl/>
          <w:lang w:bidi="ar-SA"/>
        </w:rPr>
        <w:t>و</w:t>
      </w:r>
      <w:r w:rsidRPr="007F795C">
        <w:rPr>
          <w:rFonts w:asciiTheme="minorBidi" w:hAnsiTheme="minorBidi" w:cs="Arial"/>
          <w:rtl/>
          <w:lang w:bidi="ar-SA"/>
        </w:rPr>
        <w:t>على الرغم من ارتفاع مستوى الفائدة، يمكن ملاحظة أن الأسر فضلت الاحتفاظ بالأموال في ودائع لفترات أقصر (الشكل 5) و</w:t>
      </w:r>
      <w:r w:rsidR="003C17E5">
        <w:rPr>
          <w:rFonts w:asciiTheme="minorBidi" w:hAnsiTheme="minorBidi" w:cs="Arial" w:hint="cs"/>
          <w:rtl/>
          <w:lang w:bidi="ar-SA"/>
        </w:rPr>
        <w:t xml:space="preserve">أنه </w:t>
      </w:r>
      <w:r w:rsidRPr="007F795C">
        <w:rPr>
          <w:rFonts w:asciiTheme="minorBidi" w:hAnsiTheme="minorBidi" w:cs="Arial"/>
          <w:rtl/>
          <w:lang w:bidi="ar-SA"/>
        </w:rPr>
        <w:t>كان هناك اعتدال في معدل الزيادة في</w:t>
      </w:r>
      <w:r w:rsidR="003C17E5">
        <w:rPr>
          <w:rFonts w:asciiTheme="minorBidi" w:hAnsiTheme="minorBidi" w:cs="Arial" w:hint="cs"/>
          <w:rtl/>
          <w:lang w:bidi="ar-SA"/>
        </w:rPr>
        <w:t xml:space="preserve"> نسبة الودائع الخاصة التي تحمل فائدة</w:t>
      </w:r>
      <w:r w:rsidRPr="007F795C">
        <w:rPr>
          <w:rFonts w:asciiTheme="minorBidi" w:hAnsiTheme="minorBidi" w:cs="Arial"/>
          <w:rtl/>
          <w:lang w:bidi="ar-SA"/>
        </w:rPr>
        <w:t xml:space="preserve"> </w:t>
      </w:r>
      <w:r w:rsidR="003C17E5">
        <w:rPr>
          <w:rFonts w:asciiTheme="minorBidi" w:hAnsiTheme="minorBidi" w:cs="Arial" w:hint="cs"/>
          <w:rtl/>
          <w:lang w:bidi="ar-SA"/>
        </w:rPr>
        <w:t>من</w:t>
      </w:r>
      <w:r w:rsidRPr="007F795C">
        <w:rPr>
          <w:rFonts w:asciiTheme="minorBidi" w:hAnsiTheme="minorBidi" w:cs="Arial"/>
          <w:rtl/>
          <w:lang w:bidi="ar-SA"/>
        </w:rPr>
        <w:t xml:space="preserve"> إجمالي الودائع (الشكل 3).</w:t>
      </w:r>
    </w:p>
    <w:p w14:paraId="5BCA4AB6" w14:textId="18152837" w:rsidR="003C17E5" w:rsidRDefault="00854612" w:rsidP="006A08CF">
      <w:pPr>
        <w:spacing w:before="240" w:after="240"/>
        <w:rPr>
          <w:rFonts w:asciiTheme="minorBidi" w:hAnsiTheme="minorBidi" w:cstheme="minorBidi"/>
          <w:rtl/>
        </w:rPr>
      </w:pPr>
      <w:r w:rsidRPr="007F795C">
        <w:rPr>
          <w:rFonts w:asciiTheme="minorBidi" w:hAnsiTheme="minorBidi" w:cstheme="minorBidi"/>
          <w:noProof/>
          <w:lang w:bidi="ar-SA"/>
        </w:rPr>
        <w:lastRenderedPageBreak/>
        <w:drawing>
          <wp:anchor distT="0" distB="0" distL="114300" distR="114300" simplePos="0" relativeHeight="251718656" behindDoc="1" locked="0" layoutInCell="1" allowOverlap="1" wp14:anchorId="632A42DB" wp14:editId="48DC633D">
            <wp:simplePos x="0" y="0"/>
            <wp:positionH relativeFrom="margin">
              <wp:posOffset>-85060</wp:posOffset>
            </wp:positionH>
            <wp:positionV relativeFrom="margin">
              <wp:posOffset>3167528</wp:posOffset>
            </wp:positionV>
            <wp:extent cx="5358765" cy="3082925"/>
            <wp:effectExtent l="0" t="0" r="0" b="3175"/>
            <wp:wrapSquare wrapText="bothSides"/>
            <wp:docPr id="14" name="תרשים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7F795C" w:rsidRPr="007F795C">
        <w:rPr>
          <w:rFonts w:asciiTheme="minorBidi" w:hAnsiTheme="minorBidi" w:cs="Arial"/>
          <w:rtl/>
          <w:lang w:bidi="ar-SA"/>
        </w:rPr>
        <w:t xml:space="preserve">كقاعدة عامة، يتوقع </w:t>
      </w:r>
      <w:r w:rsidR="003C17E5">
        <w:rPr>
          <w:rFonts w:asciiTheme="minorBidi" w:hAnsiTheme="minorBidi" w:cs="Arial" w:hint="cs"/>
          <w:rtl/>
          <w:lang w:bidi="ar-SA"/>
        </w:rPr>
        <w:t>الزبون</w:t>
      </w:r>
      <w:r w:rsidR="007F795C" w:rsidRPr="007F795C">
        <w:rPr>
          <w:rFonts w:asciiTheme="minorBidi" w:hAnsiTheme="minorBidi" w:cs="Arial"/>
          <w:rtl/>
          <w:lang w:bidi="ar-SA"/>
        </w:rPr>
        <w:t xml:space="preserve"> الذي يرغب في </w:t>
      </w:r>
      <w:r w:rsidR="003C17E5">
        <w:rPr>
          <w:rFonts w:asciiTheme="minorBidi" w:hAnsiTheme="minorBidi" w:cs="Arial" w:hint="cs"/>
          <w:rtl/>
          <w:lang w:bidi="ar-SA"/>
        </w:rPr>
        <w:t>ال</w:t>
      </w:r>
      <w:r w:rsidR="007F795C" w:rsidRPr="007F795C">
        <w:rPr>
          <w:rFonts w:asciiTheme="minorBidi" w:hAnsiTheme="minorBidi" w:cs="Arial"/>
          <w:rtl/>
          <w:lang w:bidi="ar-SA"/>
        </w:rPr>
        <w:t>إيداع لفترة أطول أن يحصل البنك على سعر فائدة أعلى مقابل فقدان السيولة (وفقًا لتوقعات السوق و</w:t>
      </w:r>
      <w:r w:rsidR="003C17E5">
        <w:rPr>
          <w:rFonts w:asciiTheme="minorBidi" w:hAnsiTheme="minorBidi" w:cs="Arial" w:hint="cs"/>
          <w:rtl/>
          <w:lang w:bidi="ar-SA"/>
        </w:rPr>
        <w:t>فترة</w:t>
      </w:r>
      <w:r w:rsidR="007F795C" w:rsidRPr="007F795C">
        <w:rPr>
          <w:rFonts w:asciiTheme="minorBidi" w:hAnsiTheme="minorBidi" w:cs="Arial"/>
          <w:rtl/>
          <w:lang w:bidi="ar-SA"/>
        </w:rPr>
        <w:t xml:space="preserve"> الوديعة). لذا، </w:t>
      </w:r>
      <w:r w:rsidR="003C17E5">
        <w:rPr>
          <w:rFonts w:asciiTheme="minorBidi" w:hAnsiTheme="minorBidi" w:cs="Arial" w:hint="cs"/>
          <w:rtl/>
          <w:lang w:bidi="ar-SA"/>
        </w:rPr>
        <w:t>و</w:t>
      </w:r>
      <w:r w:rsidR="007F795C" w:rsidRPr="007F795C">
        <w:rPr>
          <w:rFonts w:asciiTheme="minorBidi" w:hAnsiTheme="minorBidi" w:cs="Arial"/>
          <w:rtl/>
          <w:lang w:bidi="ar-SA"/>
        </w:rPr>
        <w:t xml:space="preserve">بالإضافة إلى التغير في </w:t>
      </w:r>
      <w:r w:rsidR="003C17E5">
        <w:rPr>
          <w:rFonts w:asciiTheme="minorBidi" w:hAnsiTheme="minorBidi" w:cs="Arial" w:hint="cs"/>
          <w:rtl/>
          <w:lang w:bidi="ar-SA"/>
        </w:rPr>
        <w:t>اختيارات</w:t>
      </w:r>
      <w:r w:rsidR="007F795C" w:rsidRPr="007F795C">
        <w:rPr>
          <w:rFonts w:asciiTheme="minorBidi" w:hAnsiTheme="minorBidi" w:cs="Arial"/>
          <w:rtl/>
          <w:lang w:bidi="ar-SA"/>
        </w:rPr>
        <w:t xml:space="preserve"> الأسر، من المحتمل أن الفائدة المقدمة لهم كتعويض عن التخلي عن السيولة وإغلاق الأموال في وديعة لهذه الفترة، لم تكن مرتفعة بما يكفي بالنسبة لهم. خلال عام 2023، </w:t>
      </w:r>
      <w:r w:rsidR="003C17E5">
        <w:rPr>
          <w:rFonts w:asciiTheme="minorBidi" w:hAnsiTheme="minorBidi" w:cs="Arial" w:hint="cs"/>
          <w:rtl/>
          <w:lang w:bidi="ar-SA"/>
        </w:rPr>
        <w:t>كان التحول</w:t>
      </w:r>
      <w:r w:rsidR="007F795C" w:rsidRPr="007F795C">
        <w:rPr>
          <w:rFonts w:asciiTheme="minorBidi" w:hAnsiTheme="minorBidi" w:cs="Arial"/>
          <w:rtl/>
          <w:lang w:bidi="ar-SA"/>
        </w:rPr>
        <w:t xml:space="preserve"> للودائع لفترة أطول من شهر أعلى بالفعل.</w:t>
      </w:r>
      <w:r w:rsidR="00891CFB" w:rsidRPr="007F795C">
        <w:rPr>
          <w:rFonts w:asciiTheme="minorBidi" w:hAnsiTheme="minorBidi" w:cstheme="minorBidi"/>
          <w:rtl/>
        </w:rPr>
        <w:t xml:space="preserve"> </w:t>
      </w:r>
    </w:p>
    <w:p w14:paraId="58C5FF41" w14:textId="417ED5DA" w:rsidR="00626A65" w:rsidRPr="007F795C" w:rsidRDefault="003C17E5" w:rsidP="00626A65">
      <w:pPr>
        <w:spacing w:before="240" w:after="240"/>
        <w:rPr>
          <w:rFonts w:asciiTheme="minorBidi" w:hAnsiTheme="minorBidi" w:cstheme="minorBidi"/>
          <w:rtl/>
          <w:lang w:bidi="ar-SA"/>
        </w:rPr>
      </w:pPr>
      <w:r w:rsidRPr="007F795C">
        <w:rPr>
          <w:rFonts w:asciiTheme="minorBidi" w:hAnsiTheme="minorBidi" w:cs="Arial"/>
          <w:rtl/>
          <w:lang w:bidi="ar-SA"/>
        </w:rPr>
        <w:t xml:space="preserve">منذ بداية عام 2023 </w:t>
      </w:r>
      <w:r>
        <w:rPr>
          <w:rFonts w:asciiTheme="minorBidi" w:hAnsiTheme="minorBidi" w:cs="Arial" w:hint="cs"/>
          <w:rtl/>
          <w:lang w:bidi="ar-SA"/>
        </w:rPr>
        <w:t>و</w:t>
      </w:r>
      <w:r w:rsidRPr="007F795C">
        <w:rPr>
          <w:rFonts w:asciiTheme="minorBidi" w:hAnsiTheme="minorBidi" w:cs="Arial"/>
          <w:rtl/>
          <w:lang w:bidi="ar-SA"/>
        </w:rPr>
        <w:t xml:space="preserve">حتى </w:t>
      </w:r>
      <w:r>
        <w:rPr>
          <w:rFonts w:asciiTheme="minorBidi" w:hAnsiTheme="minorBidi" w:cs="Arial" w:hint="cs"/>
          <w:rtl/>
          <w:lang w:bidi="ar-SA"/>
        </w:rPr>
        <w:t>آذار</w:t>
      </w:r>
      <w:r w:rsidRPr="007F795C">
        <w:rPr>
          <w:rFonts w:asciiTheme="minorBidi" w:hAnsiTheme="minorBidi" w:cs="Arial"/>
          <w:rtl/>
          <w:lang w:bidi="ar-SA"/>
        </w:rPr>
        <w:t xml:space="preserve"> 2024، حدث انخفاض في معدل </w:t>
      </w:r>
      <w:r>
        <w:rPr>
          <w:rFonts w:asciiTheme="minorBidi" w:hAnsiTheme="minorBidi" w:cs="Arial" w:hint="cs"/>
          <w:rtl/>
          <w:lang w:bidi="ar-SA"/>
        </w:rPr>
        <w:t>التحول</w:t>
      </w:r>
      <w:r w:rsidRPr="007F795C">
        <w:rPr>
          <w:rFonts w:asciiTheme="minorBidi" w:hAnsiTheme="minorBidi" w:cs="Arial"/>
          <w:rtl/>
          <w:lang w:bidi="ar-SA"/>
        </w:rPr>
        <w:t xml:space="preserve"> في الودائع </w:t>
      </w:r>
      <w:r>
        <w:rPr>
          <w:rFonts w:asciiTheme="minorBidi" w:hAnsiTheme="minorBidi" w:cs="Arial" w:hint="cs"/>
          <w:rtl/>
          <w:lang w:bidi="ar-SA"/>
        </w:rPr>
        <w:t>من جميع</w:t>
      </w:r>
      <w:r w:rsidRPr="007F795C">
        <w:rPr>
          <w:rFonts w:asciiTheme="minorBidi" w:hAnsiTheme="minorBidi" w:cs="Arial"/>
          <w:rtl/>
          <w:lang w:bidi="ar-SA"/>
        </w:rPr>
        <w:t xml:space="preserve"> </w:t>
      </w:r>
      <w:r>
        <w:rPr>
          <w:rFonts w:asciiTheme="minorBidi" w:hAnsiTheme="minorBidi" w:cs="Arial" w:hint="cs"/>
          <w:rtl/>
          <w:lang w:bidi="ar-SA"/>
        </w:rPr>
        <w:t>ال</w:t>
      </w:r>
      <w:r w:rsidRPr="007F795C">
        <w:rPr>
          <w:rFonts w:asciiTheme="minorBidi" w:hAnsiTheme="minorBidi" w:cs="Arial"/>
          <w:rtl/>
          <w:lang w:bidi="ar-SA"/>
        </w:rPr>
        <w:t>فتر</w:t>
      </w:r>
      <w:r>
        <w:rPr>
          <w:rFonts w:asciiTheme="minorBidi" w:hAnsiTheme="minorBidi" w:cs="Arial" w:hint="cs"/>
          <w:rtl/>
          <w:lang w:bidi="ar-SA"/>
        </w:rPr>
        <w:t>ات</w:t>
      </w:r>
      <w:r w:rsidRPr="007F795C">
        <w:rPr>
          <w:rFonts w:asciiTheme="minorBidi" w:hAnsiTheme="minorBidi" w:cs="Arial"/>
          <w:rtl/>
          <w:lang w:bidi="ar-SA"/>
        </w:rPr>
        <w:t>، ولكن بشكل خاص في الودائع</w:t>
      </w:r>
      <w:r>
        <w:rPr>
          <w:rFonts w:asciiTheme="minorBidi" w:hAnsiTheme="minorBidi" w:cs="Arial" w:hint="cs"/>
          <w:rtl/>
          <w:lang w:bidi="ar-SA"/>
        </w:rPr>
        <w:t xml:space="preserve"> لفترة</w:t>
      </w:r>
      <w:r w:rsidRPr="007F795C">
        <w:rPr>
          <w:rFonts w:asciiTheme="minorBidi" w:hAnsiTheme="minorBidi" w:cs="Arial"/>
          <w:rtl/>
          <w:lang w:bidi="ar-SA"/>
        </w:rPr>
        <w:t xml:space="preserve"> تزيد عن عام (الشكل 6). مع ذلك، </w:t>
      </w:r>
      <w:r>
        <w:rPr>
          <w:rFonts w:asciiTheme="minorBidi" w:hAnsiTheme="minorBidi" w:cs="Arial" w:hint="cs"/>
          <w:rtl/>
          <w:lang w:bidi="ar-SA"/>
        </w:rPr>
        <w:t>فهناك أهمية</w:t>
      </w:r>
      <w:r w:rsidRPr="007F795C">
        <w:rPr>
          <w:rFonts w:asciiTheme="minorBidi" w:hAnsiTheme="minorBidi" w:cs="Arial"/>
          <w:rtl/>
          <w:lang w:bidi="ar-SA"/>
        </w:rPr>
        <w:t xml:space="preserve"> </w:t>
      </w:r>
      <w:r>
        <w:rPr>
          <w:rFonts w:asciiTheme="minorBidi" w:hAnsiTheme="minorBidi" w:cs="Arial" w:hint="cs"/>
          <w:rtl/>
          <w:lang w:bidi="ar-SA"/>
        </w:rPr>
        <w:t>ل</w:t>
      </w:r>
      <w:r w:rsidRPr="007F795C">
        <w:rPr>
          <w:rFonts w:asciiTheme="minorBidi" w:hAnsiTheme="minorBidi" w:cs="Arial"/>
          <w:rtl/>
          <w:lang w:bidi="ar-SA"/>
        </w:rPr>
        <w:t xml:space="preserve">لتوقعات المتعلقة ببيئة أسعار الفائدة سواء من جانب </w:t>
      </w:r>
      <w:r>
        <w:rPr>
          <w:rFonts w:asciiTheme="minorBidi" w:hAnsiTheme="minorBidi" w:cs="Arial" w:hint="cs"/>
          <w:rtl/>
          <w:lang w:bidi="ar-SA"/>
        </w:rPr>
        <w:t>الزبائن</w:t>
      </w:r>
      <w:r w:rsidRPr="007F795C">
        <w:rPr>
          <w:rFonts w:asciiTheme="minorBidi" w:hAnsiTheme="minorBidi" w:cs="Arial"/>
          <w:rtl/>
          <w:lang w:bidi="ar-SA"/>
        </w:rPr>
        <w:t xml:space="preserve"> أو من جانب البنوك. وهكذا</w:t>
      </w:r>
      <w:r>
        <w:rPr>
          <w:rFonts w:asciiTheme="minorBidi" w:hAnsiTheme="minorBidi" w:cs="Arial" w:hint="cs"/>
          <w:rtl/>
          <w:lang w:bidi="ar-SA"/>
        </w:rPr>
        <w:t xml:space="preserve"> </w:t>
      </w:r>
      <w:r w:rsidRPr="007F795C">
        <w:rPr>
          <w:rFonts w:asciiTheme="minorBidi" w:hAnsiTheme="minorBidi" w:cs="Arial"/>
          <w:rtl/>
          <w:lang w:bidi="ar-SA"/>
        </w:rPr>
        <w:t xml:space="preserve">يمكن </w:t>
      </w:r>
      <w:r>
        <w:rPr>
          <w:rFonts w:asciiTheme="minorBidi" w:hAnsiTheme="minorBidi" w:cs="Arial" w:hint="cs"/>
          <w:rtl/>
          <w:lang w:bidi="ar-SA"/>
        </w:rPr>
        <w:t xml:space="preserve">مثلاً </w:t>
      </w:r>
      <w:r w:rsidRPr="007F795C">
        <w:rPr>
          <w:rFonts w:asciiTheme="minorBidi" w:hAnsiTheme="minorBidi" w:cs="Arial"/>
          <w:rtl/>
          <w:lang w:bidi="ar-SA"/>
        </w:rPr>
        <w:t>ملاحظة أنه وفقا</w:t>
      </w:r>
      <w:r>
        <w:rPr>
          <w:rFonts w:asciiTheme="minorBidi" w:hAnsiTheme="minorBidi" w:cs="Arial" w:hint="cs"/>
          <w:rtl/>
          <w:lang w:bidi="ar-SA"/>
        </w:rPr>
        <w:t>ً</w:t>
      </w:r>
      <w:r w:rsidRPr="007F795C">
        <w:rPr>
          <w:rFonts w:asciiTheme="minorBidi" w:hAnsiTheme="minorBidi" w:cs="Arial"/>
          <w:rtl/>
          <w:lang w:bidi="ar-SA"/>
        </w:rPr>
        <w:t xml:space="preserve"> للتوقعات المتعلقة بمسار سعر الفائدة لبنك إسرائيل،</w:t>
      </w:r>
      <w:r w:rsidR="00321094" w:rsidRPr="007F795C">
        <w:rPr>
          <w:rStyle w:val="FootnoteReference"/>
          <w:rFonts w:asciiTheme="minorBidi" w:hAnsiTheme="minorBidi" w:cstheme="minorBidi"/>
          <w:rtl/>
        </w:rPr>
        <w:footnoteReference w:id="15"/>
      </w:r>
      <w:r w:rsidR="00FD7DAE" w:rsidRPr="007F795C">
        <w:rPr>
          <w:rFonts w:asciiTheme="minorBidi" w:hAnsiTheme="minorBidi" w:cstheme="minorBidi"/>
          <w:rtl/>
        </w:rPr>
        <w:t xml:space="preserve"> </w:t>
      </w:r>
      <w:r w:rsidR="007F795C" w:rsidRPr="007F795C">
        <w:rPr>
          <w:rFonts w:asciiTheme="minorBidi" w:hAnsiTheme="minorBidi" w:cs="Arial"/>
          <w:rtl/>
          <w:lang w:bidi="ar-SA"/>
        </w:rPr>
        <w:t xml:space="preserve">فإن التحول لسعر الفائدة على الودائع لفترة تزيد عن سنة أقل من التحول لسعر الفائدة على الودائع </w:t>
      </w:r>
      <w:r w:rsidR="007F7F79">
        <w:rPr>
          <w:rFonts w:asciiTheme="minorBidi" w:hAnsiTheme="minorBidi" w:cs="Arial" w:hint="cs"/>
          <w:rtl/>
          <w:lang w:bidi="ar-SA"/>
        </w:rPr>
        <w:t>لفترة</w:t>
      </w:r>
      <w:r w:rsidR="007F795C" w:rsidRPr="007F795C">
        <w:rPr>
          <w:rFonts w:asciiTheme="minorBidi" w:hAnsiTheme="minorBidi" w:cs="Arial"/>
          <w:rtl/>
          <w:lang w:bidi="ar-SA"/>
        </w:rPr>
        <w:t xml:space="preserve"> تتراوح بين شهر وسنة واحدة. وعليه يمكن ملاحظة أنه ابتداء من </w:t>
      </w:r>
      <w:r>
        <w:rPr>
          <w:rFonts w:asciiTheme="minorBidi" w:hAnsiTheme="minorBidi" w:cs="Arial" w:hint="cs"/>
          <w:rtl/>
          <w:lang w:bidi="ar-SA"/>
        </w:rPr>
        <w:t>آب</w:t>
      </w:r>
      <w:r w:rsidR="007F795C" w:rsidRPr="007F795C">
        <w:rPr>
          <w:rFonts w:asciiTheme="minorBidi" w:hAnsiTheme="minorBidi" w:cs="Arial"/>
          <w:rtl/>
          <w:lang w:bidi="ar-SA"/>
        </w:rPr>
        <w:t xml:space="preserve"> 2023، حدث انخفاض كبير </w:t>
      </w:r>
      <w:r>
        <w:rPr>
          <w:rFonts w:asciiTheme="minorBidi" w:hAnsiTheme="minorBidi" w:cs="Arial" w:hint="cs"/>
          <w:rtl/>
          <w:lang w:bidi="ar-SA"/>
        </w:rPr>
        <w:t>على</w:t>
      </w:r>
      <w:r w:rsidR="007F795C" w:rsidRPr="007F795C">
        <w:rPr>
          <w:rFonts w:asciiTheme="minorBidi" w:hAnsiTheme="minorBidi" w:cs="Arial"/>
          <w:rtl/>
          <w:lang w:bidi="ar-SA"/>
        </w:rPr>
        <w:t xml:space="preserve"> أداء الودائع </w:t>
      </w:r>
      <w:r>
        <w:rPr>
          <w:rFonts w:asciiTheme="minorBidi" w:hAnsiTheme="minorBidi" w:cs="Arial" w:hint="cs"/>
          <w:rtl/>
          <w:lang w:bidi="ar-SA"/>
        </w:rPr>
        <w:t>لفترة</w:t>
      </w:r>
      <w:r w:rsidR="007F795C" w:rsidRPr="007F795C">
        <w:rPr>
          <w:rFonts w:asciiTheme="minorBidi" w:hAnsiTheme="minorBidi" w:cs="Arial"/>
          <w:rtl/>
          <w:lang w:bidi="ar-SA"/>
        </w:rPr>
        <w:t xml:space="preserve"> تزيد عن عام. وفي </w:t>
      </w:r>
      <w:r>
        <w:rPr>
          <w:rFonts w:asciiTheme="minorBidi" w:hAnsiTheme="minorBidi" w:cs="Arial" w:hint="cs"/>
          <w:rtl/>
          <w:lang w:bidi="ar-SA"/>
        </w:rPr>
        <w:t>آذار</w:t>
      </w:r>
      <w:r w:rsidR="007F795C" w:rsidRPr="007F795C">
        <w:rPr>
          <w:rFonts w:asciiTheme="minorBidi" w:hAnsiTheme="minorBidi" w:cs="Arial"/>
          <w:rtl/>
          <w:lang w:bidi="ar-SA"/>
        </w:rPr>
        <w:t xml:space="preserve"> 2024، انخفض معدل الودائع </w:t>
      </w:r>
      <w:r w:rsidR="007F7F79">
        <w:rPr>
          <w:rFonts w:asciiTheme="minorBidi" w:hAnsiTheme="minorBidi" w:cs="Arial" w:hint="cs"/>
          <w:rtl/>
          <w:lang w:bidi="ar-SA"/>
        </w:rPr>
        <w:t>لفترة</w:t>
      </w:r>
      <w:r w:rsidR="007F795C" w:rsidRPr="007F795C">
        <w:rPr>
          <w:rFonts w:asciiTheme="minorBidi" w:hAnsiTheme="minorBidi" w:cs="Arial"/>
          <w:rtl/>
          <w:lang w:bidi="ar-SA"/>
        </w:rPr>
        <w:t xml:space="preserve"> تزيد عن عام</w:t>
      </w:r>
      <w:r>
        <w:rPr>
          <w:rFonts w:asciiTheme="minorBidi" w:hAnsiTheme="minorBidi" w:cs="Arial" w:hint="cs"/>
          <w:rtl/>
          <w:lang w:bidi="ar-SA"/>
        </w:rPr>
        <w:t xml:space="preserve"> مرة أخرى</w:t>
      </w:r>
      <w:r w:rsidR="007F795C" w:rsidRPr="007F795C">
        <w:rPr>
          <w:rFonts w:asciiTheme="minorBidi" w:hAnsiTheme="minorBidi" w:cs="Arial"/>
          <w:rtl/>
          <w:lang w:bidi="ar-SA"/>
        </w:rPr>
        <w:t xml:space="preserve"> ليصل إلى 8% (الشكل 5).</w:t>
      </w:r>
    </w:p>
    <w:p w14:paraId="7ED4D0B6" w14:textId="39C7ED0B" w:rsidR="00FD3F92" w:rsidRPr="007F795C" w:rsidRDefault="007F795C" w:rsidP="00854612">
      <w:pPr>
        <w:spacing w:before="480" w:after="240"/>
        <w:rPr>
          <w:rFonts w:asciiTheme="minorBidi" w:hAnsiTheme="minorBidi" w:cstheme="minorBidi"/>
          <w:rtl/>
        </w:rPr>
      </w:pPr>
      <w:r w:rsidRPr="007F795C">
        <w:rPr>
          <w:rFonts w:asciiTheme="minorBidi" w:hAnsiTheme="minorBidi" w:cs="Arial"/>
          <w:rtl/>
          <w:lang w:bidi="ar-SA"/>
        </w:rPr>
        <w:t xml:space="preserve">تنقسم الودائع التي يتم طرحها للجمهور في آلية الفائدة بين فائدة ثابتة وفائدة متغيرة. الودائع ذات الفائدة الثابتة هي الودائع التي تكون الفائدة المدفوعة </w:t>
      </w:r>
      <w:r w:rsidR="002237FB">
        <w:rPr>
          <w:rFonts w:asciiTheme="minorBidi" w:hAnsiTheme="minorBidi" w:cs="Arial" w:hint="cs"/>
          <w:rtl/>
          <w:lang w:bidi="ar-SA"/>
        </w:rPr>
        <w:t>للزبون</w:t>
      </w:r>
      <w:r w:rsidRPr="007F795C">
        <w:rPr>
          <w:rFonts w:asciiTheme="minorBidi" w:hAnsiTheme="minorBidi" w:cs="Arial"/>
          <w:rtl/>
          <w:lang w:bidi="ar-SA"/>
        </w:rPr>
        <w:t xml:space="preserve"> معروفة مسبقًا وثابتة طوال </w:t>
      </w:r>
      <w:r w:rsidR="002237FB">
        <w:rPr>
          <w:rFonts w:asciiTheme="minorBidi" w:hAnsiTheme="minorBidi" w:cs="Arial" w:hint="cs"/>
          <w:rtl/>
          <w:lang w:bidi="ar-SA"/>
        </w:rPr>
        <w:t>فترة</w:t>
      </w:r>
      <w:r w:rsidRPr="007F795C">
        <w:rPr>
          <w:rFonts w:asciiTheme="minorBidi" w:hAnsiTheme="minorBidi" w:cs="Arial"/>
          <w:rtl/>
          <w:lang w:bidi="ar-SA"/>
        </w:rPr>
        <w:t xml:space="preserve"> الوديعة. ودائع الفائدة المتغيرة هي الودائع التي يتغير فيها سعر الفائدة خلال فترة </w:t>
      </w:r>
      <w:r w:rsidR="002237FB">
        <w:rPr>
          <w:rFonts w:asciiTheme="minorBidi" w:hAnsiTheme="minorBidi" w:cs="Arial" w:hint="cs"/>
          <w:rtl/>
          <w:lang w:bidi="ar-SA"/>
        </w:rPr>
        <w:t>الوديعة</w:t>
      </w:r>
      <w:r w:rsidRPr="007F795C">
        <w:rPr>
          <w:rFonts w:asciiTheme="minorBidi" w:hAnsiTheme="minorBidi" w:cs="Arial"/>
          <w:rtl/>
          <w:lang w:bidi="ar-SA"/>
        </w:rPr>
        <w:t>.</w:t>
      </w:r>
      <w:r w:rsidR="00E97418" w:rsidRPr="007F795C">
        <w:rPr>
          <w:rFonts w:asciiTheme="minorBidi" w:hAnsiTheme="minorBidi" w:cstheme="minorBidi"/>
          <w:rtl/>
        </w:rPr>
        <w:t xml:space="preserve"> </w:t>
      </w:r>
      <w:r w:rsidRPr="007F795C">
        <w:rPr>
          <w:rFonts w:asciiTheme="minorBidi" w:hAnsiTheme="minorBidi" w:cs="Arial"/>
          <w:rtl/>
          <w:lang w:bidi="ar-SA"/>
        </w:rPr>
        <w:t>تتكون الفائدة على هذه الودائع من فائدة أساسية (عادة سعر الفائدة الأساسي) و</w:t>
      </w:r>
      <w:r w:rsidR="002237FB">
        <w:rPr>
          <w:rFonts w:asciiTheme="minorBidi" w:hAnsiTheme="minorBidi" w:cs="Arial" w:hint="cs"/>
          <w:rtl/>
          <w:lang w:bidi="ar-SA"/>
        </w:rPr>
        <w:t xml:space="preserve">من </w:t>
      </w:r>
      <w:r w:rsidRPr="007F795C">
        <w:rPr>
          <w:rFonts w:asciiTheme="minorBidi" w:hAnsiTheme="minorBidi" w:cs="Arial"/>
          <w:rtl/>
          <w:lang w:bidi="ar-SA"/>
        </w:rPr>
        <w:t>هامش (</w:t>
      </w:r>
      <w:r w:rsidR="002237FB">
        <w:rPr>
          <w:rFonts w:asciiTheme="minorBidi" w:hAnsiTheme="minorBidi" w:cs="Arial" w:hint="cs"/>
          <w:rtl/>
          <w:lang w:bidi="ar-SA"/>
        </w:rPr>
        <w:t>نسبة</w:t>
      </w:r>
      <w:r w:rsidRPr="007F795C">
        <w:rPr>
          <w:rFonts w:asciiTheme="minorBidi" w:hAnsiTheme="minorBidi" w:cs="Arial"/>
          <w:rtl/>
          <w:lang w:bidi="ar-SA"/>
        </w:rPr>
        <w:t xml:space="preserve"> تخفيض من الفائدة الأساسية)، حيث يظل الهامش ثابتًا طوال </w:t>
      </w:r>
      <w:r w:rsidR="002237FB">
        <w:rPr>
          <w:rFonts w:asciiTheme="minorBidi" w:hAnsiTheme="minorBidi" w:cs="Arial" w:hint="cs"/>
          <w:rtl/>
          <w:lang w:bidi="ar-SA"/>
        </w:rPr>
        <w:t>فترة</w:t>
      </w:r>
      <w:r w:rsidRPr="007F795C">
        <w:rPr>
          <w:rFonts w:asciiTheme="minorBidi" w:hAnsiTheme="minorBidi" w:cs="Arial"/>
          <w:rtl/>
          <w:lang w:bidi="ar-SA"/>
        </w:rPr>
        <w:t xml:space="preserve"> الوديعة، في حين أن الفائدة </w:t>
      </w:r>
      <w:r w:rsidR="002237FB">
        <w:rPr>
          <w:rFonts w:asciiTheme="minorBidi" w:hAnsiTheme="minorBidi" w:cs="Arial" w:hint="cs"/>
          <w:rtl/>
          <w:lang w:bidi="ar-SA"/>
        </w:rPr>
        <w:t>الأساسية</w:t>
      </w:r>
      <w:r w:rsidRPr="007F795C">
        <w:rPr>
          <w:rFonts w:asciiTheme="minorBidi" w:hAnsiTheme="minorBidi" w:cs="Arial"/>
          <w:rtl/>
          <w:lang w:bidi="ar-SA"/>
        </w:rPr>
        <w:t xml:space="preserve"> (وهي خارجية و</w:t>
      </w:r>
      <w:r w:rsidR="002237FB">
        <w:rPr>
          <w:rFonts w:asciiTheme="minorBidi" w:hAnsiTheme="minorBidi" w:cs="Arial" w:hint="cs"/>
          <w:rtl/>
          <w:lang w:bidi="ar-SA"/>
        </w:rPr>
        <w:t>خاضع</w:t>
      </w:r>
      <w:r w:rsidRPr="007F795C">
        <w:rPr>
          <w:rFonts w:asciiTheme="minorBidi" w:hAnsiTheme="minorBidi" w:cs="Arial"/>
          <w:rtl/>
          <w:lang w:bidi="ar-SA"/>
        </w:rPr>
        <w:t xml:space="preserve">ة للبنك) تتغير وفقا لآلية تغيير الوديعة. يتم </w:t>
      </w:r>
      <w:r w:rsidRPr="007F795C">
        <w:rPr>
          <w:rFonts w:asciiTheme="minorBidi" w:hAnsiTheme="minorBidi" w:cs="Arial"/>
          <w:rtl/>
          <w:lang w:bidi="ar-SA"/>
        </w:rPr>
        <w:lastRenderedPageBreak/>
        <w:t>تقسيم الأداء بين أنواع فوائد الودائع بالتساوي تقريب</w:t>
      </w:r>
      <w:r w:rsidR="002237FB">
        <w:rPr>
          <w:rFonts w:asciiTheme="minorBidi" w:hAnsiTheme="minorBidi" w:cs="Arial" w:hint="cs"/>
          <w:rtl/>
          <w:lang w:bidi="ar-SA"/>
        </w:rPr>
        <w:t>اً</w:t>
      </w:r>
      <w:r w:rsidRPr="007F795C">
        <w:rPr>
          <w:rFonts w:asciiTheme="minorBidi" w:hAnsiTheme="minorBidi" w:cs="Arial"/>
          <w:rtl/>
          <w:lang w:bidi="ar-SA"/>
        </w:rPr>
        <w:t xml:space="preserve"> وفقًا لتوقعات أسعار الفائدة في السوق، </w:t>
      </w:r>
      <w:r w:rsidR="002237FB">
        <w:rPr>
          <w:rFonts w:asciiTheme="minorBidi" w:hAnsiTheme="minorBidi" w:cs="Arial" w:hint="cs"/>
          <w:rtl/>
          <w:lang w:bidi="ar-SA"/>
        </w:rPr>
        <w:t>مع وجود</w:t>
      </w:r>
      <w:r w:rsidRPr="007F795C">
        <w:rPr>
          <w:rFonts w:asciiTheme="minorBidi" w:hAnsiTheme="minorBidi" w:cs="Arial"/>
          <w:rtl/>
          <w:lang w:bidi="ar-SA"/>
        </w:rPr>
        <w:t xml:space="preserve"> اختلاف</w:t>
      </w:r>
      <w:r w:rsidR="002237FB">
        <w:rPr>
          <w:rFonts w:asciiTheme="minorBidi" w:hAnsiTheme="minorBidi" w:cs="Arial" w:hint="cs"/>
          <w:rtl/>
          <w:lang w:bidi="ar-SA"/>
        </w:rPr>
        <w:t>ات</w:t>
      </w:r>
      <w:r w:rsidRPr="007F795C">
        <w:rPr>
          <w:rFonts w:asciiTheme="minorBidi" w:hAnsiTheme="minorBidi" w:cs="Arial"/>
          <w:rtl/>
          <w:lang w:bidi="ar-SA"/>
        </w:rPr>
        <w:t xml:space="preserve"> بين البنوك المختلفة التي تقدم </w:t>
      </w:r>
      <w:r w:rsidR="002237FB">
        <w:rPr>
          <w:rFonts w:asciiTheme="minorBidi" w:hAnsiTheme="minorBidi" w:cs="Arial" w:hint="cs"/>
          <w:rtl/>
          <w:lang w:bidi="ar-SA"/>
        </w:rPr>
        <w:t>منتجات مختلفة</w:t>
      </w:r>
      <w:r w:rsidRPr="007F795C">
        <w:rPr>
          <w:rFonts w:asciiTheme="minorBidi" w:hAnsiTheme="minorBidi" w:cs="Arial"/>
          <w:rtl/>
          <w:lang w:bidi="ar-SA"/>
        </w:rPr>
        <w:t xml:space="preserve"> اعتماد</w:t>
      </w:r>
      <w:r w:rsidR="002237FB">
        <w:rPr>
          <w:rFonts w:asciiTheme="minorBidi" w:hAnsiTheme="minorBidi" w:cs="Arial" w:hint="cs"/>
          <w:rtl/>
          <w:lang w:bidi="ar-SA"/>
        </w:rPr>
        <w:t>اً</w:t>
      </w:r>
      <w:r w:rsidRPr="007F795C">
        <w:rPr>
          <w:rFonts w:asciiTheme="minorBidi" w:hAnsiTheme="minorBidi" w:cs="Arial"/>
          <w:rtl/>
          <w:lang w:bidi="ar-SA"/>
        </w:rPr>
        <w:t xml:space="preserve"> على نموذج</w:t>
      </w:r>
      <w:r w:rsidR="002237FB">
        <w:rPr>
          <w:rFonts w:asciiTheme="minorBidi" w:hAnsiTheme="minorBidi" w:cs="Arial" w:hint="cs"/>
          <w:rtl/>
          <w:lang w:bidi="ar-SA"/>
        </w:rPr>
        <w:t>ها</w:t>
      </w:r>
      <w:r w:rsidRPr="007F795C">
        <w:rPr>
          <w:rFonts w:asciiTheme="minorBidi" w:hAnsiTheme="minorBidi" w:cs="Arial"/>
          <w:rtl/>
          <w:lang w:bidi="ar-SA"/>
        </w:rPr>
        <w:t xml:space="preserve"> </w:t>
      </w:r>
      <w:r w:rsidR="002237FB">
        <w:rPr>
          <w:rFonts w:asciiTheme="minorBidi" w:hAnsiTheme="minorBidi" w:cs="Arial" w:hint="cs"/>
          <w:rtl/>
          <w:lang w:bidi="ar-SA"/>
        </w:rPr>
        <w:t>التجاري</w:t>
      </w:r>
      <w:r w:rsidRPr="007F795C">
        <w:rPr>
          <w:rFonts w:asciiTheme="minorBidi" w:hAnsiTheme="minorBidi" w:cs="Arial"/>
          <w:rtl/>
          <w:lang w:bidi="ar-SA"/>
        </w:rPr>
        <w:t xml:space="preserve"> واحتياجاتها التمويلية.</w:t>
      </w:r>
    </w:p>
    <w:p w14:paraId="11E04AA3" w14:textId="2BA9CD76" w:rsidR="00BE64DF" w:rsidRPr="007F795C" w:rsidRDefault="00321094" w:rsidP="007913F0">
      <w:pPr>
        <w:spacing w:after="240"/>
        <w:rPr>
          <w:rFonts w:asciiTheme="minorBidi" w:hAnsiTheme="minorBidi" w:cstheme="minorBidi"/>
          <w:rtl/>
          <w:lang w:bidi="ar-SA"/>
        </w:rPr>
      </w:pPr>
      <w:r w:rsidRPr="007F795C">
        <w:rPr>
          <w:rFonts w:asciiTheme="minorBidi" w:hAnsiTheme="minorBidi" w:cstheme="minorBidi"/>
          <w:noProof/>
          <w:lang w:bidi="ar-SA"/>
        </w:rPr>
        <w:drawing>
          <wp:anchor distT="0" distB="0" distL="114300" distR="114300" simplePos="0" relativeHeight="251700224" behindDoc="1" locked="0" layoutInCell="1" allowOverlap="1" wp14:anchorId="259185F5" wp14:editId="2512A95D">
            <wp:simplePos x="0" y="0"/>
            <wp:positionH relativeFrom="margin">
              <wp:posOffset>-2540</wp:posOffset>
            </wp:positionH>
            <wp:positionV relativeFrom="paragraph">
              <wp:posOffset>1778635</wp:posOffset>
            </wp:positionV>
            <wp:extent cx="5274310" cy="3204845"/>
            <wp:effectExtent l="0" t="0" r="0" b="0"/>
            <wp:wrapSquare wrapText="bothSides"/>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F795C" w:rsidRPr="007F795C">
        <w:rPr>
          <w:rFonts w:asciiTheme="minorBidi" w:hAnsiTheme="minorBidi" w:cs="Arial"/>
          <w:rtl/>
          <w:lang w:bidi="ar-SA"/>
        </w:rPr>
        <w:t xml:space="preserve">كان </w:t>
      </w:r>
      <w:r w:rsidR="002237FB">
        <w:rPr>
          <w:rFonts w:asciiTheme="minorBidi" w:hAnsiTheme="minorBidi" w:cs="Arial" w:hint="cs"/>
          <w:rtl/>
          <w:lang w:bidi="ar-SA"/>
        </w:rPr>
        <w:t>معدل</w:t>
      </w:r>
      <w:r w:rsidR="007F795C" w:rsidRPr="007F795C">
        <w:rPr>
          <w:rFonts w:asciiTheme="minorBidi" w:hAnsiTheme="minorBidi" w:cs="Arial"/>
          <w:rtl/>
          <w:lang w:bidi="ar-SA"/>
        </w:rPr>
        <w:t xml:space="preserve"> التحول على الودائع ذات الفائدة الثابتة في بداية عام 2023 أعلى بكثير من سعر التحول على الودائع ذات الفائدة المتغيرة. </w:t>
      </w:r>
      <w:r w:rsidR="002237FB">
        <w:rPr>
          <w:rFonts w:asciiTheme="minorBidi" w:hAnsiTheme="minorBidi" w:cs="Arial" w:hint="cs"/>
          <w:rtl/>
          <w:lang w:bidi="ar-SA"/>
        </w:rPr>
        <w:t>قد تنجم</w:t>
      </w:r>
      <w:r w:rsidR="007F795C" w:rsidRPr="007F795C">
        <w:rPr>
          <w:rFonts w:asciiTheme="minorBidi" w:hAnsiTheme="minorBidi" w:cs="Arial"/>
          <w:rtl/>
          <w:lang w:bidi="ar-SA"/>
        </w:rPr>
        <w:t xml:space="preserve"> هذه الفجوة من توقع زيادة أخرى في سعر الفائدة في بنك إسرائيل. </w:t>
      </w:r>
      <w:r w:rsidR="002237FB">
        <w:rPr>
          <w:rFonts w:asciiTheme="minorBidi" w:hAnsiTheme="minorBidi" w:cs="Arial" w:hint="cs"/>
          <w:rtl/>
          <w:lang w:bidi="ar-SA"/>
        </w:rPr>
        <w:t>تقلصت</w:t>
      </w:r>
      <w:r w:rsidR="007F795C" w:rsidRPr="007F795C">
        <w:rPr>
          <w:rFonts w:asciiTheme="minorBidi" w:hAnsiTheme="minorBidi" w:cs="Arial"/>
          <w:rtl/>
          <w:lang w:bidi="ar-SA"/>
        </w:rPr>
        <w:t xml:space="preserve"> الفجوة خلال العام </w:t>
      </w:r>
      <w:r w:rsidR="007F7F79">
        <w:rPr>
          <w:rFonts w:asciiTheme="minorBidi" w:hAnsiTheme="minorBidi" w:cs="Arial" w:hint="cs"/>
          <w:rtl/>
          <w:lang w:bidi="ar-SA"/>
        </w:rPr>
        <w:t>لتعبر</w:t>
      </w:r>
      <w:r w:rsidR="007F795C" w:rsidRPr="007F795C">
        <w:rPr>
          <w:rFonts w:asciiTheme="minorBidi" w:hAnsiTheme="minorBidi" w:cs="Arial"/>
          <w:rtl/>
          <w:lang w:bidi="ar-SA"/>
        </w:rPr>
        <w:t xml:space="preserve"> عن انتهاء عملية رفع أسعار الفائدة في بنك إسرائيل. </w:t>
      </w:r>
      <w:r w:rsidR="002237FB">
        <w:rPr>
          <w:rFonts w:asciiTheme="minorBidi" w:hAnsiTheme="minorBidi" w:cs="Arial" w:hint="cs"/>
          <w:rtl/>
          <w:lang w:bidi="ar-SA"/>
        </w:rPr>
        <w:t>مع</w:t>
      </w:r>
      <w:r w:rsidR="007F795C" w:rsidRPr="007F795C">
        <w:rPr>
          <w:rFonts w:asciiTheme="minorBidi" w:hAnsiTheme="minorBidi" w:cs="Arial"/>
          <w:rtl/>
          <w:lang w:bidi="ar-SA"/>
        </w:rPr>
        <w:t xml:space="preserve"> نهاية عام 2023، وفي ظل حالة عدم اليقين التي نشأت عقب حرب "السيوف الحديدية"، حدث تقارب </w:t>
      </w:r>
      <w:r w:rsidR="002237FB">
        <w:rPr>
          <w:rFonts w:asciiTheme="minorBidi" w:hAnsiTheme="minorBidi" w:cs="Arial" w:hint="cs"/>
          <w:rtl/>
          <w:lang w:bidi="ar-SA"/>
        </w:rPr>
        <w:t>بين معدلات التحول</w:t>
      </w:r>
      <w:r w:rsidR="007F795C" w:rsidRPr="007F795C">
        <w:rPr>
          <w:rFonts w:asciiTheme="minorBidi" w:hAnsiTheme="minorBidi" w:cs="Arial"/>
          <w:rtl/>
          <w:lang w:bidi="ar-SA"/>
        </w:rPr>
        <w:t xml:space="preserve"> بين الودائع ذات الفائدة المتغيرة </w:t>
      </w:r>
      <w:r w:rsidR="002237FB">
        <w:rPr>
          <w:rFonts w:asciiTheme="minorBidi" w:hAnsiTheme="minorBidi" w:cs="Arial" w:hint="cs"/>
          <w:rtl/>
          <w:lang w:bidi="ar-SA"/>
        </w:rPr>
        <w:t>والودائع</w:t>
      </w:r>
      <w:r w:rsidR="007F795C" w:rsidRPr="007F795C">
        <w:rPr>
          <w:rFonts w:asciiTheme="minorBidi" w:hAnsiTheme="minorBidi" w:cs="Arial"/>
          <w:rtl/>
          <w:lang w:bidi="ar-SA"/>
        </w:rPr>
        <w:t xml:space="preserve"> ذات الفائدة الثابتة، </w:t>
      </w:r>
      <w:r w:rsidR="002237FB">
        <w:rPr>
          <w:rFonts w:asciiTheme="minorBidi" w:hAnsiTheme="minorBidi" w:cs="Arial" w:hint="cs"/>
          <w:rtl/>
          <w:lang w:bidi="ar-SA"/>
        </w:rPr>
        <w:t>واستمر هذا التقارب</w:t>
      </w:r>
      <w:r w:rsidR="007F795C" w:rsidRPr="007F795C">
        <w:rPr>
          <w:rFonts w:asciiTheme="minorBidi" w:hAnsiTheme="minorBidi" w:cs="Arial"/>
          <w:rtl/>
          <w:lang w:bidi="ar-SA"/>
        </w:rPr>
        <w:t xml:space="preserve"> في الأشهر الأولى من عام 2024 </w:t>
      </w:r>
      <w:r w:rsidR="002237FB">
        <w:rPr>
          <w:rFonts w:asciiTheme="minorBidi" w:hAnsiTheme="minorBidi" w:cs="Arial" w:hint="cs"/>
          <w:rtl/>
          <w:lang w:bidi="ar-SA"/>
        </w:rPr>
        <w:t xml:space="preserve">أيضاً. </w:t>
      </w:r>
      <w:r w:rsidR="007F795C" w:rsidRPr="007F795C">
        <w:rPr>
          <w:rFonts w:asciiTheme="minorBidi" w:hAnsiTheme="minorBidi" w:cs="Arial"/>
          <w:rtl/>
          <w:lang w:bidi="ar-SA"/>
        </w:rPr>
        <w:t>(الشكل 7).</w:t>
      </w:r>
    </w:p>
    <w:p w14:paraId="649BFE7E" w14:textId="7D35A484" w:rsidR="00500BDE" w:rsidRPr="007F795C" w:rsidRDefault="007F795C" w:rsidP="00D43B05">
      <w:pPr>
        <w:spacing w:before="480" w:after="240"/>
        <w:rPr>
          <w:rFonts w:asciiTheme="minorBidi" w:hAnsiTheme="minorBidi" w:cstheme="minorBidi"/>
          <w:rtl/>
          <w:lang w:bidi="ar-SA"/>
        </w:rPr>
      </w:pPr>
      <w:r w:rsidRPr="007F795C">
        <w:rPr>
          <w:rFonts w:asciiTheme="minorBidi" w:hAnsiTheme="minorBidi" w:cs="Arial"/>
          <w:rtl/>
          <w:lang w:bidi="ar-SA"/>
        </w:rPr>
        <w:t xml:space="preserve">منذ بداية </w:t>
      </w:r>
      <w:r w:rsidR="00D43B05">
        <w:rPr>
          <w:rFonts w:asciiTheme="minorBidi" w:hAnsiTheme="minorBidi" w:cs="Arial" w:hint="cs"/>
          <w:rtl/>
          <w:lang w:bidi="ar-SA"/>
        </w:rPr>
        <w:t>رفع</w:t>
      </w:r>
      <w:r w:rsidRPr="007F795C">
        <w:rPr>
          <w:rFonts w:asciiTheme="minorBidi" w:hAnsiTheme="minorBidi" w:cs="Arial"/>
          <w:rtl/>
          <w:lang w:bidi="ar-SA"/>
        </w:rPr>
        <w:t xml:space="preserve"> </w:t>
      </w:r>
      <w:r w:rsidR="00D43B05">
        <w:rPr>
          <w:rFonts w:asciiTheme="minorBidi" w:hAnsiTheme="minorBidi" w:cs="Arial" w:hint="cs"/>
          <w:rtl/>
          <w:lang w:bidi="ar-SA"/>
        </w:rPr>
        <w:t>أسعار</w:t>
      </w:r>
      <w:r w:rsidRPr="007F795C">
        <w:rPr>
          <w:rFonts w:asciiTheme="minorBidi" w:hAnsiTheme="minorBidi" w:cs="Arial"/>
          <w:rtl/>
          <w:lang w:bidi="ar-SA"/>
        </w:rPr>
        <w:t xml:space="preserve"> الفائدة في بنك إسرائيل في </w:t>
      </w:r>
      <w:r w:rsidR="006A08CF">
        <w:rPr>
          <w:rFonts w:asciiTheme="minorBidi" w:hAnsiTheme="minorBidi" w:cs="Arial" w:hint="cs"/>
          <w:rtl/>
          <w:lang w:bidi="ar-SA"/>
        </w:rPr>
        <w:t>نيسان</w:t>
      </w:r>
      <w:r w:rsidRPr="007F795C">
        <w:rPr>
          <w:rFonts w:asciiTheme="minorBidi" w:hAnsiTheme="minorBidi" w:cs="Arial"/>
          <w:rtl/>
          <w:lang w:bidi="ar-SA"/>
        </w:rPr>
        <w:t xml:space="preserve"> 2022 وبالنظر إلى حقيقة أن</w:t>
      </w:r>
      <w:r w:rsidR="00D43B05">
        <w:rPr>
          <w:rFonts w:asciiTheme="minorBidi" w:hAnsiTheme="minorBidi" w:cs="Arial" w:hint="cs"/>
          <w:rtl/>
          <w:lang w:bidi="ar-SA"/>
        </w:rPr>
        <w:t xml:space="preserve"> ذلك</w:t>
      </w:r>
      <w:r w:rsidRPr="007F795C">
        <w:rPr>
          <w:rFonts w:asciiTheme="minorBidi" w:hAnsiTheme="minorBidi" w:cs="Arial"/>
          <w:rtl/>
          <w:lang w:bidi="ar-SA"/>
        </w:rPr>
        <w:t xml:space="preserve"> </w:t>
      </w:r>
      <w:r w:rsidR="00D43B05">
        <w:rPr>
          <w:rFonts w:asciiTheme="minorBidi" w:hAnsiTheme="minorBidi" w:cs="Arial" w:hint="cs"/>
          <w:rtl/>
          <w:lang w:bidi="ar-SA"/>
        </w:rPr>
        <w:t>تحول</w:t>
      </w:r>
      <w:r w:rsidRPr="007F795C">
        <w:rPr>
          <w:rFonts w:asciiTheme="minorBidi" w:hAnsiTheme="minorBidi" w:cs="Arial"/>
          <w:rtl/>
          <w:lang w:bidi="ar-SA"/>
        </w:rPr>
        <w:t xml:space="preserve"> بالكامل </w:t>
      </w:r>
      <w:r w:rsidR="00D43B05">
        <w:rPr>
          <w:rFonts w:asciiTheme="minorBidi" w:hAnsiTheme="minorBidi" w:cs="Arial" w:hint="cs"/>
          <w:rtl/>
          <w:lang w:bidi="ar-SA"/>
        </w:rPr>
        <w:t>إلى</w:t>
      </w:r>
      <w:r w:rsidRPr="007F795C">
        <w:rPr>
          <w:rFonts w:asciiTheme="minorBidi" w:hAnsiTheme="minorBidi" w:cs="Arial"/>
          <w:rtl/>
          <w:lang w:bidi="ar-SA"/>
        </w:rPr>
        <w:t xml:space="preserve"> سعر فائدة على الائتمان، نشأ خطاب عام </w:t>
      </w:r>
      <w:r w:rsidR="006A08CF">
        <w:rPr>
          <w:rFonts w:asciiTheme="minorBidi" w:hAnsiTheme="minorBidi" w:cs="Arial" w:hint="cs"/>
          <w:rtl/>
          <w:lang w:bidi="ar-SA"/>
        </w:rPr>
        <w:t>حول</w:t>
      </w:r>
      <w:r w:rsidRPr="007F795C">
        <w:rPr>
          <w:rFonts w:asciiTheme="minorBidi" w:hAnsiTheme="minorBidi" w:cs="Arial"/>
          <w:rtl/>
          <w:lang w:bidi="ar-SA"/>
        </w:rPr>
        <w:t xml:space="preserve"> حقيقة أن </w:t>
      </w:r>
      <w:r w:rsidR="006A08CF">
        <w:rPr>
          <w:rFonts w:asciiTheme="minorBidi" w:hAnsiTheme="minorBidi" w:cs="Arial" w:hint="cs"/>
          <w:rtl/>
          <w:lang w:bidi="ar-SA"/>
        </w:rPr>
        <w:t>التحول</w:t>
      </w:r>
      <w:r w:rsidRPr="007F795C">
        <w:rPr>
          <w:rFonts w:asciiTheme="minorBidi" w:hAnsiTheme="minorBidi" w:cs="Arial"/>
          <w:rtl/>
          <w:lang w:bidi="ar-SA"/>
        </w:rPr>
        <w:t xml:space="preserve"> إلى سعر الفائدة على الودائع كان بطي</w:t>
      </w:r>
      <w:r w:rsidR="006A08CF">
        <w:rPr>
          <w:rFonts w:asciiTheme="minorBidi" w:hAnsiTheme="minorBidi" w:cs="Arial" w:hint="cs"/>
          <w:rtl/>
          <w:lang w:bidi="ar-SA"/>
        </w:rPr>
        <w:t>ئاً</w:t>
      </w:r>
      <w:r w:rsidRPr="007F795C">
        <w:rPr>
          <w:rFonts w:asciiTheme="minorBidi" w:hAnsiTheme="minorBidi" w:cs="Arial"/>
          <w:rtl/>
          <w:lang w:bidi="ar-SA"/>
        </w:rPr>
        <w:t xml:space="preserve"> جدا</w:t>
      </w:r>
      <w:r w:rsidR="006A08CF">
        <w:rPr>
          <w:rFonts w:asciiTheme="minorBidi" w:hAnsiTheme="minorBidi" w:cs="Arial" w:hint="cs"/>
          <w:rtl/>
          <w:lang w:bidi="ar-SA"/>
        </w:rPr>
        <w:t>ً</w:t>
      </w:r>
      <w:r w:rsidRPr="007F795C">
        <w:rPr>
          <w:rFonts w:asciiTheme="minorBidi" w:hAnsiTheme="minorBidi" w:cs="Arial"/>
          <w:rtl/>
          <w:lang w:bidi="ar-SA"/>
        </w:rPr>
        <w:t xml:space="preserve"> ومنخفض</w:t>
      </w:r>
      <w:r w:rsidR="006A08CF">
        <w:rPr>
          <w:rFonts w:asciiTheme="minorBidi" w:hAnsiTheme="minorBidi" w:cs="Arial" w:hint="cs"/>
          <w:rtl/>
          <w:lang w:bidi="ar-SA"/>
        </w:rPr>
        <w:t>اً</w:t>
      </w:r>
      <w:r w:rsidRPr="007F795C">
        <w:rPr>
          <w:rFonts w:asciiTheme="minorBidi" w:hAnsiTheme="minorBidi" w:cs="Arial"/>
          <w:rtl/>
          <w:lang w:bidi="ar-SA"/>
        </w:rPr>
        <w:t xml:space="preserve"> جدا</w:t>
      </w:r>
      <w:r w:rsidR="006A08CF">
        <w:rPr>
          <w:rFonts w:asciiTheme="minorBidi" w:hAnsiTheme="minorBidi" w:cs="Arial" w:hint="cs"/>
          <w:rtl/>
          <w:lang w:bidi="ar-SA"/>
        </w:rPr>
        <w:t>ً</w:t>
      </w:r>
      <w:r w:rsidRPr="007F795C">
        <w:rPr>
          <w:rFonts w:asciiTheme="minorBidi" w:hAnsiTheme="minorBidi" w:cs="Arial"/>
          <w:rtl/>
          <w:lang w:bidi="ar-SA"/>
        </w:rPr>
        <w:t>.</w:t>
      </w:r>
      <w:r w:rsidR="00BE64DF" w:rsidRPr="007F795C">
        <w:rPr>
          <w:rFonts w:asciiTheme="minorBidi" w:hAnsiTheme="minorBidi" w:cstheme="minorBidi"/>
          <w:rtl/>
        </w:rPr>
        <w:t xml:space="preserve"> </w:t>
      </w:r>
      <w:r w:rsidR="006A08CF">
        <w:rPr>
          <w:rFonts w:asciiTheme="minorBidi" w:hAnsiTheme="minorBidi" w:cs="Arial" w:hint="cs"/>
          <w:rtl/>
          <w:lang w:bidi="ar-SA"/>
        </w:rPr>
        <w:t>يشار إلى</w:t>
      </w:r>
      <w:r w:rsidR="006A08CF" w:rsidRPr="007F795C">
        <w:rPr>
          <w:rFonts w:asciiTheme="minorBidi" w:hAnsiTheme="minorBidi" w:cs="Arial"/>
          <w:rtl/>
          <w:lang w:bidi="ar-SA"/>
        </w:rPr>
        <w:t xml:space="preserve"> أنه على الرغم من التحول الجزئي لسعر فائدة البنك المركزي إلى سعر فائدة على ودائع الأسر (مقارنة بقطاعات النشاط الأخرى، </w:t>
      </w:r>
      <w:r w:rsidR="006A08CF">
        <w:rPr>
          <w:rFonts w:asciiTheme="minorBidi" w:hAnsiTheme="minorBidi" w:cs="Arial" w:hint="cs"/>
          <w:rtl/>
          <w:lang w:bidi="ar-SA"/>
        </w:rPr>
        <w:t>و</w:t>
      </w:r>
      <w:r w:rsidR="006A08CF" w:rsidRPr="007F795C">
        <w:rPr>
          <w:rFonts w:asciiTheme="minorBidi" w:hAnsiTheme="minorBidi" w:cs="Arial"/>
          <w:rtl/>
          <w:lang w:bidi="ar-SA"/>
        </w:rPr>
        <w:t>بالنظر إلى فترة الإيداع الطويلة نسبيا</w:t>
      </w:r>
      <w:r w:rsidR="006A08CF">
        <w:rPr>
          <w:rFonts w:asciiTheme="minorBidi" w:hAnsiTheme="minorBidi" w:cs="Arial" w:hint="cs"/>
          <w:rtl/>
          <w:lang w:bidi="ar-SA"/>
        </w:rPr>
        <w:t>ً</w:t>
      </w:r>
      <w:r w:rsidR="006A08CF" w:rsidRPr="007F795C">
        <w:rPr>
          <w:rFonts w:asciiTheme="minorBidi" w:hAnsiTheme="minorBidi" w:cs="Arial"/>
          <w:rtl/>
          <w:lang w:bidi="ar-SA"/>
        </w:rPr>
        <w:t xml:space="preserve"> ومسار سعر الفائدة المتوقع)، فإن هذه </w:t>
      </w:r>
      <w:r w:rsidR="006A08CF">
        <w:rPr>
          <w:rFonts w:asciiTheme="minorBidi" w:hAnsiTheme="minorBidi" w:cs="Arial" w:hint="cs"/>
          <w:rtl/>
          <w:lang w:bidi="ar-SA"/>
        </w:rPr>
        <w:t>ال</w:t>
      </w:r>
      <w:r w:rsidR="006A08CF" w:rsidRPr="007F795C">
        <w:rPr>
          <w:rFonts w:asciiTheme="minorBidi" w:hAnsiTheme="minorBidi" w:cs="Arial"/>
          <w:rtl/>
          <w:lang w:bidi="ar-SA"/>
        </w:rPr>
        <w:t>ظاهرة واسعة الانتشار نسبيا</w:t>
      </w:r>
      <w:r w:rsidR="006A08CF">
        <w:rPr>
          <w:rFonts w:asciiTheme="minorBidi" w:hAnsiTheme="minorBidi" w:cs="Arial" w:hint="cs"/>
          <w:rtl/>
          <w:lang w:bidi="ar-SA"/>
        </w:rPr>
        <w:t>ً</w:t>
      </w:r>
      <w:r w:rsidR="006A08CF" w:rsidRPr="007F795C">
        <w:rPr>
          <w:rFonts w:asciiTheme="minorBidi" w:hAnsiTheme="minorBidi" w:cs="Arial"/>
          <w:rtl/>
          <w:lang w:bidi="ar-SA"/>
        </w:rPr>
        <w:t xml:space="preserve"> في </w:t>
      </w:r>
      <w:r w:rsidR="006A08CF">
        <w:rPr>
          <w:rFonts w:asciiTheme="minorBidi" w:hAnsiTheme="minorBidi" w:cs="Arial" w:hint="cs"/>
          <w:rtl/>
          <w:lang w:bidi="ar-SA"/>
        </w:rPr>
        <w:t>ال</w:t>
      </w:r>
      <w:r w:rsidR="006A08CF" w:rsidRPr="007F795C">
        <w:rPr>
          <w:rFonts w:asciiTheme="minorBidi" w:hAnsiTheme="minorBidi" w:cs="Arial"/>
          <w:rtl/>
          <w:lang w:bidi="ar-SA"/>
        </w:rPr>
        <w:t xml:space="preserve">عالم. </w:t>
      </w:r>
      <w:r w:rsidR="006A08CF">
        <w:rPr>
          <w:rFonts w:asciiTheme="minorBidi" w:hAnsiTheme="minorBidi" w:cs="Arial" w:hint="cs"/>
          <w:rtl/>
          <w:lang w:bidi="ar-SA"/>
        </w:rPr>
        <w:t>يظهر</w:t>
      </w:r>
      <w:r w:rsidR="006A08CF" w:rsidRPr="007F795C">
        <w:rPr>
          <w:rFonts w:asciiTheme="minorBidi" w:hAnsiTheme="minorBidi" w:cs="Arial"/>
          <w:rtl/>
          <w:lang w:bidi="ar-SA"/>
        </w:rPr>
        <w:t xml:space="preserve"> ذلك من خلال المقارنة مع الاقتصادات المتقدمة،</w:t>
      </w:r>
      <w:r w:rsidR="00060936" w:rsidRPr="007F795C">
        <w:rPr>
          <w:rStyle w:val="FootnoteReference"/>
          <w:rFonts w:asciiTheme="minorBidi" w:hAnsiTheme="minorBidi" w:cstheme="minorBidi"/>
          <w:rtl/>
        </w:rPr>
        <w:footnoteReference w:id="16"/>
      </w:r>
      <w:r w:rsidR="005445C4" w:rsidRPr="007F795C">
        <w:rPr>
          <w:rFonts w:asciiTheme="minorBidi" w:hAnsiTheme="minorBidi" w:cstheme="minorBidi"/>
          <w:rtl/>
        </w:rPr>
        <w:t xml:space="preserve"> </w:t>
      </w:r>
      <w:r w:rsidRPr="007F795C">
        <w:rPr>
          <w:rFonts w:asciiTheme="minorBidi" w:hAnsiTheme="minorBidi" w:cs="Arial"/>
          <w:rtl/>
          <w:lang w:bidi="ar-SA"/>
        </w:rPr>
        <w:t xml:space="preserve">حيث يتميز النظام المصرفي بفائض كبير في السيولة. ومع ذلك، فإن معدل </w:t>
      </w:r>
      <w:r w:rsidR="006A08CF">
        <w:rPr>
          <w:rFonts w:asciiTheme="minorBidi" w:hAnsiTheme="minorBidi" w:cs="Arial" w:hint="cs"/>
          <w:rtl/>
          <w:lang w:bidi="ar-SA"/>
        </w:rPr>
        <w:t>التحول</w:t>
      </w:r>
      <w:r w:rsidRPr="007F795C">
        <w:rPr>
          <w:rFonts w:asciiTheme="minorBidi" w:hAnsiTheme="minorBidi" w:cs="Arial"/>
          <w:rtl/>
          <w:lang w:bidi="ar-SA"/>
        </w:rPr>
        <w:t xml:space="preserve"> في إسرائيل مرتفع نسبيا</w:t>
      </w:r>
      <w:r w:rsidR="006A08CF">
        <w:rPr>
          <w:rFonts w:asciiTheme="minorBidi" w:hAnsiTheme="minorBidi" w:cs="Arial" w:hint="cs"/>
          <w:rtl/>
          <w:lang w:bidi="ar-SA"/>
        </w:rPr>
        <w:t>ً</w:t>
      </w:r>
      <w:r w:rsidRPr="007F795C">
        <w:rPr>
          <w:rFonts w:asciiTheme="minorBidi" w:hAnsiTheme="minorBidi" w:cs="Arial"/>
          <w:rtl/>
          <w:lang w:bidi="ar-SA"/>
        </w:rPr>
        <w:t xml:space="preserve"> مقارنة بالاقتصادات المتقدمة في العالم.</w:t>
      </w:r>
    </w:p>
    <w:p w14:paraId="4F7F1937" w14:textId="7EE3BB50" w:rsidR="00914C4F" w:rsidRPr="007F795C" w:rsidRDefault="007F795C" w:rsidP="00D43B05">
      <w:pPr>
        <w:spacing w:after="240"/>
        <w:rPr>
          <w:rFonts w:asciiTheme="minorBidi" w:hAnsiTheme="minorBidi" w:cstheme="minorBidi"/>
          <w:rtl/>
          <w:lang w:bidi="ar-SA"/>
        </w:rPr>
      </w:pPr>
      <w:r w:rsidRPr="007F795C">
        <w:rPr>
          <w:rFonts w:asciiTheme="minorBidi" w:hAnsiTheme="minorBidi" w:cs="Arial"/>
          <w:rtl/>
          <w:lang w:bidi="ar-SA"/>
        </w:rPr>
        <w:t>أوقفت معظم البنوك المركزية في اقتصادات العالم المتقدمة أو أبطأت معدل زياد</w:t>
      </w:r>
      <w:r w:rsidR="00BA2BF5">
        <w:rPr>
          <w:rFonts w:asciiTheme="minorBidi" w:hAnsiTheme="minorBidi" w:cs="Arial" w:hint="cs"/>
          <w:rtl/>
          <w:lang w:bidi="ar-SA"/>
        </w:rPr>
        <w:t>ة</w:t>
      </w:r>
      <w:r w:rsidRPr="007F795C">
        <w:rPr>
          <w:rFonts w:asciiTheme="minorBidi" w:hAnsiTheme="minorBidi" w:cs="Arial"/>
          <w:rtl/>
          <w:lang w:bidi="ar-SA"/>
        </w:rPr>
        <w:t xml:space="preserve"> أسعار الفائدة خلال عام 2023، وظل معدل </w:t>
      </w:r>
      <w:r w:rsidR="00BA2BF5">
        <w:rPr>
          <w:rFonts w:asciiTheme="minorBidi" w:hAnsiTheme="minorBidi" w:cs="Arial" w:hint="cs"/>
          <w:rtl/>
          <w:lang w:bidi="ar-SA"/>
        </w:rPr>
        <w:t>ال</w:t>
      </w:r>
      <w:r w:rsidRPr="007F795C">
        <w:rPr>
          <w:rFonts w:asciiTheme="minorBidi" w:hAnsiTheme="minorBidi" w:cs="Arial"/>
          <w:rtl/>
          <w:lang w:bidi="ar-SA"/>
        </w:rPr>
        <w:t xml:space="preserve">تحول </w:t>
      </w:r>
      <w:r w:rsidR="00BA2BF5">
        <w:rPr>
          <w:rFonts w:asciiTheme="minorBidi" w:hAnsiTheme="minorBidi" w:cs="Arial" w:hint="cs"/>
          <w:rtl/>
          <w:lang w:bidi="ar-SA"/>
        </w:rPr>
        <w:t xml:space="preserve">إلى </w:t>
      </w:r>
      <w:r w:rsidRPr="007F795C">
        <w:rPr>
          <w:rFonts w:asciiTheme="minorBidi" w:hAnsiTheme="minorBidi" w:cs="Arial"/>
          <w:rtl/>
          <w:lang w:bidi="ar-SA"/>
        </w:rPr>
        <w:t xml:space="preserve">أسعار الفائدة </w:t>
      </w:r>
      <w:r w:rsidR="00BA2BF5">
        <w:rPr>
          <w:rFonts w:asciiTheme="minorBidi" w:hAnsiTheme="minorBidi" w:cs="Arial" w:hint="cs"/>
          <w:rtl/>
          <w:lang w:bidi="ar-SA"/>
        </w:rPr>
        <w:t>على</w:t>
      </w:r>
      <w:r w:rsidRPr="007F795C">
        <w:rPr>
          <w:rFonts w:asciiTheme="minorBidi" w:hAnsiTheme="minorBidi" w:cs="Arial"/>
          <w:rtl/>
          <w:lang w:bidi="ar-SA"/>
        </w:rPr>
        <w:t xml:space="preserve"> ودائع الأسر ثابت</w:t>
      </w:r>
      <w:r w:rsidR="00BA2BF5">
        <w:rPr>
          <w:rFonts w:asciiTheme="minorBidi" w:hAnsiTheme="minorBidi" w:cs="Arial" w:hint="cs"/>
          <w:rtl/>
          <w:lang w:bidi="ar-SA"/>
        </w:rPr>
        <w:t>اً</w:t>
      </w:r>
      <w:r w:rsidRPr="007F795C">
        <w:rPr>
          <w:rFonts w:asciiTheme="minorBidi" w:hAnsiTheme="minorBidi" w:cs="Arial"/>
          <w:rtl/>
          <w:lang w:bidi="ar-SA"/>
        </w:rPr>
        <w:t xml:space="preserve"> نسبي</w:t>
      </w:r>
      <w:r w:rsidR="00BA2BF5">
        <w:rPr>
          <w:rFonts w:asciiTheme="minorBidi" w:hAnsiTheme="minorBidi" w:cs="Arial" w:hint="cs"/>
          <w:rtl/>
          <w:lang w:bidi="ar-SA"/>
        </w:rPr>
        <w:t>اً</w:t>
      </w:r>
      <w:r w:rsidRPr="007F795C">
        <w:rPr>
          <w:rFonts w:asciiTheme="minorBidi" w:hAnsiTheme="minorBidi" w:cs="Arial"/>
          <w:rtl/>
          <w:lang w:bidi="ar-SA"/>
        </w:rPr>
        <w:t xml:space="preserve"> (الشكل 8).</w:t>
      </w:r>
      <w:r>
        <w:rPr>
          <w:rFonts w:asciiTheme="minorBidi" w:hAnsiTheme="minorBidi" w:cs="Arial" w:hint="cs"/>
          <w:rtl/>
          <w:lang w:bidi="ar-SA"/>
        </w:rPr>
        <w:t xml:space="preserve"> </w:t>
      </w:r>
      <w:r w:rsidR="00BA2BF5" w:rsidRPr="007F795C">
        <w:rPr>
          <w:rFonts w:asciiTheme="minorBidi" w:hAnsiTheme="minorBidi" w:cs="Arial"/>
          <w:rtl/>
          <w:lang w:bidi="ar-SA"/>
        </w:rPr>
        <w:t xml:space="preserve">في بعض الاقتصادات </w:t>
      </w:r>
      <w:r w:rsidR="00BA2BF5" w:rsidRPr="007F795C">
        <w:rPr>
          <w:rFonts w:asciiTheme="minorBidi" w:hAnsiTheme="minorBidi" w:cs="Arial"/>
          <w:rtl/>
          <w:lang w:bidi="ar-SA"/>
        </w:rPr>
        <w:lastRenderedPageBreak/>
        <w:t xml:space="preserve">المتقدمة، </w:t>
      </w:r>
      <w:r w:rsidR="00BA2BF5">
        <w:rPr>
          <w:rFonts w:asciiTheme="minorBidi" w:hAnsiTheme="minorBidi" w:cs="Arial" w:hint="cs"/>
          <w:rtl/>
          <w:lang w:bidi="ar-SA"/>
        </w:rPr>
        <w:t>كان</w:t>
      </w:r>
      <w:r w:rsidR="00BA2BF5" w:rsidRPr="007F795C">
        <w:rPr>
          <w:rFonts w:asciiTheme="minorBidi" w:hAnsiTheme="minorBidi" w:cs="Arial"/>
          <w:rtl/>
          <w:lang w:bidi="ar-SA"/>
        </w:rPr>
        <w:t xml:space="preserve"> </w:t>
      </w:r>
      <w:r w:rsidR="00BA2BF5">
        <w:rPr>
          <w:rFonts w:asciiTheme="minorBidi" w:hAnsiTheme="minorBidi" w:cs="Arial" w:hint="cs"/>
          <w:rtl/>
          <w:lang w:bidi="ar-SA"/>
        </w:rPr>
        <w:t>تحول</w:t>
      </w:r>
      <w:r w:rsidR="00BA2BF5" w:rsidRPr="007F795C">
        <w:rPr>
          <w:rFonts w:asciiTheme="minorBidi" w:hAnsiTheme="minorBidi" w:cs="Arial"/>
          <w:rtl/>
          <w:lang w:bidi="ar-SA"/>
        </w:rPr>
        <w:t xml:space="preserve"> أسعار الفائدة أقل، على سبيل المثال في أوروبا</w:t>
      </w:r>
      <w:r w:rsidR="00BA2BF5" w:rsidRPr="007F795C">
        <w:rPr>
          <w:rStyle w:val="FootnoteReference"/>
          <w:rFonts w:asciiTheme="minorBidi" w:hAnsiTheme="minorBidi" w:cstheme="minorBidi"/>
          <w:rtl/>
        </w:rPr>
        <w:t xml:space="preserve"> </w:t>
      </w:r>
      <w:r w:rsidR="009159F0" w:rsidRPr="007F795C">
        <w:rPr>
          <w:rStyle w:val="FootnoteReference"/>
          <w:rFonts w:asciiTheme="minorBidi" w:hAnsiTheme="minorBidi" w:cstheme="minorBidi"/>
          <w:rtl/>
        </w:rPr>
        <w:footnoteReference w:id="17"/>
      </w:r>
      <w:r w:rsidR="00914C4F" w:rsidRPr="007F795C">
        <w:rPr>
          <w:rFonts w:asciiTheme="minorBidi" w:hAnsiTheme="minorBidi" w:cstheme="minorBidi"/>
          <w:rtl/>
        </w:rPr>
        <w:t xml:space="preserve"> </w:t>
      </w:r>
      <w:r w:rsidR="00BA2BF5" w:rsidRPr="007F795C">
        <w:rPr>
          <w:rFonts w:asciiTheme="minorBidi" w:hAnsiTheme="minorBidi" w:cs="Arial"/>
          <w:rtl/>
          <w:lang w:bidi="ar-SA"/>
        </w:rPr>
        <w:t xml:space="preserve">(25%، </w:t>
      </w:r>
      <w:r w:rsidR="00BA2BF5">
        <w:rPr>
          <w:rFonts w:asciiTheme="minorBidi" w:hAnsiTheme="minorBidi" w:cs="Arial" w:hint="cs"/>
          <w:rtl/>
          <w:lang w:bidi="ar-SA"/>
        </w:rPr>
        <w:t>حتى كانون ثاني</w:t>
      </w:r>
      <w:r w:rsidR="00BA2BF5" w:rsidRPr="007F795C">
        <w:rPr>
          <w:rFonts w:asciiTheme="minorBidi" w:hAnsiTheme="minorBidi" w:cs="Arial"/>
          <w:rtl/>
          <w:lang w:bidi="ar-SA"/>
        </w:rPr>
        <w:t xml:space="preserve"> 2024) والولايات المتحدة</w:t>
      </w:r>
      <w:r w:rsidR="00EE3CAB" w:rsidRPr="007F795C">
        <w:rPr>
          <w:rStyle w:val="FootnoteReference"/>
          <w:rFonts w:asciiTheme="minorBidi" w:hAnsiTheme="minorBidi" w:cstheme="minorBidi"/>
          <w:rtl/>
        </w:rPr>
        <w:footnoteReference w:id="18"/>
      </w:r>
      <w:r w:rsidR="009159F0" w:rsidRPr="007F795C">
        <w:rPr>
          <w:rFonts w:asciiTheme="minorBidi" w:hAnsiTheme="minorBidi" w:cstheme="minorBidi"/>
          <w:rtl/>
        </w:rPr>
        <w:t xml:space="preserve"> </w:t>
      </w:r>
      <w:r w:rsidR="00BA2BF5" w:rsidRPr="007F795C">
        <w:rPr>
          <w:rFonts w:asciiTheme="minorBidi" w:hAnsiTheme="minorBidi" w:cs="Arial"/>
          <w:rtl/>
          <w:lang w:bidi="ar-SA"/>
        </w:rPr>
        <w:t>(</w:t>
      </w:r>
      <w:r w:rsidR="00BA2BF5">
        <w:rPr>
          <w:rFonts w:asciiTheme="minorBidi" w:hAnsiTheme="minorBidi" w:cs="Arial" w:hint="cs"/>
          <w:rtl/>
          <w:lang w:bidi="ar-SA"/>
        </w:rPr>
        <w:t>ي</w:t>
      </w:r>
      <w:r w:rsidR="00BA2BF5" w:rsidRPr="007F795C">
        <w:rPr>
          <w:rFonts w:asciiTheme="minorBidi" w:hAnsiTheme="minorBidi" w:cs="Arial"/>
          <w:rtl/>
          <w:lang w:bidi="ar-SA"/>
        </w:rPr>
        <w:t xml:space="preserve">تراوح معدل </w:t>
      </w:r>
      <w:r w:rsidR="00BA2BF5">
        <w:rPr>
          <w:rFonts w:asciiTheme="minorBidi" w:hAnsiTheme="minorBidi" w:cs="Arial" w:hint="cs"/>
          <w:rtl/>
          <w:lang w:bidi="ar-SA"/>
        </w:rPr>
        <w:t>التحول</w:t>
      </w:r>
      <w:r w:rsidR="00BA2BF5" w:rsidRPr="007F795C">
        <w:rPr>
          <w:rFonts w:asciiTheme="minorBidi" w:hAnsiTheme="minorBidi" w:cs="Arial"/>
          <w:rtl/>
          <w:lang w:bidi="ar-SA"/>
        </w:rPr>
        <w:t xml:space="preserve"> من صفر إلى 34%)، من ناحية أخرى، مقارنة ببريطانيا</w:t>
      </w:r>
      <w:r w:rsidR="00BA2BF5" w:rsidRPr="007F795C">
        <w:rPr>
          <w:rStyle w:val="FootnoteReference"/>
          <w:rFonts w:asciiTheme="minorBidi" w:hAnsiTheme="minorBidi" w:cstheme="minorBidi"/>
          <w:rtl/>
        </w:rPr>
        <w:t xml:space="preserve"> </w:t>
      </w:r>
      <w:r w:rsidR="00EE3CAB" w:rsidRPr="007F795C">
        <w:rPr>
          <w:rStyle w:val="FootnoteReference"/>
          <w:rFonts w:asciiTheme="minorBidi" w:hAnsiTheme="minorBidi" w:cstheme="minorBidi"/>
          <w:rtl/>
        </w:rPr>
        <w:footnoteReference w:id="19"/>
      </w:r>
      <w:r w:rsidR="009159F0" w:rsidRPr="007F795C">
        <w:rPr>
          <w:rFonts w:asciiTheme="minorBidi" w:hAnsiTheme="minorBidi" w:cstheme="minorBidi"/>
          <w:rtl/>
        </w:rPr>
        <w:t xml:space="preserve"> </w:t>
      </w:r>
      <w:r w:rsidR="00BA2BF5" w:rsidRPr="007F795C">
        <w:rPr>
          <w:rFonts w:asciiTheme="minorBidi" w:hAnsiTheme="minorBidi" w:cs="Arial"/>
          <w:rtl/>
          <w:lang w:bidi="ar-SA"/>
        </w:rPr>
        <w:t>وأستراليا،</w:t>
      </w:r>
      <w:r w:rsidR="00EE3CAB" w:rsidRPr="007F795C">
        <w:rPr>
          <w:rStyle w:val="FootnoteReference"/>
          <w:rFonts w:asciiTheme="minorBidi" w:hAnsiTheme="minorBidi" w:cstheme="minorBidi"/>
          <w:rtl/>
        </w:rPr>
        <w:footnoteReference w:id="20"/>
      </w:r>
      <w:r>
        <w:rPr>
          <w:rFonts w:asciiTheme="minorBidi" w:hAnsiTheme="minorBidi" w:cstheme="minorBidi" w:hint="cs"/>
          <w:rtl/>
          <w:lang w:bidi="ar-SA"/>
        </w:rPr>
        <w:t xml:space="preserve"> </w:t>
      </w:r>
      <w:r w:rsidRPr="007F795C">
        <w:rPr>
          <w:rFonts w:asciiTheme="minorBidi" w:hAnsiTheme="minorBidi" w:cs="Arial"/>
          <w:rtl/>
          <w:lang w:bidi="ar-SA"/>
        </w:rPr>
        <w:t xml:space="preserve">كان معدل </w:t>
      </w:r>
      <w:r w:rsidR="00BA2BF5">
        <w:rPr>
          <w:rFonts w:asciiTheme="minorBidi" w:hAnsiTheme="minorBidi" w:cs="Arial" w:hint="cs"/>
          <w:rtl/>
          <w:lang w:bidi="ar-SA"/>
        </w:rPr>
        <w:t>التحول</w:t>
      </w:r>
      <w:r w:rsidRPr="007F795C">
        <w:rPr>
          <w:rFonts w:asciiTheme="minorBidi" w:hAnsiTheme="minorBidi" w:cs="Arial"/>
          <w:rtl/>
          <w:lang w:bidi="ar-SA"/>
        </w:rPr>
        <w:t xml:space="preserve"> في إسرائيل أقل في العام الماضي (78% و81%، على التوالي، </w:t>
      </w:r>
      <w:r w:rsidR="00BA2BF5">
        <w:rPr>
          <w:rFonts w:asciiTheme="minorBidi" w:hAnsiTheme="minorBidi" w:cs="Arial" w:hint="cs"/>
          <w:rtl/>
          <w:lang w:bidi="ar-SA"/>
        </w:rPr>
        <w:t>صحيح لكانون ثاني</w:t>
      </w:r>
      <w:r w:rsidRPr="007F795C">
        <w:rPr>
          <w:rFonts w:asciiTheme="minorBidi" w:hAnsiTheme="minorBidi" w:cs="Arial"/>
          <w:rtl/>
          <w:lang w:bidi="ar-SA"/>
        </w:rPr>
        <w:t xml:space="preserve"> 2024).</w:t>
      </w:r>
    </w:p>
    <w:p w14:paraId="59F72CF8" w14:textId="77777777" w:rsidR="00830838" w:rsidRPr="007F795C" w:rsidRDefault="00D708B2" w:rsidP="00D708B2">
      <w:pPr>
        <w:spacing w:after="240"/>
        <w:rPr>
          <w:rFonts w:asciiTheme="minorBidi" w:hAnsiTheme="minorBidi" w:cstheme="minorBidi"/>
          <w:color w:val="FF0000"/>
          <w:sz w:val="22"/>
          <w:szCs w:val="22"/>
        </w:rPr>
      </w:pPr>
      <w:r w:rsidRPr="007F795C">
        <w:rPr>
          <w:rFonts w:asciiTheme="minorBidi" w:hAnsiTheme="minorBidi" w:cstheme="minorBidi"/>
          <w:noProof/>
          <w:lang w:bidi="ar-SA"/>
        </w:rPr>
        <w:drawing>
          <wp:inline distT="0" distB="0" distL="0" distR="0" wp14:anchorId="7FA7FCA8" wp14:editId="7D1A2F5B">
            <wp:extent cx="5442231" cy="3386455"/>
            <wp:effectExtent l="0" t="0" r="6350" b="4445"/>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830838" w:rsidRPr="007F795C" w:rsidSect="00A147E2">
      <w:headerReference w:type="default" r:id="rId16"/>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59D2" w14:textId="77777777" w:rsidR="009E2471" w:rsidRDefault="009E2471" w:rsidP="00F21D0A">
      <w:pPr>
        <w:spacing w:line="240" w:lineRule="auto"/>
      </w:pPr>
      <w:r>
        <w:separator/>
      </w:r>
    </w:p>
  </w:endnote>
  <w:endnote w:type="continuationSeparator" w:id="0">
    <w:p w14:paraId="3199859C" w14:textId="77777777" w:rsidR="009E2471" w:rsidRDefault="009E2471" w:rsidP="00F21D0A">
      <w:pPr>
        <w:spacing w:line="240" w:lineRule="auto"/>
      </w:pPr>
      <w:r>
        <w:continuationSeparator/>
      </w:r>
    </w:p>
  </w:endnote>
  <w:endnote w:type="continuationNotice" w:id="1">
    <w:p w14:paraId="5BAE519D" w14:textId="77777777" w:rsidR="009E2471" w:rsidRDefault="009E24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ssistant">
    <w:altName w:val="Courier New"/>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EC40" w14:textId="77777777" w:rsidR="00BE51FE" w:rsidRDefault="00BE5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95908" w14:textId="77777777" w:rsidR="009E2471" w:rsidRDefault="009E2471" w:rsidP="00F21D0A">
      <w:pPr>
        <w:spacing w:line="240" w:lineRule="auto"/>
      </w:pPr>
      <w:r>
        <w:separator/>
      </w:r>
    </w:p>
  </w:footnote>
  <w:footnote w:type="continuationSeparator" w:id="0">
    <w:p w14:paraId="2F4BB233" w14:textId="77777777" w:rsidR="009E2471" w:rsidRDefault="009E2471" w:rsidP="00F21D0A">
      <w:pPr>
        <w:spacing w:line="240" w:lineRule="auto"/>
      </w:pPr>
      <w:r>
        <w:continuationSeparator/>
      </w:r>
    </w:p>
  </w:footnote>
  <w:footnote w:type="continuationNotice" w:id="1">
    <w:p w14:paraId="4BCC55D7" w14:textId="77777777" w:rsidR="009E2471" w:rsidRDefault="009E2471">
      <w:pPr>
        <w:spacing w:line="240" w:lineRule="auto"/>
      </w:pPr>
    </w:p>
  </w:footnote>
  <w:footnote w:id="2">
    <w:p w14:paraId="45C720F3" w14:textId="02B47563" w:rsidR="003160CB" w:rsidRPr="00D709B7" w:rsidRDefault="003160CB" w:rsidP="00D325B8">
      <w:pPr>
        <w:pStyle w:val="FootnoteText"/>
        <w:rPr>
          <w:rFonts w:asciiTheme="minorBidi" w:hAnsiTheme="minorBidi" w:cstheme="minorBidi"/>
          <w:sz w:val="18"/>
          <w:szCs w:val="18"/>
          <w:rtl/>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D325B8">
        <w:rPr>
          <w:rFonts w:asciiTheme="minorBidi" w:hAnsiTheme="minorBidi" w:cstheme="minorBidi" w:hint="cs"/>
          <w:sz w:val="18"/>
          <w:szCs w:val="18"/>
          <w:rtl/>
          <w:lang w:bidi="ar-SA"/>
        </w:rPr>
        <w:t>الأفراد هم قطاع الأسر</w:t>
      </w:r>
      <w:r w:rsidR="007F795C" w:rsidRPr="00D709B7">
        <w:rPr>
          <w:rFonts w:asciiTheme="minorBidi" w:hAnsiTheme="minorBidi" w:cstheme="minorBidi"/>
          <w:sz w:val="18"/>
          <w:szCs w:val="18"/>
          <w:rtl/>
          <w:lang w:bidi="ar-SA"/>
        </w:rPr>
        <w:t xml:space="preserve"> والخدمات المصرفية الخاصة.</w:t>
      </w:r>
    </w:p>
  </w:footnote>
  <w:footnote w:id="3">
    <w:p w14:paraId="0347F3DB" w14:textId="56566720" w:rsidR="00553F36" w:rsidRPr="00D709B7" w:rsidRDefault="00553F36" w:rsidP="00501424">
      <w:pPr>
        <w:pStyle w:val="FootnoteText"/>
        <w:rPr>
          <w:rFonts w:asciiTheme="minorBidi" w:hAnsiTheme="minorBidi" w:cstheme="minorBidi"/>
          <w:sz w:val="18"/>
          <w:szCs w:val="18"/>
          <w:lang w:bidi="ar-SA"/>
        </w:rPr>
      </w:pPr>
      <w:r w:rsidRPr="00D709B7">
        <w:rPr>
          <w:rFonts w:asciiTheme="minorBidi" w:hAnsiTheme="minorBidi" w:cstheme="minorBidi"/>
          <w:sz w:val="18"/>
          <w:szCs w:val="18"/>
          <w:vertAlign w:val="superscript"/>
        </w:rPr>
        <w:footnoteRef/>
      </w:r>
      <w:r w:rsidRPr="00D709B7">
        <w:rPr>
          <w:rFonts w:asciiTheme="minorBidi" w:hAnsiTheme="minorBidi" w:cstheme="minorBidi"/>
          <w:sz w:val="18"/>
          <w:szCs w:val="18"/>
          <w:vertAlign w:val="superscript"/>
          <w:rtl/>
        </w:rPr>
        <w:t xml:space="preserve"> </w:t>
      </w:r>
      <w:r w:rsidR="00501424">
        <w:rPr>
          <w:rFonts w:asciiTheme="minorBidi" w:hAnsiTheme="minorBidi" w:cstheme="minorBidi"/>
          <w:sz w:val="18"/>
          <w:szCs w:val="18"/>
          <w:rtl/>
          <w:lang w:bidi="ar-SA"/>
        </w:rPr>
        <w:t>معدل التحو</w:t>
      </w:r>
      <w:r w:rsidR="007F795C" w:rsidRPr="00D709B7">
        <w:rPr>
          <w:rFonts w:asciiTheme="minorBidi" w:hAnsiTheme="minorBidi" w:cstheme="minorBidi"/>
          <w:sz w:val="18"/>
          <w:szCs w:val="18"/>
          <w:rtl/>
          <w:lang w:bidi="ar-SA"/>
        </w:rPr>
        <w:t xml:space="preserve">ل هو في الواقع المعدل الذي قامت به البنوك بتحويل التغير في سعر الفائدة في بنك إسرائيل إلى الفائدة المدفوعة على الودائع. يعكس معدل التحويل مرونة سعر الفائدة على ودائع التجزئة والجملة مقارنة بسعر فائدة بنك إسرائيل. في هذه </w:t>
      </w:r>
      <w:r w:rsidR="00501424">
        <w:rPr>
          <w:rFonts w:asciiTheme="minorBidi" w:hAnsiTheme="minorBidi" w:cstheme="minorBidi" w:hint="cs"/>
          <w:sz w:val="18"/>
          <w:szCs w:val="18"/>
          <w:rtl/>
          <w:lang w:bidi="ar-SA"/>
        </w:rPr>
        <w:t>المقالة</w:t>
      </w:r>
      <w:r w:rsidR="00501424">
        <w:rPr>
          <w:rFonts w:asciiTheme="minorBidi" w:hAnsiTheme="minorBidi" w:cstheme="minorBidi"/>
          <w:sz w:val="18"/>
          <w:szCs w:val="18"/>
          <w:rtl/>
          <w:lang w:bidi="ar-SA"/>
        </w:rPr>
        <w:t>، قمنا بحساب معدل التحو</w:t>
      </w:r>
      <w:r w:rsidR="007F795C" w:rsidRPr="00D709B7">
        <w:rPr>
          <w:rFonts w:asciiTheme="minorBidi" w:hAnsiTheme="minorBidi" w:cstheme="minorBidi"/>
          <w:sz w:val="18"/>
          <w:szCs w:val="18"/>
          <w:rtl/>
          <w:lang w:bidi="ar-SA"/>
        </w:rPr>
        <w:t xml:space="preserve">ل باعتباره التغير التراكمي في سعر الفائدة على الودائع في شهر معين، مقارنة بسعر الفائدة على الودائع في </w:t>
      </w:r>
      <w:r w:rsidR="00501424">
        <w:rPr>
          <w:rFonts w:asciiTheme="minorBidi" w:hAnsiTheme="minorBidi" w:cstheme="minorBidi" w:hint="cs"/>
          <w:sz w:val="18"/>
          <w:szCs w:val="18"/>
          <w:rtl/>
          <w:lang w:bidi="ar-SA"/>
        </w:rPr>
        <w:t>آذار</w:t>
      </w:r>
      <w:r w:rsidR="007F795C" w:rsidRPr="00D709B7">
        <w:rPr>
          <w:rFonts w:asciiTheme="minorBidi" w:hAnsiTheme="minorBidi" w:cstheme="minorBidi"/>
          <w:sz w:val="18"/>
          <w:szCs w:val="18"/>
          <w:rtl/>
          <w:lang w:bidi="ar-SA"/>
        </w:rPr>
        <w:t xml:space="preserve"> 2022 (الشهر السابق لرفع أسعار</w:t>
      </w:r>
      <w:r w:rsidR="00501424">
        <w:rPr>
          <w:rFonts w:asciiTheme="minorBidi" w:hAnsiTheme="minorBidi" w:cstheme="minorBidi"/>
          <w:sz w:val="18"/>
          <w:szCs w:val="18"/>
          <w:rtl/>
          <w:lang w:bidi="ar-SA"/>
        </w:rPr>
        <w:t xml:space="preserve"> الفائدة في بنك إسرائيل) مقسوم</w:t>
      </w:r>
      <w:r w:rsidR="00501424">
        <w:rPr>
          <w:rFonts w:asciiTheme="minorBidi" w:hAnsiTheme="minorBidi" w:cstheme="minorBidi" w:hint="cs"/>
          <w:sz w:val="18"/>
          <w:szCs w:val="18"/>
          <w:rtl/>
          <w:lang w:bidi="ar-SA"/>
        </w:rPr>
        <w:t>اً</w:t>
      </w:r>
      <w:r w:rsidR="007F795C" w:rsidRPr="00D709B7">
        <w:rPr>
          <w:rFonts w:asciiTheme="minorBidi" w:hAnsiTheme="minorBidi" w:cstheme="minorBidi"/>
          <w:sz w:val="18"/>
          <w:szCs w:val="18"/>
          <w:rtl/>
          <w:lang w:bidi="ar-SA"/>
        </w:rPr>
        <w:t xml:space="preserve"> على التغير التراكمي في سعر فائدة بنك إسرائيل في نفس الفترة الزمنية.</w:t>
      </w:r>
    </w:p>
  </w:footnote>
  <w:footnote w:id="4">
    <w:p w14:paraId="7A62C969" w14:textId="72A73F97" w:rsidR="00A7637D" w:rsidRPr="00D709B7" w:rsidRDefault="00A7637D" w:rsidP="00F27CD1">
      <w:pPr>
        <w:pStyle w:val="FootnoteText"/>
        <w:rPr>
          <w:rFonts w:asciiTheme="minorBidi" w:hAnsiTheme="minorBidi" w:cstheme="minorBidi"/>
          <w:sz w:val="18"/>
          <w:szCs w:val="18"/>
          <w:rtl/>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7F795C" w:rsidRPr="00D709B7">
        <w:rPr>
          <w:rFonts w:asciiTheme="minorBidi" w:hAnsiTheme="minorBidi" w:cstheme="minorBidi"/>
          <w:sz w:val="18"/>
          <w:szCs w:val="18"/>
          <w:rtl/>
          <w:lang w:bidi="ar-SA"/>
        </w:rPr>
        <w:t xml:space="preserve">تقوم البنوك التجارية بإيداع </w:t>
      </w:r>
      <w:r w:rsidR="00F27CD1">
        <w:rPr>
          <w:rFonts w:asciiTheme="minorBidi" w:hAnsiTheme="minorBidi" w:cstheme="minorBidi" w:hint="cs"/>
          <w:sz w:val="18"/>
          <w:szCs w:val="18"/>
          <w:rtl/>
          <w:lang w:bidi="ar-SA"/>
        </w:rPr>
        <w:t xml:space="preserve">فائض </w:t>
      </w:r>
      <w:r w:rsidR="007F795C" w:rsidRPr="00D709B7">
        <w:rPr>
          <w:rFonts w:asciiTheme="minorBidi" w:hAnsiTheme="minorBidi" w:cstheme="minorBidi"/>
          <w:sz w:val="18"/>
          <w:szCs w:val="18"/>
          <w:rtl/>
          <w:lang w:bidi="ar-SA"/>
        </w:rPr>
        <w:t xml:space="preserve">السيولة في ودائع لدى البنك المركزي وتحصل في المقابل على فوائد البنك المركزي. </w:t>
      </w:r>
      <w:r w:rsidR="00F27CD1">
        <w:rPr>
          <w:rFonts w:asciiTheme="minorBidi" w:hAnsiTheme="minorBidi" w:cstheme="minorBidi" w:hint="cs"/>
          <w:sz w:val="18"/>
          <w:szCs w:val="18"/>
          <w:rtl/>
          <w:lang w:bidi="ar-SA"/>
        </w:rPr>
        <w:t>يتم</w:t>
      </w:r>
      <w:r w:rsidR="007F795C" w:rsidRPr="00D709B7">
        <w:rPr>
          <w:rFonts w:asciiTheme="minorBidi" w:hAnsiTheme="minorBidi" w:cstheme="minorBidi"/>
          <w:sz w:val="18"/>
          <w:szCs w:val="18"/>
          <w:rtl/>
          <w:lang w:bidi="ar-SA"/>
        </w:rPr>
        <w:t xml:space="preserve"> استخدام سعر الفائدة هذا كأساس لتسعير المنتجات الائتمانية والودائع.</w:t>
      </w:r>
    </w:p>
  </w:footnote>
  <w:footnote w:id="5">
    <w:p w14:paraId="3AD5AB79" w14:textId="7E2D45B5" w:rsidR="00FC46FE" w:rsidRPr="00D709B7" w:rsidRDefault="00FC46FE" w:rsidP="00F27CD1">
      <w:pPr>
        <w:pStyle w:val="FootnoteText"/>
        <w:rPr>
          <w:rFonts w:asciiTheme="minorBidi" w:hAnsiTheme="minorBidi" w:cstheme="minorBidi"/>
          <w:sz w:val="18"/>
          <w:szCs w:val="18"/>
          <w:rtl/>
          <w:lang w:bidi="ar-SA"/>
        </w:rPr>
      </w:pPr>
      <w:r w:rsidRPr="00D709B7">
        <w:rPr>
          <w:rFonts w:asciiTheme="minorBidi" w:hAnsiTheme="minorBidi" w:cstheme="minorBidi"/>
          <w:sz w:val="18"/>
          <w:szCs w:val="18"/>
          <w:vertAlign w:val="superscript"/>
        </w:rPr>
        <w:footnoteRef/>
      </w:r>
      <w:r w:rsidRPr="00D709B7">
        <w:rPr>
          <w:rFonts w:asciiTheme="minorBidi" w:hAnsiTheme="minorBidi" w:cstheme="minorBidi"/>
          <w:sz w:val="18"/>
          <w:szCs w:val="18"/>
          <w:vertAlign w:val="superscript"/>
          <w:rtl/>
        </w:rPr>
        <w:t xml:space="preserve"> </w:t>
      </w:r>
      <w:r w:rsidR="007F795C" w:rsidRPr="00D709B7">
        <w:rPr>
          <w:rFonts w:asciiTheme="minorBidi" w:hAnsiTheme="minorBidi" w:cstheme="minorBidi"/>
          <w:sz w:val="18"/>
          <w:szCs w:val="18"/>
          <w:rtl/>
          <w:lang w:bidi="ar-SA"/>
        </w:rPr>
        <w:t xml:space="preserve">خلال هذه الفترة، وصل سعر الفائدة في بنك إسرائيل إلى مستوى </w:t>
      </w:r>
      <w:r w:rsidR="00F27CD1">
        <w:rPr>
          <w:rFonts w:asciiTheme="minorBidi" w:hAnsiTheme="minorBidi" w:cstheme="minorBidi" w:hint="cs"/>
          <w:sz w:val="18"/>
          <w:szCs w:val="18"/>
          <w:rtl/>
          <w:lang w:bidi="ar-SA"/>
        </w:rPr>
        <w:t>من الانخفاض</w:t>
      </w:r>
      <w:r w:rsidR="007F795C" w:rsidRPr="00D709B7">
        <w:rPr>
          <w:rFonts w:asciiTheme="minorBidi" w:hAnsiTheme="minorBidi" w:cstheme="minorBidi"/>
          <w:sz w:val="18"/>
          <w:szCs w:val="18"/>
          <w:rtl/>
          <w:lang w:bidi="ar-SA"/>
        </w:rPr>
        <w:t xml:space="preserve"> بلغ 0.1% (</w:t>
      </w:r>
      <w:r w:rsidR="00F27CD1">
        <w:rPr>
          <w:rFonts w:asciiTheme="minorBidi" w:hAnsiTheme="minorBidi" w:cstheme="minorBidi" w:hint="cs"/>
          <w:sz w:val="18"/>
          <w:szCs w:val="18"/>
          <w:rtl/>
          <w:lang w:bidi="ar-SA"/>
        </w:rPr>
        <w:t>آذار</w:t>
      </w:r>
      <w:r w:rsidR="007F795C" w:rsidRPr="00D709B7">
        <w:rPr>
          <w:rFonts w:asciiTheme="minorBidi" w:hAnsiTheme="minorBidi" w:cstheme="minorBidi"/>
          <w:sz w:val="18"/>
          <w:szCs w:val="18"/>
          <w:rtl/>
          <w:lang w:bidi="ar-SA"/>
        </w:rPr>
        <w:t xml:space="preserve"> 2015)، وكان سعر الفائدة في البنك المركزي الأوروبي </w:t>
      </w:r>
      <w:r w:rsidR="00F27CD1">
        <w:rPr>
          <w:rFonts w:asciiTheme="minorBidi" w:hAnsiTheme="minorBidi" w:cstheme="minorBidi" w:hint="cs"/>
          <w:sz w:val="18"/>
          <w:szCs w:val="18"/>
          <w:rtl/>
          <w:lang w:bidi="ar-SA"/>
        </w:rPr>
        <w:t>بمستوى</w:t>
      </w:r>
      <w:r w:rsidR="007F795C" w:rsidRPr="00D709B7">
        <w:rPr>
          <w:rFonts w:asciiTheme="minorBidi" w:hAnsiTheme="minorBidi" w:cstheme="minorBidi"/>
          <w:sz w:val="18"/>
          <w:szCs w:val="18"/>
          <w:rtl/>
          <w:lang w:bidi="ar-SA"/>
        </w:rPr>
        <w:t xml:space="preserve"> سلبي لمدة 9 سنوات (بين </w:t>
      </w:r>
      <w:r w:rsidR="00F27CD1">
        <w:rPr>
          <w:rFonts w:asciiTheme="minorBidi" w:hAnsiTheme="minorBidi" w:cstheme="minorBidi" w:hint="cs"/>
          <w:sz w:val="18"/>
          <w:szCs w:val="18"/>
          <w:rtl/>
          <w:lang w:bidi="ar-SA"/>
        </w:rPr>
        <w:t>حزيران</w:t>
      </w:r>
      <w:r w:rsidR="007F795C" w:rsidRPr="00D709B7">
        <w:rPr>
          <w:rFonts w:asciiTheme="minorBidi" w:hAnsiTheme="minorBidi" w:cstheme="minorBidi"/>
          <w:sz w:val="18"/>
          <w:szCs w:val="18"/>
          <w:rtl/>
          <w:lang w:bidi="ar-SA"/>
        </w:rPr>
        <w:t xml:space="preserve"> 2013 </w:t>
      </w:r>
      <w:r w:rsidR="00F27CD1">
        <w:rPr>
          <w:rFonts w:asciiTheme="minorBidi" w:hAnsiTheme="minorBidi" w:cstheme="minorBidi" w:hint="cs"/>
          <w:sz w:val="18"/>
          <w:szCs w:val="18"/>
          <w:rtl/>
          <w:lang w:bidi="ar-SA"/>
        </w:rPr>
        <w:t>وتموز</w:t>
      </w:r>
      <w:r w:rsidR="007F795C" w:rsidRPr="00D709B7">
        <w:rPr>
          <w:rFonts w:asciiTheme="minorBidi" w:hAnsiTheme="minorBidi" w:cstheme="minorBidi"/>
          <w:sz w:val="18"/>
          <w:szCs w:val="18"/>
          <w:rtl/>
          <w:lang w:bidi="ar-SA"/>
        </w:rPr>
        <w:t xml:space="preserve"> 2022)، وكان سعر الفائدة في بنك الاحتياطي الفيدرالي </w:t>
      </w:r>
      <w:r w:rsidR="00F27CD1">
        <w:rPr>
          <w:rFonts w:asciiTheme="minorBidi" w:hAnsiTheme="minorBidi" w:cstheme="minorBidi" w:hint="cs"/>
          <w:sz w:val="18"/>
          <w:szCs w:val="18"/>
          <w:rtl/>
          <w:lang w:bidi="ar-SA"/>
        </w:rPr>
        <w:t>قريباً</w:t>
      </w:r>
      <w:r w:rsidR="007F795C" w:rsidRPr="00D709B7">
        <w:rPr>
          <w:rFonts w:asciiTheme="minorBidi" w:hAnsiTheme="minorBidi" w:cstheme="minorBidi"/>
          <w:sz w:val="18"/>
          <w:szCs w:val="18"/>
          <w:rtl/>
          <w:lang w:bidi="ar-SA"/>
        </w:rPr>
        <w:t xml:space="preserve"> من 0% (بين </w:t>
      </w:r>
      <w:r w:rsidR="00F27CD1">
        <w:rPr>
          <w:rFonts w:asciiTheme="minorBidi" w:hAnsiTheme="minorBidi" w:cstheme="minorBidi" w:hint="cs"/>
          <w:sz w:val="18"/>
          <w:szCs w:val="18"/>
          <w:rtl/>
          <w:lang w:bidi="ar-SA"/>
        </w:rPr>
        <w:t>كانون أول</w:t>
      </w:r>
      <w:r w:rsidR="007F795C" w:rsidRPr="00D709B7">
        <w:rPr>
          <w:rFonts w:asciiTheme="minorBidi" w:hAnsiTheme="minorBidi" w:cstheme="minorBidi"/>
          <w:sz w:val="18"/>
          <w:szCs w:val="18"/>
          <w:rtl/>
          <w:lang w:bidi="ar-SA"/>
        </w:rPr>
        <w:t xml:space="preserve"> 2008 </w:t>
      </w:r>
      <w:r w:rsidR="00F27CD1">
        <w:rPr>
          <w:rFonts w:asciiTheme="minorBidi" w:hAnsiTheme="minorBidi" w:cstheme="minorBidi" w:hint="cs"/>
          <w:sz w:val="18"/>
          <w:szCs w:val="18"/>
          <w:rtl/>
          <w:lang w:bidi="ar-SA"/>
        </w:rPr>
        <w:t>وكانون أول</w:t>
      </w:r>
      <w:r w:rsidR="007F795C" w:rsidRPr="00D709B7">
        <w:rPr>
          <w:rFonts w:asciiTheme="minorBidi" w:hAnsiTheme="minorBidi" w:cstheme="minorBidi"/>
          <w:sz w:val="18"/>
          <w:szCs w:val="18"/>
          <w:rtl/>
          <w:lang w:bidi="ar-SA"/>
        </w:rPr>
        <w:t xml:space="preserve"> 2016).</w:t>
      </w:r>
    </w:p>
  </w:footnote>
  <w:footnote w:id="6">
    <w:p w14:paraId="322001C5" w14:textId="7A448A0D" w:rsidR="00FC46FE" w:rsidRPr="00F27CD1" w:rsidRDefault="00FC46FE" w:rsidP="00F27CD1">
      <w:pPr>
        <w:pStyle w:val="FootnoteText"/>
        <w:rPr>
          <w:rFonts w:asciiTheme="minorBidi" w:hAnsiTheme="minorBidi" w:cstheme="minorBidi"/>
          <w:sz w:val="18"/>
          <w:szCs w:val="18"/>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7F795C" w:rsidRPr="00F27CD1">
        <w:rPr>
          <w:rFonts w:asciiTheme="minorBidi" w:hAnsiTheme="minorBidi" w:cstheme="minorBidi"/>
          <w:sz w:val="18"/>
          <w:szCs w:val="18"/>
          <w:rtl/>
          <w:lang w:bidi="ar-SA"/>
        </w:rPr>
        <w:t xml:space="preserve">يتراوح هدف التضخم </w:t>
      </w:r>
      <w:r w:rsidR="00F27CD1">
        <w:rPr>
          <w:rFonts w:asciiTheme="minorBidi" w:hAnsiTheme="minorBidi" w:cstheme="minorBidi" w:hint="cs"/>
          <w:sz w:val="18"/>
          <w:szCs w:val="18"/>
          <w:rtl/>
          <w:lang w:bidi="ar-SA"/>
        </w:rPr>
        <w:t>في</w:t>
      </w:r>
      <w:r w:rsidR="007F795C" w:rsidRPr="00F27CD1">
        <w:rPr>
          <w:rFonts w:asciiTheme="minorBidi" w:hAnsiTheme="minorBidi" w:cstheme="minorBidi"/>
          <w:sz w:val="18"/>
          <w:szCs w:val="18"/>
          <w:rtl/>
          <w:lang w:bidi="ar-SA"/>
        </w:rPr>
        <w:t xml:space="preserve"> بنك إسرائيل بين 1% و3%.</w:t>
      </w:r>
    </w:p>
  </w:footnote>
  <w:footnote w:id="7">
    <w:p w14:paraId="10F0C0FB" w14:textId="34E3D1B2" w:rsidR="00FC46FE" w:rsidRPr="00D709B7" w:rsidRDefault="00FC46FE" w:rsidP="00F27CD1">
      <w:pPr>
        <w:pStyle w:val="FootnoteText"/>
        <w:rPr>
          <w:rFonts w:asciiTheme="minorBidi" w:hAnsiTheme="minorBidi" w:cstheme="minorBidi"/>
          <w:rtl/>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7F795C" w:rsidRPr="00D709B7">
        <w:rPr>
          <w:rFonts w:asciiTheme="minorBidi" w:hAnsiTheme="minorBidi" w:cstheme="minorBidi"/>
          <w:sz w:val="18"/>
          <w:szCs w:val="18"/>
          <w:rtl/>
          <w:lang w:bidi="ar-SA"/>
        </w:rPr>
        <w:t xml:space="preserve">استمر سعر الفائدة في بنك إسرائيل عند هذا المستوى حتى </w:t>
      </w:r>
      <w:r w:rsidR="00F27CD1">
        <w:rPr>
          <w:rFonts w:asciiTheme="minorBidi" w:hAnsiTheme="minorBidi" w:cstheme="minorBidi" w:hint="cs"/>
          <w:sz w:val="18"/>
          <w:szCs w:val="18"/>
          <w:rtl/>
          <w:lang w:bidi="ar-SA"/>
        </w:rPr>
        <w:t>كانون ثاني</w:t>
      </w:r>
      <w:r w:rsidR="007F795C" w:rsidRPr="00D709B7">
        <w:rPr>
          <w:rFonts w:asciiTheme="minorBidi" w:hAnsiTheme="minorBidi" w:cstheme="minorBidi"/>
          <w:sz w:val="18"/>
          <w:szCs w:val="18"/>
          <w:rtl/>
          <w:lang w:bidi="ar-SA"/>
        </w:rPr>
        <w:t xml:space="preserve"> 2024، عندما قررت لجنة النقد خفض سعر الفائدة بنسبة 0.25% إلى 4.5%.</w:t>
      </w:r>
    </w:p>
  </w:footnote>
  <w:footnote w:id="8">
    <w:p w14:paraId="7F280B90" w14:textId="49630BCC" w:rsidR="000C6C72" w:rsidRPr="00D709B7" w:rsidRDefault="000C6C72" w:rsidP="00EF4895">
      <w:pPr>
        <w:pStyle w:val="FootnoteText"/>
        <w:rPr>
          <w:rFonts w:asciiTheme="minorBidi" w:hAnsiTheme="minorBidi" w:cstheme="minorBidi"/>
          <w:sz w:val="18"/>
          <w:szCs w:val="18"/>
          <w:rtl/>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Pr>
        <w:t>Liquidity Coverage Ratio</w:t>
      </w:r>
      <w:r w:rsidR="00616D6D" w:rsidRPr="00D709B7">
        <w:rPr>
          <w:rFonts w:asciiTheme="minorBidi" w:hAnsiTheme="minorBidi" w:cstheme="minorBidi"/>
          <w:sz w:val="18"/>
          <w:szCs w:val="18"/>
          <w:rtl/>
        </w:rPr>
        <w:t>.</w:t>
      </w:r>
    </w:p>
  </w:footnote>
  <w:footnote w:id="9">
    <w:p w14:paraId="3D0D03A6" w14:textId="70CF9133" w:rsidR="009164B8" w:rsidRPr="00D709B7" w:rsidRDefault="007B1D46" w:rsidP="00760775">
      <w:pPr>
        <w:pStyle w:val="FootnoteText"/>
        <w:rPr>
          <w:rFonts w:asciiTheme="minorBidi" w:hAnsiTheme="minorBidi" w:cstheme="minorBidi"/>
          <w:sz w:val="18"/>
          <w:szCs w:val="18"/>
          <w:rtl/>
          <w:lang w:bidi="ar-SA"/>
        </w:rPr>
      </w:pPr>
      <w:hyperlink r:id="rId1" w:history="1">
        <w:r w:rsidR="009164B8" w:rsidRPr="00D709B7">
          <w:rPr>
            <w:rStyle w:val="Hyperlink"/>
            <w:rFonts w:asciiTheme="minorBidi" w:hAnsiTheme="minorBidi" w:cstheme="minorBidi"/>
            <w:sz w:val="18"/>
            <w:szCs w:val="18"/>
            <w:vertAlign w:val="superscript"/>
          </w:rPr>
          <w:footnoteRef/>
        </w:r>
        <w:r w:rsidR="009164B8" w:rsidRPr="00D709B7">
          <w:rPr>
            <w:rStyle w:val="Hyperlink"/>
            <w:rFonts w:asciiTheme="minorBidi" w:hAnsiTheme="minorBidi" w:cstheme="minorBidi"/>
            <w:sz w:val="18"/>
            <w:szCs w:val="18"/>
            <w:rtl/>
          </w:rPr>
          <w:t xml:space="preserve"> </w:t>
        </w:r>
      </w:hyperlink>
      <w:r w:rsidR="00D709B7" w:rsidRPr="00D709B7">
        <w:rPr>
          <w:rStyle w:val="Hyperlink"/>
          <w:rFonts w:asciiTheme="minorBidi" w:hAnsiTheme="minorBidi" w:cstheme="minorBidi"/>
          <w:sz w:val="18"/>
          <w:szCs w:val="18"/>
          <w:rtl/>
          <w:lang w:bidi="ar-SA"/>
        </w:rPr>
        <w:t xml:space="preserve"> للمزيد، راجع </w:t>
      </w:r>
      <w:r w:rsidR="00760775">
        <w:rPr>
          <w:rStyle w:val="Hyperlink"/>
          <w:rFonts w:asciiTheme="minorBidi" w:hAnsiTheme="minorBidi" w:cstheme="minorBidi" w:hint="cs"/>
          <w:sz w:val="18"/>
          <w:szCs w:val="18"/>
          <w:rtl/>
          <w:lang w:bidi="ar-SA"/>
        </w:rPr>
        <w:t>الفصل</w:t>
      </w:r>
      <w:r w:rsidR="00D709B7" w:rsidRPr="00D709B7">
        <w:rPr>
          <w:rStyle w:val="Hyperlink"/>
          <w:rFonts w:asciiTheme="minorBidi" w:hAnsiTheme="minorBidi" w:cstheme="minorBidi"/>
          <w:sz w:val="18"/>
          <w:szCs w:val="18"/>
          <w:rtl/>
          <w:lang w:bidi="ar-SA"/>
        </w:rPr>
        <w:t xml:space="preserve"> د.2 في تقرير بنك إسرائيل لعام 2022 ("</w:t>
      </w:r>
      <w:r w:rsidR="00760775">
        <w:rPr>
          <w:rStyle w:val="Hyperlink"/>
          <w:rFonts w:asciiTheme="minorBidi" w:hAnsiTheme="minorBidi" w:cstheme="minorBidi" w:hint="cs"/>
          <w:sz w:val="18"/>
          <w:szCs w:val="18"/>
          <w:rtl/>
          <w:lang w:bidi="ar-SA"/>
        </w:rPr>
        <w:t>التحول</w:t>
      </w:r>
      <w:r w:rsidR="00D709B7" w:rsidRPr="00D709B7">
        <w:rPr>
          <w:rStyle w:val="Hyperlink"/>
          <w:rFonts w:asciiTheme="minorBidi" w:hAnsiTheme="minorBidi" w:cstheme="minorBidi"/>
          <w:sz w:val="18"/>
          <w:szCs w:val="18"/>
          <w:rtl/>
          <w:lang w:bidi="ar-SA"/>
        </w:rPr>
        <w:t xml:space="preserve"> من السياسة النقدية إلى فوائد الودائع في إسرائيل").</w:t>
      </w:r>
    </w:p>
  </w:footnote>
  <w:footnote w:id="10">
    <w:p w14:paraId="3E507DDC" w14:textId="30BDA7C7" w:rsidR="000C6C72" w:rsidRPr="00D709B7" w:rsidRDefault="000C6C72" w:rsidP="00466CEA">
      <w:pPr>
        <w:pStyle w:val="FootnoteText"/>
        <w:rPr>
          <w:rFonts w:asciiTheme="minorBidi" w:hAnsiTheme="minorBidi" w:cstheme="minorBidi"/>
          <w:sz w:val="18"/>
          <w:szCs w:val="18"/>
          <w:rtl/>
          <w:lang w:bidi="ar-SA"/>
        </w:rPr>
      </w:pPr>
      <w:r w:rsidRPr="00D709B7">
        <w:rPr>
          <w:rFonts w:asciiTheme="minorBidi" w:hAnsiTheme="minorBidi" w:cstheme="minorBidi"/>
          <w:sz w:val="18"/>
          <w:szCs w:val="18"/>
          <w:vertAlign w:val="superscript"/>
        </w:rPr>
        <w:footnoteRef/>
      </w:r>
      <w:r w:rsidRPr="00D709B7">
        <w:rPr>
          <w:rFonts w:asciiTheme="minorBidi" w:hAnsiTheme="minorBidi" w:cstheme="minorBidi"/>
          <w:sz w:val="18"/>
          <w:szCs w:val="18"/>
          <w:vertAlign w:val="superscript"/>
          <w:rtl/>
        </w:rPr>
        <w:t xml:space="preserve"> </w:t>
      </w:r>
      <w:r w:rsidR="00D709B7" w:rsidRPr="00D709B7">
        <w:rPr>
          <w:rFonts w:asciiTheme="minorBidi" w:hAnsiTheme="minorBidi" w:cstheme="minorBidi"/>
          <w:sz w:val="18"/>
          <w:szCs w:val="18"/>
          <w:rtl/>
          <w:lang w:bidi="ar-SA"/>
        </w:rPr>
        <w:t xml:space="preserve">تشمل الأشكال الرئيسية لمخاطر أسعار الفائدة التي تتعرض لها الشركات المصرفية مخاطر إعادة التسعير، ومخاطر منحنى العائد، والمخاطر الأساسية (المعروفة أيضًا بمخاطر </w:t>
      </w:r>
      <w:r w:rsidR="00466CEA">
        <w:rPr>
          <w:rFonts w:asciiTheme="minorBidi" w:hAnsiTheme="minorBidi" w:cstheme="minorBidi" w:hint="cs"/>
          <w:sz w:val="18"/>
          <w:szCs w:val="18"/>
          <w:rtl/>
          <w:lang w:bidi="ar-SA"/>
        </w:rPr>
        <w:t>الهوامش</w:t>
      </w:r>
      <w:r w:rsidR="00D709B7" w:rsidRPr="00D709B7">
        <w:rPr>
          <w:rFonts w:asciiTheme="minorBidi" w:hAnsiTheme="minorBidi" w:cstheme="minorBidi"/>
          <w:sz w:val="18"/>
          <w:szCs w:val="18"/>
          <w:rtl/>
          <w:lang w:bidi="ar-SA"/>
        </w:rPr>
        <w:t>) ومخاطر الخيارات.</w:t>
      </w:r>
    </w:p>
  </w:footnote>
  <w:footnote w:id="11">
    <w:p w14:paraId="30F94627" w14:textId="470FEF4E" w:rsidR="00EB064B" w:rsidRPr="00D709B7" w:rsidRDefault="00EB064B" w:rsidP="00901506">
      <w:pPr>
        <w:pStyle w:val="FootnoteText"/>
        <w:rPr>
          <w:rFonts w:asciiTheme="minorBidi" w:hAnsiTheme="minorBidi" w:cstheme="minorBidi"/>
          <w:sz w:val="18"/>
          <w:szCs w:val="18"/>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vertAlign w:val="superscript"/>
          <w:rtl/>
        </w:rPr>
        <w:t xml:space="preserve"> </w:t>
      </w:r>
      <w:r w:rsidR="00901506">
        <w:rPr>
          <w:rFonts w:asciiTheme="minorBidi" w:hAnsiTheme="minorBidi" w:cstheme="minorBidi" w:hint="cs"/>
          <w:sz w:val="18"/>
          <w:szCs w:val="18"/>
          <w:rtl/>
          <w:lang w:bidi="ar-SA"/>
        </w:rPr>
        <w:t>الحجم</w:t>
      </w:r>
      <w:r w:rsidR="00D709B7" w:rsidRPr="00D709B7">
        <w:rPr>
          <w:rFonts w:asciiTheme="minorBidi" w:hAnsiTheme="minorBidi" w:cstheme="minorBidi"/>
          <w:sz w:val="18"/>
          <w:szCs w:val="18"/>
          <w:rtl/>
          <w:lang w:bidi="ar-SA"/>
        </w:rPr>
        <w:t xml:space="preserve"> الإجمالي لأداء الودائع في جميع قطاعات النشاط </w:t>
      </w:r>
      <w:r w:rsidR="00901506">
        <w:rPr>
          <w:rFonts w:asciiTheme="minorBidi" w:hAnsiTheme="minorBidi" w:cstheme="minorBidi" w:hint="cs"/>
          <w:sz w:val="18"/>
          <w:szCs w:val="18"/>
          <w:rtl/>
          <w:lang w:bidi="ar-SA"/>
        </w:rPr>
        <w:t>لا يشمل القطاع</w:t>
      </w:r>
      <w:r w:rsidR="00D709B7" w:rsidRPr="00D709B7">
        <w:rPr>
          <w:rFonts w:asciiTheme="minorBidi" w:hAnsiTheme="minorBidi" w:cstheme="minorBidi"/>
          <w:sz w:val="18"/>
          <w:szCs w:val="18"/>
          <w:rtl/>
          <w:lang w:bidi="ar-SA"/>
        </w:rPr>
        <w:t xml:space="preserve"> </w:t>
      </w:r>
      <w:r w:rsidR="00901506">
        <w:rPr>
          <w:rFonts w:asciiTheme="minorBidi" w:hAnsiTheme="minorBidi" w:cstheme="minorBidi" w:hint="cs"/>
          <w:sz w:val="18"/>
          <w:szCs w:val="18"/>
          <w:rtl/>
          <w:lang w:bidi="ar-SA"/>
        </w:rPr>
        <w:t>ال</w:t>
      </w:r>
      <w:r w:rsidR="00D709B7" w:rsidRPr="00D709B7">
        <w:rPr>
          <w:rFonts w:asciiTheme="minorBidi" w:hAnsiTheme="minorBidi" w:cstheme="minorBidi"/>
          <w:sz w:val="18"/>
          <w:szCs w:val="18"/>
          <w:rtl/>
          <w:lang w:bidi="ar-SA"/>
        </w:rPr>
        <w:t>مؤسس</w:t>
      </w:r>
      <w:r w:rsidR="00901506">
        <w:rPr>
          <w:rFonts w:asciiTheme="minorBidi" w:hAnsiTheme="minorBidi" w:cstheme="minorBidi" w:hint="cs"/>
          <w:sz w:val="18"/>
          <w:szCs w:val="18"/>
          <w:rtl/>
          <w:lang w:bidi="ar-SA"/>
        </w:rPr>
        <w:t>ات</w:t>
      </w:r>
      <w:r w:rsidR="00D709B7" w:rsidRPr="00D709B7">
        <w:rPr>
          <w:rFonts w:asciiTheme="minorBidi" w:hAnsiTheme="minorBidi" w:cstheme="minorBidi"/>
          <w:sz w:val="18"/>
          <w:szCs w:val="18"/>
          <w:rtl/>
          <w:lang w:bidi="ar-SA"/>
        </w:rPr>
        <w:t xml:space="preserve">ي </w:t>
      </w:r>
      <w:r w:rsidR="00901506">
        <w:rPr>
          <w:rFonts w:asciiTheme="minorBidi" w:hAnsiTheme="minorBidi" w:cstheme="minorBidi" w:hint="cs"/>
          <w:sz w:val="18"/>
          <w:szCs w:val="18"/>
          <w:rtl/>
          <w:lang w:bidi="ar-SA"/>
        </w:rPr>
        <w:t>وي</w:t>
      </w:r>
      <w:r w:rsidR="00D709B7" w:rsidRPr="00D709B7">
        <w:rPr>
          <w:rFonts w:asciiTheme="minorBidi" w:hAnsiTheme="minorBidi" w:cstheme="minorBidi"/>
          <w:sz w:val="18"/>
          <w:szCs w:val="18"/>
          <w:rtl/>
          <w:lang w:bidi="ar-SA"/>
        </w:rPr>
        <w:t>شمل الودائع المتجددة.</w:t>
      </w:r>
    </w:p>
  </w:footnote>
  <w:footnote w:id="12">
    <w:p w14:paraId="660508DA" w14:textId="2853A78D" w:rsidR="00704503" w:rsidRPr="00D709B7" w:rsidRDefault="00704503" w:rsidP="00901506">
      <w:pPr>
        <w:pStyle w:val="FootnoteText"/>
        <w:rPr>
          <w:rFonts w:asciiTheme="minorBidi" w:hAnsiTheme="minorBidi" w:cstheme="minorBidi"/>
          <w:sz w:val="18"/>
          <w:szCs w:val="18"/>
          <w:rtl/>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D709B7" w:rsidRPr="00D709B7">
        <w:rPr>
          <w:rFonts w:asciiTheme="minorBidi" w:hAnsiTheme="minorBidi" w:cs="Arial"/>
          <w:sz w:val="18"/>
          <w:szCs w:val="18"/>
          <w:rtl/>
          <w:lang w:bidi="ar-SA"/>
        </w:rPr>
        <w:t xml:space="preserve">ودائع الأسر في قطاع العملة الإسرائيلية غير المرتبط </w:t>
      </w:r>
      <w:r w:rsidR="00901506">
        <w:rPr>
          <w:rFonts w:asciiTheme="minorBidi" w:hAnsiTheme="minorBidi" w:cs="Arial" w:hint="cs"/>
          <w:sz w:val="18"/>
          <w:szCs w:val="18"/>
          <w:rtl/>
          <w:lang w:bidi="ar-SA"/>
        </w:rPr>
        <w:t xml:space="preserve">بالمؤشر </w:t>
      </w:r>
      <w:r w:rsidR="00D709B7" w:rsidRPr="00D709B7">
        <w:rPr>
          <w:rFonts w:asciiTheme="minorBidi" w:hAnsiTheme="minorBidi" w:cs="Arial"/>
          <w:sz w:val="18"/>
          <w:szCs w:val="18"/>
          <w:rtl/>
          <w:lang w:bidi="ar-SA"/>
        </w:rPr>
        <w:t xml:space="preserve">فقط، </w:t>
      </w:r>
      <w:r w:rsidR="00901506">
        <w:rPr>
          <w:rFonts w:asciiTheme="minorBidi" w:hAnsiTheme="minorBidi" w:cs="Arial" w:hint="cs"/>
          <w:sz w:val="18"/>
          <w:szCs w:val="18"/>
          <w:rtl/>
          <w:lang w:bidi="ar-SA"/>
        </w:rPr>
        <w:t>والذي</w:t>
      </w:r>
      <w:r w:rsidR="00D709B7" w:rsidRPr="00D709B7">
        <w:rPr>
          <w:rFonts w:asciiTheme="minorBidi" w:hAnsiTheme="minorBidi" w:cs="Arial"/>
          <w:sz w:val="18"/>
          <w:szCs w:val="18"/>
          <w:rtl/>
          <w:lang w:bidi="ar-SA"/>
        </w:rPr>
        <w:t xml:space="preserve"> </w:t>
      </w:r>
      <w:r w:rsidR="00901506">
        <w:rPr>
          <w:rFonts w:asciiTheme="minorBidi" w:hAnsiTheme="minorBidi" w:cs="Arial" w:hint="cs"/>
          <w:sz w:val="18"/>
          <w:szCs w:val="18"/>
          <w:rtl/>
          <w:lang w:bidi="ar-SA"/>
        </w:rPr>
        <w:t>ي</w:t>
      </w:r>
      <w:r w:rsidR="00D709B7" w:rsidRPr="00D709B7">
        <w:rPr>
          <w:rFonts w:asciiTheme="minorBidi" w:hAnsiTheme="minorBidi" w:cs="Arial"/>
          <w:sz w:val="18"/>
          <w:szCs w:val="18"/>
          <w:rtl/>
          <w:lang w:bidi="ar-SA"/>
        </w:rPr>
        <w:t>شكل أكثر من 90% من أداء ودائع الأسر.</w:t>
      </w:r>
    </w:p>
  </w:footnote>
  <w:footnote w:id="13">
    <w:p w14:paraId="6A31865C" w14:textId="2C4F8A91" w:rsidR="00CF5BE9" w:rsidRPr="00D709B7" w:rsidRDefault="00CF5BE9" w:rsidP="00901506">
      <w:pPr>
        <w:pStyle w:val="FootnoteText"/>
        <w:rPr>
          <w:rFonts w:asciiTheme="minorBidi" w:hAnsiTheme="minorBidi" w:cstheme="minorBidi"/>
          <w:sz w:val="18"/>
          <w:szCs w:val="18"/>
          <w:rtl/>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D709B7" w:rsidRPr="00D709B7">
        <w:rPr>
          <w:rFonts w:asciiTheme="minorBidi" w:hAnsiTheme="minorBidi" w:cs="Arial"/>
          <w:sz w:val="18"/>
          <w:szCs w:val="18"/>
          <w:rtl/>
          <w:lang w:bidi="ar-SA"/>
        </w:rPr>
        <w:t>بما في ذلك الودائع المتجددة.</w:t>
      </w:r>
    </w:p>
  </w:footnote>
  <w:footnote w:id="14">
    <w:p w14:paraId="08FC583C" w14:textId="372BD340" w:rsidR="00200237" w:rsidRPr="00D709B7" w:rsidRDefault="00200237" w:rsidP="00477F46">
      <w:pPr>
        <w:pStyle w:val="FootnoteText"/>
        <w:rPr>
          <w:rFonts w:asciiTheme="minorBidi" w:hAnsiTheme="minorBidi" w:cstheme="minorBidi"/>
          <w:sz w:val="18"/>
          <w:szCs w:val="18"/>
          <w:rtl/>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7F795C" w:rsidRPr="00D709B7">
        <w:rPr>
          <w:rFonts w:asciiTheme="minorBidi" w:hAnsiTheme="minorBidi" w:cstheme="minorBidi"/>
          <w:sz w:val="18"/>
          <w:szCs w:val="18"/>
          <w:rtl/>
          <w:lang w:bidi="ar-SA"/>
        </w:rPr>
        <w:t xml:space="preserve">يتم احتساب هذا المعدل من إجمالي أرصدة الحسابات الجارية التي لا تحمل فائدة، وأرصدة الحسابات الجارية والودائع </w:t>
      </w:r>
      <w:r w:rsidR="00D0682C">
        <w:rPr>
          <w:rFonts w:asciiTheme="minorBidi" w:hAnsiTheme="minorBidi" w:cstheme="minorBidi" w:hint="cs"/>
          <w:sz w:val="18"/>
          <w:szCs w:val="18"/>
          <w:rtl/>
          <w:lang w:bidi="ar-SA"/>
        </w:rPr>
        <w:t>بحسب</w:t>
      </w:r>
      <w:r w:rsidR="007F795C" w:rsidRPr="00D709B7">
        <w:rPr>
          <w:rFonts w:asciiTheme="minorBidi" w:hAnsiTheme="minorBidi" w:cstheme="minorBidi"/>
          <w:sz w:val="18"/>
          <w:szCs w:val="18"/>
          <w:rtl/>
          <w:lang w:bidi="ar-SA"/>
        </w:rPr>
        <w:t xml:space="preserve"> الطلب ولفترة قصيرة </w:t>
      </w:r>
      <w:r w:rsidR="00D0682C">
        <w:rPr>
          <w:rFonts w:asciiTheme="minorBidi" w:hAnsiTheme="minorBidi" w:cstheme="minorBidi" w:hint="cs"/>
          <w:sz w:val="18"/>
          <w:szCs w:val="18"/>
          <w:rtl/>
          <w:lang w:bidi="ar-SA"/>
        </w:rPr>
        <w:t>و</w:t>
      </w:r>
      <w:r w:rsidR="007F795C" w:rsidRPr="00D709B7">
        <w:rPr>
          <w:rFonts w:asciiTheme="minorBidi" w:hAnsiTheme="minorBidi" w:cstheme="minorBidi"/>
          <w:sz w:val="18"/>
          <w:szCs w:val="18"/>
          <w:rtl/>
          <w:lang w:bidi="ar-SA"/>
        </w:rPr>
        <w:t>التي تحمل فائدة</w:t>
      </w:r>
      <w:r w:rsidR="00D0682C">
        <w:rPr>
          <w:rFonts w:asciiTheme="minorBidi" w:hAnsiTheme="minorBidi" w:cstheme="minorBidi" w:hint="cs"/>
          <w:sz w:val="18"/>
          <w:szCs w:val="18"/>
          <w:rtl/>
          <w:lang w:bidi="ar-SA"/>
        </w:rPr>
        <w:t>،</w:t>
      </w:r>
      <w:r w:rsidR="007F795C" w:rsidRPr="00D709B7">
        <w:rPr>
          <w:rFonts w:asciiTheme="minorBidi" w:hAnsiTheme="minorBidi" w:cstheme="minorBidi"/>
          <w:sz w:val="18"/>
          <w:szCs w:val="18"/>
          <w:rtl/>
          <w:lang w:bidi="ar-SA"/>
        </w:rPr>
        <w:t xml:space="preserve"> والودائع </w:t>
      </w:r>
      <w:r w:rsidR="00D0682C">
        <w:rPr>
          <w:rFonts w:asciiTheme="minorBidi" w:hAnsiTheme="minorBidi" w:cstheme="minorBidi" w:hint="cs"/>
          <w:sz w:val="18"/>
          <w:szCs w:val="18"/>
          <w:rtl/>
          <w:lang w:bidi="ar-SA"/>
        </w:rPr>
        <w:t>محددة ا</w:t>
      </w:r>
      <w:r w:rsidR="007F795C" w:rsidRPr="00D709B7">
        <w:rPr>
          <w:rFonts w:asciiTheme="minorBidi" w:hAnsiTheme="minorBidi" w:cstheme="minorBidi"/>
          <w:sz w:val="18"/>
          <w:szCs w:val="18"/>
          <w:rtl/>
          <w:lang w:bidi="ar-SA"/>
        </w:rPr>
        <w:t>لأجل التي تحمل فائدة. تم تصنيف أرصدة</w:t>
      </w:r>
      <w:r w:rsidR="00D0682C">
        <w:rPr>
          <w:rFonts w:asciiTheme="minorBidi" w:hAnsiTheme="minorBidi" w:cstheme="minorBidi" w:hint="cs"/>
          <w:sz w:val="18"/>
          <w:szCs w:val="18"/>
          <w:rtl/>
          <w:lang w:bidi="ar-SA"/>
        </w:rPr>
        <w:t xml:space="preserve"> الحسابات</w:t>
      </w:r>
      <w:r w:rsidR="007F795C" w:rsidRPr="00D709B7">
        <w:rPr>
          <w:rFonts w:asciiTheme="minorBidi" w:hAnsiTheme="minorBidi" w:cstheme="minorBidi"/>
          <w:sz w:val="18"/>
          <w:szCs w:val="18"/>
          <w:rtl/>
          <w:lang w:bidi="ar-SA"/>
        </w:rPr>
        <w:t xml:space="preserve"> الجارية والودائع </w:t>
      </w:r>
      <w:r w:rsidR="00D0682C">
        <w:rPr>
          <w:rFonts w:asciiTheme="minorBidi" w:hAnsiTheme="minorBidi" w:cstheme="minorBidi" w:hint="cs"/>
          <w:sz w:val="18"/>
          <w:szCs w:val="18"/>
          <w:rtl/>
          <w:lang w:bidi="ar-SA"/>
        </w:rPr>
        <w:t>بحسب</w:t>
      </w:r>
      <w:r w:rsidR="007F795C" w:rsidRPr="00D709B7">
        <w:rPr>
          <w:rFonts w:asciiTheme="minorBidi" w:hAnsiTheme="minorBidi" w:cstheme="minorBidi"/>
          <w:sz w:val="18"/>
          <w:szCs w:val="18"/>
          <w:rtl/>
          <w:lang w:bidi="ar-SA"/>
        </w:rPr>
        <w:t xml:space="preserve"> الطلب والودائع قصيرة الأجل التي تحمل فائدة</w:t>
      </w:r>
      <w:r w:rsidR="00D0682C">
        <w:rPr>
          <w:rFonts w:asciiTheme="minorBidi" w:hAnsiTheme="minorBidi" w:cstheme="minorBidi" w:hint="cs"/>
          <w:sz w:val="18"/>
          <w:szCs w:val="18"/>
          <w:rtl/>
          <w:lang w:bidi="ar-SA"/>
        </w:rPr>
        <w:t>،</w:t>
      </w:r>
      <w:r w:rsidR="007F795C" w:rsidRPr="00D709B7">
        <w:rPr>
          <w:rFonts w:asciiTheme="minorBidi" w:hAnsiTheme="minorBidi" w:cstheme="minorBidi"/>
          <w:sz w:val="18"/>
          <w:szCs w:val="18"/>
          <w:rtl/>
          <w:lang w:bidi="ar-SA"/>
        </w:rPr>
        <w:t xml:space="preserve"> كأرصدة لا تدر فائدة،</w:t>
      </w:r>
      <w:r w:rsidR="00D0682C">
        <w:rPr>
          <w:rFonts w:asciiTheme="minorBidi" w:hAnsiTheme="minorBidi" w:cstheme="minorBidi" w:hint="cs"/>
          <w:sz w:val="18"/>
          <w:szCs w:val="18"/>
          <w:rtl/>
          <w:lang w:bidi="ar-SA"/>
        </w:rPr>
        <w:t xml:space="preserve"> وذلك</w:t>
      </w:r>
      <w:r w:rsidR="007F795C" w:rsidRPr="00D709B7">
        <w:rPr>
          <w:rFonts w:asciiTheme="minorBidi" w:hAnsiTheme="minorBidi" w:cstheme="minorBidi"/>
          <w:sz w:val="18"/>
          <w:szCs w:val="18"/>
          <w:rtl/>
          <w:lang w:bidi="ar-SA"/>
        </w:rPr>
        <w:t xml:space="preserve"> لأنها تتمتع بخصائص أقرب إلى أرصدة </w:t>
      </w:r>
      <w:r w:rsidR="00D0682C">
        <w:rPr>
          <w:rFonts w:asciiTheme="minorBidi" w:hAnsiTheme="minorBidi" w:cstheme="minorBidi" w:hint="cs"/>
          <w:sz w:val="18"/>
          <w:szCs w:val="18"/>
          <w:rtl/>
          <w:lang w:bidi="ar-SA"/>
        </w:rPr>
        <w:t>الحساب الجاري</w:t>
      </w:r>
      <w:r w:rsidR="007F795C" w:rsidRPr="00D709B7">
        <w:rPr>
          <w:rFonts w:asciiTheme="minorBidi" w:hAnsiTheme="minorBidi" w:cstheme="minorBidi"/>
          <w:sz w:val="18"/>
          <w:szCs w:val="18"/>
          <w:rtl/>
          <w:lang w:bidi="ar-SA"/>
        </w:rPr>
        <w:t xml:space="preserve"> التي لا تدر فائدة.</w:t>
      </w:r>
    </w:p>
  </w:footnote>
  <w:footnote w:id="15">
    <w:p w14:paraId="2B804950" w14:textId="7EC2F3F0" w:rsidR="00321094" w:rsidRPr="00D709B7" w:rsidRDefault="00321094" w:rsidP="00321094">
      <w:pPr>
        <w:pStyle w:val="FootnoteText"/>
        <w:rPr>
          <w:rFonts w:asciiTheme="minorBidi" w:hAnsiTheme="minorBidi" w:cstheme="minorBidi"/>
          <w:sz w:val="18"/>
          <w:szCs w:val="18"/>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6A08CF">
        <w:rPr>
          <w:rFonts w:asciiTheme="minorBidi" w:hAnsiTheme="minorBidi" w:cs="Arial" w:hint="cs"/>
          <w:sz w:val="18"/>
          <w:szCs w:val="18"/>
          <w:rtl/>
          <w:lang w:bidi="ar-SA"/>
        </w:rPr>
        <w:t xml:space="preserve">تتنبأ توقعات </w:t>
      </w:r>
      <w:r w:rsidR="00CC3B7F">
        <w:rPr>
          <w:rFonts w:asciiTheme="minorBidi" w:hAnsiTheme="minorBidi" w:cs="Arial" w:hint="cs"/>
          <w:sz w:val="18"/>
          <w:szCs w:val="18"/>
          <w:rtl/>
          <w:lang w:bidi="ar-SA"/>
        </w:rPr>
        <w:t>شعبة البحوث في بنك إسرائيل بشأن</w:t>
      </w:r>
      <w:r w:rsidR="00D709B7" w:rsidRPr="00D709B7">
        <w:rPr>
          <w:rFonts w:asciiTheme="minorBidi" w:hAnsiTheme="minorBidi" w:cs="Arial"/>
          <w:sz w:val="18"/>
          <w:szCs w:val="18"/>
          <w:rtl/>
          <w:lang w:bidi="ar-SA"/>
        </w:rPr>
        <w:t xml:space="preserve"> الاقتصاد الكلي من </w:t>
      </w:r>
      <w:r w:rsidR="006A08CF">
        <w:rPr>
          <w:rFonts w:asciiTheme="minorBidi" w:hAnsiTheme="minorBidi" w:cs="Arial" w:hint="cs"/>
          <w:sz w:val="18"/>
          <w:szCs w:val="18"/>
          <w:rtl/>
          <w:lang w:bidi="ar-SA"/>
        </w:rPr>
        <w:t>نيسان</w:t>
      </w:r>
      <w:r w:rsidR="00D709B7" w:rsidRPr="00D709B7">
        <w:rPr>
          <w:rFonts w:asciiTheme="minorBidi" w:hAnsiTheme="minorBidi" w:cs="Arial"/>
          <w:sz w:val="18"/>
          <w:szCs w:val="18"/>
          <w:rtl/>
          <w:lang w:bidi="ar-SA"/>
        </w:rPr>
        <w:t xml:space="preserve"> 2024 أن يصل سعر الفائدة في بنك إسرائيل إلى 3.75% في الربع الأول من عام 2025، وهو مستوى أقل من مستواه الحالي.</w:t>
      </w:r>
    </w:p>
  </w:footnote>
  <w:footnote w:id="16">
    <w:p w14:paraId="73894CC3" w14:textId="3039064D" w:rsidR="00060936" w:rsidRPr="00D709B7" w:rsidRDefault="00060936" w:rsidP="00FD3F92">
      <w:pPr>
        <w:pStyle w:val="FootnoteText"/>
        <w:rPr>
          <w:rFonts w:asciiTheme="minorBidi" w:hAnsiTheme="minorBidi" w:cstheme="minorBidi"/>
          <w:sz w:val="18"/>
          <w:szCs w:val="18"/>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D709B7" w:rsidRPr="00D709B7">
        <w:rPr>
          <w:rFonts w:asciiTheme="minorBidi" w:hAnsiTheme="minorBidi" w:cs="Arial"/>
          <w:sz w:val="18"/>
          <w:szCs w:val="18"/>
          <w:rtl/>
          <w:lang w:bidi="ar-SA"/>
        </w:rPr>
        <w:t xml:space="preserve">قد تكون هناك خصائص مختلفة بين ودائع </w:t>
      </w:r>
      <w:r w:rsidR="00BA2BF5">
        <w:rPr>
          <w:rFonts w:asciiTheme="minorBidi" w:hAnsiTheme="minorBidi" w:cs="Arial" w:hint="cs"/>
          <w:sz w:val="18"/>
          <w:szCs w:val="18"/>
          <w:rtl/>
          <w:lang w:bidi="ar-SA"/>
        </w:rPr>
        <w:t>الأسر</w:t>
      </w:r>
      <w:r w:rsidR="00D709B7" w:rsidRPr="00D709B7">
        <w:rPr>
          <w:rFonts w:asciiTheme="minorBidi" w:hAnsiTheme="minorBidi" w:cs="Arial"/>
          <w:sz w:val="18"/>
          <w:szCs w:val="18"/>
          <w:rtl/>
          <w:lang w:bidi="ar-SA"/>
        </w:rPr>
        <w:t xml:space="preserve"> في </w:t>
      </w:r>
      <w:r w:rsidR="00BA2BF5">
        <w:rPr>
          <w:rFonts w:asciiTheme="minorBidi" w:hAnsiTheme="minorBidi" w:cs="Arial" w:hint="cs"/>
          <w:sz w:val="18"/>
          <w:szCs w:val="18"/>
          <w:rtl/>
          <w:lang w:bidi="ar-SA"/>
        </w:rPr>
        <w:t>الدول المختلفة</w:t>
      </w:r>
      <w:r w:rsidR="00D709B7" w:rsidRPr="00D709B7">
        <w:rPr>
          <w:rFonts w:asciiTheme="minorBidi" w:hAnsiTheme="minorBidi" w:cs="Arial"/>
          <w:sz w:val="18"/>
          <w:szCs w:val="18"/>
          <w:rtl/>
          <w:lang w:bidi="ar-SA"/>
        </w:rPr>
        <w:t xml:space="preserve">. قمنا بإجراء مقارنة لأسعار الفائدة في العالم بحسب فوائد الودائع الثابتة </w:t>
      </w:r>
      <w:r w:rsidR="00BA2BF5">
        <w:rPr>
          <w:rFonts w:asciiTheme="minorBidi" w:hAnsiTheme="minorBidi" w:cs="Arial" w:hint="cs"/>
          <w:sz w:val="18"/>
          <w:szCs w:val="18"/>
          <w:rtl/>
          <w:lang w:bidi="ar-SA"/>
        </w:rPr>
        <w:t xml:space="preserve">للأسر </w:t>
      </w:r>
      <w:r w:rsidR="00D709B7" w:rsidRPr="00D709B7">
        <w:rPr>
          <w:rFonts w:asciiTheme="minorBidi" w:hAnsiTheme="minorBidi" w:cs="Arial"/>
          <w:sz w:val="18"/>
          <w:szCs w:val="18"/>
          <w:rtl/>
          <w:lang w:bidi="ar-SA"/>
        </w:rPr>
        <w:t>غير المرتبطة</w:t>
      </w:r>
      <w:r w:rsidR="00BA2BF5">
        <w:rPr>
          <w:rFonts w:asciiTheme="minorBidi" w:hAnsiTheme="minorBidi" w:cs="Arial" w:hint="cs"/>
          <w:sz w:val="18"/>
          <w:szCs w:val="18"/>
          <w:rtl/>
          <w:lang w:bidi="ar-SA"/>
        </w:rPr>
        <w:t xml:space="preserve"> بالمؤشر</w:t>
      </w:r>
      <w:r w:rsidR="00D709B7" w:rsidRPr="00D709B7">
        <w:rPr>
          <w:rFonts w:asciiTheme="minorBidi" w:hAnsiTheme="minorBidi" w:cs="Arial"/>
          <w:sz w:val="18"/>
          <w:szCs w:val="18"/>
          <w:rtl/>
          <w:lang w:bidi="ar-SA"/>
        </w:rPr>
        <w:t>، والتي تشبه خصائص الودائع في العالم.</w:t>
      </w:r>
    </w:p>
  </w:footnote>
  <w:footnote w:id="17">
    <w:p w14:paraId="7552D8B6" w14:textId="39C5D9D9" w:rsidR="009159F0" w:rsidRPr="00D709B7" w:rsidRDefault="009159F0" w:rsidP="00FD3F92">
      <w:pPr>
        <w:pStyle w:val="FootnoteText"/>
        <w:rPr>
          <w:rFonts w:asciiTheme="minorBidi" w:hAnsiTheme="minorBidi" w:cstheme="minorBidi"/>
          <w:sz w:val="18"/>
          <w:szCs w:val="18"/>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2237FB">
        <w:rPr>
          <w:rFonts w:asciiTheme="minorBidi" w:hAnsiTheme="minorBidi" w:cstheme="minorBidi" w:hint="cs"/>
          <w:sz w:val="18"/>
          <w:szCs w:val="18"/>
          <w:rtl/>
          <w:lang w:bidi="ar-SA"/>
        </w:rPr>
        <w:t xml:space="preserve">تأخذ </w:t>
      </w:r>
      <w:r w:rsidR="00D709B7" w:rsidRPr="00D709B7">
        <w:rPr>
          <w:rFonts w:asciiTheme="minorBidi" w:hAnsiTheme="minorBidi" w:cs="Arial"/>
          <w:sz w:val="18"/>
          <w:szCs w:val="18"/>
          <w:rtl/>
          <w:lang w:bidi="ar-SA"/>
        </w:rPr>
        <w:t xml:space="preserve">الفائدة المحسوبة في هذه المقارنة في الاعتبار أداء ودائع </w:t>
      </w:r>
      <w:r w:rsidR="002237FB">
        <w:rPr>
          <w:rFonts w:asciiTheme="minorBidi" w:hAnsiTheme="minorBidi" w:cs="Arial" w:hint="cs"/>
          <w:sz w:val="18"/>
          <w:szCs w:val="18"/>
          <w:rtl/>
          <w:lang w:bidi="ar-SA"/>
        </w:rPr>
        <w:t>الأسر</w:t>
      </w:r>
      <w:r w:rsidR="00D709B7" w:rsidRPr="00D709B7">
        <w:rPr>
          <w:rFonts w:asciiTheme="minorBidi" w:hAnsiTheme="minorBidi" w:cs="Arial"/>
          <w:sz w:val="18"/>
          <w:szCs w:val="18"/>
          <w:rtl/>
          <w:lang w:bidi="ar-SA"/>
        </w:rPr>
        <w:t xml:space="preserve"> لفترات أطول من يوم واحد (</w:t>
      </w:r>
      <w:r w:rsidR="002237FB" w:rsidRPr="00D709B7">
        <w:rPr>
          <w:rFonts w:asciiTheme="minorBidi" w:hAnsiTheme="minorBidi" w:cstheme="minorBidi"/>
          <w:sz w:val="18"/>
          <w:szCs w:val="18"/>
        </w:rPr>
        <w:t>deposits with an agreed maturity</w:t>
      </w:r>
      <w:r w:rsidR="002237FB" w:rsidRPr="00D709B7">
        <w:rPr>
          <w:rFonts w:asciiTheme="minorBidi" w:hAnsiTheme="minorBidi" w:cs="Arial"/>
          <w:sz w:val="18"/>
          <w:szCs w:val="18"/>
          <w:rtl/>
          <w:lang w:bidi="ar-SA"/>
        </w:rPr>
        <w:t xml:space="preserve"> </w:t>
      </w:r>
      <w:r w:rsidR="00D709B7" w:rsidRPr="00D709B7">
        <w:rPr>
          <w:rFonts w:asciiTheme="minorBidi" w:hAnsiTheme="minorBidi" w:cs="Arial"/>
          <w:sz w:val="18"/>
          <w:szCs w:val="18"/>
          <w:rtl/>
          <w:lang w:bidi="ar-SA"/>
        </w:rPr>
        <w:t>- الودائع السائلة حتى سنة واحدة</w:t>
      </w:r>
      <w:r w:rsidR="002237FB">
        <w:rPr>
          <w:rFonts w:asciiTheme="minorBidi" w:hAnsiTheme="minorBidi" w:cs="Arial" w:hint="cs"/>
          <w:sz w:val="18"/>
          <w:szCs w:val="18"/>
          <w:rtl/>
          <w:lang w:bidi="ar-SA"/>
        </w:rPr>
        <w:t xml:space="preserve"> و</w:t>
      </w:r>
      <w:r w:rsidR="002237FB" w:rsidRPr="00D709B7">
        <w:rPr>
          <w:rFonts w:asciiTheme="minorBidi" w:hAnsiTheme="minorBidi" w:cstheme="minorBidi"/>
          <w:sz w:val="18"/>
          <w:szCs w:val="18"/>
        </w:rPr>
        <w:t>redeemable at notice</w:t>
      </w:r>
      <w:r w:rsidR="002237FB">
        <w:rPr>
          <w:rFonts w:asciiTheme="minorBidi" w:hAnsiTheme="minorBidi" w:cs="Arial" w:hint="cs"/>
          <w:sz w:val="18"/>
          <w:szCs w:val="18"/>
          <w:rtl/>
          <w:lang w:bidi="ar-SA"/>
        </w:rPr>
        <w:t xml:space="preserve"> -</w:t>
      </w:r>
      <w:r w:rsidR="00D709B7" w:rsidRPr="00D709B7">
        <w:rPr>
          <w:rFonts w:asciiTheme="minorBidi" w:hAnsiTheme="minorBidi" w:cs="Arial"/>
          <w:sz w:val="18"/>
          <w:szCs w:val="18"/>
          <w:rtl/>
          <w:lang w:bidi="ar-SA"/>
        </w:rPr>
        <w:t xml:space="preserve"> </w:t>
      </w:r>
      <w:r w:rsidR="002237FB">
        <w:rPr>
          <w:rFonts w:asciiTheme="minorBidi" w:hAnsiTheme="minorBidi" w:cs="Arial" w:hint="cs"/>
          <w:sz w:val="18"/>
          <w:szCs w:val="18"/>
          <w:rtl/>
          <w:lang w:bidi="ar-SA"/>
        </w:rPr>
        <w:t>ال</w:t>
      </w:r>
      <w:r w:rsidR="00D709B7" w:rsidRPr="00D709B7">
        <w:rPr>
          <w:rFonts w:asciiTheme="minorBidi" w:hAnsiTheme="minorBidi" w:cs="Arial"/>
          <w:sz w:val="18"/>
          <w:szCs w:val="18"/>
          <w:rtl/>
          <w:lang w:bidi="ar-SA"/>
        </w:rPr>
        <w:t>ودائع لفترة محددة تزيد عن عام)، و</w:t>
      </w:r>
      <w:r w:rsidR="002237FB">
        <w:rPr>
          <w:rFonts w:asciiTheme="minorBidi" w:hAnsiTheme="minorBidi" w:cs="Arial" w:hint="cs"/>
          <w:sz w:val="18"/>
          <w:szCs w:val="18"/>
          <w:rtl/>
          <w:lang w:bidi="ar-SA"/>
        </w:rPr>
        <w:t xml:space="preserve">ذلك </w:t>
      </w:r>
      <w:r w:rsidR="00D709B7" w:rsidRPr="00D709B7">
        <w:rPr>
          <w:rFonts w:asciiTheme="minorBidi" w:hAnsiTheme="minorBidi" w:cs="Arial"/>
          <w:sz w:val="18"/>
          <w:szCs w:val="18"/>
          <w:rtl/>
          <w:lang w:bidi="ar-SA"/>
        </w:rPr>
        <w:t xml:space="preserve">على عكس المقارنة </w:t>
      </w:r>
      <w:r w:rsidR="002237FB">
        <w:rPr>
          <w:rFonts w:asciiTheme="minorBidi" w:hAnsiTheme="minorBidi" w:cs="Arial" w:hint="cs"/>
          <w:sz w:val="18"/>
          <w:szCs w:val="18"/>
          <w:rtl/>
          <w:lang w:bidi="ar-SA"/>
        </w:rPr>
        <w:t>المعروضة</w:t>
      </w:r>
      <w:r w:rsidR="00D709B7" w:rsidRPr="00D709B7">
        <w:rPr>
          <w:rFonts w:asciiTheme="minorBidi" w:hAnsiTheme="minorBidi" w:cs="Arial"/>
          <w:sz w:val="18"/>
          <w:szCs w:val="18"/>
          <w:rtl/>
          <w:lang w:bidi="ar-SA"/>
        </w:rPr>
        <w:t xml:space="preserve"> سابقاً، والتي شملت فقط الفائدة على الودائع طويلة الأجل (</w:t>
      </w:r>
      <w:r w:rsidR="002237FB" w:rsidRPr="00D709B7">
        <w:rPr>
          <w:rFonts w:asciiTheme="minorBidi" w:hAnsiTheme="minorBidi" w:cstheme="minorBidi"/>
          <w:sz w:val="18"/>
          <w:szCs w:val="18"/>
        </w:rPr>
        <w:t>deposits with an agreed maturity</w:t>
      </w:r>
      <w:r w:rsidR="00D709B7" w:rsidRPr="00D709B7">
        <w:rPr>
          <w:rFonts w:asciiTheme="minorBidi" w:hAnsiTheme="minorBidi" w:cs="Arial"/>
          <w:sz w:val="18"/>
          <w:szCs w:val="18"/>
          <w:rtl/>
          <w:lang w:bidi="ar-SA"/>
        </w:rPr>
        <w:t xml:space="preserve">)، وهي نسبة فائدة أعلى، إلا أن </w:t>
      </w:r>
      <w:r w:rsidR="002237FB">
        <w:rPr>
          <w:rFonts w:asciiTheme="minorBidi" w:hAnsiTheme="minorBidi" w:cs="Arial" w:hint="cs"/>
          <w:sz w:val="18"/>
          <w:szCs w:val="18"/>
          <w:rtl/>
          <w:lang w:bidi="ar-SA"/>
        </w:rPr>
        <w:t>معدل</w:t>
      </w:r>
      <w:r w:rsidR="00D709B7" w:rsidRPr="00D709B7">
        <w:rPr>
          <w:rFonts w:asciiTheme="minorBidi" w:hAnsiTheme="minorBidi" w:cs="Arial"/>
          <w:sz w:val="18"/>
          <w:szCs w:val="18"/>
          <w:rtl/>
          <w:lang w:bidi="ar-SA"/>
        </w:rPr>
        <w:t xml:space="preserve"> هذا النوع من الودائع </w:t>
      </w:r>
      <w:r w:rsidR="002237FB">
        <w:rPr>
          <w:rFonts w:asciiTheme="minorBidi" w:hAnsiTheme="minorBidi" w:cs="Arial" w:hint="cs"/>
          <w:sz w:val="18"/>
          <w:szCs w:val="18"/>
          <w:rtl/>
          <w:lang w:bidi="ar-SA"/>
        </w:rPr>
        <w:t>تقلب</w:t>
      </w:r>
      <w:r w:rsidR="00D709B7" w:rsidRPr="00D709B7">
        <w:rPr>
          <w:rFonts w:asciiTheme="minorBidi" w:hAnsiTheme="minorBidi" w:cs="Arial"/>
          <w:sz w:val="18"/>
          <w:szCs w:val="18"/>
          <w:rtl/>
          <w:lang w:bidi="ar-SA"/>
        </w:rPr>
        <w:t xml:space="preserve"> في العامين الأخيرين بين 1 % و6%.</w:t>
      </w:r>
    </w:p>
  </w:footnote>
  <w:footnote w:id="18">
    <w:p w14:paraId="0650B256" w14:textId="5D628397" w:rsidR="00EE3CAB" w:rsidRPr="00D709B7" w:rsidRDefault="00EE3CAB" w:rsidP="009E0F7E">
      <w:pPr>
        <w:pStyle w:val="FootnoteText"/>
        <w:rPr>
          <w:rFonts w:asciiTheme="minorBidi" w:hAnsiTheme="minorBidi" w:cstheme="minorBidi"/>
          <w:sz w:val="18"/>
          <w:szCs w:val="18"/>
          <w:rtl/>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7F795C" w:rsidRPr="00D709B7">
        <w:rPr>
          <w:rFonts w:asciiTheme="minorBidi" w:hAnsiTheme="minorBidi" w:cstheme="minorBidi"/>
          <w:sz w:val="18"/>
          <w:szCs w:val="18"/>
          <w:rtl/>
          <w:lang w:bidi="ar-SA"/>
        </w:rPr>
        <w:t>في الولايات المتحدة، هناك ثلاثة منتجات إيداع رئيسية: الأرصدة الجارية بفائدة، وحساب التوفير</w:t>
      </w:r>
      <w:r w:rsidR="00CC3B7F">
        <w:rPr>
          <w:rFonts w:asciiTheme="minorBidi" w:hAnsiTheme="minorBidi" w:cstheme="minorBidi" w:hint="cs"/>
          <w:sz w:val="18"/>
          <w:szCs w:val="18"/>
          <w:rtl/>
          <w:lang w:bidi="ar-SA"/>
        </w:rPr>
        <w:t xml:space="preserve"> (</w:t>
      </w:r>
      <w:r w:rsidR="00CC3B7F" w:rsidRPr="00D709B7">
        <w:rPr>
          <w:rFonts w:asciiTheme="minorBidi" w:hAnsiTheme="minorBidi" w:cstheme="minorBidi"/>
          <w:sz w:val="18"/>
          <w:szCs w:val="18"/>
        </w:rPr>
        <w:t>savings account</w:t>
      </w:r>
      <w:r w:rsidR="00CC3B7F">
        <w:rPr>
          <w:rFonts w:asciiTheme="minorBidi" w:hAnsiTheme="minorBidi" w:cstheme="minorBidi" w:hint="cs"/>
          <w:sz w:val="18"/>
          <w:szCs w:val="18"/>
          <w:rtl/>
          <w:lang w:bidi="ar-SA"/>
        </w:rPr>
        <w:t>)</w:t>
      </w:r>
      <w:r w:rsidR="007F795C" w:rsidRPr="00D709B7">
        <w:rPr>
          <w:rFonts w:asciiTheme="minorBidi" w:hAnsiTheme="minorBidi" w:cstheme="minorBidi"/>
          <w:sz w:val="18"/>
          <w:szCs w:val="18"/>
          <w:rtl/>
          <w:lang w:bidi="ar-SA"/>
        </w:rPr>
        <w:t xml:space="preserve">، الذي يسمح بالسحب في حدود معينة طوال فترة الإيداع، وشهادة الإيداع، </w:t>
      </w:r>
      <w:r w:rsidR="007F795C" w:rsidRPr="00D709B7">
        <w:rPr>
          <w:rFonts w:asciiTheme="minorBidi" w:hAnsiTheme="minorBidi" w:cstheme="minorBidi"/>
          <w:sz w:val="18"/>
          <w:szCs w:val="18"/>
        </w:rPr>
        <w:t>CD</w:t>
      </w:r>
      <w:r w:rsidR="007F795C" w:rsidRPr="00D709B7">
        <w:rPr>
          <w:rFonts w:asciiTheme="minorBidi" w:hAnsiTheme="minorBidi" w:cstheme="minorBidi"/>
          <w:sz w:val="18"/>
          <w:szCs w:val="18"/>
          <w:rtl/>
          <w:lang w:bidi="ar-SA"/>
        </w:rPr>
        <w:t xml:space="preserve"> (</w:t>
      </w:r>
      <w:r w:rsidR="00CC3B7F" w:rsidRPr="00D709B7">
        <w:rPr>
          <w:rFonts w:asciiTheme="minorBidi" w:hAnsiTheme="minorBidi" w:cstheme="minorBidi"/>
          <w:sz w:val="18"/>
          <w:szCs w:val="18"/>
        </w:rPr>
        <w:t>Certificate of Deposits</w:t>
      </w:r>
      <w:r w:rsidR="007F795C" w:rsidRPr="00D709B7">
        <w:rPr>
          <w:rFonts w:asciiTheme="minorBidi" w:hAnsiTheme="minorBidi" w:cstheme="minorBidi"/>
          <w:sz w:val="18"/>
          <w:szCs w:val="18"/>
          <w:rtl/>
          <w:lang w:bidi="ar-SA"/>
        </w:rPr>
        <w:t xml:space="preserve">)، </w:t>
      </w:r>
      <w:r w:rsidR="00CC3B7F">
        <w:rPr>
          <w:rFonts w:asciiTheme="minorBidi" w:hAnsiTheme="minorBidi" w:cstheme="minorBidi" w:hint="cs"/>
          <w:sz w:val="18"/>
          <w:szCs w:val="18"/>
          <w:rtl/>
          <w:lang w:bidi="ar-SA"/>
        </w:rPr>
        <w:t>غير</w:t>
      </w:r>
      <w:r w:rsidR="007F795C" w:rsidRPr="00D709B7">
        <w:rPr>
          <w:rFonts w:asciiTheme="minorBidi" w:hAnsiTheme="minorBidi" w:cstheme="minorBidi"/>
          <w:sz w:val="18"/>
          <w:szCs w:val="18"/>
          <w:rtl/>
          <w:lang w:bidi="ar-SA"/>
        </w:rPr>
        <w:t xml:space="preserve"> </w:t>
      </w:r>
      <w:r w:rsidR="00CC3B7F">
        <w:rPr>
          <w:rFonts w:asciiTheme="minorBidi" w:hAnsiTheme="minorBidi" w:cstheme="minorBidi" w:hint="cs"/>
          <w:sz w:val="18"/>
          <w:szCs w:val="18"/>
          <w:rtl/>
          <w:lang w:bidi="ar-SA"/>
        </w:rPr>
        <w:t>ال</w:t>
      </w:r>
      <w:r w:rsidR="007F795C" w:rsidRPr="00D709B7">
        <w:rPr>
          <w:rFonts w:asciiTheme="minorBidi" w:hAnsiTheme="minorBidi" w:cstheme="minorBidi"/>
          <w:sz w:val="18"/>
          <w:szCs w:val="18"/>
          <w:rtl/>
          <w:lang w:bidi="ar-SA"/>
        </w:rPr>
        <w:t xml:space="preserve">سائلة حتى </w:t>
      </w:r>
      <w:r w:rsidR="00CC3B7F">
        <w:rPr>
          <w:rFonts w:asciiTheme="minorBidi" w:hAnsiTheme="minorBidi" w:cstheme="minorBidi" w:hint="cs"/>
          <w:sz w:val="18"/>
          <w:szCs w:val="18"/>
          <w:rtl/>
          <w:lang w:bidi="ar-SA"/>
        </w:rPr>
        <w:t>انتهاء السداد</w:t>
      </w:r>
      <w:r w:rsidR="007F795C" w:rsidRPr="00D709B7">
        <w:rPr>
          <w:rFonts w:asciiTheme="minorBidi" w:hAnsiTheme="minorBidi" w:cstheme="minorBidi"/>
          <w:sz w:val="18"/>
          <w:szCs w:val="18"/>
          <w:rtl/>
          <w:lang w:bidi="ar-SA"/>
        </w:rPr>
        <w:t>. يختلف معدل التحول في كل منتج: أرصدة الحساب الجاري تحمل فائدة - التحول صفر</w:t>
      </w:r>
      <w:r w:rsidR="00CC3B7F">
        <w:rPr>
          <w:rFonts w:asciiTheme="minorBidi" w:hAnsiTheme="minorBidi" w:cstheme="minorBidi" w:hint="cs"/>
          <w:sz w:val="18"/>
          <w:szCs w:val="18"/>
          <w:rtl/>
          <w:lang w:bidi="ar-SA"/>
        </w:rPr>
        <w:t>ي</w:t>
      </w:r>
      <w:r w:rsidR="007F795C" w:rsidRPr="00D709B7">
        <w:rPr>
          <w:rFonts w:asciiTheme="minorBidi" w:hAnsiTheme="minorBidi" w:cstheme="minorBidi"/>
          <w:sz w:val="18"/>
          <w:szCs w:val="18"/>
          <w:rtl/>
          <w:lang w:bidi="ar-SA"/>
        </w:rPr>
        <w:t xml:space="preserve">، وفي حساب التوفير يوجد تحول بمعدل 8% </w:t>
      </w:r>
      <w:r w:rsidR="00CC3B7F">
        <w:rPr>
          <w:rFonts w:asciiTheme="minorBidi" w:hAnsiTheme="minorBidi" w:cstheme="minorBidi" w:hint="cs"/>
          <w:sz w:val="18"/>
          <w:szCs w:val="18"/>
          <w:rtl/>
          <w:lang w:bidi="ar-SA"/>
        </w:rPr>
        <w:t>وفي شهادة الايداع</w:t>
      </w:r>
      <w:r w:rsidR="007F795C" w:rsidRPr="00D709B7">
        <w:rPr>
          <w:rFonts w:asciiTheme="minorBidi" w:hAnsiTheme="minorBidi" w:cstheme="minorBidi"/>
          <w:sz w:val="18"/>
          <w:szCs w:val="18"/>
          <w:rtl/>
          <w:lang w:bidi="ar-SA"/>
        </w:rPr>
        <w:t xml:space="preserve"> لمدة سنة - يوجد تحول</w:t>
      </w:r>
      <w:r w:rsidR="00CC3B7F">
        <w:rPr>
          <w:rFonts w:asciiTheme="minorBidi" w:hAnsiTheme="minorBidi" w:cstheme="minorBidi" w:hint="cs"/>
          <w:sz w:val="18"/>
          <w:szCs w:val="18"/>
          <w:rtl/>
          <w:lang w:bidi="ar-SA"/>
        </w:rPr>
        <w:t xml:space="preserve"> بنسبة</w:t>
      </w:r>
      <w:r w:rsidR="007F795C" w:rsidRPr="00D709B7">
        <w:rPr>
          <w:rFonts w:asciiTheme="minorBidi" w:hAnsiTheme="minorBidi" w:cstheme="minorBidi"/>
          <w:sz w:val="18"/>
          <w:szCs w:val="18"/>
          <w:rtl/>
          <w:lang w:bidi="ar-SA"/>
        </w:rPr>
        <w:t xml:space="preserve"> 34 % (الأعلى بين </w:t>
      </w:r>
      <w:r w:rsidR="00CC3B7F">
        <w:rPr>
          <w:rFonts w:asciiTheme="minorBidi" w:hAnsiTheme="minorBidi" w:cstheme="minorBidi" w:hint="cs"/>
          <w:sz w:val="18"/>
          <w:szCs w:val="18"/>
          <w:rtl/>
          <w:lang w:bidi="ar-SA"/>
        </w:rPr>
        <w:t>شهادات الايداع</w:t>
      </w:r>
      <w:r w:rsidR="007F795C" w:rsidRPr="00D709B7">
        <w:rPr>
          <w:rFonts w:asciiTheme="minorBidi" w:hAnsiTheme="minorBidi" w:cstheme="minorBidi"/>
          <w:sz w:val="18"/>
          <w:szCs w:val="18"/>
          <w:rtl/>
          <w:lang w:bidi="ar-SA"/>
        </w:rPr>
        <w:t>).</w:t>
      </w:r>
    </w:p>
  </w:footnote>
  <w:footnote w:id="19">
    <w:p w14:paraId="60D6363A" w14:textId="6FA50644" w:rsidR="00EE3CAB" w:rsidRPr="00D709B7" w:rsidRDefault="00EE3CAB" w:rsidP="009E0F7E">
      <w:pPr>
        <w:pStyle w:val="FootnoteText"/>
        <w:rPr>
          <w:rFonts w:asciiTheme="minorBidi" w:hAnsiTheme="minorBidi" w:cstheme="minorBidi"/>
          <w:sz w:val="18"/>
          <w:szCs w:val="18"/>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7F795C" w:rsidRPr="00D709B7">
        <w:rPr>
          <w:rFonts w:asciiTheme="minorBidi" w:hAnsiTheme="minorBidi" w:cstheme="minorBidi"/>
          <w:sz w:val="18"/>
          <w:szCs w:val="18"/>
          <w:rtl/>
          <w:lang w:bidi="ar-SA"/>
        </w:rPr>
        <w:t xml:space="preserve">ودائع </w:t>
      </w:r>
      <w:r w:rsidR="00CC3B7F">
        <w:rPr>
          <w:rFonts w:asciiTheme="minorBidi" w:hAnsiTheme="minorBidi" w:cstheme="minorBidi" w:hint="cs"/>
          <w:sz w:val="18"/>
          <w:szCs w:val="18"/>
          <w:rtl/>
          <w:lang w:bidi="ar-SA"/>
        </w:rPr>
        <w:t>الأسر</w:t>
      </w:r>
      <w:r w:rsidR="007F795C" w:rsidRPr="00D709B7">
        <w:rPr>
          <w:rFonts w:asciiTheme="minorBidi" w:hAnsiTheme="minorBidi" w:cstheme="minorBidi"/>
          <w:sz w:val="18"/>
          <w:szCs w:val="18"/>
          <w:rtl/>
          <w:lang w:bidi="ar-SA"/>
        </w:rPr>
        <w:t xml:space="preserve"> محد</w:t>
      </w:r>
      <w:r w:rsidR="00CC3B7F">
        <w:rPr>
          <w:rFonts w:asciiTheme="minorBidi" w:hAnsiTheme="minorBidi" w:cstheme="minorBidi" w:hint="cs"/>
          <w:sz w:val="18"/>
          <w:szCs w:val="18"/>
          <w:rtl/>
          <w:lang w:bidi="ar-SA"/>
        </w:rPr>
        <w:t>و</w:t>
      </w:r>
      <w:r w:rsidR="007F795C" w:rsidRPr="00D709B7">
        <w:rPr>
          <w:rFonts w:asciiTheme="minorBidi" w:hAnsiTheme="minorBidi" w:cstheme="minorBidi"/>
          <w:sz w:val="18"/>
          <w:szCs w:val="18"/>
          <w:rtl/>
          <w:lang w:bidi="ar-SA"/>
        </w:rPr>
        <w:t>دة الأجل، دون إمكانية السحب المبكر، بما في ذلك الودائع في المؤسسات المالية التي تقدم القروض العقارية، والتي لا تعتمد على منتجات الحساب الجاري وبالتالي فإن مستهلكي السيولة لديها يختلفون قليلاً مقارنة بمعظم البنوك في إسرائيل.</w:t>
      </w:r>
    </w:p>
  </w:footnote>
  <w:footnote w:id="20">
    <w:p w14:paraId="14EB36A0" w14:textId="3493FD02" w:rsidR="00EE3CAB" w:rsidRPr="00D709B7" w:rsidRDefault="00EE3CAB" w:rsidP="009E0F7E">
      <w:pPr>
        <w:pStyle w:val="FootnoteText"/>
        <w:rPr>
          <w:rFonts w:asciiTheme="minorBidi" w:hAnsiTheme="minorBidi" w:cstheme="minorBidi"/>
          <w:rtl/>
          <w:lang w:bidi="ar-SA"/>
        </w:rPr>
      </w:pPr>
      <w:r w:rsidRPr="00D709B7">
        <w:rPr>
          <w:rStyle w:val="FootnoteReference"/>
          <w:rFonts w:asciiTheme="minorBidi" w:hAnsiTheme="minorBidi" w:cstheme="minorBidi"/>
          <w:sz w:val="18"/>
          <w:szCs w:val="18"/>
        </w:rPr>
        <w:footnoteRef/>
      </w:r>
      <w:r w:rsidRPr="00D709B7">
        <w:rPr>
          <w:rFonts w:asciiTheme="minorBidi" w:hAnsiTheme="minorBidi" w:cstheme="minorBidi"/>
          <w:sz w:val="18"/>
          <w:szCs w:val="18"/>
          <w:rtl/>
        </w:rPr>
        <w:t xml:space="preserve"> </w:t>
      </w:r>
      <w:r w:rsidR="007F795C" w:rsidRPr="00D709B7">
        <w:rPr>
          <w:rFonts w:asciiTheme="minorBidi" w:hAnsiTheme="minorBidi" w:cstheme="minorBidi"/>
          <w:sz w:val="18"/>
          <w:szCs w:val="18"/>
          <w:rtl/>
          <w:lang w:bidi="ar-SA"/>
        </w:rPr>
        <w:t xml:space="preserve">ودائع التجزئة </w:t>
      </w:r>
      <w:r w:rsidR="00CC3B7F">
        <w:rPr>
          <w:rFonts w:asciiTheme="minorBidi" w:hAnsiTheme="minorBidi" w:cstheme="minorBidi" w:hint="cs"/>
          <w:sz w:val="18"/>
          <w:szCs w:val="18"/>
          <w:rtl/>
          <w:lang w:bidi="ar-SA"/>
        </w:rPr>
        <w:t>محدودة الأجل</w:t>
      </w:r>
      <w:r w:rsidR="007F795C" w:rsidRPr="00D709B7">
        <w:rPr>
          <w:rFonts w:asciiTheme="minorBidi" w:hAnsiTheme="minorBidi" w:cstheme="minorBidi"/>
          <w:sz w:val="18"/>
          <w:szCs w:val="18"/>
          <w:rtl/>
          <w:lang w:bidi="ar-SA"/>
        </w:rPr>
        <w:t xml:space="preserve"> تصل إلى 10,000 دولار أسترالي في البنوك الأسترالية الخمسة الكبرى.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91AF" w14:textId="77777777" w:rsidR="00BE51FE" w:rsidRDefault="00BE5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0C3E"/>
    <w:multiLevelType w:val="hybridMultilevel"/>
    <w:tmpl w:val="B7549F94"/>
    <w:lvl w:ilvl="0" w:tplc="C19611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5571B"/>
    <w:multiLevelType w:val="hybridMultilevel"/>
    <w:tmpl w:val="19B0B41E"/>
    <w:lvl w:ilvl="0" w:tplc="ABC084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87B1A"/>
    <w:multiLevelType w:val="hybridMultilevel"/>
    <w:tmpl w:val="31F4D8E4"/>
    <w:lvl w:ilvl="0" w:tplc="4DBEFA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7033C"/>
    <w:multiLevelType w:val="hybridMultilevel"/>
    <w:tmpl w:val="719E3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0433B2"/>
    <w:multiLevelType w:val="hybridMultilevel"/>
    <w:tmpl w:val="46B03EEE"/>
    <w:lvl w:ilvl="0" w:tplc="C4BE3F5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5A221C1F"/>
    <w:multiLevelType w:val="hybridMultilevel"/>
    <w:tmpl w:val="14C2D10E"/>
    <w:lvl w:ilvl="0" w:tplc="B5E253E0">
      <w:start w:val="1"/>
      <w:numFmt w:val="bullet"/>
      <w:lvlText w:val="•"/>
      <w:lvlJc w:val="left"/>
      <w:pPr>
        <w:tabs>
          <w:tab w:val="num" w:pos="720"/>
        </w:tabs>
        <w:ind w:left="720" w:hanging="360"/>
      </w:pPr>
      <w:rPr>
        <w:rFonts w:ascii="Arial" w:hAnsi="Arial" w:hint="default"/>
      </w:rPr>
    </w:lvl>
    <w:lvl w:ilvl="1" w:tplc="49525D96" w:tentative="1">
      <w:start w:val="1"/>
      <w:numFmt w:val="bullet"/>
      <w:lvlText w:val="•"/>
      <w:lvlJc w:val="left"/>
      <w:pPr>
        <w:tabs>
          <w:tab w:val="num" w:pos="1440"/>
        </w:tabs>
        <w:ind w:left="1440" w:hanging="360"/>
      </w:pPr>
      <w:rPr>
        <w:rFonts w:ascii="Arial" w:hAnsi="Arial" w:hint="default"/>
      </w:rPr>
    </w:lvl>
    <w:lvl w:ilvl="2" w:tplc="B2ACDE82" w:tentative="1">
      <w:start w:val="1"/>
      <w:numFmt w:val="bullet"/>
      <w:lvlText w:val="•"/>
      <w:lvlJc w:val="left"/>
      <w:pPr>
        <w:tabs>
          <w:tab w:val="num" w:pos="2160"/>
        </w:tabs>
        <w:ind w:left="2160" w:hanging="360"/>
      </w:pPr>
      <w:rPr>
        <w:rFonts w:ascii="Arial" w:hAnsi="Arial" w:hint="default"/>
      </w:rPr>
    </w:lvl>
    <w:lvl w:ilvl="3" w:tplc="A2BCB872" w:tentative="1">
      <w:start w:val="1"/>
      <w:numFmt w:val="bullet"/>
      <w:lvlText w:val="•"/>
      <w:lvlJc w:val="left"/>
      <w:pPr>
        <w:tabs>
          <w:tab w:val="num" w:pos="2880"/>
        </w:tabs>
        <w:ind w:left="2880" w:hanging="360"/>
      </w:pPr>
      <w:rPr>
        <w:rFonts w:ascii="Arial" w:hAnsi="Arial" w:hint="default"/>
      </w:rPr>
    </w:lvl>
    <w:lvl w:ilvl="4" w:tplc="71727F58" w:tentative="1">
      <w:start w:val="1"/>
      <w:numFmt w:val="bullet"/>
      <w:lvlText w:val="•"/>
      <w:lvlJc w:val="left"/>
      <w:pPr>
        <w:tabs>
          <w:tab w:val="num" w:pos="3600"/>
        </w:tabs>
        <w:ind w:left="3600" w:hanging="360"/>
      </w:pPr>
      <w:rPr>
        <w:rFonts w:ascii="Arial" w:hAnsi="Arial" w:hint="default"/>
      </w:rPr>
    </w:lvl>
    <w:lvl w:ilvl="5" w:tplc="B41C282C" w:tentative="1">
      <w:start w:val="1"/>
      <w:numFmt w:val="bullet"/>
      <w:lvlText w:val="•"/>
      <w:lvlJc w:val="left"/>
      <w:pPr>
        <w:tabs>
          <w:tab w:val="num" w:pos="4320"/>
        </w:tabs>
        <w:ind w:left="4320" w:hanging="360"/>
      </w:pPr>
      <w:rPr>
        <w:rFonts w:ascii="Arial" w:hAnsi="Arial" w:hint="default"/>
      </w:rPr>
    </w:lvl>
    <w:lvl w:ilvl="6" w:tplc="75B871B4" w:tentative="1">
      <w:start w:val="1"/>
      <w:numFmt w:val="bullet"/>
      <w:lvlText w:val="•"/>
      <w:lvlJc w:val="left"/>
      <w:pPr>
        <w:tabs>
          <w:tab w:val="num" w:pos="5040"/>
        </w:tabs>
        <w:ind w:left="5040" w:hanging="360"/>
      </w:pPr>
      <w:rPr>
        <w:rFonts w:ascii="Arial" w:hAnsi="Arial" w:hint="default"/>
      </w:rPr>
    </w:lvl>
    <w:lvl w:ilvl="7" w:tplc="9F54E01C" w:tentative="1">
      <w:start w:val="1"/>
      <w:numFmt w:val="bullet"/>
      <w:lvlText w:val="•"/>
      <w:lvlJc w:val="left"/>
      <w:pPr>
        <w:tabs>
          <w:tab w:val="num" w:pos="5760"/>
        </w:tabs>
        <w:ind w:left="5760" w:hanging="360"/>
      </w:pPr>
      <w:rPr>
        <w:rFonts w:ascii="Arial" w:hAnsi="Arial" w:hint="default"/>
      </w:rPr>
    </w:lvl>
    <w:lvl w:ilvl="8" w:tplc="1D745C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9D3001"/>
    <w:multiLevelType w:val="hybridMultilevel"/>
    <w:tmpl w:val="9CCE1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D4545"/>
    <w:multiLevelType w:val="hybridMultilevel"/>
    <w:tmpl w:val="471A3416"/>
    <w:lvl w:ilvl="0" w:tplc="883A8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F40133"/>
    <w:multiLevelType w:val="hybridMultilevel"/>
    <w:tmpl w:val="E61C8514"/>
    <w:lvl w:ilvl="0" w:tplc="179E5846">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77EF4"/>
    <w:multiLevelType w:val="multilevel"/>
    <w:tmpl w:val="74B02128"/>
    <w:lvl w:ilvl="0">
      <w:start w:val="1"/>
      <w:numFmt w:val="decimal"/>
      <w:lvlText w:val="%1."/>
      <w:lvlJc w:val="left"/>
      <w:pPr>
        <w:tabs>
          <w:tab w:val="num" w:pos="567"/>
        </w:tabs>
        <w:ind w:left="567" w:hanging="567"/>
      </w:pPr>
      <w:rPr>
        <w:rFonts w:hint="default"/>
        <w:b/>
        <w:bCs/>
      </w:rPr>
    </w:lvl>
    <w:lvl w:ilvl="1">
      <w:start w:val="1"/>
      <w:numFmt w:val="decimal"/>
      <w:lvlText w:val="%1.%2."/>
      <w:lvlJc w:val="left"/>
      <w:pPr>
        <w:tabs>
          <w:tab w:val="num" w:pos="851"/>
        </w:tabs>
        <w:ind w:left="1134" w:hanging="567"/>
      </w:pPr>
      <w:rPr>
        <w:rFonts w:cs="David" w:hint="default"/>
        <w:b w:val="0"/>
        <w:bCs w:val="0"/>
        <w:sz w:val="24"/>
        <w:szCs w:val="24"/>
      </w:rPr>
    </w:lvl>
    <w:lvl w:ilvl="2">
      <w:numFmt w:val="bullet"/>
      <w:lvlText w:val="-"/>
      <w:lvlJc w:val="left"/>
      <w:pPr>
        <w:tabs>
          <w:tab w:val="num" w:pos="1814"/>
        </w:tabs>
        <w:ind w:left="1814" w:hanging="680"/>
      </w:pPr>
      <w:rPr>
        <w:rFonts w:ascii="Times New Roman" w:eastAsiaTheme="minorHAnsi" w:hAnsi="Times New Roman" w:cs="David" w:hint="default"/>
        <w:b w:val="0"/>
        <w:bCs w:val="0"/>
      </w:rPr>
    </w:lvl>
    <w:lvl w:ilvl="3">
      <w:start w:val="1"/>
      <w:numFmt w:val="decimal"/>
      <w:lvlText w:val="%1.%2.%3.%4."/>
      <w:lvlJc w:val="left"/>
      <w:pPr>
        <w:tabs>
          <w:tab w:val="num" w:pos="1418"/>
        </w:tabs>
        <w:ind w:left="1418" w:hanging="284"/>
      </w:pPr>
      <w:rPr>
        <w:rFonts w:hint="default"/>
      </w:rPr>
    </w:lvl>
    <w:lvl w:ilvl="4">
      <w:start w:val="1"/>
      <w:numFmt w:val="decimal"/>
      <w:lvlText w:val="%1.%2.%3.%4.%5."/>
      <w:lvlJc w:val="left"/>
      <w:pPr>
        <w:tabs>
          <w:tab w:val="num" w:pos="2520"/>
        </w:tabs>
        <w:ind w:left="2232" w:hanging="792"/>
      </w:pPr>
      <w:rPr>
        <w:rFonts w:hint="default"/>
      </w:rPr>
    </w:lvl>
    <w:lvl w:ilvl="5">
      <w:numFmt w:val="bullet"/>
      <w:lvlText w:val="-"/>
      <w:lvlJc w:val="left"/>
      <w:pPr>
        <w:tabs>
          <w:tab w:val="num" w:pos="2880"/>
        </w:tabs>
        <w:ind w:left="2736" w:hanging="936"/>
      </w:pPr>
      <w:rPr>
        <w:rFonts w:ascii="Times New Roman" w:eastAsiaTheme="minorHAnsi" w:hAnsi="Times New Roman" w:cs="David"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325401993">
    <w:abstractNumId w:val="9"/>
  </w:num>
  <w:num w:numId="2" w16cid:durableId="1040981560">
    <w:abstractNumId w:val="3"/>
  </w:num>
  <w:num w:numId="3" w16cid:durableId="167521370">
    <w:abstractNumId w:val="0"/>
  </w:num>
  <w:num w:numId="4" w16cid:durableId="3435796">
    <w:abstractNumId w:val="5"/>
  </w:num>
  <w:num w:numId="5" w16cid:durableId="1991975654">
    <w:abstractNumId w:val="4"/>
  </w:num>
  <w:num w:numId="6" w16cid:durableId="997615820">
    <w:abstractNumId w:val="2"/>
  </w:num>
  <w:num w:numId="7" w16cid:durableId="714475385">
    <w:abstractNumId w:val="1"/>
  </w:num>
  <w:num w:numId="8" w16cid:durableId="2025790249">
    <w:abstractNumId w:val="6"/>
  </w:num>
  <w:num w:numId="9" w16cid:durableId="171575530">
    <w:abstractNumId w:val="8"/>
  </w:num>
  <w:num w:numId="10" w16cid:durableId="1292978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E7E"/>
    <w:rsid w:val="00002824"/>
    <w:rsid w:val="00003892"/>
    <w:rsid w:val="000039FB"/>
    <w:rsid w:val="00003F2C"/>
    <w:rsid w:val="00005BCA"/>
    <w:rsid w:val="000109A9"/>
    <w:rsid w:val="00010DE2"/>
    <w:rsid w:val="00011A07"/>
    <w:rsid w:val="00011D9B"/>
    <w:rsid w:val="00011F65"/>
    <w:rsid w:val="000128CC"/>
    <w:rsid w:val="00014FB5"/>
    <w:rsid w:val="0001686F"/>
    <w:rsid w:val="00017253"/>
    <w:rsid w:val="0001725C"/>
    <w:rsid w:val="00024EEF"/>
    <w:rsid w:val="00031F97"/>
    <w:rsid w:val="000325F3"/>
    <w:rsid w:val="0003416E"/>
    <w:rsid w:val="00035922"/>
    <w:rsid w:val="00036DF0"/>
    <w:rsid w:val="00040198"/>
    <w:rsid w:val="00041251"/>
    <w:rsid w:val="0004535F"/>
    <w:rsid w:val="000454CD"/>
    <w:rsid w:val="00045C1C"/>
    <w:rsid w:val="000479CD"/>
    <w:rsid w:val="00050311"/>
    <w:rsid w:val="000527C0"/>
    <w:rsid w:val="00052F80"/>
    <w:rsid w:val="0005502C"/>
    <w:rsid w:val="000565E6"/>
    <w:rsid w:val="00060936"/>
    <w:rsid w:val="00061704"/>
    <w:rsid w:val="000635F9"/>
    <w:rsid w:val="000663FF"/>
    <w:rsid w:val="000666E1"/>
    <w:rsid w:val="00066D97"/>
    <w:rsid w:val="00070C78"/>
    <w:rsid w:val="000711A1"/>
    <w:rsid w:val="0007140B"/>
    <w:rsid w:val="000752F2"/>
    <w:rsid w:val="00075333"/>
    <w:rsid w:val="00076496"/>
    <w:rsid w:val="000768BD"/>
    <w:rsid w:val="000801AE"/>
    <w:rsid w:val="000805B2"/>
    <w:rsid w:val="0008281B"/>
    <w:rsid w:val="000842D0"/>
    <w:rsid w:val="00090589"/>
    <w:rsid w:val="00091358"/>
    <w:rsid w:val="0009478E"/>
    <w:rsid w:val="00094DE9"/>
    <w:rsid w:val="000964F8"/>
    <w:rsid w:val="00096A85"/>
    <w:rsid w:val="000A0BB1"/>
    <w:rsid w:val="000A1217"/>
    <w:rsid w:val="000A1291"/>
    <w:rsid w:val="000A129C"/>
    <w:rsid w:val="000A299A"/>
    <w:rsid w:val="000A378E"/>
    <w:rsid w:val="000A38B3"/>
    <w:rsid w:val="000A4A3E"/>
    <w:rsid w:val="000A52B7"/>
    <w:rsid w:val="000B084D"/>
    <w:rsid w:val="000B0E14"/>
    <w:rsid w:val="000B3CDC"/>
    <w:rsid w:val="000B6260"/>
    <w:rsid w:val="000B6548"/>
    <w:rsid w:val="000C2440"/>
    <w:rsid w:val="000C2454"/>
    <w:rsid w:val="000C581D"/>
    <w:rsid w:val="000C6C72"/>
    <w:rsid w:val="000C6D43"/>
    <w:rsid w:val="000C7676"/>
    <w:rsid w:val="000C77AF"/>
    <w:rsid w:val="000D047E"/>
    <w:rsid w:val="000D0D17"/>
    <w:rsid w:val="000D1C92"/>
    <w:rsid w:val="000D205A"/>
    <w:rsid w:val="000D215D"/>
    <w:rsid w:val="000D2237"/>
    <w:rsid w:val="000D488E"/>
    <w:rsid w:val="000D5B03"/>
    <w:rsid w:val="000D5B0A"/>
    <w:rsid w:val="000D737B"/>
    <w:rsid w:val="000D7EDD"/>
    <w:rsid w:val="000E363B"/>
    <w:rsid w:val="000E375B"/>
    <w:rsid w:val="000E4B14"/>
    <w:rsid w:val="000E4E44"/>
    <w:rsid w:val="000E72DF"/>
    <w:rsid w:val="000F3893"/>
    <w:rsid w:val="000F39C2"/>
    <w:rsid w:val="000F470D"/>
    <w:rsid w:val="000F47D6"/>
    <w:rsid w:val="000F707D"/>
    <w:rsid w:val="000F7548"/>
    <w:rsid w:val="000F7A09"/>
    <w:rsid w:val="000F7CC9"/>
    <w:rsid w:val="00100D78"/>
    <w:rsid w:val="00101624"/>
    <w:rsid w:val="00106F24"/>
    <w:rsid w:val="001074E4"/>
    <w:rsid w:val="0011016C"/>
    <w:rsid w:val="00113654"/>
    <w:rsid w:val="001141B5"/>
    <w:rsid w:val="001172FB"/>
    <w:rsid w:val="0012403F"/>
    <w:rsid w:val="0012761C"/>
    <w:rsid w:val="00127FA0"/>
    <w:rsid w:val="00130D1D"/>
    <w:rsid w:val="0013176A"/>
    <w:rsid w:val="001337A3"/>
    <w:rsid w:val="00133D0F"/>
    <w:rsid w:val="00134E4F"/>
    <w:rsid w:val="0014113A"/>
    <w:rsid w:val="00141812"/>
    <w:rsid w:val="00141A25"/>
    <w:rsid w:val="00141C2F"/>
    <w:rsid w:val="00142233"/>
    <w:rsid w:val="00142318"/>
    <w:rsid w:val="0014641D"/>
    <w:rsid w:val="0014783E"/>
    <w:rsid w:val="00150000"/>
    <w:rsid w:val="0015078A"/>
    <w:rsid w:val="00150C37"/>
    <w:rsid w:val="00152174"/>
    <w:rsid w:val="001521C1"/>
    <w:rsid w:val="00152651"/>
    <w:rsid w:val="00152C04"/>
    <w:rsid w:val="00153446"/>
    <w:rsid w:val="00154319"/>
    <w:rsid w:val="00155496"/>
    <w:rsid w:val="0016062C"/>
    <w:rsid w:val="00160906"/>
    <w:rsid w:val="001631F7"/>
    <w:rsid w:val="001656A9"/>
    <w:rsid w:val="0017160F"/>
    <w:rsid w:val="00171BDC"/>
    <w:rsid w:val="00174904"/>
    <w:rsid w:val="00174BBC"/>
    <w:rsid w:val="001763AE"/>
    <w:rsid w:val="0017722E"/>
    <w:rsid w:val="00177A8B"/>
    <w:rsid w:val="00180B60"/>
    <w:rsid w:val="00193D79"/>
    <w:rsid w:val="001957D3"/>
    <w:rsid w:val="00197A8F"/>
    <w:rsid w:val="001A1360"/>
    <w:rsid w:val="001A1758"/>
    <w:rsid w:val="001A2AE7"/>
    <w:rsid w:val="001A4BA9"/>
    <w:rsid w:val="001A683F"/>
    <w:rsid w:val="001B0DEF"/>
    <w:rsid w:val="001B2572"/>
    <w:rsid w:val="001B3201"/>
    <w:rsid w:val="001B3ABB"/>
    <w:rsid w:val="001C2C53"/>
    <w:rsid w:val="001C2D29"/>
    <w:rsid w:val="001C45A1"/>
    <w:rsid w:val="001C4823"/>
    <w:rsid w:val="001C7DBD"/>
    <w:rsid w:val="001D1F43"/>
    <w:rsid w:val="001D5C0B"/>
    <w:rsid w:val="001D6BDA"/>
    <w:rsid w:val="001D74C4"/>
    <w:rsid w:val="001D74FD"/>
    <w:rsid w:val="001E3950"/>
    <w:rsid w:val="001E3974"/>
    <w:rsid w:val="001E6088"/>
    <w:rsid w:val="001F0494"/>
    <w:rsid w:val="001F05DF"/>
    <w:rsid w:val="001F2AD8"/>
    <w:rsid w:val="001F334C"/>
    <w:rsid w:val="001F5D5E"/>
    <w:rsid w:val="001F6349"/>
    <w:rsid w:val="001F6395"/>
    <w:rsid w:val="001F6CFB"/>
    <w:rsid w:val="00200237"/>
    <w:rsid w:val="0020308A"/>
    <w:rsid w:val="00203187"/>
    <w:rsid w:val="00206416"/>
    <w:rsid w:val="00206C32"/>
    <w:rsid w:val="002123C6"/>
    <w:rsid w:val="00214371"/>
    <w:rsid w:val="00216223"/>
    <w:rsid w:val="00216AE9"/>
    <w:rsid w:val="002173AE"/>
    <w:rsid w:val="0022001D"/>
    <w:rsid w:val="00222AC8"/>
    <w:rsid w:val="002237FB"/>
    <w:rsid w:val="00224407"/>
    <w:rsid w:val="002245DD"/>
    <w:rsid w:val="00224A6F"/>
    <w:rsid w:val="00224B4B"/>
    <w:rsid w:val="00224D69"/>
    <w:rsid w:val="00225175"/>
    <w:rsid w:val="00230DB3"/>
    <w:rsid w:val="0023103F"/>
    <w:rsid w:val="0023411D"/>
    <w:rsid w:val="00234A05"/>
    <w:rsid w:val="0023602C"/>
    <w:rsid w:val="0023746A"/>
    <w:rsid w:val="00241D16"/>
    <w:rsid w:val="00242388"/>
    <w:rsid w:val="0024288E"/>
    <w:rsid w:val="00243D4E"/>
    <w:rsid w:val="0024611D"/>
    <w:rsid w:val="00246265"/>
    <w:rsid w:val="002500B3"/>
    <w:rsid w:val="00250185"/>
    <w:rsid w:val="00251B1E"/>
    <w:rsid w:val="00253A71"/>
    <w:rsid w:val="00255FA3"/>
    <w:rsid w:val="00257D82"/>
    <w:rsid w:val="00263C2E"/>
    <w:rsid w:val="002658CA"/>
    <w:rsid w:val="0026640C"/>
    <w:rsid w:val="002707A2"/>
    <w:rsid w:val="00270BCA"/>
    <w:rsid w:val="00272B34"/>
    <w:rsid w:val="00272C2A"/>
    <w:rsid w:val="00272E70"/>
    <w:rsid w:val="002734E1"/>
    <w:rsid w:val="0028047E"/>
    <w:rsid w:val="00282942"/>
    <w:rsid w:val="002837FB"/>
    <w:rsid w:val="00284A80"/>
    <w:rsid w:val="00286D48"/>
    <w:rsid w:val="002875B9"/>
    <w:rsid w:val="002900A8"/>
    <w:rsid w:val="00291067"/>
    <w:rsid w:val="00291B5B"/>
    <w:rsid w:val="002936F1"/>
    <w:rsid w:val="00293D51"/>
    <w:rsid w:val="002950C3"/>
    <w:rsid w:val="00297D7C"/>
    <w:rsid w:val="002A0EFB"/>
    <w:rsid w:val="002A5C82"/>
    <w:rsid w:val="002B0A7B"/>
    <w:rsid w:val="002B3567"/>
    <w:rsid w:val="002B4052"/>
    <w:rsid w:val="002B4962"/>
    <w:rsid w:val="002B4D40"/>
    <w:rsid w:val="002B6734"/>
    <w:rsid w:val="002B7B4D"/>
    <w:rsid w:val="002C0E72"/>
    <w:rsid w:val="002C0F55"/>
    <w:rsid w:val="002C15C6"/>
    <w:rsid w:val="002C16B1"/>
    <w:rsid w:val="002C1B8D"/>
    <w:rsid w:val="002C4371"/>
    <w:rsid w:val="002C4977"/>
    <w:rsid w:val="002C5A5E"/>
    <w:rsid w:val="002C64FE"/>
    <w:rsid w:val="002C68E9"/>
    <w:rsid w:val="002C6DAF"/>
    <w:rsid w:val="002C77A0"/>
    <w:rsid w:val="002C7F84"/>
    <w:rsid w:val="002D001A"/>
    <w:rsid w:val="002D02A0"/>
    <w:rsid w:val="002D08DD"/>
    <w:rsid w:val="002D5D20"/>
    <w:rsid w:val="002D62AB"/>
    <w:rsid w:val="002E07DE"/>
    <w:rsid w:val="002E1871"/>
    <w:rsid w:val="002E1BE5"/>
    <w:rsid w:val="002E20B2"/>
    <w:rsid w:val="002E224F"/>
    <w:rsid w:val="002E24DB"/>
    <w:rsid w:val="002E2B30"/>
    <w:rsid w:val="002E3713"/>
    <w:rsid w:val="002E3CE5"/>
    <w:rsid w:val="002E4885"/>
    <w:rsid w:val="002E6989"/>
    <w:rsid w:val="002E7E29"/>
    <w:rsid w:val="002F039F"/>
    <w:rsid w:val="002F0EF9"/>
    <w:rsid w:val="002F1A7B"/>
    <w:rsid w:val="002F2498"/>
    <w:rsid w:val="002F7CAC"/>
    <w:rsid w:val="00302394"/>
    <w:rsid w:val="003026B3"/>
    <w:rsid w:val="00303FB1"/>
    <w:rsid w:val="00305B82"/>
    <w:rsid w:val="0030701A"/>
    <w:rsid w:val="00312657"/>
    <w:rsid w:val="00312C08"/>
    <w:rsid w:val="003136AE"/>
    <w:rsid w:val="003160CB"/>
    <w:rsid w:val="003161A6"/>
    <w:rsid w:val="0032095F"/>
    <w:rsid w:val="00321094"/>
    <w:rsid w:val="00322AE6"/>
    <w:rsid w:val="00322AEF"/>
    <w:rsid w:val="003240A4"/>
    <w:rsid w:val="003241E8"/>
    <w:rsid w:val="00324549"/>
    <w:rsid w:val="0032528B"/>
    <w:rsid w:val="0032559D"/>
    <w:rsid w:val="00326179"/>
    <w:rsid w:val="0032688A"/>
    <w:rsid w:val="00330A8D"/>
    <w:rsid w:val="00332E7E"/>
    <w:rsid w:val="00333054"/>
    <w:rsid w:val="0033376A"/>
    <w:rsid w:val="00335696"/>
    <w:rsid w:val="003370D4"/>
    <w:rsid w:val="003371B1"/>
    <w:rsid w:val="00341260"/>
    <w:rsid w:val="00341411"/>
    <w:rsid w:val="00346956"/>
    <w:rsid w:val="0035106D"/>
    <w:rsid w:val="00351CE1"/>
    <w:rsid w:val="0035295B"/>
    <w:rsid w:val="003530AE"/>
    <w:rsid w:val="003571F8"/>
    <w:rsid w:val="00357C69"/>
    <w:rsid w:val="00360792"/>
    <w:rsid w:val="003610D0"/>
    <w:rsid w:val="0036150B"/>
    <w:rsid w:val="00361B7B"/>
    <w:rsid w:val="00364E5D"/>
    <w:rsid w:val="00365F10"/>
    <w:rsid w:val="003669C2"/>
    <w:rsid w:val="003722E5"/>
    <w:rsid w:val="0037374E"/>
    <w:rsid w:val="003761EE"/>
    <w:rsid w:val="00377E84"/>
    <w:rsid w:val="0038096E"/>
    <w:rsid w:val="00381364"/>
    <w:rsid w:val="003823F7"/>
    <w:rsid w:val="00382A6F"/>
    <w:rsid w:val="00384AF6"/>
    <w:rsid w:val="00385FB7"/>
    <w:rsid w:val="003863F6"/>
    <w:rsid w:val="0038762C"/>
    <w:rsid w:val="00387E74"/>
    <w:rsid w:val="00393AE1"/>
    <w:rsid w:val="00393CB2"/>
    <w:rsid w:val="00393FC8"/>
    <w:rsid w:val="00394197"/>
    <w:rsid w:val="00394E5C"/>
    <w:rsid w:val="00394F1D"/>
    <w:rsid w:val="003952F6"/>
    <w:rsid w:val="0039534C"/>
    <w:rsid w:val="003A03F1"/>
    <w:rsid w:val="003A395C"/>
    <w:rsid w:val="003A3AA7"/>
    <w:rsid w:val="003A40E2"/>
    <w:rsid w:val="003A4AA8"/>
    <w:rsid w:val="003A5FBA"/>
    <w:rsid w:val="003A60DE"/>
    <w:rsid w:val="003B1D68"/>
    <w:rsid w:val="003B2977"/>
    <w:rsid w:val="003B4288"/>
    <w:rsid w:val="003B428E"/>
    <w:rsid w:val="003B7D79"/>
    <w:rsid w:val="003C17E5"/>
    <w:rsid w:val="003C1DAE"/>
    <w:rsid w:val="003C39F3"/>
    <w:rsid w:val="003C435B"/>
    <w:rsid w:val="003C5602"/>
    <w:rsid w:val="003C6578"/>
    <w:rsid w:val="003C7DD4"/>
    <w:rsid w:val="003D1155"/>
    <w:rsid w:val="003D15CD"/>
    <w:rsid w:val="003D2C47"/>
    <w:rsid w:val="003D300F"/>
    <w:rsid w:val="003D4371"/>
    <w:rsid w:val="003D4744"/>
    <w:rsid w:val="003D4912"/>
    <w:rsid w:val="003D640C"/>
    <w:rsid w:val="003D7266"/>
    <w:rsid w:val="003D7465"/>
    <w:rsid w:val="003E403A"/>
    <w:rsid w:val="003E6442"/>
    <w:rsid w:val="003F206E"/>
    <w:rsid w:val="003F2EE9"/>
    <w:rsid w:val="003F4C2F"/>
    <w:rsid w:val="003F7B39"/>
    <w:rsid w:val="00401901"/>
    <w:rsid w:val="00403388"/>
    <w:rsid w:val="004059F5"/>
    <w:rsid w:val="00406018"/>
    <w:rsid w:val="004068C3"/>
    <w:rsid w:val="00407744"/>
    <w:rsid w:val="004103A6"/>
    <w:rsid w:val="0041246F"/>
    <w:rsid w:val="0041255A"/>
    <w:rsid w:val="00414B83"/>
    <w:rsid w:val="00414D91"/>
    <w:rsid w:val="00414F43"/>
    <w:rsid w:val="00417C2B"/>
    <w:rsid w:val="00417D29"/>
    <w:rsid w:val="0042024C"/>
    <w:rsid w:val="0042067D"/>
    <w:rsid w:val="00420892"/>
    <w:rsid w:val="0042111E"/>
    <w:rsid w:val="004211D1"/>
    <w:rsid w:val="004217BF"/>
    <w:rsid w:val="00421C0D"/>
    <w:rsid w:val="00422917"/>
    <w:rsid w:val="00422B2F"/>
    <w:rsid w:val="00425526"/>
    <w:rsid w:val="00426320"/>
    <w:rsid w:val="0043082E"/>
    <w:rsid w:val="00431B45"/>
    <w:rsid w:val="004327DB"/>
    <w:rsid w:val="004334D5"/>
    <w:rsid w:val="00433BF2"/>
    <w:rsid w:val="0043406F"/>
    <w:rsid w:val="00434B6D"/>
    <w:rsid w:val="00435439"/>
    <w:rsid w:val="004357C9"/>
    <w:rsid w:val="00435D45"/>
    <w:rsid w:val="00436E19"/>
    <w:rsid w:val="00436F89"/>
    <w:rsid w:val="004373E1"/>
    <w:rsid w:val="00437572"/>
    <w:rsid w:val="00437D60"/>
    <w:rsid w:val="004414C5"/>
    <w:rsid w:val="00441F9A"/>
    <w:rsid w:val="004431CE"/>
    <w:rsid w:val="00443AB4"/>
    <w:rsid w:val="004475C4"/>
    <w:rsid w:val="0045070E"/>
    <w:rsid w:val="00450D4E"/>
    <w:rsid w:val="00452560"/>
    <w:rsid w:val="0045268F"/>
    <w:rsid w:val="00454CB9"/>
    <w:rsid w:val="00455548"/>
    <w:rsid w:val="00455ECC"/>
    <w:rsid w:val="00457C2E"/>
    <w:rsid w:val="00461727"/>
    <w:rsid w:val="004619DB"/>
    <w:rsid w:val="00461F1E"/>
    <w:rsid w:val="00462D64"/>
    <w:rsid w:val="00466284"/>
    <w:rsid w:val="00466CEA"/>
    <w:rsid w:val="004673D7"/>
    <w:rsid w:val="00467573"/>
    <w:rsid w:val="004702AC"/>
    <w:rsid w:val="00471706"/>
    <w:rsid w:val="00471AEB"/>
    <w:rsid w:val="00471C1E"/>
    <w:rsid w:val="004739CF"/>
    <w:rsid w:val="00473A5A"/>
    <w:rsid w:val="00473A61"/>
    <w:rsid w:val="00473A86"/>
    <w:rsid w:val="004752A9"/>
    <w:rsid w:val="00477F46"/>
    <w:rsid w:val="00480C4F"/>
    <w:rsid w:val="00480EBF"/>
    <w:rsid w:val="00483B31"/>
    <w:rsid w:val="00484BB7"/>
    <w:rsid w:val="004864D1"/>
    <w:rsid w:val="00486A40"/>
    <w:rsid w:val="00486B6E"/>
    <w:rsid w:val="00487CCF"/>
    <w:rsid w:val="00491358"/>
    <w:rsid w:val="00492774"/>
    <w:rsid w:val="004930B6"/>
    <w:rsid w:val="00495155"/>
    <w:rsid w:val="0049658A"/>
    <w:rsid w:val="00497112"/>
    <w:rsid w:val="004974D4"/>
    <w:rsid w:val="004978A3"/>
    <w:rsid w:val="004A18B3"/>
    <w:rsid w:val="004A4867"/>
    <w:rsid w:val="004A65EB"/>
    <w:rsid w:val="004A75C7"/>
    <w:rsid w:val="004B1D1C"/>
    <w:rsid w:val="004B4279"/>
    <w:rsid w:val="004B63B6"/>
    <w:rsid w:val="004C229A"/>
    <w:rsid w:val="004C3C97"/>
    <w:rsid w:val="004C3D2A"/>
    <w:rsid w:val="004C3FDB"/>
    <w:rsid w:val="004C4915"/>
    <w:rsid w:val="004C4D40"/>
    <w:rsid w:val="004C600D"/>
    <w:rsid w:val="004D081C"/>
    <w:rsid w:val="004D2A0A"/>
    <w:rsid w:val="004D2D03"/>
    <w:rsid w:val="004D43B1"/>
    <w:rsid w:val="004D5BD8"/>
    <w:rsid w:val="004D61C3"/>
    <w:rsid w:val="004E0E7F"/>
    <w:rsid w:val="004E2FD5"/>
    <w:rsid w:val="004E391E"/>
    <w:rsid w:val="004E3E76"/>
    <w:rsid w:val="004E6ED1"/>
    <w:rsid w:val="004E718F"/>
    <w:rsid w:val="004F017D"/>
    <w:rsid w:val="004F1DD8"/>
    <w:rsid w:val="004F2284"/>
    <w:rsid w:val="004F491D"/>
    <w:rsid w:val="004F67B7"/>
    <w:rsid w:val="00500BDE"/>
    <w:rsid w:val="00501424"/>
    <w:rsid w:val="00501C55"/>
    <w:rsid w:val="005044E0"/>
    <w:rsid w:val="00506ED4"/>
    <w:rsid w:val="005122FB"/>
    <w:rsid w:val="00515C61"/>
    <w:rsid w:val="00516169"/>
    <w:rsid w:val="00516555"/>
    <w:rsid w:val="0052076C"/>
    <w:rsid w:val="00520A2C"/>
    <w:rsid w:val="0052164A"/>
    <w:rsid w:val="00522FB4"/>
    <w:rsid w:val="00524587"/>
    <w:rsid w:val="0052634E"/>
    <w:rsid w:val="00527139"/>
    <w:rsid w:val="0053116B"/>
    <w:rsid w:val="00531320"/>
    <w:rsid w:val="00531457"/>
    <w:rsid w:val="00534B21"/>
    <w:rsid w:val="005379D7"/>
    <w:rsid w:val="00540677"/>
    <w:rsid w:val="005411B4"/>
    <w:rsid w:val="00541836"/>
    <w:rsid w:val="0054223A"/>
    <w:rsid w:val="00542771"/>
    <w:rsid w:val="005428B6"/>
    <w:rsid w:val="005434BC"/>
    <w:rsid w:val="00543FAC"/>
    <w:rsid w:val="005445C4"/>
    <w:rsid w:val="0054588D"/>
    <w:rsid w:val="0055165F"/>
    <w:rsid w:val="00553DAA"/>
    <w:rsid w:val="00553F36"/>
    <w:rsid w:val="005562F5"/>
    <w:rsid w:val="005617A3"/>
    <w:rsid w:val="0056472F"/>
    <w:rsid w:val="00564C81"/>
    <w:rsid w:val="005658D6"/>
    <w:rsid w:val="00565C8A"/>
    <w:rsid w:val="00566A8D"/>
    <w:rsid w:val="00566FE6"/>
    <w:rsid w:val="0057123D"/>
    <w:rsid w:val="0057217A"/>
    <w:rsid w:val="00584042"/>
    <w:rsid w:val="005843DA"/>
    <w:rsid w:val="00584CBB"/>
    <w:rsid w:val="00590F03"/>
    <w:rsid w:val="005916D6"/>
    <w:rsid w:val="005940BE"/>
    <w:rsid w:val="0059450F"/>
    <w:rsid w:val="0059703C"/>
    <w:rsid w:val="005A1A09"/>
    <w:rsid w:val="005A5ACA"/>
    <w:rsid w:val="005A6952"/>
    <w:rsid w:val="005A6AD7"/>
    <w:rsid w:val="005B20CB"/>
    <w:rsid w:val="005B36C1"/>
    <w:rsid w:val="005B5C29"/>
    <w:rsid w:val="005B6346"/>
    <w:rsid w:val="005B6D30"/>
    <w:rsid w:val="005B74FA"/>
    <w:rsid w:val="005B79E5"/>
    <w:rsid w:val="005B7BB8"/>
    <w:rsid w:val="005C2356"/>
    <w:rsid w:val="005C4630"/>
    <w:rsid w:val="005C590B"/>
    <w:rsid w:val="005D2FF9"/>
    <w:rsid w:val="005D3B83"/>
    <w:rsid w:val="005D4F2B"/>
    <w:rsid w:val="005D5090"/>
    <w:rsid w:val="005E20BC"/>
    <w:rsid w:val="005E582D"/>
    <w:rsid w:val="005E5A78"/>
    <w:rsid w:val="005E7471"/>
    <w:rsid w:val="005E798C"/>
    <w:rsid w:val="005F08A3"/>
    <w:rsid w:val="005F08D3"/>
    <w:rsid w:val="005F2ACE"/>
    <w:rsid w:val="005F2BCE"/>
    <w:rsid w:val="0060139F"/>
    <w:rsid w:val="00601557"/>
    <w:rsid w:val="006027F1"/>
    <w:rsid w:val="006063F5"/>
    <w:rsid w:val="00606453"/>
    <w:rsid w:val="00613920"/>
    <w:rsid w:val="00616900"/>
    <w:rsid w:val="00616D6D"/>
    <w:rsid w:val="00617E4B"/>
    <w:rsid w:val="00621FAC"/>
    <w:rsid w:val="006225D0"/>
    <w:rsid w:val="00622977"/>
    <w:rsid w:val="0062522E"/>
    <w:rsid w:val="00626A65"/>
    <w:rsid w:val="006302A9"/>
    <w:rsid w:val="00630370"/>
    <w:rsid w:val="00631647"/>
    <w:rsid w:val="006318F6"/>
    <w:rsid w:val="006329CC"/>
    <w:rsid w:val="006333C2"/>
    <w:rsid w:val="006372C3"/>
    <w:rsid w:val="00637328"/>
    <w:rsid w:val="0064125C"/>
    <w:rsid w:val="00641CD7"/>
    <w:rsid w:val="00642357"/>
    <w:rsid w:val="00644591"/>
    <w:rsid w:val="00646140"/>
    <w:rsid w:val="00655691"/>
    <w:rsid w:val="00655780"/>
    <w:rsid w:val="00656853"/>
    <w:rsid w:val="00657F3B"/>
    <w:rsid w:val="006609C9"/>
    <w:rsid w:val="006638DE"/>
    <w:rsid w:val="0066583C"/>
    <w:rsid w:val="00666843"/>
    <w:rsid w:val="00666BD0"/>
    <w:rsid w:val="006676C1"/>
    <w:rsid w:val="00667B2D"/>
    <w:rsid w:val="006706BB"/>
    <w:rsid w:val="00670825"/>
    <w:rsid w:val="006713D4"/>
    <w:rsid w:val="00674B6C"/>
    <w:rsid w:val="006755F4"/>
    <w:rsid w:val="00676AAA"/>
    <w:rsid w:val="006800A0"/>
    <w:rsid w:val="006805F1"/>
    <w:rsid w:val="00682A0B"/>
    <w:rsid w:val="00684AFD"/>
    <w:rsid w:val="00685040"/>
    <w:rsid w:val="00690F26"/>
    <w:rsid w:val="00691DDA"/>
    <w:rsid w:val="00693FDC"/>
    <w:rsid w:val="00694527"/>
    <w:rsid w:val="00695E67"/>
    <w:rsid w:val="006A0305"/>
    <w:rsid w:val="006A08CF"/>
    <w:rsid w:val="006A126D"/>
    <w:rsid w:val="006A1E99"/>
    <w:rsid w:val="006A291A"/>
    <w:rsid w:val="006A3201"/>
    <w:rsid w:val="006A49FB"/>
    <w:rsid w:val="006A6EA8"/>
    <w:rsid w:val="006A73B1"/>
    <w:rsid w:val="006B0CB8"/>
    <w:rsid w:val="006B2635"/>
    <w:rsid w:val="006B53AB"/>
    <w:rsid w:val="006C24C2"/>
    <w:rsid w:val="006C28AB"/>
    <w:rsid w:val="006C4624"/>
    <w:rsid w:val="006C6023"/>
    <w:rsid w:val="006D314C"/>
    <w:rsid w:val="006D4993"/>
    <w:rsid w:val="006D7066"/>
    <w:rsid w:val="006D717A"/>
    <w:rsid w:val="006E09BE"/>
    <w:rsid w:val="006E52E8"/>
    <w:rsid w:val="006E5BA4"/>
    <w:rsid w:val="006E71B5"/>
    <w:rsid w:val="006E75BD"/>
    <w:rsid w:val="006F0E08"/>
    <w:rsid w:val="006F1599"/>
    <w:rsid w:val="006F1FC3"/>
    <w:rsid w:val="006F2CF4"/>
    <w:rsid w:val="006F3792"/>
    <w:rsid w:val="006F48E4"/>
    <w:rsid w:val="006F4C28"/>
    <w:rsid w:val="006F600C"/>
    <w:rsid w:val="006F791B"/>
    <w:rsid w:val="00701E34"/>
    <w:rsid w:val="00702214"/>
    <w:rsid w:val="007030EB"/>
    <w:rsid w:val="00704503"/>
    <w:rsid w:val="00704831"/>
    <w:rsid w:val="0070522C"/>
    <w:rsid w:val="00710836"/>
    <w:rsid w:val="00713D69"/>
    <w:rsid w:val="00714754"/>
    <w:rsid w:val="00714EF4"/>
    <w:rsid w:val="00720294"/>
    <w:rsid w:val="00720353"/>
    <w:rsid w:val="007224CE"/>
    <w:rsid w:val="00722914"/>
    <w:rsid w:val="00724336"/>
    <w:rsid w:val="00725922"/>
    <w:rsid w:val="0073201C"/>
    <w:rsid w:val="007334F4"/>
    <w:rsid w:val="00742C84"/>
    <w:rsid w:val="007433DD"/>
    <w:rsid w:val="00744F91"/>
    <w:rsid w:val="007450B7"/>
    <w:rsid w:val="00751367"/>
    <w:rsid w:val="007518D9"/>
    <w:rsid w:val="007543B1"/>
    <w:rsid w:val="00754420"/>
    <w:rsid w:val="0075499E"/>
    <w:rsid w:val="00760724"/>
    <w:rsid w:val="00760775"/>
    <w:rsid w:val="00760EB4"/>
    <w:rsid w:val="0076165A"/>
    <w:rsid w:val="0076258B"/>
    <w:rsid w:val="00762D5D"/>
    <w:rsid w:val="0076364E"/>
    <w:rsid w:val="0076392A"/>
    <w:rsid w:val="007640DB"/>
    <w:rsid w:val="00766788"/>
    <w:rsid w:val="0076747B"/>
    <w:rsid w:val="0076771B"/>
    <w:rsid w:val="00770205"/>
    <w:rsid w:val="0077187A"/>
    <w:rsid w:val="00771E05"/>
    <w:rsid w:val="00772B5E"/>
    <w:rsid w:val="007750DB"/>
    <w:rsid w:val="00776440"/>
    <w:rsid w:val="00777CE4"/>
    <w:rsid w:val="0078079F"/>
    <w:rsid w:val="007825DC"/>
    <w:rsid w:val="007832A9"/>
    <w:rsid w:val="00784405"/>
    <w:rsid w:val="00785198"/>
    <w:rsid w:val="00785D31"/>
    <w:rsid w:val="007869D1"/>
    <w:rsid w:val="007912B8"/>
    <w:rsid w:val="007913F0"/>
    <w:rsid w:val="00792397"/>
    <w:rsid w:val="00792D94"/>
    <w:rsid w:val="00793FEE"/>
    <w:rsid w:val="007942A2"/>
    <w:rsid w:val="00794BE1"/>
    <w:rsid w:val="0079562C"/>
    <w:rsid w:val="00797A64"/>
    <w:rsid w:val="007A00C2"/>
    <w:rsid w:val="007A24CE"/>
    <w:rsid w:val="007A32C1"/>
    <w:rsid w:val="007A511A"/>
    <w:rsid w:val="007B082C"/>
    <w:rsid w:val="007B093F"/>
    <w:rsid w:val="007B0B1F"/>
    <w:rsid w:val="007B0E8A"/>
    <w:rsid w:val="007B1D46"/>
    <w:rsid w:val="007B39DB"/>
    <w:rsid w:val="007B50CF"/>
    <w:rsid w:val="007B5DB6"/>
    <w:rsid w:val="007B7645"/>
    <w:rsid w:val="007B7839"/>
    <w:rsid w:val="007C086D"/>
    <w:rsid w:val="007C2816"/>
    <w:rsid w:val="007C4D20"/>
    <w:rsid w:val="007C5466"/>
    <w:rsid w:val="007C7E07"/>
    <w:rsid w:val="007D1592"/>
    <w:rsid w:val="007D2C26"/>
    <w:rsid w:val="007D6A75"/>
    <w:rsid w:val="007D725A"/>
    <w:rsid w:val="007D7F06"/>
    <w:rsid w:val="007D7F74"/>
    <w:rsid w:val="007E31B8"/>
    <w:rsid w:val="007E44D6"/>
    <w:rsid w:val="007E4B3E"/>
    <w:rsid w:val="007E7FA9"/>
    <w:rsid w:val="007F29E7"/>
    <w:rsid w:val="007F3AF8"/>
    <w:rsid w:val="007F6A58"/>
    <w:rsid w:val="007F795C"/>
    <w:rsid w:val="007F7F79"/>
    <w:rsid w:val="00801FC2"/>
    <w:rsid w:val="008021E2"/>
    <w:rsid w:val="00802C81"/>
    <w:rsid w:val="0080508F"/>
    <w:rsid w:val="00805F1F"/>
    <w:rsid w:val="00810FAD"/>
    <w:rsid w:val="00816C7C"/>
    <w:rsid w:val="008178C2"/>
    <w:rsid w:val="00817D21"/>
    <w:rsid w:val="00817FA8"/>
    <w:rsid w:val="00820300"/>
    <w:rsid w:val="00820586"/>
    <w:rsid w:val="00820843"/>
    <w:rsid w:val="00820D33"/>
    <w:rsid w:val="008210F5"/>
    <w:rsid w:val="00822234"/>
    <w:rsid w:val="0082472B"/>
    <w:rsid w:val="008254F4"/>
    <w:rsid w:val="00825F77"/>
    <w:rsid w:val="00827F73"/>
    <w:rsid w:val="00830838"/>
    <w:rsid w:val="008314E4"/>
    <w:rsid w:val="00832CAD"/>
    <w:rsid w:val="0083320A"/>
    <w:rsid w:val="008337DF"/>
    <w:rsid w:val="00833DB4"/>
    <w:rsid w:val="008372BA"/>
    <w:rsid w:val="00837A5B"/>
    <w:rsid w:val="008414B4"/>
    <w:rsid w:val="00842409"/>
    <w:rsid w:val="008425B8"/>
    <w:rsid w:val="00842F4B"/>
    <w:rsid w:val="008456E0"/>
    <w:rsid w:val="00847233"/>
    <w:rsid w:val="0085002C"/>
    <w:rsid w:val="008502F3"/>
    <w:rsid w:val="00854133"/>
    <w:rsid w:val="00854612"/>
    <w:rsid w:val="0085749F"/>
    <w:rsid w:val="00860342"/>
    <w:rsid w:val="00860CEE"/>
    <w:rsid w:val="00860F7A"/>
    <w:rsid w:val="00863A2D"/>
    <w:rsid w:val="00863D80"/>
    <w:rsid w:val="00870927"/>
    <w:rsid w:val="00870DC1"/>
    <w:rsid w:val="00872B7C"/>
    <w:rsid w:val="00873D36"/>
    <w:rsid w:val="00875471"/>
    <w:rsid w:val="00882D55"/>
    <w:rsid w:val="00891369"/>
    <w:rsid w:val="00891CFB"/>
    <w:rsid w:val="008926EE"/>
    <w:rsid w:val="00892FCC"/>
    <w:rsid w:val="00893FC3"/>
    <w:rsid w:val="00894305"/>
    <w:rsid w:val="008A10A5"/>
    <w:rsid w:val="008A43B0"/>
    <w:rsid w:val="008A43BF"/>
    <w:rsid w:val="008A4AB4"/>
    <w:rsid w:val="008A53CE"/>
    <w:rsid w:val="008A5CC3"/>
    <w:rsid w:val="008A73E5"/>
    <w:rsid w:val="008A794D"/>
    <w:rsid w:val="008B1833"/>
    <w:rsid w:val="008B1C45"/>
    <w:rsid w:val="008B1C70"/>
    <w:rsid w:val="008B3FE4"/>
    <w:rsid w:val="008B42C4"/>
    <w:rsid w:val="008B4A34"/>
    <w:rsid w:val="008B582A"/>
    <w:rsid w:val="008B60FD"/>
    <w:rsid w:val="008B6F47"/>
    <w:rsid w:val="008B7B2D"/>
    <w:rsid w:val="008C27A6"/>
    <w:rsid w:val="008C6A69"/>
    <w:rsid w:val="008D0A60"/>
    <w:rsid w:val="008D577E"/>
    <w:rsid w:val="008D6E46"/>
    <w:rsid w:val="008D781E"/>
    <w:rsid w:val="008E2E9B"/>
    <w:rsid w:val="008E4A0E"/>
    <w:rsid w:val="008E5D3A"/>
    <w:rsid w:val="008E6083"/>
    <w:rsid w:val="008E7CC5"/>
    <w:rsid w:val="008F3239"/>
    <w:rsid w:val="008F3328"/>
    <w:rsid w:val="008F7F3D"/>
    <w:rsid w:val="00901506"/>
    <w:rsid w:val="0090173A"/>
    <w:rsid w:val="00904CD2"/>
    <w:rsid w:val="009056BB"/>
    <w:rsid w:val="00905AD7"/>
    <w:rsid w:val="00907611"/>
    <w:rsid w:val="009111F6"/>
    <w:rsid w:val="00912C9A"/>
    <w:rsid w:val="009141B2"/>
    <w:rsid w:val="00914C4F"/>
    <w:rsid w:val="009159F0"/>
    <w:rsid w:val="00915F57"/>
    <w:rsid w:val="009164B8"/>
    <w:rsid w:val="0092102D"/>
    <w:rsid w:val="00925838"/>
    <w:rsid w:val="00926782"/>
    <w:rsid w:val="00927BBA"/>
    <w:rsid w:val="0093081C"/>
    <w:rsid w:val="00931097"/>
    <w:rsid w:val="00931590"/>
    <w:rsid w:val="00931EB7"/>
    <w:rsid w:val="009337DF"/>
    <w:rsid w:val="009349E9"/>
    <w:rsid w:val="00937442"/>
    <w:rsid w:val="009409EB"/>
    <w:rsid w:val="00943C9B"/>
    <w:rsid w:val="00946906"/>
    <w:rsid w:val="00947D9B"/>
    <w:rsid w:val="0095434C"/>
    <w:rsid w:val="00957114"/>
    <w:rsid w:val="009608C0"/>
    <w:rsid w:val="009621E3"/>
    <w:rsid w:val="0096263D"/>
    <w:rsid w:val="00963A33"/>
    <w:rsid w:val="0096556C"/>
    <w:rsid w:val="0096632C"/>
    <w:rsid w:val="009718A6"/>
    <w:rsid w:val="00973470"/>
    <w:rsid w:val="00973558"/>
    <w:rsid w:val="009735E8"/>
    <w:rsid w:val="00973EE5"/>
    <w:rsid w:val="009744AB"/>
    <w:rsid w:val="009810E7"/>
    <w:rsid w:val="0098190D"/>
    <w:rsid w:val="009828BF"/>
    <w:rsid w:val="00982E24"/>
    <w:rsid w:val="00982F61"/>
    <w:rsid w:val="009839B1"/>
    <w:rsid w:val="00987204"/>
    <w:rsid w:val="009874D5"/>
    <w:rsid w:val="009915DA"/>
    <w:rsid w:val="009930CE"/>
    <w:rsid w:val="009952AD"/>
    <w:rsid w:val="009A30DC"/>
    <w:rsid w:val="009A3BCC"/>
    <w:rsid w:val="009A3FC6"/>
    <w:rsid w:val="009A52A9"/>
    <w:rsid w:val="009A574A"/>
    <w:rsid w:val="009A5EF8"/>
    <w:rsid w:val="009B1942"/>
    <w:rsid w:val="009B22F9"/>
    <w:rsid w:val="009B2E25"/>
    <w:rsid w:val="009B4BC0"/>
    <w:rsid w:val="009B4ECD"/>
    <w:rsid w:val="009B56E2"/>
    <w:rsid w:val="009B63E4"/>
    <w:rsid w:val="009C20FF"/>
    <w:rsid w:val="009C3498"/>
    <w:rsid w:val="009C449B"/>
    <w:rsid w:val="009C757A"/>
    <w:rsid w:val="009D0903"/>
    <w:rsid w:val="009D17D2"/>
    <w:rsid w:val="009D1DDE"/>
    <w:rsid w:val="009D43D2"/>
    <w:rsid w:val="009D4F04"/>
    <w:rsid w:val="009D6758"/>
    <w:rsid w:val="009D7E7E"/>
    <w:rsid w:val="009D7E9D"/>
    <w:rsid w:val="009E0F7E"/>
    <w:rsid w:val="009E1870"/>
    <w:rsid w:val="009E2471"/>
    <w:rsid w:val="009E3F0B"/>
    <w:rsid w:val="009E4F56"/>
    <w:rsid w:val="009E5DF7"/>
    <w:rsid w:val="009E6E07"/>
    <w:rsid w:val="009F1C27"/>
    <w:rsid w:val="009F2B66"/>
    <w:rsid w:val="009F3176"/>
    <w:rsid w:val="009F3CEF"/>
    <w:rsid w:val="009F4999"/>
    <w:rsid w:val="009F5A9B"/>
    <w:rsid w:val="009F5AD0"/>
    <w:rsid w:val="009F5BAC"/>
    <w:rsid w:val="009F69C2"/>
    <w:rsid w:val="009F7A8C"/>
    <w:rsid w:val="00A00229"/>
    <w:rsid w:val="00A00C53"/>
    <w:rsid w:val="00A01B5D"/>
    <w:rsid w:val="00A0228A"/>
    <w:rsid w:val="00A05671"/>
    <w:rsid w:val="00A07458"/>
    <w:rsid w:val="00A076DE"/>
    <w:rsid w:val="00A1178F"/>
    <w:rsid w:val="00A136B8"/>
    <w:rsid w:val="00A147E2"/>
    <w:rsid w:val="00A14BF8"/>
    <w:rsid w:val="00A163E8"/>
    <w:rsid w:val="00A16CFC"/>
    <w:rsid w:val="00A1776E"/>
    <w:rsid w:val="00A21AD6"/>
    <w:rsid w:val="00A24C86"/>
    <w:rsid w:val="00A24F22"/>
    <w:rsid w:val="00A266A5"/>
    <w:rsid w:val="00A3055A"/>
    <w:rsid w:val="00A31140"/>
    <w:rsid w:val="00A3255A"/>
    <w:rsid w:val="00A33089"/>
    <w:rsid w:val="00A337DD"/>
    <w:rsid w:val="00A35B59"/>
    <w:rsid w:val="00A3613D"/>
    <w:rsid w:val="00A3654B"/>
    <w:rsid w:val="00A366D4"/>
    <w:rsid w:val="00A36995"/>
    <w:rsid w:val="00A37264"/>
    <w:rsid w:val="00A411E0"/>
    <w:rsid w:val="00A4298E"/>
    <w:rsid w:val="00A42EC4"/>
    <w:rsid w:val="00A43618"/>
    <w:rsid w:val="00A44954"/>
    <w:rsid w:val="00A50464"/>
    <w:rsid w:val="00A54DE6"/>
    <w:rsid w:val="00A617C4"/>
    <w:rsid w:val="00A63AED"/>
    <w:rsid w:val="00A63BEA"/>
    <w:rsid w:val="00A63FC1"/>
    <w:rsid w:val="00A66451"/>
    <w:rsid w:val="00A73992"/>
    <w:rsid w:val="00A7637D"/>
    <w:rsid w:val="00A76E81"/>
    <w:rsid w:val="00A773DE"/>
    <w:rsid w:val="00A8497C"/>
    <w:rsid w:val="00A852D9"/>
    <w:rsid w:val="00A900BD"/>
    <w:rsid w:val="00A9177B"/>
    <w:rsid w:val="00A92CFA"/>
    <w:rsid w:val="00A94009"/>
    <w:rsid w:val="00A950B8"/>
    <w:rsid w:val="00A953B0"/>
    <w:rsid w:val="00A9607D"/>
    <w:rsid w:val="00A9699B"/>
    <w:rsid w:val="00A9791A"/>
    <w:rsid w:val="00AA1472"/>
    <w:rsid w:val="00AA1575"/>
    <w:rsid w:val="00AA42F1"/>
    <w:rsid w:val="00AA6B86"/>
    <w:rsid w:val="00AB0164"/>
    <w:rsid w:val="00AB09B0"/>
    <w:rsid w:val="00AB0E14"/>
    <w:rsid w:val="00AB0FE4"/>
    <w:rsid w:val="00AB28C5"/>
    <w:rsid w:val="00AB2F90"/>
    <w:rsid w:val="00AB4A25"/>
    <w:rsid w:val="00AB610D"/>
    <w:rsid w:val="00AC02D7"/>
    <w:rsid w:val="00AC0FDD"/>
    <w:rsid w:val="00AC1149"/>
    <w:rsid w:val="00AC268F"/>
    <w:rsid w:val="00AC2A37"/>
    <w:rsid w:val="00AC5BC5"/>
    <w:rsid w:val="00AC751E"/>
    <w:rsid w:val="00AD1673"/>
    <w:rsid w:val="00AD2A44"/>
    <w:rsid w:val="00AD4C75"/>
    <w:rsid w:val="00AD4FA7"/>
    <w:rsid w:val="00AD54B3"/>
    <w:rsid w:val="00AD6D5F"/>
    <w:rsid w:val="00AE02A1"/>
    <w:rsid w:val="00AE1040"/>
    <w:rsid w:val="00AE1AC7"/>
    <w:rsid w:val="00AE334C"/>
    <w:rsid w:val="00AE713F"/>
    <w:rsid w:val="00AE7656"/>
    <w:rsid w:val="00AF130A"/>
    <w:rsid w:val="00AF1F52"/>
    <w:rsid w:val="00AF2143"/>
    <w:rsid w:val="00AF250A"/>
    <w:rsid w:val="00AF29BC"/>
    <w:rsid w:val="00AF40E7"/>
    <w:rsid w:val="00AF4DA3"/>
    <w:rsid w:val="00AF6956"/>
    <w:rsid w:val="00AF6CDF"/>
    <w:rsid w:val="00AF6D64"/>
    <w:rsid w:val="00AF7256"/>
    <w:rsid w:val="00B007E0"/>
    <w:rsid w:val="00B032CF"/>
    <w:rsid w:val="00B03B18"/>
    <w:rsid w:val="00B05618"/>
    <w:rsid w:val="00B05B7A"/>
    <w:rsid w:val="00B11392"/>
    <w:rsid w:val="00B13AA0"/>
    <w:rsid w:val="00B14144"/>
    <w:rsid w:val="00B14857"/>
    <w:rsid w:val="00B16388"/>
    <w:rsid w:val="00B16B73"/>
    <w:rsid w:val="00B17EC8"/>
    <w:rsid w:val="00B17FE1"/>
    <w:rsid w:val="00B219C6"/>
    <w:rsid w:val="00B2254F"/>
    <w:rsid w:val="00B229D5"/>
    <w:rsid w:val="00B24A8C"/>
    <w:rsid w:val="00B25A65"/>
    <w:rsid w:val="00B262F0"/>
    <w:rsid w:val="00B264DD"/>
    <w:rsid w:val="00B26EDF"/>
    <w:rsid w:val="00B27304"/>
    <w:rsid w:val="00B27492"/>
    <w:rsid w:val="00B275FE"/>
    <w:rsid w:val="00B27B50"/>
    <w:rsid w:val="00B3457A"/>
    <w:rsid w:val="00B3575E"/>
    <w:rsid w:val="00B35DA1"/>
    <w:rsid w:val="00B3622C"/>
    <w:rsid w:val="00B40D0C"/>
    <w:rsid w:val="00B425FD"/>
    <w:rsid w:val="00B43B37"/>
    <w:rsid w:val="00B43E14"/>
    <w:rsid w:val="00B4438E"/>
    <w:rsid w:val="00B46A41"/>
    <w:rsid w:val="00B5097D"/>
    <w:rsid w:val="00B50A38"/>
    <w:rsid w:val="00B51480"/>
    <w:rsid w:val="00B521DB"/>
    <w:rsid w:val="00B537F7"/>
    <w:rsid w:val="00B538E3"/>
    <w:rsid w:val="00B53C41"/>
    <w:rsid w:val="00B619C2"/>
    <w:rsid w:val="00B6277C"/>
    <w:rsid w:val="00B633D3"/>
    <w:rsid w:val="00B6370F"/>
    <w:rsid w:val="00B63FA8"/>
    <w:rsid w:val="00B649F4"/>
    <w:rsid w:val="00B65DA2"/>
    <w:rsid w:val="00B65F2B"/>
    <w:rsid w:val="00B66AB7"/>
    <w:rsid w:val="00B66AFC"/>
    <w:rsid w:val="00B66F0B"/>
    <w:rsid w:val="00B67D3D"/>
    <w:rsid w:val="00B67F86"/>
    <w:rsid w:val="00B705F6"/>
    <w:rsid w:val="00B743F7"/>
    <w:rsid w:val="00B74E68"/>
    <w:rsid w:val="00B76AB9"/>
    <w:rsid w:val="00B76DEE"/>
    <w:rsid w:val="00B77063"/>
    <w:rsid w:val="00B80EEF"/>
    <w:rsid w:val="00B81B64"/>
    <w:rsid w:val="00B86AC6"/>
    <w:rsid w:val="00B906B6"/>
    <w:rsid w:val="00B912ED"/>
    <w:rsid w:val="00B979E0"/>
    <w:rsid w:val="00BA2BF5"/>
    <w:rsid w:val="00BA4EBF"/>
    <w:rsid w:val="00BA558B"/>
    <w:rsid w:val="00BA6620"/>
    <w:rsid w:val="00BB058D"/>
    <w:rsid w:val="00BB0D5B"/>
    <w:rsid w:val="00BB0E00"/>
    <w:rsid w:val="00BB6657"/>
    <w:rsid w:val="00BB7A62"/>
    <w:rsid w:val="00BB7C72"/>
    <w:rsid w:val="00BC2497"/>
    <w:rsid w:val="00BD0462"/>
    <w:rsid w:val="00BD04E1"/>
    <w:rsid w:val="00BD0A9A"/>
    <w:rsid w:val="00BD103D"/>
    <w:rsid w:val="00BD5B08"/>
    <w:rsid w:val="00BD69F6"/>
    <w:rsid w:val="00BD6BA8"/>
    <w:rsid w:val="00BE37A0"/>
    <w:rsid w:val="00BE4127"/>
    <w:rsid w:val="00BE51FE"/>
    <w:rsid w:val="00BE64DF"/>
    <w:rsid w:val="00BE6A27"/>
    <w:rsid w:val="00BF23B6"/>
    <w:rsid w:val="00BF2BB8"/>
    <w:rsid w:val="00BF3117"/>
    <w:rsid w:val="00BF3B3A"/>
    <w:rsid w:val="00BF450B"/>
    <w:rsid w:val="00BF63E2"/>
    <w:rsid w:val="00BF6982"/>
    <w:rsid w:val="00BF7B15"/>
    <w:rsid w:val="00C0035C"/>
    <w:rsid w:val="00C02F45"/>
    <w:rsid w:val="00C03537"/>
    <w:rsid w:val="00C03C01"/>
    <w:rsid w:val="00C03FDB"/>
    <w:rsid w:val="00C04A18"/>
    <w:rsid w:val="00C05B59"/>
    <w:rsid w:val="00C06435"/>
    <w:rsid w:val="00C103C9"/>
    <w:rsid w:val="00C1249D"/>
    <w:rsid w:val="00C15DFA"/>
    <w:rsid w:val="00C166DA"/>
    <w:rsid w:val="00C16FC3"/>
    <w:rsid w:val="00C17074"/>
    <w:rsid w:val="00C22C5B"/>
    <w:rsid w:val="00C22F11"/>
    <w:rsid w:val="00C23957"/>
    <w:rsid w:val="00C23B22"/>
    <w:rsid w:val="00C2554D"/>
    <w:rsid w:val="00C26C9D"/>
    <w:rsid w:val="00C274F5"/>
    <w:rsid w:val="00C27B10"/>
    <w:rsid w:val="00C308A0"/>
    <w:rsid w:val="00C3302E"/>
    <w:rsid w:val="00C33506"/>
    <w:rsid w:val="00C345E1"/>
    <w:rsid w:val="00C35205"/>
    <w:rsid w:val="00C36CC7"/>
    <w:rsid w:val="00C4169B"/>
    <w:rsid w:val="00C46E02"/>
    <w:rsid w:val="00C47C87"/>
    <w:rsid w:val="00C5193D"/>
    <w:rsid w:val="00C52EEF"/>
    <w:rsid w:val="00C5570D"/>
    <w:rsid w:val="00C5694C"/>
    <w:rsid w:val="00C5694D"/>
    <w:rsid w:val="00C61F3C"/>
    <w:rsid w:val="00C61F50"/>
    <w:rsid w:val="00C6236D"/>
    <w:rsid w:val="00C62837"/>
    <w:rsid w:val="00C67C9A"/>
    <w:rsid w:val="00C701F9"/>
    <w:rsid w:val="00C726DC"/>
    <w:rsid w:val="00C73ADD"/>
    <w:rsid w:val="00C8012A"/>
    <w:rsid w:val="00C82AB2"/>
    <w:rsid w:val="00C831B6"/>
    <w:rsid w:val="00C85438"/>
    <w:rsid w:val="00C85815"/>
    <w:rsid w:val="00C85B9C"/>
    <w:rsid w:val="00C866E7"/>
    <w:rsid w:val="00C86DE7"/>
    <w:rsid w:val="00C910E4"/>
    <w:rsid w:val="00C945DA"/>
    <w:rsid w:val="00C97118"/>
    <w:rsid w:val="00C97DA2"/>
    <w:rsid w:val="00CA0737"/>
    <w:rsid w:val="00CA1EDB"/>
    <w:rsid w:val="00CA31CC"/>
    <w:rsid w:val="00CA44CE"/>
    <w:rsid w:val="00CA46ED"/>
    <w:rsid w:val="00CA52F1"/>
    <w:rsid w:val="00CA6152"/>
    <w:rsid w:val="00CA772D"/>
    <w:rsid w:val="00CB0075"/>
    <w:rsid w:val="00CB0443"/>
    <w:rsid w:val="00CB063B"/>
    <w:rsid w:val="00CB20D6"/>
    <w:rsid w:val="00CB2C1C"/>
    <w:rsid w:val="00CB300C"/>
    <w:rsid w:val="00CB3662"/>
    <w:rsid w:val="00CB50CB"/>
    <w:rsid w:val="00CB5453"/>
    <w:rsid w:val="00CC0952"/>
    <w:rsid w:val="00CC0AD4"/>
    <w:rsid w:val="00CC12D3"/>
    <w:rsid w:val="00CC1AF9"/>
    <w:rsid w:val="00CC34F5"/>
    <w:rsid w:val="00CC3B7F"/>
    <w:rsid w:val="00CC6121"/>
    <w:rsid w:val="00CC64F6"/>
    <w:rsid w:val="00CC70E9"/>
    <w:rsid w:val="00CC7C70"/>
    <w:rsid w:val="00CC7E20"/>
    <w:rsid w:val="00CD3AFA"/>
    <w:rsid w:val="00CD493B"/>
    <w:rsid w:val="00CD67CA"/>
    <w:rsid w:val="00CD6BA5"/>
    <w:rsid w:val="00CD7750"/>
    <w:rsid w:val="00CE09A6"/>
    <w:rsid w:val="00CE0A2D"/>
    <w:rsid w:val="00CE2454"/>
    <w:rsid w:val="00CE2817"/>
    <w:rsid w:val="00CE3829"/>
    <w:rsid w:val="00CE5675"/>
    <w:rsid w:val="00CE5CDB"/>
    <w:rsid w:val="00CE655A"/>
    <w:rsid w:val="00CE66C5"/>
    <w:rsid w:val="00CF0388"/>
    <w:rsid w:val="00CF03D2"/>
    <w:rsid w:val="00CF1A6B"/>
    <w:rsid w:val="00CF2537"/>
    <w:rsid w:val="00CF2608"/>
    <w:rsid w:val="00CF393D"/>
    <w:rsid w:val="00CF41D8"/>
    <w:rsid w:val="00CF4293"/>
    <w:rsid w:val="00CF5752"/>
    <w:rsid w:val="00CF58F6"/>
    <w:rsid w:val="00CF5BE9"/>
    <w:rsid w:val="00CF6BDE"/>
    <w:rsid w:val="00CF7C8C"/>
    <w:rsid w:val="00D0056A"/>
    <w:rsid w:val="00D024BE"/>
    <w:rsid w:val="00D0389E"/>
    <w:rsid w:val="00D059C3"/>
    <w:rsid w:val="00D05D51"/>
    <w:rsid w:val="00D0682C"/>
    <w:rsid w:val="00D102DF"/>
    <w:rsid w:val="00D1116E"/>
    <w:rsid w:val="00D12893"/>
    <w:rsid w:val="00D1399A"/>
    <w:rsid w:val="00D13C1C"/>
    <w:rsid w:val="00D1629A"/>
    <w:rsid w:val="00D16315"/>
    <w:rsid w:val="00D20361"/>
    <w:rsid w:val="00D208C0"/>
    <w:rsid w:val="00D2133A"/>
    <w:rsid w:val="00D21CD9"/>
    <w:rsid w:val="00D251E3"/>
    <w:rsid w:val="00D25F75"/>
    <w:rsid w:val="00D26774"/>
    <w:rsid w:val="00D32256"/>
    <w:rsid w:val="00D325B8"/>
    <w:rsid w:val="00D32955"/>
    <w:rsid w:val="00D32BB7"/>
    <w:rsid w:val="00D3353B"/>
    <w:rsid w:val="00D338C0"/>
    <w:rsid w:val="00D3522F"/>
    <w:rsid w:val="00D35AFA"/>
    <w:rsid w:val="00D40CA8"/>
    <w:rsid w:val="00D418D5"/>
    <w:rsid w:val="00D42F39"/>
    <w:rsid w:val="00D43B05"/>
    <w:rsid w:val="00D44FBE"/>
    <w:rsid w:val="00D464F8"/>
    <w:rsid w:val="00D46E23"/>
    <w:rsid w:val="00D47022"/>
    <w:rsid w:val="00D478EA"/>
    <w:rsid w:val="00D47FD5"/>
    <w:rsid w:val="00D5140E"/>
    <w:rsid w:val="00D53BE9"/>
    <w:rsid w:val="00D54CA5"/>
    <w:rsid w:val="00D55809"/>
    <w:rsid w:val="00D56742"/>
    <w:rsid w:val="00D57072"/>
    <w:rsid w:val="00D57DEC"/>
    <w:rsid w:val="00D64644"/>
    <w:rsid w:val="00D65FE2"/>
    <w:rsid w:val="00D704A7"/>
    <w:rsid w:val="00D708B2"/>
    <w:rsid w:val="00D709B7"/>
    <w:rsid w:val="00D71D08"/>
    <w:rsid w:val="00D71FEC"/>
    <w:rsid w:val="00D721BC"/>
    <w:rsid w:val="00D72CB6"/>
    <w:rsid w:val="00D75F19"/>
    <w:rsid w:val="00D83F19"/>
    <w:rsid w:val="00D8581C"/>
    <w:rsid w:val="00D86A7D"/>
    <w:rsid w:val="00D92C94"/>
    <w:rsid w:val="00D9476B"/>
    <w:rsid w:val="00D96D22"/>
    <w:rsid w:val="00D97FA2"/>
    <w:rsid w:val="00DA2702"/>
    <w:rsid w:val="00DA3BDF"/>
    <w:rsid w:val="00DA4B12"/>
    <w:rsid w:val="00DA59C7"/>
    <w:rsid w:val="00DA5CE1"/>
    <w:rsid w:val="00DB06BC"/>
    <w:rsid w:val="00DB1546"/>
    <w:rsid w:val="00DB2622"/>
    <w:rsid w:val="00DB2E9B"/>
    <w:rsid w:val="00DB34CD"/>
    <w:rsid w:val="00DB4AE1"/>
    <w:rsid w:val="00DB562F"/>
    <w:rsid w:val="00DB571A"/>
    <w:rsid w:val="00DB7F41"/>
    <w:rsid w:val="00DC022E"/>
    <w:rsid w:val="00DC047F"/>
    <w:rsid w:val="00DC1458"/>
    <w:rsid w:val="00DC2931"/>
    <w:rsid w:val="00DC30AC"/>
    <w:rsid w:val="00DC6477"/>
    <w:rsid w:val="00DC74F8"/>
    <w:rsid w:val="00DD16F1"/>
    <w:rsid w:val="00DD1D81"/>
    <w:rsid w:val="00DD35CA"/>
    <w:rsid w:val="00DD523E"/>
    <w:rsid w:val="00DD76D2"/>
    <w:rsid w:val="00DE1832"/>
    <w:rsid w:val="00DE1AB8"/>
    <w:rsid w:val="00DE61BD"/>
    <w:rsid w:val="00DE6B17"/>
    <w:rsid w:val="00DF2298"/>
    <w:rsid w:val="00DF2701"/>
    <w:rsid w:val="00DF2CF3"/>
    <w:rsid w:val="00DF412F"/>
    <w:rsid w:val="00DF4D48"/>
    <w:rsid w:val="00DF5390"/>
    <w:rsid w:val="00DF5B98"/>
    <w:rsid w:val="00DF5CA6"/>
    <w:rsid w:val="00DF78B3"/>
    <w:rsid w:val="00E0220F"/>
    <w:rsid w:val="00E04DCD"/>
    <w:rsid w:val="00E0518E"/>
    <w:rsid w:val="00E062BD"/>
    <w:rsid w:val="00E077A1"/>
    <w:rsid w:val="00E10447"/>
    <w:rsid w:val="00E11187"/>
    <w:rsid w:val="00E1204F"/>
    <w:rsid w:val="00E12E11"/>
    <w:rsid w:val="00E13964"/>
    <w:rsid w:val="00E13DAD"/>
    <w:rsid w:val="00E14EAF"/>
    <w:rsid w:val="00E15A68"/>
    <w:rsid w:val="00E16FA1"/>
    <w:rsid w:val="00E21609"/>
    <w:rsid w:val="00E222CE"/>
    <w:rsid w:val="00E23E49"/>
    <w:rsid w:val="00E242B1"/>
    <w:rsid w:val="00E24D80"/>
    <w:rsid w:val="00E266B3"/>
    <w:rsid w:val="00E30038"/>
    <w:rsid w:val="00E33583"/>
    <w:rsid w:val="00E33FF5"/>
    <w:rsid w:val="00E3416C"/>
    <w:rsid w:val="00E35BD7"/>
    <w:rsid w:val="00E36E97"/>
    <w:rsid w:val="00E3751C"/>
    <w:rsid w:val="00E40F52"/>
    <w:rsid w:val="00E43B78"/>
    <w:rsid w:val="00E44107"/>
    <w:rsid w:val="00E4476A"/>
    <w:rsid w:val="00E50361"/>
    <w:rsid w:val="00E503B3"/>
    <w:rsid w:val="00E5268C"/>
    <w:rsid w:val="00E57DEF"/>
    <w:rsid w:val="00E613C7"/>
    <w:rsid w:val="00E61A88"/>
    <w:rsid w:val="00E61D97"/>
    <w:rsid w:val="00E6313C"/>
    <w:rsid w:val="00E63921"/>
    <w:rsid w:val="00E64666"/>
    <w:rsid w:val="00E671A6"/>
    <w:rsid w:val="00E67CD5"/>
    <w:rsid w:val="00E741D8"/>
    <w:rsid w:val="00E74D53"/>
    <w:rsid w:val="00E7554E"/>
    <w:rsid w:val="00E76EC6"/>
    <w:rsid w:val="00E8508C"/>
    <w:rsid w:val="00E864FB"/>
    <w:rsid w:val="00E92384"/>
    <w:rsid w:val="00E92390"/>
    <w:rsid w:val="00E97418"/>
    <w:rsid w:val="00E97D6B"/>
    <w:rsid w:val="00EA13BA"/>
    <w:rsid w:val="00EA2FD8"/>
    <w:rsid w:val="00EA4406"/>
    <w:rsid w:val="00EA5CCD"/>
    <w:rsid w:val="00EA65E1"/>
    <w:rsid w:val="00EA7A10"/>
    <w:rsid w:val="00EA7DFD"/>
    <w:rsid w:val="00EB064B"/>
    <w:rsid w:val="00EB0F54"/>
    <w:rsid w:val="00EB4781"/>
    <w:rsid w:val="00EB74F0"/>
    <w:rsid w:val="00EC1244"/>
    <w:rsid w:val="00EC1258"/>
    <w:rsid w:val="00EC1C25"/>
    <w:rsid w:val="00EC2156"/>
    <w:rsid w:val="00EC21E5"/>
    <w:rsid w:val="00EC2BE2"/>
    <w:rsid w:val="00EC4072"/>
    <w:rsid w:val="00EC56E8"/>
    <w:rsid w:val="00ED163D"/>
    <w:rsid w:val="00ED20E5"/>
    <w:rsid w:val="00ED302B"/>
    <w:rsid w:val="00ED3080"/>
    <w:rsid w:val="00ED4426"/>
    <w:rsid w:val="00ED482A"/>
    <w:rsid w:val="00ED4F3D"/>
    <w:rsid w:val="00ED54DD"/>
    <w:rsid w:val="00ED6EA7"/>
    <w:rsid w:val="00ED70D7"/>
    <w:rsid w:val="00ED7F9A"/>
    <w:rsid w:val="00EE08D1"/>
    <w:rsid w:val="00EE0A58"/>
    <w:rsid w:val="00EE3CAB"/>
    <w:rsid w:val="00EE4369"/>
    <w:rsid w:val="00EE4D5A"/>
    <w:rsid w:val="00EE5E2E"/>
    <w:rsid w:val="00EE5F16"/>
    <w:rsid w:val="00EE7A36"/>
    <w:rsid w:val="00EF0423"/>
    <w:rsid w:val="00EF072B"/>
    <w:rsid w:val="00EF256D"/>
    <w:rsid w:val="00EF36F3"/>
    <w:rsid w:val="00EF4895"/>
    <w:rsid w:val="00EF6488"/>
    <w:rsid w:val="00EF7ED4"/>
    <w:rsid w:val="00F0045C"/>
    <w:rsid w:val="00F008B3"/>
    <w:rsid w:val="00F024AA"/>
    <w:rsid w:val="00F025E8"/>
    <w:rsid w:val="00F02D63"/>
    <w:rsid w:val="00F079F6"/>
    <w:rsid w:val="00F101F8"/>
    <w:rsid w:val="00F12366"/>
    <w:rsid w:val="00F1301D"/>
    <w:rsid w:val="00F170E2"/>
    <w:rsid w:val="00F176A4"/>
    <w:rsid w:val="00F17C1C"/>
    <w:rsid w:val="00F20E39"/>
    <w:rsid w:val="00F2180A"/>
    <w:rsid w:val="00F21ABD"/>
    <w:rsid w:val="00F21D0A"/>
    <w:rsid w:val="00F24FBF"/>
    <w:rsid w:val="00F257F8"/>
    <w:rsid w:val="00F2591A"/>
    <w:rsid w:val="00F273DE"/>
    <w:rsid w:val="00F27CD1"/>
    <w:rsid w:val="00F30738"/>
    <w:rsid w:val="00F30D26"/>
    <w:rsid w:val="00F32241"/>
    <w:rsid w:val="00F32775"/>
    <w:rsid w:val="00F329EF"/>
    <w:rsid w:val="00F338ED"/>
    <w:rsid w:val="00F3432A"/>
    <w:rsid w:val="00F34882"/>
    <w:rsid w:val="00F36693"/>
    <w:rsid w:val="00F37B4E"/>
    <w:rsid w:val="00F37FA9"/>
    <w:rsid w:val="00F41F9D"/>
    <w:rsid w:val="00F431D1"/>
    <w:rsid w:val="00F4384F"/>
    <w:rsid w:val="00F439E0"/>
    <w:rsid w:val="00F453BC"/>
    <w:rsid w:val="00F456FE"/>
    <w:rsid w:val="00F46B86"/>
    <w:rsid w:val="00F46E5D"/>
    <w:rsid w:val="00F47078"/>
    <w:rsid w:val="00F479D6"/>
    <w:rsid w:val="00F51B07"/>
    <w:rsid w:val="00F52572"/>
    <w:rsid w:val="00F52ED5"/>
    <w:rsid w:val="00F541EB"/>
    <w:rsid w:val="00F5472A"/>
    <w:rsid w:val="00F54DB4"/>
    <w:rsid w:val="00F55908"/>
    <w:rsid w:val="00F5653E"/>
    <w:rsid w:val="00F60C05"/>
    <w:rsid w:val="00F62DC3"/>
    <w:rsid w:val="00F63769"/>
    <w:rsid w:val="00F63F23"/>
    <w:rsid w:val="00F64850"/>
    <w:rsid w:val="00F650FE"/>
    <w:rsid w:val="00F652BD"/>
    <w:rsid w:val="00F653BC"/>
    <w:rsid w:val="00F65A33"/>
    <w:rsid w:val="00F65CFF"/>
    <w:rsid w:val="00F6709A"/>
    <w:rsid w:val="00F708CA"/>
    <w:rsid w:val="00F715F7"/>
    <w:rsid w:val="00F7166D"/>
    <w:rsid w:val="00F71F92"/>
    <w:rsid w:val="00F73086"/>
    <w:rsid w:val="00F73723"/>
    <w:rsid w:val="00F80125"/>
    <w:rsid w:val="00F80128"/>
    <w:rsid w:val="00F82914"/>
    <w:rsid w:val="00F83267"/>
    <w:rsid w:val="00F85BC5"/>
    <w:rsid w:val="00F8619B"/>
    <w:rsid w:val="00F86E70"/>
    <w:rsid w:val="00F87661"/>
    <w:rsid w:val="00F92FB7"/>
    <w:rsid w:val="00F935CD"/>
    <w:rsid w:val="00F939A5"/>
    <w:rsid w:val="00F9642D"/>
    <w:rsid w:val="00F978F6"/>
    <w:rsid w:val="00F97DF5"/>
    <w:rsid w:val="00FA021F"/>
    <w:rsid w:val="00FA0A6F"/>
    <w:rsid w:val="00FA15AA"/>
    <w:rsid w:val="00FA1926"/>
    <w:rsid w:val="00FA1EB6"/>
    <w:rsid w:val="00FA2285"/>
    <w:rsid w:val="00FA2817"/>
    <w:rsid w:val="00FA5843"/>
    <w:rsid w:val="00FA7467"/>
    <w:rsid w:val="00FA7716"/>
    <w:rsid w:val="00FB0AB9"/>
    <w:rsid w:val="00FB0F06"/>
    <w:rsid w:val="00FB1589"/>
    <w:rsid w:val="00FB19D8"/>
    <w:rsid w:val="00FB2CC6"/>
    <w:rsid w:val="00FB6BDD"/>
    <w:rsid w:val="00FB6C43"/>
    <w:rsid w:val="00FB7199"/>
    <w:rsid w:val="00FB7A14"/>
    <w:rsid w:val="00FC0EB5"/>
    <w:rsid w:val="00FC17D8"/>
    <w:rsid w:val="00FC46FE"/>
    <w:rsid w:val="00FC69DE"/>
    <w:rsid w:val="00FD0736"/>
    <w:rsid w:val="00FD23C5"/>
    <w:rsid w:val="00FD3CA0"/>
    <w:rsid w:val="00FD3F92"/>
    <w:rsid w:val="00FD4493"/>
    <w:rsid w:val="00FD450F"/>
    <w:rsid w:val="00FD54E8"/>
    <w:rsid w:val="00FD6313"/>
    <w:rsid w:val="00FD7DAE"/>
    <w:rsid w:val="00FE1DA6"/>
    <w:rsid w:val="00FE272E"/>
    <w:rsid w:val="00FE2AAE"/>
    <w:rsid w:val="00FE31D8"/>
    <w:rsid w:val="00FE3AFB"/>
    <w:rsid w:val="00FE410F"/>
    <w:rsid w:val="00FE69D9"/>
    <w:rsid w:val="00FF0E11"/>
    <w:rsid w:val="00FF44B2"/>
    <w:rsid w:val="00FF5929"/>
    <w:rsid w:val="00FF5A84"/>
    <w:rsid w:val="00FF6859"/>
    <w:rsid w:val="00FF7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F7315"/>
  <w15:docId w15:val="{D8E82E70-6B40-4B3C-84EE-744FF54A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7E"/>
    <w:pPr>
      <w:bidi/>
      <w:spacing w:after="0" w:line="360" w:lineRule="auto"/>
      <w:jc w:val="both"/>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1D0A"/>
    <w:pPr>
      <w:spacing w:line="240" w:lineRule="auto"/>
    </w:pPr>
    <w:rPr>
      <w:sz w:val="20"/>
      <w:szCs w:val="20"/>
    </w:rPr>
  </w:style>
  <w:style w:type="character" w:customStyle="1" w:styleId="FootnoteTextChar">
    <w:name w:val="Footnote Text Char"/>
    <w:basedOn w:val="DefaultParagraphFont"/>
    <w:link w:val="FootnoteText"/>
    <w:uiPriority w:val="99"/>
    <w:semiHidden/>
    <w:rsid w:val="00F21D0A"/>
    <w:rPr>
      <w:rFonts w:ascii="Times New Roman" w:hAnsi="Times New Roman" w:cs="David"/>
      <w:sz w:val="20"/>
      <w:szCs w:val="20"/>
    </w:rPr>
  </w:style>
  <w:style w:type="character" w:styleId="FootnoteReference">
    <w:name w:val="footnote reference"/>
    <w:aliases w:val="טקסט הערת שוליים חדש,Footnote Reference Number,Footnote Reference_LVL6,Footnote Reference_LVL61,Footnote Reference_LVL62,Footnote Reference_LVL63,Footnote Reference_LVL64,fr,SUPERS,EN Footnote Reference,number"/>
    <w:basedOn w:val="DefaultParagraphFont"/>
    <w:uiPriority w:val="99"/>
    <w:unhideWhenUsed/>
    <w:rsid w:val="00F21D0A"/>
    <w:rPr>
      <w:vertAlign w:val="superscript"/>
    </w:rPr>
  </w:style>
  <w:style w:type="paragraph" w:styleId="ListParagraph">
    <w:name w:val="List Paragraph"/>
    <w:aliases w:val="פיסקת רשימה12,פיסקת רשימה121,פיסקת רשימה2,פיסקת רשימה11"/>
    <w:basedOn w:val="Normal"/>
    <w:link w:val="ListParagraphChar"/>
    <w:uiPriority w:val="34"/>
    <w:qFormat/>
    <w:rsid w:val="00C26C9D"/>
    <w:pPr>
      <w:ind w:left="720"/>
      <w:contextualSpacing/>
    </w:pPr>
  </w:style>
  <w:style w:type="character" w:styleId="CommentReference">
    <w:name w:val="annotation reference"/>
    <w:basedOn w:val="DefaultParagraphFont"/>
    <w:uiPriority w:val="99"/>
    <w:semiHidden/>
    <w:unhideWhenUsed/>
    <w:rsid w:val="00152174"/>
    <w:rPr>
      <w:sz w:val="16"/>
      <w:szCs w:val="16"/>
    </w:rPr>
  </w:style>
  <w:style w:type="paragraph" w:styleId="CommentText">
    <w:name w:val="annotation text"/>
    <w:basedOn w:val="Normal"/>
    <w:link w:val="CommentTextChar"/>
    <w:uiPriority w:val="99"/>
    <w:unhideWhenUsed/>
    <w:rsid w:val="00152174"/>
    <w:pPr>
      <w:spacing w:line="240" w:lineRule="auto"/>
    </w:pPr>
    <w:rPr>
      <w:sz w:val="20"/>
      <w:szCs w:val="20"/>
    </w:rPr>
  </w:style>
  <w:style w:type="character" w:customStyle="1" w:styleId="CommentTextChar">
    <w:name w:val="Comment Text Char"/>
    <w:basedOn w:val="DefaultParagraphFont"/>
    <w:link w:val="CommentText"/>
    <w:uiPriority w:val="99"/>
    <w:rsid w:val="00152174"/>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52174"/>
    <w:rPr>
      <w:b/>
      <w:bCs/>
    </w:rPr>
  </w:style>
  <w:style w:type="character" w:customStyle="1" w:styleId="CommentSubjectChar">
    <w:name w:val="Comment Subject Char"/>
    <w:basedOn w:val="CommentTextChar"/>
    <w:link w:val="CommentSubject"/>
    <w:uiPriority w:val="99"/>
    <w:semiHidden/>
    <w:rsid w:val="00152174"/>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1521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174"/>
    <w:rPr>
      <w:rFonts w:ascii="Segoe UI" w:hAnsi="Segoe UI" w:cs="Segoe UI"/>
      <w:sz w:val="18"/>
      <w:szCs w:val="18"/>
    </w:rPr>
  </w:style>
  <w:style w:type="paragraph" w:styleId="Header">
    <w:name w:val="header"/>
    <w:basedOn w:val="Normal"/>
    <w:link w:val="HeaderChar"/>
    <w:uiPriority w:val="99"/>
    <w:unhideWhenUsed/>
    <w:rsid w:val="00B67F86"/>
    <w:pPr>
      <w:tabs>
        <w:tab w:val="center" w:pos="4153"/>
        <w:tab w:val="right" w:pos="8306"/>
      </w:tabs>
      <w:spacing w:line="240" w:lineRule="auto"/>
    </w:pPr>
  </w:style>
  <w:style w:type="character" w:customStyle="1" w:styleId="HeaderChar">
    <w:name w:val="Header Char"/>
    <w:basedOn w:val="DefaultParagraphFont"/>
    <w:link w:val="Header"/>
    <w:uiPriority w:val="99"/>
    <w:rsid w:val="00B67F86"/>
    <w:rPr>
      <w:rFonts w:ascii="Times New Roman" w:hAnsi="Times New Roman" w:cs="David"/>
      <w:sz w:val="24"/>
      <w:szCs w:val="24"/>
    </w:rPr>
  </w:style>
  <w:style w:type="paragraph" w:styleId="Footer">
    <w:name w:val="footer"/>
    <w:basedOn w:val="Normal"/>
    <w:link w:val="FooterChar"/>
    <w:uiPriority w:val="99"/>
    <w:unhideWhenUsed/>
    <w:rsid w:val="00B67F86"/>
    <w:pPr>
      <w:tabs>
        <w:tab w:val="center" w:pos="4153"/>
        <w:tab w:val="right" w:pos="8306"/>
      </w:tabs>
      <w:spacing w:line="240" w:lineRule="auto"/>
    </w:pPr>
  </w:style>
  <w:style w:type="character" w:customStyle="1" w:styleId="FooterChar">
    <w:name w:val="Footer Char"/>
    <w:basedOn w:val="DefaultParagraphFont"/>
    <w:link w:val="Footer"/>
    <w:uiPriority w:val="99"/>
    <w:rsid w:val="00B67F86"/>
    <w:rPr>
      <w:rFonts w:ascii="Times New Roman" w:hAnsi="Times New Roman" w:cs="David"/>
      <w:sz w:val="24"/>
      <w:szCs w:val="24"/>
    </w:rPr>
  </w:style>
  <w:style w:type="paragraph" w:styleId="Revision">
    <w:name w:val="Revision"/>
    <w:hidden/>
    <w:uiPriority w:val="99"/>
    <w:semiHidden/>
    <w:rsid w:val="00D2133A"/>
    <w:pPr>
      <w:spacing w:after="0" w:line="240" w:lineRule="auto"/>
    </w:pPr>
    <w:rPr>
      <w:rFonts w:ascii="Times New Roman" w:hAnsi="Times New Roman" w:cs="David"/>
      <w:sz w:val="24"/>
      <w:szCs w:val="24"/>
    </w:rPr>
  </w:style>
  <w:style w:type="paragraph" w:styleId="NormalWeb">
    <w:name w:val="Normal (Web)"/>
    <w:basedOn w:val="Normal"/>
    <w:uiPriority w:val="99"/>
    <w:semiHidden/>
    <w:unhideWhenUsed/>
    <w:rsid w:val="0049658A"/>
    <w:pPr>
      <w:bidi w:val="0"/>
      <w:spacing w:before="100" w:beforeAutospacing="1" w:after="100" w:afterAutospacing="1" w:line="240" w:lineRule="auto"/>
      <w:jc w:val="left"/>
    </w:pPr>
    <w:rPr>
      <w:rFonts w:eastAsiaTheme="minorEastAsia" w:cs="Times New Roman"/>
    </w:rPr>
  </w:style>
  <w:style w:type="character" w:styleId="Hyperlink">
    <w:name w:val="Hyperlink"/>
    <w:basedOn w:val="DefaultParagraphFont"/>
    <w:uiPriority w:val="99"/>
    <w:unhideWhenUsed/>
    <w:rsid w:val="001141B5"/>
    <w:rPr>
      <w:color w:val="0563C1" w:themeColor="hyperlink"/>
      <w:u w:val="single"/>
    </w:rPr>
  </w:style>
  <w:style w:type="character" w:styleId="FollowedHyperlink">
    <w:name w:val="FollowedHyperlink"/>
    <w:basedOn w:val="DefaultParagraphFont"/>
    <w:uiPriority w:val="99"/>
    <w:semiHidden/>
    <w:unhideWhenUsed/>
    <w:rsid w:val="009164B8"/>
    <w:rPr>
      <w:color w:val="954F72"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locked/>
    <w:rsid w:val="00C726DC"/>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94315">
      <w:bodyDiv w:val="1"/>
      <w:marLeft w:val="0"/>
      <w:marRight w:val="0"/>
      <w:marTop w:val="0"/>
      <w:marBottom w:val="0"/>
      <w:divBdr>
        <w:top w:val="none" w:sz="0" w:space="0" w:color="auto"/>
        <w:left w:val="none" w:sz="0" w:space="0" w:color="auto"/>
        <w:bottom w:val="none" w:sz="0" w:space="0" w:color="auto"/>
        <w:right w:val="none" w:sz="0" w:space="0" w:color="auto"/>
      </w:divBdr>
    </w:div>
    <w:div w:id="1568028952">
      <w:bodyDiv w:val="1"/>
      <w:marLeft w:val="0"/>
      <w:marRight w:val="0"/>
      <w:marTop w:val="0"/>
      <w:marBottom w:val="0"/>
      <w:divBdr>
        <w:top w:val="none" w:sz="0" w:space="0" w:color="auto"/>
        <w:left w:val="none" w:sz="0" w:space="0" w:color="auto"/>
        <w:bottom w:val="none" w:sz="0" w:space="0" w:color="auto"/>
        <w:right w:val="none" w:sz="0" w:space="0" w:color="auto"/>
      </w:divBdr>
    </w:div>
    <w:div w:id="1699817698">
      <w:bodyDiv w:val="1"/>
      <w:marLeft w:val="0"/>
      <w:marRight w:val="0"/>
      <w:marTop w:val="0"/>
      <w:marBottom w:val="0"/>
      <w:divBdr>
        <w:top w:val="none" w:sz="0" w:space="0" w:color="auto"/>
        <w:left w:val="none" w:sz="0" w:space="0" w:color="auto"/>
        <w:bottom w:val="none" w:sz="0" w:space="0" w:color="auto"/>
        <w:right w:val="none" w:sz="0" w:space="0" w:color="auto"/>
      </w:divBdr>
      <w:divsChild>
        <w:div w:id="1185555464">
          <w:marLeft w:val="0"/>
          <w:marRight w:val="274"/>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chart" Target="charts/chart5.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chart" Target="charts/chart4.xml" />
  <Relationship Id="rId17" Type="http://schemas.openxmlformats.org/officeDocument/2006/relationships/footer" Target="footer1.xml" />
  <Relationship Id="rId2" Type="http://schemas.openxmlformats.org/officeDocument/2006/relationships/numbering" Target="numbering.xml" />
  <Relationship Id="rId16" Type="http://schemas.openxmlformats.org/officeDocument/2006/relationships/header" Target="header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chart" Target="charts/chart3.xml" />
  <Relationship Id="rId5" Type="http://schemas.openxmlformats.org/officeDocument/2006/relationships/webSettings" Target="webSettings.xml" />
  <Relationship Id="rId15" Type="http://schemas.openxmlformats.org/officeDocument/2006/relationships/chart" Target="charts/chart7.xml" />
  <Relationship Id="rId10" Type="http://schemas.openxmlformats.org/officeDocument/2006/relationships/chart" Target="charts/chart2.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chart" Target="charts/chart1.xml" />
  <Relationship Id="rId14" Type="http://schemas.openxmlformats.org/officeDocument/2006/relationships/chart" Target="charts/chart6.xml" />
</Relationships>
</file>

<file path=word/_rels/footnotes.xml.rels>&#65279;<?xml version="1.0" encoding="utf-8" standalone="yes"?>
<Relationships xmlns="http://schemas.openxmlformats.org/package/2006/relationships">
  <Relationship Id="rId1" Type="http://schemas.openxmlformats.org/officeDocument/2006/relationships/hyperlink" Target="https://boi.org.il/publications/regularpublications/boi-reports/d2022/" TargetMode="External" />
</Relationships>
</file>

<file path=word/charts/_rels/chart1.xml.rels>&#65279;<?xml version="1.0" encoding="utf-8" standalone="yes"?>
<Relationships xmlns="http://schemas.openxmlformats.org/package/2006/relationships">
  <Relationship Id="rId3" Type="http://schemas.openxmlformats.org/officeDocument/2006/relationships/chartUserShapes" Target="../drawings/drawing1.xml" />
  <Relationship Id="rId2" Type="http://schemas.openxmlformats.org/officeDocument/2006/relationships/package" Target="../embeddings/Microsoft_Excel_Worksheet.xlsx" />
  <Relationship Id="rId1" Type="http://schemas.openxmlformats.org/officeDocument/2006/relationships/themeOverride" Target="../theme/themeOverride1.xml" />
</Relationships>
</file>

<file path=word/charts/_rels/chart2.xml.rels>&#65279;<?xml version="1.0" encoding="utf-8" standalone="yes"?>
<Relationships xmlns="http://schemas.openxmlformats.org/package/2006/relationships">
  <Relationship Id="rId2" Type="http://schemas.openxmlformats.org/officeDocument/2006/relationships/chartUserShapes" Target="../drawings/drawing2.xml" />
  <Relationship Id="rId1" Type="http://schemas.openxmlformats.org/officeDocument/2006/relationships/oleObject" Target="" TargetMode="External" />
</Relationships>
</file>

<file path=word/charts/_rels/chart3.xml.rels>&#65279;<?xml version="1.0" encoding="utf-8" standalone="yes"?>
<Relationships xmlns="http://schemas.openxmlformats.org/package/2006/relationships">
  <Relationship Id="rId2" Type="http://schemas.openxmlformats.org/officeDocument/2006/relationships/chartUserShapes" Target="../drawings/drawing3.xml" />
  <Relationship Id="rId1" Type="http://schemas.openxmlformats.org/officeDocument/2006/relationships/oleObject" Target="" TargetMode="External" />
</Relationships>
</file>

<file path=word/charts/_rels/chart4.xml.rels>&#65279;<?xml version="1.0" encoding="utf-8" standalone="yes"?>
<Relationships xmlns="http://schemas.openxmlformats.org/package/2006/relationships">
  <Relationship Id="rId3" Type="http://schemas.openxmlformats.org/officeDocument/2006/relationships/chartUserShapes" Target="../drawings/drawing4.xml" />
  <Relationship Id="rId2" Type="http://schemas.openxmlformats.org/officeDocument/2006/relationships/package" Target="../embeddings/Microsoft_Excel_Worksheet1.xlsx" />
  <Relationship Id="rId1" Type="http://schemas.openxmlformats.org/officeDocument/2006/relationships/themeOverride" Target="../theme/themeOverride2.xml" />
</Relationships>
</file>

<file path=word/charts/_rels/chart5.xml.rels>&#65279;<?xml version="1.0" encoding="utf-8" standalone="yes"?>
<Relationships xmlns="http://schemas.openxmlformats.org/package/2006/relationships">
  <Relationship Id="rId3" Type="http://schemas.openxmlformats.org/officeDocument/2006/relationships/chartUserShapes" Target="../drawings/drawing5.xml" />
  <Relationship Id="rId2" Type="http://schemas.openxmlformats.org/officeDocument/2006/relationships/package" Target="../embeddings/Microsoft_Excel_Worksheet2.xlsx" />
  <Relationship Id="rId1" Type="http://schemas.openxmlformats.org/officeDocument/2006/relationships/themeOverride" Target="../theme/themeOverride3.xml" />
</Relationships>
</file>

<file path=word/charts/_rels/chart6.xml.rels>&#65279;<?xml version="1.0" encoding="utf-8" standalone="yes"?>
<Relationships xmlns="http://schemas.openxmlformats.org/package/2006/relationships">
  <Relationship Id="rId3" Type="http://schemas.openxmlformats.org/officeDocument/2006/relationships/chartUserShapes" Target="../drawings/drawing6.xml" />
  <Relationship Id="rId2" Type="http://schemas.openxmlformats.org/officeDocument/2006/relationships/oleObject" Target="../embeddings/oleObject1.bin" />
  <Relationship Id="rId1" Type="http://schemas.openxmlformats.org/officeDocument/2006/relationships/themeOverride" Target="../theme/themeOverride4.xml" />
</Relationships>
</file>

<file path=word/charts/_rels/chart7.xml.rels>&#65279;<?xml version="1.0" encoding="utf-8" standalone="yes"?>
<Relationships xmlns="http://schemas.openxmlformats.org/package/2006/relationships">
  <Relationship Id="rId3" Type="http://schemas.openxmlformats.org/officeDocument/2006/relationships/chartUserShapes" Target="../drawings/drawing7.xml" />
  <Relationship Id="rId2" Type="http://schemas.openxmlformats.org/officeDocument/2006/relationships/package" Target="../embeddings/Microsoft_Excel_Worksheet3.xlsx" />
  <Relationship Id="rId1" Type="http://schemas.openxmlformats.org/officeDocument/2006/relationships/themeOverride" Target="../theme/themeOverride5.xml" />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t>איור 1 - תמסורת ריבית בנק ישראל לריבית פיקדונות לפי מגזר פעילות</a:t>
            </a:r>
            <a:r>
              <a:rPr lang="he-IL" sz="1100" b="1" baseline="0"/>
              <a:t> במט"י לא צמוד, אפריל 2022 - מרץ 2024</a:t>
            </a:r>
            <a:r>
              <a:rPr lang="he-IL" sz="1100" baseline="0"/>
              <a:t>| אחוזים</a:t>
            </a:r>
            <a:endParaRPr lang="he-IL" sz="1100"/>
          </a:p>
        </c:rich>
      </c:tx>
      <c:layout>
        <c:manualLayout>
          <c:xMode val="edge"/>
          <c:yMode val="edge"/>
          <c:x val="0.1099520131970706"/>
          <c:y val="0"/>
        </c:manualLayout>
      </c:layout>
      <c:overlay val="0"/>
      <c:spPr>
        <a:noFill/>
        <a:ln>
          <a:noFill/>
        </a:ln>
        <a:effectLst/>
      </c:spPr>
    </c:title>
    <c:autoTitleDeleted val="0"/>
    <c:plotArea>
      <c:layout>
        <c:manualLayout>
          <c:layoutTarget val="inner"/>
          <c:xMode val="edge"/>
          <c:yMode val="edge"/>
          <c:x val="1.5347185245548831E-2"/>
          <c:y val="0.25144653116488069"/>
          <c:w val="0.9570354268059823"/>
          <c:h val="0.427676548380578"/>
        </c:manualLayout>
      </c:layout>
      <c:lineChart>
        <c:grouping val="standard"/>
        <c:varyColors val="0"/>
        <c:ser>
          <c:idx val="0"/>
          <c:order val="0"/>
          <c:tx>
            <c:strRef>
              <c:f>סיכום!$H$122</c:f>
              <c:strCache>
                <c:ptCount val="1"/>
                <c:pt idx="0">
                  <c:v>משקי בית</c:v>
                </c:pt>
              </c:strCache>
            </c:strRef>
          </c:tx>
          <c:spPr>
            <a:ln w="28575" cap="rnd">
              <a:solidFill>
                <a:schemeClr val="accent1"/>
              </a:solidFill>
              <a:round/>
            </a:ln>
            <a:effectLst/>
          </c:spPr>
          <c:marker>
            <c:symbol val="none"/>
          </c:marker>
          <c:dLbls>
            <c:dLbl>
              <c:idx val="0"/>
              <c:layout>
                <c:manualLayout>
                  <c:x val="-4.5982983019408397E-2"/>
                  <c:y val="4.7762510239172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86-499B-974A-715B0C9946E8}"/>
                </c:ext>
              </c:extLst>
            </c:dLbl>
            <c:dLbl>
              <c:idx val="5"/>
              <c:layout>
                <c:manualLayout>
                  <c:x val="-4.1243084927217372E-2"/>
                  <c:y val="4.3076474625301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86-499B-974A-715B0C9946E8}"/>
                </c:ext>
              </c:extLst>
            </c:dLbl>
            <c:dLbl>
              <c:idx val="8"/>
              <c:layout>
                <c:manualLayout>
                  <c:x val="-4.3613033973312926E-2"/>
                  <c:y val="5.7134581466913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86-499B-974A-715B0C9946E8}"/>
                </c:ext>
              </c:extLst>
            </c:dLbl>
            <c:dLbl>
              <c:idx val="11"/>
              <c:layout>
                <c:manualLayout>
                  <c:x val="-4.3613033973312884E-2"/>
                  <c:y val="4.7762510239172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86-499B-974A-715B0C9946E8}"/>
                </c:ext>
              </c:extLst>
            </c:dLbl>
            <c:dLbl>
              <c:idx val="14"/>
              <c:layout>
                <c:manualLayout>
                  <c:x val="-4.3613033973312967E-2"/>
                  <c:y val="5.24485458530428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86-499B-974A-715B0C9946E8}"/>
                </c:ext>
              </c:extLst>
            </c:dLbl>
            <c:dLbl>
              <c:idx val="17"/>
              <c:layout>
                <c:manualLayout>
                  <c:x val="-4.598298301940839E-2"/>
                  <c:y val="4.7762510239172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286-499B-974A-715B0C9946E8}"/>
                </c:ext>
              </c:extLst>
            </c:dLbl>
            <c:dLbl>
              <c:idx val="20"/>
              <c:layout>
                <c:manualLayout>
                  <c:x val="-4.3613033973312884E-2"/>
                  <c:y val="3.83904390114309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286-499B-974A-715B0C9946E8}"/>
                </c:ext>
              </c:extLst>
            </c:dLbl>
            <c:dLbl>
              <c:idx val="2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286-499B-974A-715B0C9946E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solidFill>
                    <a:latin typeface="Assistant" panose="00000500000000000000" pitchFamily="2" charset="-79"/>
                    <a:ea typeface="+mn-ea"/>
                    <a:cs typeface="Assistant" panose="00000500000000000000" pitchFamily="2" charset="-79"/>
                  </a:defRPr>
                </a:pPr>
                <a:endParaRPr lang="en-IL"/>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סיכום!$G$123:$G$146</c:f>
              <c:numCache>
                <c:formatCode>m/d/yyyy</c:formatCode>
                <c:ptCount val="24"/>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pt idx="22">
                  <c:v>45351</c:v>
                </c:pt>
                <c:pt idx="23">
                  <c:v>45382</c:v>
                </c:pt>
              </c:numCache>
            </c:numRef>
          </c:cat>
          <c:val>
            <c:numRef>
              <c:f>סיכום!$H$123:$H$146</c:f>
              <c:numCache>
                <c:formatCode>0%</c:formatCode>
                <c:ptCount val="24"/>
                <c:pt idx="0">
                  <c:v>0.42352941176470621</c:v>
                </c:pt>
                <c:pt idx="1">
                  <c:v>0.45812807881773415</c:v>
                </c:pt>
                <c:pt idx="2">
                  <c:v>0.53846153846153855</c:v>
                </c:pt>
                <c:pt idx="3">
                  <c:v>0.56967840735068909</c:v>
                </c:pt>
                <c:pt idx="4">
                  <c:v>0.61393643031784839</c:v>
                </c:pt>
                <c:pt idx="5">
                  <c:v>0.73157894736842111</c:v>
                </c:pt>
                <c:pt idx="6">
                  <c:v>0.70426789231779374</c:v>
                </c:pt>
                <c:pt idx="7">
                  <c:v>0.69759036144578324</c:v>
                </c:pt>
                <c:pt idx="8">
                  <c:v>0.68102543426395545</c:v>
                </c:pt>
                <c:pt idx="9">
                  <c:v>0.68729701576748758</c:v>
                </c:pt>
                <c:pt idx="10">
                  <c:v>0.66736306395656442</c:v>
                </c:pt>
                <c:pt idx="11">
                  <c:v>0.65944520836547049</c:v>
                </c:pt>
                <c:pt idx="12">
                  <c:v>0.69718874725683921</c:v>
                </c:pt>
                <c:pt idx="13">
                  <c:v>0.7017652545678662</c:v>
                </c:pt>
                <c:pt idx="14">
                  <c:v>0.66264614277546485</c:v>
                </c:pt>
                <c:pt idx="15">
                  <c:v>0.69933638801320008</c:v>
                </c:pt>
                <c:pt idx="16">
                  <c:v>0.70214332115418876</c:v>
                </c:pt>
                <c:pt idx="17">
                  <c:v>0.67659816560314445</c:v>
                </c:pt>
                <c:pt idx="18">
                  <c:v>0.68859547616606043</c:v>
                </c:pt>
                <c:pt idx="19">
                  <c:v>0.67466612229617584</c:v>
                </c:pt>
                <c:pt idx="20">
                  <c:v>0.64576333100324834</c:v>
                </c:pt>
                <c:pt idx="21">
                  <c:v>0.66436865790513244</c:v>
                </c:pt>
                <c:pt idx="22">
                  <c:v>0.63853212515251978</c:v>
                </c:pt>
                <c:pt idx="23">
                  <c:v>0.64326751191001708</c:v>
                </c:pt>
              </c:numCache>
            </c:numRef>
          </c:val>
          <c:smooth val="0"/>
          <c:extLst>
            <c:ext xmlns:c16="http://schemas.microsoft.com/office/drawing/2014/chart" uri="{C3380CC4-5D6E-409C-BE32-E72D297353CC}">
              <c16:uniqueId val="{00000000-4254-4107-81A1-315401C8B2C5}"/>
            </c:ext>
          </c:extLst>
        </c:ser>
        <c:ser>
          <c:idx val="3"/>
          <c:order val="1"/>
          <c:tx>
            <c:strRef>
              <c:f>סיכום!$K$122</c:f>
              <c:strCache>
                <c:ptCount val="1"/>
                <c:pt idx="0">
                  <c:v>עסקים קטנים</c:v>
                </c:pt>
              </c:strCache>
            </c:strRef>
          </c:tx>
          <c:spPr>
            <a:ln w="28575" cap="rnd">
              <a:solidFill>
                <a:schemeClr val="accent4"/>
              </a:solidFill>
              <a:round/>
            </a:ln>
            <a:effectLst/>
          </c:spPr>
          <c:marker>
            <c:symbol val="none"/>
          </c:marker>
          <c:dLbls>
            <c:dLbl>
              <c:idx val="0"/>
              <c:layout>
                <c:manualLayout>
                  <c:x val="-4.3079702132860838E-2"/>
                  <c:y val="4.7762510239172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86-499B-974A-715B0C9946E8}"/>
                </c:ext>
              </c:extLst>
            </c:dLbl>
            <c:dLbl>
              <c:idx val="5"/>
              <c:layout>
                <c:manualLayout>
                  <c:x val="-5.492944736333838E-2"/>
                  <c:y val="2.9018367783689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86-499B-974A-715B0C9946E8}"/>
                </c:ext>
              </c:extLst>
            </c:dLbl>
            <c:dLbl>
              <c:idx val="8"/>
              <c:layout>
                <c:manualLayout>
                  <c:x val="-4.3613033973312926E-2"/>
                  <c:y val="4.7762510239172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86-499B-974A-715B0C9946E8}"/>
                </c:ext>
              </c:extLst>
            </c:dLbl>
            <c:dLbl>
              <c:idx val="11"/>
              <c:layout>
                <c:manualLayout>
                  <c:x val="-4.598298301940839E-2"/>
                  <c:y val="4.3076474625301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286-499B-974A-715B0C9946E8}"/>
                </c:ext>
              </c:extLst>
            </c:dLbl>
            <c:dLbl>
              <c:idx val="14"/>
              <c:layout>
                <c:manualLayout>
                  <c:x val="-4.3613033973312967E-2"/>
                  <c:y val="3.83904390114309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286-499B-974A-715B0C9946E8}"/>
                </c:ext>
              </c:extLst>
            </c:dLbl>
            <c:dLbl>
              <c:idx val="17"/>
              <c:layout>
                <c:manualLayout>
                  <c:x val="-4.3613033973312967E-2"/>
                  <c:y val="4.3076474625301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286-499B-974A-715B0C9946E8}"/>
                </c:ext>
              </c:extLst>
            </c:dLbl>
            <c:dLbl>
              <c:idx val="21"/>
              <c:layout>
                <c:manualLayout>
                  <c:x val="-7.9162269664745682E-2"/>
                  <c:y val="4.7762510239172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286-499B-974A-715B0C9946E8}"/>
                </c:ext>
              </c:extLst>
            </c:dLbl>
            <c:dLbl>
              <c:idx val="23"/>
              <c:layout>
                <c:manualLayout>
                  <c:x val="-1.4523495618859943E-2"/>
                  <c:y val="5.24485458530428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286-499B-974A-715B0C9946E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4"/>
                    </a:solidFill>
                    <a:latin typeface="Assistant" panose="00000500000000000000" pitchFamily="2" charset="-79"/>
                    <a:ea typeface="+mn-ea"/>
                    <a:cs typeface="Assistant" panose="00000500000000000000" pitchFamily="2" charset="-79"/>
                  </a:defRPr>
                </a:pPr>
                <a:endParaRPr lang="en-IL"/>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סיכום!$G$123:$G$146</c:f>
              <c:numCache>
                <c:formatCode>m/d/yyyy</c:formatCode>
                <c:ptCount val="24"/>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pt idx="22">
                  <c:v>45351</c:v>
                </c:pt>
                <c:pt idx="23">
                  <c:v>45382</c:v>
                </c:pt>
              </c:numCache>
            </c:numRef>
          </c:cat>
          <c:val>
            <c:numRef>
              <c:f>סיכום!$K$123:$K$146</c:f>
              <c:numCache>
                <c:formatCode>0%</c:formatCode>
                <c:ptCount val="24"/>
                <c:pt idx="0">
                  <c:v>0.70588235294117707</c:v>
                </c:pt>
                <c:pt idx="1">
                  <c:v>0.73300492610837475</c:v>
                </c:pt>
                <c:pt idx="2">
                  <c:v>0.75384615384615394</c:v>
                </c:pt>
                <c:pt idx="3">
                  <c:v>0.82603369065849919</c:v>
                </c:pt>
                <c:pt idx="4">
                  <c:v>0.81858190709046441</c:v>
                </c:pt>
                <c:pt idx="5">
                  <c:v>0.81052631578947365</c:v>
                </c:pt>
                <c:pt idx="6">
                  <c:v>0.84674983585029551</c:v>
                </c:pt>
                <c:pt idx="7">
                  <c:v>0.87831325301204832</c:v>
                </c:pt>
                <c:pt idx="8">
                  <c:v>0.85798140398765488</c:v>
                </c:pt>
                <c:pt idx="9">
                  <c:v>0.83859480960524546</c:v>
                </c:pt>
                <c:pt idx="10">
                  <c:v>0.86067186971269716</c:v>
                </c:pt>
                <c:pt idx="11">
                  <c:v>0.82283014281434086</c:v>
                </c:pt>
                <c:pt idx="12">
                  <c:v>0.86750576219784725</c:v>
                </c:pt>
                <c:pt idx="13">
                  <c:v>0.8589006079359377</c:v>
                </c:pt>
                <c:pt idx="14">
                  <c:v>0.84946236559139765</c:v>
                </c:pt>
                <c:pt idx="15">
                  <c:v>0.85060384064135741</c:v>
                </c:pt>
                <c:pt idx="16">
                  <c:v>0.85795601509800701</c:v>
                </c:pt>
                <c:pt idx="17">
                  <c:v>0.85715283589777291</c:v>
                </c:pt>
                <c:pt idx="18">
                  <c:v>0.86407776307910922</c:v>
                </c:pt>
                <c:pt idx="19">
                  <c:v>0.86308898824134117</c:v>
                </c:pt>
                <c:pt idx="20">
                  <c:v>0.84885487911169188</c:v>
                </c:pt>
                <c:pt idx="21">
                  <c:v>0.85267938876819138</c:v>
                </c:pt>
                <c:pt idx="22">
                  <c:v>0.82380185179045318</c:v>
                </c:pt>
                <c:pt idx="23">
                  <c:v>0.8271045042819386</c:v>
                </c:pt>
              </c:numCache>
            </c:numRef>
          </c:val>
          <c:smooth val="0"/>
          <c:extLst>
            <c:ext xmlns:c16="http://schemas.microsoft.com/office/drawing/2014/chart" uri="{C3380CC4-5D6E-409C-BE32-E72D297353CC}">
              <c16:uniqueId val="{00000001-4254-4107-81A1-315401C8B2C5}"/>
            </c:ext>
          </c:extLst>
        </c:ser>
        <c:ser>
          <c:idx val="5"/>
          <c:order val="2"/>
          <c:tx>
            <c:strRef>
              <c:f>סיכום!$M$122</c:f>
              <c:strCache>
                <c:ptCount val="1"/>
                <c:pt idx="0">
                  <c:v>עסקים גדולים</c:v>
                </c:pt>
              </c:strCache>
            </c:strRef>
          </c:tx>
          <c:spPr>
            <a:ln w="28575" cap="rnd">
              <a:solidFill>
                <a:schemeClr val="accent3">
                  <a:lumMod val="50000"/>
                </a:schemeClr>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86-499B-974A-715B0C9946E8}"/>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86-499B-974A-715B0C9946E8}"/>
                </c:ext>
              </c:extLst>
            </c:dLbl>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86-499B-974A-715B0C9946E8}"/>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286-499B-974A-715B0C9946E8}"/>
                </c:ext>
              </c:extLst>
            </c:dLbl>
            <c:dLbl>
              <c:idx val="1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286-499B-974A-715B0C9946E8}"/>
                </c:ext>
              </c:extLst>
            </c:dLbl>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286-499B-974A-715B0C9946E8}"/>
                </c:ext>
              </c:extLst>
            </c:dLbl>
            <c:dLbl>
              <c:idx val="2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286-499B-974A-715B0C9946E8}"/>
                </c:ext>
              </c:extLst>
            </c:dLbl>
            <c:dLbl>
              <c:idx val="2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286-499B-974A-715B0C9946E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סיכום!$G$123:$G$146</c:f>
              <c:numCache>
                <c:formatCode>m/d/yyyy</c:formatCode>
                <c:ptCount val="24"/>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pt idx="22">
                  <c:v>45351</c:v>
                </c:pt>
                <c:pt idx="23">
                  <c:v>45382</c:v>
                </c:pt>
              </c:numCache>
            </c:numRef>
          </c:cat>
          <c:val>
            <c:numRef>
              <c:f>סיכום!$M$123:$M$146</c:f>
              <c:numCache>
                <c:formatCode>0%</c:formatCode>
                <c:ptCount val="24"/>
                <c:pt idx="0">
                  <c:v>0.91764705882353015</c:v>
                </c:pt>
                <c:pt idx="1">
                  <c:v>0.9467980295566506</c:v>
                </c:pt>
                <c:pt idx="2">
                  <c:v>0.89230769230769236</c:v>
                </c:pt>
                <c:pt idx="3">
                  <c:v>1.0159264931087288</c:v>
                </c:pt>
                <c:pt idx="4">
                  <c:v>1.03080684596577</c:v>
                </c:pt>
                <c:pt idx="5">
                  <c:v>0.92631578947368409</c:v>
                </c:pt>
                <c:pt idx="6">
                  <c:v>0.96480630334865403</c:v>
                </c:pt>
                <c:pt idx="7">
                  <c:v>0.97228915662650606</c:v>
                </c:pt>
                <c:pt idx="8">
                  <c:v>0.94830258776702969</c:v>
                </c:pt>
                <c:pt idx="9">
                  <c:v>0.96310628173218504</c:v>
                </c:pt>
                <c:pt idx="10">
                  <c:v>0.95205132309663598</c:v>
                </c:pt>
                <c:pt idx="11">
                  <c:v>0.88709595809265518</c:v>
                </c:pt>
                <c:pt idx="12">
                  <c:v>0.9367640874234312</c:v>
                </c:pt>
                <c:pt idx="13">
                  <c:v>0.92742767582476016</c:v>
                </c:pt>
                <c:pt idx="14">
                  <c:v>0.92016548728813352</c:v>
                </c:pt>
                <c:pt idx="15">
                  <c:v>0.94033301102115874</c:v>
                </c:pt>
                <c:pt idx="16">
                  <c:v>0.93869348445616141</c:v>
                </c:pt>
                <c:pt idx="17">
                  <c:v>0.9359893834919284</c:v>
                </c:pt>
                <c:pt idx="18">
                  <c:v>0.94005910109611301</c:v>
                </c:pt>
                <c:pt idx="19">
                  <c:v>0.935578729819035</c:v>
                </c:pt>
                <c:pt idx="20">
                  <c:v>0.93474282990874635</c:v>
                </c:pt>
                <c:pt idx="21">
                  <c:v>0.94829869193501526</c:v>
                </c:pt>
                <c:pt idx="22">
                  <c:v>0.92623724805972307</c:v>
                </c:pt>
                <c:pt idx="23">
                  <c:v>0.92461541213872667</c:v>
                </c:pt>
              </c:numCache>
            </c:numRef>
          </c:val>
          <c:smooth val="0"/>
          <c:extLst>
            <c:ext xmlns:c16="http://schemas.microsoft.com/office/drawing/2014/chart" uri="{C3380CC4-5D6E-409C-BE32-E72D297353CC}">
              <c16:uniqueId val="{00000002-4254-4107-81A1-315401C8B2C5}"/>
            </c:ext>
          </c:extLst>
        </c:ser>
        <c:dLbls>
          <c:showLegendKey val="0"/>
          <c:showVal val="0"/>
          <c:showCatName val="0"/>
          <c:showSerName val="0"/>
          <c:showPercent val="0"/>
          <c:showBubbleSize val="0"/>
        </c:dLbls>
        <c:smooth val="0"/>
        <c:axId val="148653568"/>
        <c:axId val="148655104"/>
      </c:lineChart>
      <c:dateAx>
        <c:axId val="148653568"/>
        <c:scaling>
          <c:orientation val="minMax"/>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05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48655104"/>
        <c:crosses val="autoZero"/>
        <c:auto val="1"/>
        <c:lblOffset val="100"/>
        <c:baseTimeUnit val="months"/>
        <c:majorUnit val="1"/>
        <c:majorTimeUnit val="months"/>
      </c:dateAx>
      <c:valAx>
        <c:axId val="148655104"/>
        <c:scaling>
          <c:orientation val="minMax"/>
          <c:min val="0.30000000000000004"/>
        </c:scaling>
        <c:delete val="1"/>
        <c:axPos val="l"/>
        <c:numFmt formatCode="0%" sourceLinked="1"/>
        <c:majorTickMark val="out"/>
        <c:minorTickMark val="none"/>
        <c:tickLblPos val="nextTo"/>
        <c:crossAx val="148653568"/>
        <c:crosses val="autoZero"/>
        <c:crossBetween val="between"/>
      </c:valAx>
      <c:spPr>
        <a:noFill/>
        <a:ln>
          <a:noFill/>
        </a:ln>
        <a:effectLst/>
      </c:spPr>
    </c:plotArea>
    <c:legend>
      <c:legendPos val="b"/>
      <c:layout>
        <c:manualLayout>
          <c:xMode val="edge"/>
          <c:yMode val="edge"/>
          <c:x val="0.15510476760970113"/>
          <c:y val="0.15557970319314585"/>
          <c:w val="0.6988201572563828"/>
          <c:h val="7.299757378047257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Assistant" panose="00000500000000000000" pitchFamily="2" charset="-79"/>
          <a:cs typeface="Assistant" panose="00000500000000000000" pitchFamily="2" charset="-79"/>
        </a:defRPr>
      </a:pPr>
      <a:endParaRPr lang="en-I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solidFill>
                  <a:sysClr val="windowText" lastClr="000000"/>
                </a:solidFill>
              </a:rPr>
              <a:t>איור 2 - סך ביצועי פיקדונות שנתיים לפי מגזרי פעילות,כל מגזרי ההצמדה,</a:t>
            </a:r>
          </a:p>
          <a:p>
            <a:pPr>
              <a:defRPr sz="132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solidFill>
                  <a:sysClr val="windowText" lastClr="000000"/>
                </a:solidFill>
              </a:rPr>
              <a:t>2016 עד 2023 </a:t>
            </a:r>
            <a:r>
              <a:rPr lang="he-IL" sz="1100">
                <a:solidFill>
                  <a:sysClr val="windowText" lastClr="000000"/>
                </a:solidFill>
              </a:rPr>
              <a:t>|</a:t>
            </a:r>
            <a:r>
              <a:rPr lang="en-US" sz="1100">
                <a:solidFill>
                  <a:sysClr val="windowText" lastClr="000000"/>
                </a:solidFill>
              </a:rPr>
              <a:t> </a:t>
            </a:r>
            <a:r>
              <a:rPr lang="he-IL" sz="1100">
                <a:solidFill>
                  <a:sysClr val="windowText" lastClr="000000"/>
                </a:solidFill>
              </a:rPr>
              <a:t>מיליארדי ש"ח</a:t>
            </a:r>
          </a:p>
          <a:p>
            <a:pPr>
              <a:defRPr sz="132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endParaRPr lang="he-IL" sz="1100">
              <a:solidFill>
                <a:sysClr val="windowText" lastClr="000000"/>
              </a:solidFill>
            </a:endParaRPr>
          </a:p>
        </c:rich>
      </c:tx>
      <c:layout>
        <c:manualLayout>
          <c:xMode val="edge"/>
          <c:yMode val="edge"/>
          <c:x val="0.12477120229944773"/>
          <c:y val="0"/>
        </c:manualLayout>
      </c:layout>
      <c:overlay val="0"/>
      <c:spPr>
        <a:noFill/>
        <a:ln>
          <a:noFill/>
        </a:ln>
        <a:effectLst/>
      </c:spPr>
    </c:title>
    <c:autoTitleDeleted val="0"/>
    <c:plotArea>
      <c:layout>
        <c:manualLayout>
          <c:layoutTarget val="inner"/>
          <c:xMode val="edge"/>
          <c:yMode val="edge"/>
          <c:x val="1.3132902692484894E-2"/>
          <c:y val="0.22550701688119243"/>
          <c:w val="0.96410256080819345"/>
          <c:h val="0.57274621314103213"/>
        </c:manualLayout>
      </c:layout>
      <c:barChart>
        <c:barDir val="col"/>
        <c:grouping val="stacked"/>
        <c:varyColors val="0"/>
        <c:ser>
          <c:idx val="0"/>
          <c:order val="0"/>
          <c:tx>
            <c:strRef>
              <c:f>Result_99010!$BG$79</c:f>
              <c:strCache>
                <c:ptCount val="1"/>
                <c:pt idx="0">
                  <c:v>בנקאות פרטית ומגזר עסקי</c:v>
                </c:pt>
              </c:strCache>
            </c:strRef>
          </c:tx>
          <c:spPr>
            <a:solidFill>
              <a:schemeClr val="accent6">
                <a:lumMod val="20000"/>
                <a:lumOff val="8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Result_99010!$BH$80:$BH$87</c:f>
              <c:numCache>
                <c:formatCode>@</c:formatCode>
                <c:ptCount val="8"/>
                <c:pt idx="0">
                  <c:v>2016</c:v>
                </c:pt>
                <c:pt idx="1">
                  <c:v>2017</c:v>
                </c:pt>
                <c:pt idx="2">
                  <c:v>2018</c:v>
                </c:pt>
                <c:pt idx="3">
                  <c:v>2019</c:v>
                </c:pt>
                <c:pt idx="4">
                  <c:v>2020</c:v>
                </c:pt>
                <c:pt idx="5">
                  <c:v>2021</c:v>
                </c:pt>
                <c:pt idx="6">
                  <c:v>2022</c:v>
                </c:pt>
                <c:pt idx="7">
                  <c:v>2023</c:v>
                </c:pt>
              </c:numCache>
            </c:numRef>
          </c:cat>
          <c:val>
            <c:numRef>
              <c:f>Result_99010!$BG$80:$BG$87</c:f>
              <c:numCache>
                <c:formatCode>#,##0.00</c:formatCode>
                <c:ptCount val="8"/>
                <c:pt idx="0">
                  <c:v>1570.9904220299998</c:v>
                </c:pt>
                <c:pt idx="1">
                  <c:v>1518.6802143700002</c:v>
                </c:pt>
                <c:pt idx="2">
                  <c:v>1188.1241452799998</c:v>
                </c:pt>
                <c:pt idx="3">
                  <c:v>1102.65332414</c:v>
                </c:pt>
                <c:pt idx="4">
                  <c:v>1221.2828005700001</c:v>
                </c:pt>
                <c:pt idx="5">
                  <c:v>1586.9610911499999</c:v>
                </c:pt>
                <c:pt idx="6">
                  <c:v>2068.8433557200001</c:v>
                </c:pt>
                <c:pt idx="7">
                  <c:v>2576.7319277399997</c:v>
                </c:pt>
              </c:numCache>
            </c:numRef>
          </c:val>
          <c:extLst>
            <c:ext xmlns:c16="http://schemas.microsoft.com/office/drawing/2014/chart" uri="{C3380CC4-5D6E-409C-BE32-E72D297353CC}">
              <c16:uniqueId val="{00000000-08E5-4011-AF10-A5A6B022E996}"/>
            </c:ext>
          </c:extLst>
        </c:ser>
        <c:ser>
          <c:idx val="1"/>
          <c:order val="1"/>
          <c:tx>
            <c:strRef>
              <c:f>Result_99010!$BI$79</c:f>
              <c:strCache>
                <c:ptCount val="1"/>
                <c:pt idx="0">
                  <c:v>משקי בית</c:v>
                </c:pt>
              </c:strCache>
            </c:strRef>
          </c:tx>
          <c:spPr>
            <a:solidFill>
              <a:schemeClr val="accent5">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Result_99010!$BH$80:$BH$87</c:f>
              <c:numCache>
                <c:formatCode>@</c:formatCode>
                <c:ptCount val="8"/>
                <c:pt idx="0">
                  <c:v>2016</c:v>
                </c:pt>
                <c:pt idx="1">
                  <c:v>2017</c:v>
                </c:pt>
                <c:pt idx="2">
                  <c:v>2018</c:v>
                </c:pt>
                <c:pt idx="3">
                  <c:v>2019</c:v>
                </c:pt>
                <c:pt idx="4">
                  <c:v>2020</c:v>
                </c:pt>
                <c:pt idx="5">
                  <c:v>2021</c:v>
                </c:pt>
                <c:pt idx="6">
                  <c:v>2022</c:v>
                </c:pt>
                <c:pt idx="7">
                  <c:v>2023</c:v>
                </c:pt>
              </c:numCache>
            </c:numRef>
          </c:cat>
          <c:val>
            <c:numRef>
              <c:f>Result_99010!$BI$80:$BI$87</c:f>
              <c:numCache>
                <c:formatCode>#,##0.00</c:formatCode>
                <c:ptCount val="8"/>
                <c:pt idx="0">
                  <c:v>384.39277506000002</c:v>
                </c:pt>
                <c:pt idx="1">
                  <c:v>336.96908023000003</c:v>
                </c:pt>
                <c:pt idx="2">
                  <c:v>327.52969901</c:v>
                </c:pt>
                <c:pt idx="3">
                  <c:v>388.45168434999999</c:v>
                </c:pt>
                <c:pt idx="4">
                  <c:v>422.52010048000005</c:v>
                </c:pt>
                <c:pt idx="5">
                  <c:v>358.12741257000005</c:v>
                </c:pt>
                <c:pt idx="6">
                  <c:v>488.18355437000002</c:v>
                </c:pt>
                <c:pt idx="7">
                  <c:v>594.78242011999998</c:v>
                </c:pt>
              </c:numCache>
            </c:numRef>
          </c:val>
          <c:extLst>
            <c:ext xmlns:c16="http://schemas.microsoft.com/office/drawing/2014/chart" uri="{C3380CC4-5D6E-409C-BE32-E72D297353CC}">
              <c16:uniqueId val="{00000001-08E5-4011-AF10-A5A6B022E996}"/>
            </c:ext>
          </c:extLst>
        </c:ser>
        <c:dLbls>
          <c:showLegendKey val="0"/>
          <c:showVal val="0"/>
          <c:showCatName val="0"/>
          <c:showSerName val="0"/>
          <c:showPercent val="0"/>
          <c:showBubbleSize val="0"/>
        </c:dLbls>
        <c:gapWidth val="219"/>
        <c:overlap val="100"/>
        <c:axId val="150182528"/>
        <c:axId val="150212992"/>
      </c:barChart>
      <c:lineChart>
        <c:grouping val="standard"/>
        <c:varyColors val="0"/>
        <c:ser>
          <c:idx val="2"/>
          <c:order val="2"/>
          <c:tx>
            <c:strRef>
              <c:f>Result_99010!$BJ$79</c:f>
              <c:strCache>
                <c:ptCount val="1"/>
                <c:pt idx="0">
                  <c:v>סה"כ (ללא מוסדיים)</c:v>
                </c:pt>
              </c:strCache>
            </c:strRef>
          </c:tx>
          <c:spPr>
            <a:ln w="28575" cap="rnd">
              <a:solidFill>
                <a:schemeClr val="tx1"/>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Result_99010!$BJ$80:$BJ$87</c:f>
              <c:numCache>
                <c:formatCode>#,##0.00</c:formatCode>
                <c:ptCount val="8"/>
                <c:pt idx="0">
                  <c:v>1955.3831970899998</c:v>
                </c:pt>
                <c:pt idx="1">
                  <c:v>1855.6492946000003</c:v>
                </c:pt>
                <c:pt idx="2">
                  <c:v>1515.6538442899998</c:v>
                </c:pt>
                <c:pt idx="3">
                  <c:v>1491.10500849</c:v>
                </c:pt>
                <c:pt idx="4">
                  <c:v>1643.8029010500002</c:v>
                </c:pt>
                <c:pt idx="5">
                  <c:v>1945.0885037200001</c:v>
                </c:pt>
                <c:pt idx="6">
                  <c:v>2557.02691009</c:v>
                </c:pt>
                <c:pt idx="7">
                  <c:v>3171.5143478599998</c:v>
                </c:pt>
              </c:numCache>
            </c:numRef>
          </c:val>
          <c:smooth val="0"/>
          <c:extLst>
            <c:ext xmlns:c16="http://schemas.microsoft.com/office/drawing/2014/chart" uri="{C3380CC4-5D6E-409C-BE32-E72D297353CC}">
              <c16:uniqueId val="{00000002-08E5-4011-AF10-A5A6B022E996}"/>
            </c:ext>
          </c:extLst>
        </c:ser>
        <c:dLbls>
          <c:showLegendKey val="0"/>
          <c:showVal val="0"/>
          <c:showCatName val="0"/>
          <c:showSerName val="0"/>
          <c:showPercent val="0"/>
          <c:showBubbleSize val="0"/>
        </c:dLbls>
        <c:marker val="1"/>
        <c:smooth val="0"/>
        <c:axId val="150216064"/>
        <c:axId val="150214528"/>
      </c:lineChart>
      <c:catAx>
        <c:axId val="150182528"/>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0212992"/>
        <c:crosses val="autoZero"/>
        <c:auto val="1"/>
        <c:lblAlgn val="ctr"/>
        <c:lblOffset val="100"/>
        <c:noMultiLvlLbl val="0"/>
      </c:catAx>
      <c:valAx>
        <c:axId val="150212992"/>
        <c:scaling>
          <c:orientation val="minMax"/>
        </c:scaling>
        <c:delete val="0"/>
        <c:axPos val="l"/>
        <c:numFmt formatCode="#,##0.00" sourceLinked="1"/>
        <c:majorTickMark val="none"/>
        <c:minorTickMark val="none"/>
        <c:tickLblPos val="none"/>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ssistant" panose="00000500000000000000" pitchFamily="2" charset="-79"/>
                <a:ea typeface="+mn-ea"/>
                <a:cs typeface="Assistant" panose="00000500000000000000" pitchFamily="2" charset="-79"/>
              </a:defRPr>
            </a:pPr>
            <a:endParaRPr lang="en-IL"/>
          </a:p>
        </c:txPr>
        <c:crossAx val="150182528"/>
        <c:crosses val="autoZero"/>
        <c:crossBetween val="between"/>
      </c:valAx>
      <c:valAx>
        <c:axId val="150214528"/>
        <c:scaling>
          <c:orientation val="minMax"/>
        </c:scaling>
        <c:delete val="0"/>
        <c:axPos val="r"/>
        <c:numFmt formatCode="#,##0.00" sourceLinked="1"/>
        <c:majorTickMark val="none"/>
        <c:minorTickMark val="none"/>
        <c:tickLblPos val="none"/>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ssistant" panose="00000500000000000000" pitchFamily="2" charset="-79"/>
                <a:ea typeface="+mn-ea"/>
                <a:cs typeface="Assistant" panose="00000500000000000000" pitchFamily="2" charset="-79"/>
              </a:defRPr>
            </a:pPr>
            <a:endParaRPr lang="en-IL"/>
          </a:p>
        </c:txPr>
        <c:crossAx val="150216064"/>
        <c:crosses val="max"/>
        <c:crossBetween val="between"/>
      </c:valAx>
      <c:catAx>
        <c:axId val="150216064"/>
        <c:scaling>
          <c:orientation val="minMax"/>
        </c:scaling>
        <c:delete val="1"/>
        <c:axPos val="b"/>
        <c:majorTickMark val="out"/>
        <c:minorTickMark val="none"/>
        <c:tickLblPos val="nextTo"/>
        <c:crossAx val="150214528"/>
        <c:crosses val="autoZero"/>
        <c:auto val="1"/>
        <c:lblAlgn val="ctr"/>
        <c:lblOffset val="100"/>
        <c:noMultiLvlLbl val="0"/>
      </c:catAx>
      <c:spPr>
        <a:noFill/>
        <a:ln>
          <a:noFill/>
        </a:ln>
        <a:effectLst/>
      </c:spPr>
    </c:plotArea>
    <c:legend>
      <c:legendPos val="b"/>
      <c:layout>
        <c:manualLayout>
          <c:xMode val="edge"/>
          <c:yMode val="edge"/>
          <c:x val="7.3570950512958089E-2"/>
          <c:y val="0.14167853095853797"/>
          <c:w val="0.86730529680659652"/>
          <c:h val="0.1064764918588227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legend>
    <c:plotVisOnly val="1"/>
    <c:dispBlanksAs val="gap"/>
    <c:showDLblsOverMax val="0"/>
  </c:chart>
  <c:spPr>
    <a:solidFill>
      <a:schemeClr val="bg1"/>
    </a:solidFill>
    <a:ln w="9525" cap="flat" cmpd="sng" algn="ctr">
      <a:noFill/>
      <a:round/>
    </a:ln>
    <a:effectLst/>
  </c:spPr>
  <c:txPr>
    <a:bodyPr/>
    <a:lstStyle/>
    <a:p>
      <a:pPr>
        <a:defRPr sz="1100">
          <a:latin typeface="Assistant" panose="00000500000000000000" pitchFamily="2" charset="-79"/>
          <a:cs typeface="Assistant" panose="00000500000000000000" pitchFamily="2" charset="-79"/>
        </a:defRPr>
      </a:pPr>
      <a:endParaRPr lang="en-IL"/>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t>איור 3 - שיעור של פיקדונות נושאי ריבית של פרטיים במט"י לא צמוד,</a:t>
            </a:r>
          </a:p>
          <a:p>
            <a:pPr>
              <a:defRPr sz="11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t>מרץ 2023 עד פברואר 2024 </a:t>
            </a:r>
            <a:r>
              <a:rPr lang="he-IL" sz="1100" b="0"/>
              <a:t>|</a:t>
            </a:r>
            <a:r>
              <a:rPr lang="en-US" sz="1100" b="0"/>
              <a:t> </a:t>
            </a:r>
            <a:r>
              <a:rPr lang="he-IL" sz="1100" b="0"/>
              <a:t>אחוזים </a:t>
            </a:r>
          </a:p>
        </c:rich>
      </c:tx>
      <c:layout>
        <c:manualLayout>
          <c:xMode val="edge"/>
          <c:yMode val="edge"/>
          <c:x val="0.17601582007883496"/>
          <c:y val="3.9752693509872441E-4"/>
        </c:manualLayout>
      </c:layout>
      <c:overlay val="0"/>
      <c:spPr>
        <a:noFill/>
        <a:ln>
          <a:noFill/>
        </a:ln>
        <a:effectLst/>
      </c:spPr>
    </c:title>
    <c:autoTitleDeleted val="0"/>
    <c:plotArea>
      <c:layout>
        <c:manualLayout>
          <c:layoutTarget val="inner"/>
          <c:xMode val="edge"/>
          <c:yMode val="edge"/>
          <c:x val="3.4954524857279907E-2"/>
          <c:y val="0.21017127406794062"/>
          <c:w val="0.93699213736014764"/>
          <c:h val="0.60599508290967741"/>
        </c:manualLayout>
      </c:layout>
      <c:lineChart>
        <c:grouping val="standard"/>
        <c:varyColors val="0"/>
        <c:ser>
          <c:idx val="0"/>
          <c:order val="0"/>
          <c:spPr>
            <a:ln w="28575" cap="rnd">
              <a:solidFill>
                <a:srgbClr val="002060"/>
              </a:solidFill>
              <a:round/>
            </a:ln>
            <a:effectLst/>
          </c:spPr>
          <c:marker>
            <c:symbol val="none"/>
          </c:marker>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פרטיים!$I$9:$I$20</c:f>
              <c:numCache>
                <c:formatCode>m/d/yyyy</c:formatCode>
                <c:ptCount val="12"/>
                <c:pt idx="0">
                  <c:v>45016</c:v>
                </c:pt>
                <c:pt idx="1">
                  <c:v>45046</c:v>
                </c:pt>
                <c:pt idx="2">
                  <c:v>45077</c:v>
                </c:pt>
                <c:pt idx="3">
                  <c:v>45107</c:v>
                </c:pt>
                <c:pt idx="4">
                  <c:v>45138</c:v>
                </c:pt>
                <c:pt idx="5">
                  <c:v>45169</c:v>
                </c:pt>
                <c:pt idx="6">
                  <c:v>45199</c:v>
                </c:pt>
                <c:pt idx="7">
                  <c:v>45230</c:v>
                </c:pt>
                <c:pt idx="8">
                  <c:v>45260</c:v>
                </c:pt>
                <c:pt idx="9">
                  <c:v>45291</c:v>
                </c:pt>
                <c:pt idx="10">
                  <c:v>45322</c:v>
                </c:pt>
                <c:pt idx="11">
                  <c:v>45351</c:v>
                </c:pt>
              </c:numCache>
            </c:numRef>
          </c:cat>
          <c:val>
            <c:numRef>
              <c:f>פרטיים!$N$9:$N$20</c:f>
              <c:numCache>
                <c:formatCode>0.0%</c:formatCode>
                <c:ptCount val="12"/>
                <c:pt idx="0">
                  <c:v>0.52567085782396128</c:v>
                </c:pt>
                <c:pt idx="1">
                  <c:v>0.53392941702108432</c:v>
                </c:pt>
                <c:pt idx="2">
                  <c:v>0.54578520605485792</c:v>
                </c:pt>
                <c:pt idx="3">
                  <c:v>0.56060644237851942</c:v>
                </c:pt>
                <c:pt idx="4">
                  <c:v>0.57100249845372242</c:v>
                </c:pt>
                <c:pt idx="5">
                  <c:v>0.58108598662424582</c:v>
                </c:pt>
                <c:pt idx="6">
                  <c:v>0.58614172727628566</c:v>
                </c:pt>
                <c:pt idx="7">
                  <c:v>0.5855858773885988</c:v>
                </c:pt>
                <c:pt idx="8">
                  <c:v>0.58823925583117564</c:v>
                </c:pt>
                <c:pt idx="9">
                  <c:v>0.5876444464614442</c:v>
                </c:pt>
                <c:pt idx="10">
                  <c:v>0.59065154536204012</c:v>
                </c:pt>
                <c:pt idx="11">
                  <c:v>0.59082542699959384</c:v>
                </c:pt>
              </c:numCache>
            </c:numRef>
          </c:val>
          <c:smooth val="0"/>
          <c:extLst>
            <c:ext xmlns:c16="http://schemas.microsoft.com/office/drawing/2014/chart" uri="{C3380CC4-5D6E-409C-BE32-E72D297353CC}">
              <c16:uniqueId val="{00000000-ADA1-4AAA-B4C7-A01B2062F7AD}"/>
            </c:ext>
          </c:extLst>
        </c:ser>
        <c:dLbls>
          <c:showLegendKey val="0"/>
          <c:showVal val="0"/>
          <c:showCatName val="0"/>
          <c:showSerName val="0"/>
          <c:showPercent val="0"/>
          <c:showBubbleSize val="0"/>
        </c:dLbls>
        <c:smooth val="0"/>
        <c:axId val="150262528"/>
        <c:axId val="150264064"/>
      </c:lineChart>
      <c:dateAx>
        <c:axId val="150262528"/>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0264064"/>
        <c:crosses val="autoZero"/>
        <c:auto val="1"/>
        <c:lblOffset val="100"/>
        <c:baseTimeUnit val="months"/>
      </c:dateAx>
      <c:valAx>
        <c:axId val="150264064"/>
        <c:scaling>
          <c:orientation val="minMax"/>
          <c:min val="0.52"/>
        </c:scaling>
        <c:delete val="1"/>
        <c:axPos val="l"/>
        <c:numFmt formatCode="0%" sourceLinked="0"/>
        <c:majorTickMark val="none"/>
        <c:minorTickMark val="none"/>
        <c:tickLblPos val="nextTo"/>
        <c:crossAx val="150262528"/>
        <c:crosses val="autoZero"/>
        <c:crossBetween val="between"/>
        <c:majorUnit val="2.0000000000000004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ssistant" panose="00000500000000000000" pitchFamily="2" charset="-79"/>
          <a:cs typeface="Assistant" panose="00000500000000000000" pitchFamily="2" charset="-79"/>
        </a:defRPr>
      </a:pPr>
      <a:endParaRPr lang="en-IL"/>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t>איור 5 - התפלגות ביצועי פיקדונות משקי בית לפי תקופת הפיקדון, ינואר 2023 - מרץ 2024</a:t>
            </a:r>
            <a:r>
              <a:rPr lang="he-IL" sz="1100"/>
              <a:t>| אחוזים</a:t>
            </a:r>
          </a:p>
        </c:rich>
      </c:tx>
      <c:layout>
        <c:manualLayout>
          <c:xMode val="edge"/>
          <c:yMode val="edge"/>
          <c:x val="0.10683186915685128"/>
          <c:y val="0"/>
        </c:manualLayout>
      </c:layout>
      <c:overlay val="0"/>
      <c:spPr>
        <a:noFill/>
        <a:ln>
          <a:noFill/>
        </a:ln>
        <a:effectLst/>
      </c:spPr>
    </c:title>
    <c:autoTitleDeleted val="0"/>
    <c:plotArea>
      <c:layout>
        <c:manualLayout>
          <c:layoutTarget val="inner"/>
          <c:xMode val="edge"/>
          <c:yMode val="edge"/>
          <c:x val="8.1985379926682714E-2"/>
          <c:y val="0.26103500503297306"/>
          <c:w val="0.92342736659552449"/>
          <c:h val="0.4122612630410446"/>
        </c:manualLayout>
      </c:layout>
      <c:barChart>
        <c:barDir val="col"/>
        <c:grouping val="stacked"/>
        <c:varyColors val="0"/>
        <c:ser>
          <c:idx val="0"/>
          <c:order val="0"/>
          <c:tx>
            <c:strRef>
              <c:f>סיכום!$B$42</c:f>
              <c:strCache>
                <c:ptCount val="1"/>
                <c:pt idx="0">
                  <c:v>עד חודש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סיכום!$A$44:$A$58</c:f>
              <c:numCache>
                <c:formatCode>m/d/yyyy</c:formatCode>
                <c:ptCount val="15"/>
                <c:pt idx="0">
                  <c:v>44957</c:v>
                </c:pt>
                <c:pt idx="1">
                  <c:v>44985</c:v>
                </c:pt>
                <c:pt idx="2">
                  <c:v>45016</c:v>
                </c:pt>
                <c:pt idx="3">
                  <c:v>45046</c:v>
                </c:pt>
                <c:pt idx="4">
                  <c:v>45077</c:v>
                </c:pt>
                <c:pt idx="5">
                  <c:v>45107</c:v>
                </c:pt>
                <c:pt idx="6">
                  <c:v>45138</c:v>
                </c:pt>
                <c:pt idx="7">
                  <c:v>45169</c:v>
                </c:pt>
                <c:pt idx="8">
                  <c:v>45199</c:v>
                </c:pt>
                <c:pt idx="9">
                  <c:v>45230</c:v>
                </c:pt>
                <c:pt idx="10">
                  <c:v>45260</c:v>
                </c:pt>
                <c:pt idx="11">
                  <c:v>45291</c:v>
                </c:pt>
                <c:pt idx="12">
                  <c:v>45322</c:v>
                </c:pt>
                <c:pt idx="13">
                  <c:v>45351</c:v>
                </c:pt>
                <c:pt idx="14">
                  <c:v>45382</c:v>
                </c:pt>
              </c:numCache>
            </c:numRef>
          </c:cat>
          <c:val>
            <c:numRef>
              <c:f>סיכום!$B$44:$B$58</c:f>
              <c:numCache>
                <c:formatCode>0%</c:formatCode>
                <c:ptCount val="15"/>
                <c:pt idx="0">
                  <c:v>0.40811036527687511</c:v>
                </c:pt>
                <c:pt idx="1">
                  <c:v>0.43232062436174973</c:v>
                </c:pt>
                <c:pt idx="2">
                  <c:v>0.19895926140368958</c:v>
                </c:pt>
                <c:pt idx="3">
                  <c:v>0.30156574434056421</c:v>
                </c:pt>
                <c:pt idx="4">
                  <c:v>0.29413448425219829</c:v>
                </c:pt>
                <c:pt idx="5">
                  <c:v>0.22199898302120605</c:v>
                </c:pt>
                <c:pt idx="6">
                  <c:v>0.2713937373896334</c:v>
                </c:pt>
                <c:pt idx="7">
                  <c:v>0.30665472569493485</c:v>
                </c:pt>
                <c:pt idx="8">
                  <c:v>0.50835982412257441</c:v>
                </c:pt>
                <c:pt idx="9">
                  <c:v>0.44551072819114534</c:v>
                </c:pt>
                <c:pt idx="10">
                  <c:v>0.43514049002609162</c:v>
                </c:pt>
                <c:pt idx="11">
                  <c:v>0.52796264582933017</c:v>
                </c:pt>
                <c:pt idx="12">
                  <c:v>0.45301610683143512</c:v>
                </c:pt>
                <c:pt idx="13">
                  <c:v>0.48738469077012908</c:v>
                </c:pt>
                <c:pt idx="14">
                  <c:v>0.44137179157174639</c:v>
                </c:pt>
              </c:numCache>
            </c:numRef>
          </c:val>
          <c:extLst>
            <c:ext xmlns:c16="http://schemas.microsoft.com/office/drawing/2014/chart" uri="{C3380CC4-5D6E-409C-BE32-E72D297353CC}">
              <c16:uniqueId val="{00000000-684F-4314-96F5-6CF7CB635C7A}"/>
            </c:ext>
          </c:extLst>
        </c:ser>
        <c:ser>
          <c:idx val="2"/>
          <c:order val="1"/>
          <c:tx>
            <c:strRef>
              <c:f>סיכום!$G$42</c:f>
              <c:strCache>
                <c:ptCount val="1"/>
                <c:pt idx="0">
                  <c:v>מחודש ועד שנה</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סיכום!$A$44:$A$58</c:f>
              <c:numCache>
                <c:formatCode>m/d/yyyy</c:formatCode>
                <c:ptCount val="15"/>
                <c:pt idx="0">
                  <c:v>44957</c:v>
                </c:pt>
                <c:pt idx="1">
                  <c:v>44985</c:v>
                </c:pt>
                <c:pt idx="2">
                  <c:v>45016</c:v>
                </c:pt>
                <c:pt idx="3">
                  <c:v>45046</c:v>
                </c:pt>
                <c:pt idx="4">
                  <c:v>45077</c:v>
                </c:pt>
                <c:pt idx="5">
                  <c:v>45107</c:v>
                </c:pt>
                <c:pt idx="6">
                  <c:v>45138</c:v>
                </c:pt>
                <c:pt idx="7">
                  <c:v>45169</c:v>
                </c:pt>
                <c:pt idx="8">
                  <c:v>45199</c:v>
                </c:pt>
                <c:pt idx="9">
                  <c:v>45230</c:v>
                </c:pt>
                <c:pt idx="10">
                  <c:v>45260</c:v>
                </c:pt>
                <c:pt idx="11">
                  <c:v>45291</c:v>
                </c:pt>
                <c:pt idx="12">
                  <c:v>45322</c:v>
                </c:pt>
                <c:pt idx="13">
                  <c:v>45351</c:v>
                </c:pt>
                <c:pt idx="14">
                  <c:v>45382</c:v>
                </c:pt>
              </c:numCache>
            </c:numRef>
          </c:cat>
          <c:val>
            <c:numRef>
              <c:f>סיכום!$G$44:$G$58</c:f>
              <c:numCache>
                <c:formatCode>0%</c:formatCode>
                <c:ptCount val="15"/>
                <c:pt idx="0">
                  <c:v>0.37047811144383519</c:v>
                </c:pt>
                <c:pt idx="1">
                  <c:v>0.36392294832909267</c:v>
                </c:pt>
                <c:pt idx="2">
                  <c:v>0.58325899797825231</c:v>
                </c:pt>
                <c:pt idx="3">
                  <c:v>0.43862561727836391</c:v>
                </c:pt>
                <c:pt idx="4">
                  <c:v>0.43985369270484032</c:v>
                </c:pt>
                <c:pt idx="5">
                  <c:v>0.58060107639391312</c:v>
                </c:pt>
                <c:pt idx="6">
                  <c:v>0.51212718727252049</c:v>
                </c:pt>
                <c:pt idx="7">
                  <c:v>0.53182037399207116</c:v>
                </c:pt>
                <c:pt idx="8">
                  <c:v>0.38135261244833579</c:v>
                </c:pt>
                <c:pt idx="9">
                  <c:v>0.4428331716487296</c:v>
                </c:pt>
                <c:pt idx="10">
                  <c:v>0.43454754469481033</c:v>
                </c:pt>
                <c:pt idx="11">
                  <c:v>0.37831897019603894</c:v>
                </c:pt>
                <c:pt idx="12">
                  <c:v>0.44598878673885334</c:v>
                </c:pt>
                <c:pt idx="13">
                  <c:v>0.40959642481854769</c:v>
                </c:pt>
                <c:pt idx="14">
                  <c:v>0.48324925583012268</c:v>
                </c:pt>
              </c:numCache>
            </c:numRef>
          </c:val>
          <c:extLst>
            <c:ext xmlns:c16="http://schemas.microsoft.com/office/drawing/2014/chart" uri="{C3380CC4-5D6E-409C-BE32-E72D297353CC}">
              <c16:uniqueId val="{00000001-684F-4314-96F5-6CF7CB635C7A}"/>
            </c:ext>
          </c:extLst>
        </c:ser>
        <c:ser>
          <c:idx val="4"/>
          <c:order val="2"/>
          <c:tx>
            <c:strRef>
              <c:f>סיכום!$F$42</c:f>
              <c:strCache>
                <c:ptCount val="1"/>
                <c:pt idx="0">
                  <c:v>שנה ומעלה</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סיכום!$A$44:$A$58</c:f>
              <c:numCache>
                <c:formatCode>m/d/yyyy</c:formatCode>
                <c:ptCount val="15"/>
                <c:pt idx="0">
                  <c:v>44957</c:v>
                </c:pt>
                <c:pt idx="1">
                  <c:v>44985</c:v>
                </c:pt>
                <c:pt idx="2">
                  <c:v>45016</c:v>
                </c:pt>
                <c:pt idx="3">
                  <c:v>45046</c:v>
                </c:pt>
                <c:pt idx="4">
                  <c:v>45077</c:v>
                </c:pt>
                <c:pt idx="5">
                  <c:v>45107</c:v>
                </c:pt>
                <c:pt idx="6">
                  <c:v>45138</c:v>
                </c:pt>
                <c:pt idx="7">
                  <c:v>45169</c:v>
                </c:pt>
                <c:pt idx="8">
                  <c:v>45199</c:v>
                </c:pt>
                <c:pt idx="9">
                  <c:v>45230</c:v>
                </c:pt>
                <c:pt idx="10">
                  <c:v>45260</c:v>
                </c:pt>
                <c:pt idx="11">
                  <c:v>45291</c:v>
                </c:pt>
                <c:pt idx="12">
                  <c:v>45322</c:v>
                </c:pt>
                <c:pt idx="13">
                  <c:v>45351</c:v>
                </c:pt>
                <c:pt idx="14">
                  <c:v>45382</c:v>
                </c:pt>
              </c:numCache>
            </c:numRef>
          </c:cat>
          <c:val>
            <c:numRef>
              <c:f>סיכום!$F$44:$F$58</c:f>
              <c:numCache>
                <c:formatCode>0%</c:formatCode>
                <c:ptCount val="15"/>
                <c:pt idx="0">
                  <c:v>0.22141152345158172</c:v>
                </c:pt>
                <c:pt idx="1">
                  <c:v>0.20375642772798525</c:v>
                </c:pt>
                <c:pt idx="2">
                  <c:v>0.21778175826340351</c:v>
                </c:pt>
                <c:pt idx="3">
                  <c:v>0.25980863838107199</c:v>
                </c:pt>
                <c:pt idx="4">
                  <c:v>0.26601184800120758</c:v>
                </c:pt>
                <c:pt idx="5">
                  <c:v>0.19739992152693811</c:v>
                </c:pt>
                <c:pt idx="6">
                  <c:v>0.21647905154996058</c:v>
                </c:pt>
                <c:pt idx="7">
                  <c:v>0.16152487604602769</c:v>
                </c:pt>
                <c:pt idx="8">
                  <c:v>0.11028756553205282</c:v>
                </c:pt>
                <c:pt idx="9">
                  <c:v>0.11165610016012496</c:v>
                </c:pt>
                <c:pt idx="10">
                  <c:v>0.13031194068699622</c:v>
                </c:pt>
                <c:pt idx="11">
                  <c:v>9.3718363261478227E-2</c:v>
                </c:pt>
                <c:pt idx="12">
                  <c:v>0.10099510394016883</c:v>
                </c:pt>
                <c:pt idx="13">
                  <c:v>0.10301885914427761</c:v>
                </c:pt>
                <c:pt idx="14">
                  <c:v>7.5378952598130919E-2</c:v>
                </c:pt>
              </c:numCache>
            </c:numRef>
          </c:val>
          <c:extLst>
            <c:ext xmlns:c16="http://schemas.microsoft.com/office/drawing/2014/chart" uri="{C3380CC4-5D6E-409C-BE32-E72D297353CC}">
              <c16:uniqueId val="{00000002-684F-4314-96F5-6CF7CB635C7A}"/>
            </c:ext>
          </c:extLst>
        </c:ser>
        <c:dLbls>
          <c:showLegendKey val="0"/>
          <c:showVal val="0"/>
          <c:showCatName val="0"/>
          <c:showSerName val="0"/>
          <c:showPercent val="0"/>
          <c:showBubbleSize val="0"/>
        </c:dLbls>
        <c:gapWidth val="150"/>
        <c:overlap val="100"/>
        <c:axId val="150419712"/>
        <c:axId val="150441984"/>
      </c:barChart>
      <c:dateAx>
        <c:axId val="150419712"/>
        <c:scaling>
          <c:orientation val="minMax"/>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0441984"/>
        <c:crosses val="autoZero"/>
        <c:auto val="1"/>
        <c:lblOffset val="100"/>
        <c:baseTimeUnit val="months"/>
      </c:dateAx>
      <c:valAx>
        <c:axId val="150441984"/>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0419712"/>
        <c:crosses val="autoZero"/>
        <c:crossBetween val="between"/>
      </c:valAx>
      <c:spPr>
        <a:noFill/>
        <a:ln>
          <a:noFill/>
        </a:ln>
        <a:effectLst/>
      </c:spPr>
    </c:plotArea>
    <c:legend>
      <c:legendPos val="b"/>
      <c:layout>
        <c:manualLayout>
          <c:xMode val="edge"/>
          <c:yMode val="edge"/>
          <c:x val="0.26567753410988915"/>
          <c:y val="0.15190020602263427"/>
          <c:w val="0.52809249257066004"/>
          <c:h val="6.920061915337505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Assistant" panose="00000500000000000000" pitchFamily="2" charset="-79"/>
          <a:cs typeface="Assistant" panose="00000500000000000000" pitchFamily="2" charset="-79"/>
        </a:defRPr>
      </a:pPr>
      <a:endParaRPr lang="en-IL"/>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t>איור 6 - תמסורת ריבית בנק ישראל לריבית פיקדונות משקי בית לפי תקופת הפיקדון, ינואר 2023 עד</a:t>
            </a:r>
            <a:r>
              <a:rPr lang="he-IL" sz="1100" b="1" baseline="0"/>
              <a:t> מרץ 2024</a:t>
            </a:r>
            <a:r>
              <a:rPr lang="he-IL" sz="1100" b="1"/>
              <a:t> </a:t>
            </a:r>
            <a:r>
              <a:rPr lang="he-IL" sz="1100" b="0"/>
              <a:t>| אחוזים </a:t>
            </a:r>
          </a:p>
        </c:rich>
      </c:tx>
      <c:layout>
        <c:manualLayout>
          <c:xMode val="edge"/>
          <c:yMode val="edge"/>
          <c:x val="0.10461216634591247"/>
          <c:y val="0"/>
        </c:manualLayout>
      </c:layout>
      <c:overlay val="0"/>
      <c:spPr>
        <a:noFill/>
        <a:ln>
          <a:noFill/>
        </a:ln>
        <a:effectLst/>
      </c:spPr>
    </c:title>
    <c:autoTitleDeleted val="0"/>
    <c:plotArea>
      <c:layout>
        <c:manualLayout>
          <c:layoutTarget val="inner"/>
          <c:xMode val="edge"/>
          <c:yMode val="edge"/>
          <c:x val="6.9682546885062091E-2"/>
          <c:y val="0.20858576003895382"/>
          <c:w val="0.91215409496614941"/>
          <c:h val="0.48272306332460246"/>
        </c:manualLayout>
      </c:layout>
      <c:lineChart>
        <c:grouping val="standard"/>
        <c:varyColors val="0"/>
        <c:ser>
          <c:idx val="0"/>
          <c:order val="0"/>
          <c:tx>
            <c:strRef>
              <c:f>סיכום!$J$60</c:f>
              <c:strCache>
                <c:ptCount val="1"/>
                <c:pt idx="0">
                  <c:v>עד חודש</c:v>
                </c:pt>
              </c:strCache>
            </c:strRef>
          </c:tx>
          <c:spPr>
            <a:ln w="28575" cap="rnd">
              <a:solidFill>
                <a:schemeClr val="accent1"/>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94-4C33-A650-E1E218A3AE25}"/>
                </c:ext>
              </c:extLst>
            </c:dLbl>
            <c:dLbl>
              <c:idx val="1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94-4C33-A650-E1E218A3AE25}"/>
                </c:ext>
              </c:extLst>
            </c:dLbl>
            <c:dLbl>
              <c:idx val="1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94-4C33-A650-E1E218A3AE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solidFill>
                    <a:latin typeface="Assistant" panose="00000500000000000000" pitchFamily="2" charset="-79"/>
                    <a:ea typeface="+mn-ea"/>
                    <a:cs typeface="Assistant" panose="00000500000000000000" pitchFamily="2" charset="-79"/>
                  </a:defRPr>
                </a:pPr>
                <a:endParaRPr lang="en-IL"/>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סיכום!$I$62:$I$76</c:f>
              <c:numCache>
                <c:formatCode>m/d/yyyy</c:formatCode>
                <c:ptCount val="15"/>
                <c:pt idx="0">
                  <c:v>44957</c:v>
                </c:pt>
                <c:pt idx="1">
                  <c:v>44985</c:v>
                </c:pt>
                <c:pt idx="2">
                  <c:v>45016</c:v>
                </c:pt>
                <c:pt idx="3">
                  <c:v>45046</c:v>
                </c:pt>
                <c:pt idx="4">
                  <c:v>45077</c:v>
                </c:pt>
                <c:pt idx="5">
                  <c:v>45107</c:v>
                </c:pt>
                <c:pt idx="6">
                  <c:v>45138</c:v>
                </c:pt>
                <c:pt idx="7">
                  <c:v>45169</c:v>
                </c:pt>
                <c:pt idx="8">
                  <c:v>45199</c:v>
                </c:pt>
                <c:pt idx="9">
                  <c:v>45230</c:v>
                </c:pt>
                <c:pt idx="10">
                  <c:v>45260</c:v>
                </c:pt>
                <c:pt idx="11">
                  <c:v>45291</c:v>
                </c:pt>
                <c:pt idx="12">
                  <c:v>45322</c:v>
                </c:pt>
                <c:pt idx="13">
                  <c:v>45351</c:v>
                </c:pt>
                <c:pt idx="14">
                  <c:v>45382</c:v>
                </c:pt>
              </c:numCache>
            </c:numRef>
          </c:cat>
          <c:val>
            <c:numRef>
              <c:f>סיכום!$J$62:$J$76</c:f>
              <c:numCache>
                <c:formatCode>0%</c:formatCode>
                <c:ptCount val="15"/>
                <c:pt idx="0">
                  <c:v>0.45425072073710121</c:v>
                </c:pt>
                <c:pt idx="1">
                  <c:v>0.48378745560048314</c:v>
                </c:pt>
                <c:pt idx="2">
                  <c:v>0.50356867197964372</c:v>
                </c:pt>
                <c:pt idx="3">
                  <c:v>0.50900965493733341</c:v>
                </c:pt>
                <c:pt idx="4">
                  <c:v>0.50473179791631984</c:v>
                </c:pt>
                <c:pt idx="5">
                  <c:v>0.51380942527978202</c:v>
                </c:pt>
                <c:pt idx="6">
                  <c:v>0.51954342280689325</c:v>
                </c:pt>
                <c:pt idx="7">
                  <c:v>0.54755193866346219</c:v>
                </c:pt>
                <c:pt idx="8">
                  <c:v>0.53031063645708398</c:v>
                </c:pt>
                <c:pt idx="9">
                  <c:v>0.53036561383597425</c:v>
                </c:pt>
                <c:pt idx="10">
                  <c:v>0.50844843418869268</c:v>
                </c:pt>
                <c:pt idx="11">
                  <c:v>0.53330676618259665</c:v>
                </c:pt>
                <c:pt idx="12">
                  <c:v>0.52439345953738292</c:v>
                </c:pt>
                <c:pt idx="13">
                  <c:v>0.51155704488211384</c:v>
                </c:pt>
                <c:pt idx="14">
                  <c:v>0.49057057245447455</c:v>
                </c:pt>
              </c:numCache>
            </c:numRef>
          </c:val>
          <c:smooth val="0"/>
          <c:extLst>
            <c:ext xmlns:c16="http://schemas.microsoft.com/office/drawing/2014/chart" uri="{C3380CC4-5D6E-409C-BE32-E72D297353CC}">
              <c16:uniqueId val="{00000003-A594-4C33-A650-E1E218A3AE25}"/>
            </c:ext>
          </c:extLst>
        </c:ser>
        <c:ser>
          <c:idx val="2"/>
          <c:order val="1"/>
          <c:tx>
            <c:strRef>
              <c:f>סיכום!$G$42</c:f>
              <c:strCache>
                <c:ptCount val="1"/>
                <c:pt idx="0">
                  <c:v>מחודש ועד שנה</c:v>
                </c:pt>
              </c:strCache>
            </c:strRef>
          </c:tx>
          <c:spPr>
            <a:ln w="28575" cap="rnd">
              <a:solidFill>
                <a:schemeClr val="accent3"/>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94-4C33-A650-E1E218A3AE25}"/>
                </c:ext>
              </c:extLst>
            </c:dLbl>
            <c:dLbl>
              <c:idx val="11"/>
              <c:layout>
                <c:manualLayout>
                  <c:x val="-1.0465097835042216E-2"/>
                  <c:y val="-3.96581168857497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94-4C33-A650-E1E218A3AE25}"/>
                </c:ext>
              </c:extLst>
            </c:dLbl>
            <c:dLbl>
              <c:idx val="1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94-4C33-A650-E1E218A3AE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92D050"/>
                    </a:solidFill>
                    <a:latin typeface="Assistant" panose="00000500000000000000" pitchFamily="2" charset="-79"/>
                    <a:ea typeface="+mn-ea"/>
                    <a:cs typeface="Assistant" panose="00000500000000000000" pitchFamily="2" charset="-79"/>
                  </a:defRPr>
                </a:pPr>
                <a:endParaRPr lang="en-I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סיכום!$I$62:$I$76</c:f>
              <c:numCache>
                <c:formatCode>m/d/yyyy</c:formatCode>
                <c:ptCount val="15"/>
                <c:pt idx="0">
                  <c:v>44957</c:v>
                </c:pt>
                <c:pt idx="1">
                  <c:v>44985</c:v>
                </c:pt>
                <c:pt idx="2">
                  <c:v>45016</c:v>
                </c:pt>
                <c:pt idx="3">
                  <c:v>45046</c:v>
                </c:pt>
                <c:pt idx="4">
                  <c:v>45077</c:v>
                </c:pt>
                <c:pt idx="5">
                  <c:v>45107</c:v>
                </c:pt>
                <c:pt idx="6">
                  <c:v>45138</c:v>
                </c:pt>
                <c:pt idx="7">
                  <c:v>45169</c:v>
                </c:pt>
                <c:pt idx="8">
                  <c:v>45199</c:v>
                </c:pt>
                <c:pt idx="9">
                  <c:v>45230</c:v>
                </c:pt>
                <c:pt idx="10">
                  <c:v>45260</c:v>
                </c:pt>
                <c:pt idx="11">
                  <c:v>45291</c:v>
                </c:pt>
                <c:pt idx="12">
                  <c:v>45322</c:v>
                </c:pt>
                <c:pt idx="13">
                  <c:v>45351</c:v>
                </c:pt>
                <c:pt idx="14">
                  <c:v>45382</c:v>
                </c:pt>
              </c:numCache>
            </c:numRef>
          </c:cat>
          <c:val>
            <c:numRef>
              <c:f>סיכום!$K$62:$K$76</c:f>
              <c:numCache>
                <c:formatCode>0%</c:formatCode>
                <c:ptCount val="15"/>
                <c:pt idx="0">
                  <c:v>0.79923448648025508</c:v>
                </c:pt>
                <c:pt idx="1">
                  <c:v>0.77623964975132409</c:v>
                </c:pt>
                <c:pt idx="2">
                  <c:v>0.63548037398710033</c:v>
                </c:pt>
                <c:pt idx="3">
                  <c:v>0.73392535211279775</c:v>
                </c:pt>
                <c:pt idx="4">
                  <c:v>0.73615689702376896</c:v>
                </c:pt>
                <c:pt idx="5">
                  <c:v>0.65566676011320413</c:v>
                </c:pt>
                <c:pt idx="6">
                  <c:v>0.72898800034694611</c:v>
                </c:pt>
                <c:pt idx="7">
                  <c:v>0.75286134749146305</c:v>
                </c:pt>
                <c:pt idx="8">
                  <c:v>0.84670631426713616</c:v>
                </c:pt>
                <c:pt idx="9">
                  <c:v>0.83431795452636182</c:v>
                </c:pt>
                <c:pt idx="10">
                  <c:v>0.81415781020064582</c:v>
                </c:pt>
                <c:pt idx="11">
                  <c:v>0.79220693393568864</c:v>
                </c:pt>
                <c:pt idx="12">
                  <c:v>0.79520660680074173</c:v>
                </c:pt>
                <c:pt idx="13">
                  <c:v>0.81808120416715802</c:v>
                </c:pt>
                <c:pt idx="14">
                  <c:v>0.77472384335388611</c:v>
                </c:pt>
              </c:numCache>
            </c:numRef>
          </c:val>
          <c:smooth val="0"/>
          <c:extLst>
            <c:ext xmlns:c16="http://schemas.microsoft.com/office/drawing/2014/chart" uri="{C3380CC4-5D6E-409C-BE32-E72D297353CC}">
              <c16:uniqueId val="{00000007-A594-4C33-A650-E1E218A3AE25}"/>
            </c:ext>
          </c:extLst>
        </c:ser>
        <c:ser>
          <c:idx val="4"/>
          <c:order val="2"/>
          <c:tx>
            <c:strRef>
              <c:f>סיכום!$L$60</c:f>
              <c:strCache>
                <c:ptCount val="1"/>
                <c:pt idx="0">
                  <c:v>למעלה משנה</c:v>
                </c:pt>
              </c:strCache>
            </c:strRef>
          </c:tx>
          <c:spPr>
            <a:ln w="28575" cap="rnd">
              <a:solidFill>
                <a:schemeClr val="bg1">
                  <a:lumMod val="50000"/>
                </a:schemeClr>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lumMod val="50000"/>
                        </a:schemeClr>
                      </a:solidFill>
                      <a:latin typeface="Assistant" panose="00000500000000000000" pitchFamily="2" charset="-79"/>
                      <a:ea typeface="+mn-ea"/>
                      <a:cs typeface="Assistant" panose="00000500000000000000" pitchFamily="2" charset="-79"/>
                    </a:defRPr>
                  </a:pPr>
                  <a:endParaRPr lang="en-IL"/>
                </a:p>
              </c:txPr>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594-4C33-A650-E1E218A3AE25}"/>
                </c:ext>
              </c:extLst>
            </c:dLbl>
            <c:dLbl>
              <c:idx val="11"/>
              <c:layout>
                <c:manualLayout>
                  <c:x val="-6.4438966110970186E-3"/>
                  <c:y val="-2.922569231775907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lumMod val="50000"/>
                        </a:schemeClr>
                      </a:solidFill>
                      <a:latin typeface="Assistant" panose="00000500000000000000" pitchFamily="2" charset="-79"/>
                      <a:ea typeface="+mn-ea"/>
                      <a:cs typeface="Assistant" panose="00000500000000000000" pitchFamily="2" charset="-79"/>
                    </a:defRPr>
                  </a:pPr>
                  <a:endParaRPr lang="en-IL"/>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94-4C33-A650-E1E218A3AE25}"/>
                </c:ext>
              </c:extLst>
            </c:dLbl>
            <c:dLbl>
              <c:idx val="13"/>
              <c:delete val="1"/>
              <c:extLst>
                <c:ext xmlns:c15="http://schemas.microsoft.com/office/drawing/2012/chart" uri="{CE6537A1-D6FC-4f65-9D91-7224C49458BB}"/>
                <c:ext xmlns:c16="http://schemas.microsoft.com/office/drawing/2014/chart" uri="{C3380CC4-5D6E-409C-BE32-E72D297353CC}">
                  <c16:uniqueId val="{0000000A-A594-4C33-A650-E1E218A3AE25}"/>
                </c:ext>
              </c:extLst>
            </c:dLbl>
            <c:dLbl>
              <c:idx val="14"/>
              <c:layout>
                <c:manualLayout>
                  <c:x val="-1.6865710676136271E-3"/>
                  <c:y val="-2.8043173285110731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lumMod val="50000"/>
                        </a:schemeClr>
                      </a:solidFill>
                      <a:latin typeface="Assistant" panose="00000500000000000000" pitchFamily="2" charset="-79"/>
                      <a:ea typeface="+mn-ea"/>
                      <a:cs typeface="Assistant" panose="00000500000000000000" pitchFamily="2" charset="-79"/>
                    </a:defRPr>
                  </a:pPr>
                  <a:endParaRPr lang="en-IL"/>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94-4C33-A650-E1E218A3AE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lumMod val="65000"/>
                      </a:schemeClr>
                    </a:solidFill>
                    <a:latin typeface="Assistant" panose="00000500000000000000" pitchFamily="2" charset="-79"/>
                    <a:ea typeface="+mn-ea"/>
                    <a:cs typeface="Assistant" panose="00000500000000000000" pitchFamily="2" charset="-79"/>
                  </a:defRPr>
                </a:pPr>
                <a:endParaRPr lang="en-IL"/>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סיכום!$I$62:$I$76</c:f>
              <c:numCache>
                <c:formatCode>m/d/yyyy</c:formatCode>
                <c:ptCount val="15"/>
                <c:pt idx="0">
                  <c:v>44957</c:v>
                </c:pt>
                <c:pt idx="1">
                  <c:v>44985</c:v>
                </c:pt>
                <c:pt idx="2">
                  <c:v>45016</c:v>
                </c:pt>
                <c:pt idx="3">
                  <c:v>45046</c:v>
                </c:pt>
                <c:pt idx="4">
                  <c:v>45077</c:v>
                </c:pt>
                <c:pt idx="5">
                  <c:v>45107</c:v>
                </c:pt>
                <c:pt idx="6">
                  <c:v>45138</c:v>
                </c:pt>
                <c:pt idx="7">
                  <c:v>45169</c:v>
                </c:pt>
                <c:pt idx="8">
                  <c:v>45199</c:v>
                </c:pt>
                <c:pt idx="9">
                  <c:v>45230</c:v>
                </c:pt>
                <c:pt idx="10">
                  <c:v>45260</c:v>
                </c:pt>
                <c:pt idx="11">
                  <c:v>45291</c:v>
                </c:pt>
                <c:pt idx="12">
                  <c:v>45322</c:v>
                </c:pt>
                <c:pt idx="13">
                  <c:v>45351</c:v>
                </c:pt>
                <c:pt idx="14">
                  <c:v>45382</c:v>
                </c:pt>
              </c:numCache>
            </c:numRef>
          </c:cat>
          <c:val>
            <c:numRef>
              <c:f>סיכום!$L$62:$L$76</c:f>
              <c:numCache>
                <c:formatCode>0%</c:formatCode>
                <c:ptCount val="15"/>
                <c:pt idx="0">
                  <c:v>0.77096343342679563</c:v>
                </c:pt>
                <c:pt idx="1">
                  <c:v>0.75573761212367618</c:v>
                </c:pt>
                <c:pt idx="2">
                  <c:v>0.74500915734194817</c:v>
                </c:pt>
                <c:pt idx="3">
                  <c:v>0.69820041762702079</c:v>
                </c:pt>
                <c:pt idx="4">
                  <c:v>0.71727948095026883</c:v>
                </c:pt>
                <c:pt idx="5">
                  <c:v>0.68115213463630386</c:v>
                </c:pt>
                <c:pt idx="6">
                  <c:v>0.67776760422351168</c:v>
                </c:pt>
                <c:pt idx="7">
                  <c:v>0.65047195686884929</c:v>
                </c:pt>
                <c:pt idx="8">
                  <c:v>0.61998583487724324</c:v>
                </c:pt>
                <c:pt idx="9">
                  <c:v>0.61668540225219204</c:v>
                </c:pt>
                <c:pt idx="10">
                  <c:v>0.66999051797995901</c:v>
                </c:pt>
                <c:pt idx="11">
                  <c:v>0.63230458218917518</c:v>
                </c:pt>
                <c:pt idx="12">
                  <c:v>0.60794668298726962</c:v>
                </c:pt>
                <c:pt idx="13">
                  <c:v>0.68629567787474521</c:v>
                </c:pt>
                <c:pt idx="14">
                  <c:v>0.58844009765015803</c:v>
                </c:pt>
              </c:numCache>
            </c:numRef>
          </c:val>
          <c:smooth val="0"/>
          <c:extLst>
            <c:ext xmlns:c16="http://schemas.microsoft.com/office/drawing/2014/chart" uri="{C3380CC4-5D6E-409C-BE32-E72D297353CC}">
              <c16:uniqueId val="{0000000C-A594-4C33-A650-E1E218A3AE25}"/>
            </c:ext>
          </c:extLst>
        </c:ser>
        <c:dLbls>
          <c:showLegendKey val="0"/>
          <c:showVal val="0"/>
          <c:showCatName val="0"/>
          <c:showSerName val="0"/>
          <c:showPercent val="0"/>
          <c:showBubbleSize val="0"/>
        </c:dLbls>
        <c:smooth val="0"/>
        <c:axId val="150747008"/>
        <c:axId val="150748544"/>
      </c:lineChart>
      <c:dateAx>
        <c:axId val="150747008"/>
        <c:scaling>
          <c:orientation val="minMax"/>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0748544"/>
        <c:crosses val="autoZero"/>
        <c:auto val="1"/>
        <c:lblOffset val="100"/>
        <c:baseTimeUnit val="months"/>
      </c:dateAx>
      <c:valAx>
        <c:axId val="150748544"/>
        <c:scaling>
          <c:orientation val="minMax"/>
          <c:max val="1"/>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0747008"/>
        <c:crosses val="autoZero"/>
        <c:crossBetween val="between"/>
      </c:valAx>
      <c:spPr>
        <a:noFill/>
        <a:ln>
          <a:noFill/>
        </a:ln>
        <a:effectLst/>
      </c:spPr>
    </c:plotArea>
    <c:legend>
      <c:legendPos val="b"/>
      <c:layout>
        <c:manualLayout>
          <c:xMode val="edge"/>
          <c:yMode val="edge"/>
          <c:x val="0.16237016137345051"/>
          <c:y val="0.15834248319372027"/>
          <c:w val="0.65111729582974476"/>
          <c:h val="7.576868684665523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Assistant" panose="00000500000000000000" pitchFamily="2" charset="-79"/>
          <a:cs typeface="Assistant" panose="00000500000000000000" pitchFamily="2" charset="-79"/>
        </a:defRPr>
      </a:pPr>
      <a:endParaRPr lang="en-IL"/>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t>איור 7 - תמסורת ריבית בנק ישראל לריבית פיקדונות משקי בית לפי סוג ריבית, מגזר מט"י לא צמוד, ינואר 2023 עד מרץ 2024 </a:t>
            </a:r>
            <a:r>
              <a:rPr lang="he-IL" sz="1100" b="0"/>
              <a:t>| אחוזים</a:t>
            </a:r>
          </a:p>
        </c:rich>
      </c:tx>
      <c:layout>
        <c:manualLayout>
          <c:xMode val="edge"/>
          <c:yMode val="edge"/>
          <c:x val="0.102004025273413"/>
          <c:y val="1.7986432546237751E-3"/>
        </c:manualLayout>
      </c:layout>
      <c:overlay val="0"/>
      <c:spPr>
        <a:noFill/>
        <a:ln>
          <a:noFill/>
        </a:ln>
        <a:effectLst/>
      </c:spPr>
    </c:title>
    <c:autoTitleDeleted val="0"/>
    <c:plotArea>
      <c:layout>
        <c:manualLayout>
          <c:layoutTarget val="inner"/>
          <c:xMode val="edge"/>
          <c:yMode val="edge"/>
          <c:x val="2.8908809496048266E-2"/>
          <c:y val="0.19930527372937429"/>
          <c:w val="0.96792091860939589"/>
          <c:h val="0.49549416586449579"/>
        </c:manualLayout>
      </c:layout>
      <c:lineChart>
        <c:grouping val="standard"/>
        <c:varyColors val="0"/>
        <c:ser>
          <c:idx val="1"/>
          <c:order val="0"/>
          <c:tx>
            <c:strRef>
              <c:f>'[- מעודכן - ביצועי משקי בית במיקוד עד שנה ומעל שנה.xlsx]סיכום'!$AF$42</c:f>
              <c:strCache>
                <c:ptCount val="1"/>
                <c:pt idx="0">
                  <c:v>ריבית משתנה</c:v>
                </c:pt>
              </c:strCache>
            </c:strRef>
          </c:tx>
          <c:spPr>
            <a:ln w="28575" cap="rnd">
              <a:solidFill>
                <a:schemeClr val="accent2">
                  <a:lumMod val="7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2"/>
                    </a:solidFill>
                    <a:latin typeface="Assistant" panose="00000500000000000000" pitchFamily="2" charset="-79"/>
                    <a:ea typeface="+mn-ea"/>
                    <a:cs typeface="Assistant" panose="00000500000000000000" pitchFamily="2" charset="-79"/>
                  </a:defRPr>
                </a:pPr>
                <a:endParaRPr lang="en-I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מעודכן - ביצועי משקי בית במיקוד עד שנה ומעל שנה.xlsx]סיכום'!$Y$43:$Y$58</c:f>
              <c:numCache>
                <c:formatCode>m/d/yyyy</c:formatCode>
                <c:ptCount val="16"/>
                <c:pt idx="0">
                  <c:v>44926</c:v>
                </c:pt>
                <c:pt idx="1">
                  <c:v>44957</c:v>
                </c:pt>
                <c:pt idx="2">
                  <c:v>44985</c:v>
                </c:pt>
                <c:pt idx="3">
                  <c:v>45016</c:v>
                </c:pt>
                <c:pt idx="4">
                  <c:v>45046</c:v>
                </c:pt>
                <c:pt idx="5">
                  <c:v>45077</c:v>
                </c:pt>
                <c:pt idx="6">
                  <c:v>45107</c:v>
                </c:pt>
                <c:pt idx="7">
                  <c:v>45138</c:v>
                </c:pt>
                <c:pt idx="8">
                  <c:v>45169</c:v>
                </c:pt>
                <c:pt idx="9">
                  <c:v>45199</c:v>
                </c:pt>
                <c:pt idx="10">
                  <c:v>45230</c:v>
                </c:pt>
                <c:pt idx="11">
                  <c:v>45260</c:v>
                </c:pt>
                <c:pt idx="12">
                  <c:v>45291</c:v>
                </c:pt>
                <c:pt idx="13">
                  <c:v>45322</c:v>
                </c:pt>
                <c:pt idx="14">
                  <c:v>45351</c:v>
                </c:pt>
                <c:pt idx="15">
                  <c:v>45382</c:v>
                </c:pt>
              </c:numCache>
            </c:numRef>
          </c:cat>
          <c:val>
            <c:numRef>
              <c:f>'[- מעודכן - ביצועי משקי בית במיקוד עד שנה ומעל שנה.xlsx]סיכום'!$AM$43:$AM$58</c:f>
              <c:numCache>
                <c:formatCode>0%</c:formatCode>
                <c:ptCount val="16"/>
                <c:pt idx="0">
                  <c:v>0.53333333333333321</c:v>
                </c:pt>
                <c:pt idx="1">
                  <c:v>0.58569500674763852</c:v>
                </c:pt>
                <c:pt idx="2">
                  <c:v>0.59619771863117876</c:v>
                </c:pt>
                <c:pt idx="3">
                  <c:v>0.6</c:v>
                </c:pt>
                <c:pt idx="4">
                  <c:v>0.67356321839080457</c:v>
                </c:pt>
                <c:pt idx="5">
                  <c:v>0.67542526239594647</c:v>
                </c:pt>
                <c:pt idx="6">
                  <c:v>0.61075268817204309</c:v>
                </c:pt>
                <c:pt idx="7">
                  <c:v>0.66236559139784945</c:v>
                </c:pt>
                <c:pt idx="8">
                  <c:v>0.64301075268817209</c:v>
                </c:pt>
                <c:pt idx="9">
                  <c:v>0.6172043010752688</c:v>
                </c:pt>
                <c:pt idx="10">
                  <c:v>0.66451612903225821</c:v>
                </c:pt>
                <c:pt idx="11">
                  <c:v>0.66666666666666674</c:v>
                </c:pt>
                <c:pt idx="12">
                  <c:v>0.63440860215053763</c:v>
                </c:pt>
                <c:pt idx="13">
                  <c:v>0.64644549763033166</c:v>
                </c:pt>
                <c:pt idx="14">
                  <c:v>0.62045454545454548</c:v>
                </c:pt>
                <c:pt idx="15">
                  <c:v>0.61590909090909085</c:v>
                </c:pt>
              </c:numCache>
            </c:numRef>
          </c:val>
          <c:smooth val="0"/>
          <c:extLst>
            <c:ext xmlns:c16="http://schemas.microsoft.com/office/drawing/2014/chart" uri="{C3380CC4-5D6E-409C-BE32-E72D297353CC}">
              <c16:uniqueId val="{00000000-B6A8-4CBF-BCDB-C03259F5794C}"/>
            </c:ext>
          </c:extLst>
        </c:ser>
        <c:ser>
          <c:idx val="2"/>
          <c:order val="1"/>
          <c:tx>
            <c:strRef>
              <c:f>'[- מעודכן - ביצועי משקי בית במיקוד עד שנה ומעל שנה.xlsx]סיכום'!$X$42</c:f>
              <c:strCache>
                <c:ptCount val="1"/>
                <c:pt idx="0">
                  <c:v>ריבית קבועה</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solidFill>
                    <a:latin typeface="Assistant" panose="00000500000000000000" pitchFamily="2" charset="-79"/>
                    <a:ea typeface="+mn-ea"/>
                    <a:cs typeface="Assistant" panose="00000500000000000000" pitchFamily="2" charset="-79"/>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 מעודכן - ביצועי משקי בית במיקוד עד שנה ומעל שנה.xlsx]סיכום'!$Y$43:$Y$58</c:f>
              <c:numCache>
                <c:formatCode>m/d/yyyy</c:formatCode>
                <c:ptCount val="16"/>
                <c:pt idx="0">
                  <c:v>44926</c:v>
                </c:pt>
                <c:pt idx="1">
                  <c:v>44957</c:v>
                </c:pt>
                <c:pt idx="2">
                  <c:v>44985</c:v>
                </c:pt>
                <c:pt idx="3">
                  <c:v>45016</c:v>
                </c:pt>
                <c:pt idx="4">
                  <c:v>45046</c:v>
                </c:pt>
                <c:pt idx="5">
                  <c:v>45077</c:v>
                </c:pt>
                <c:pt idx="6">
                  <c:v>45107</c:v>
                </c:pt>
                <c:pt idx="7">
                  <c:v>45138</c:v>
                </c:pt>
                <c:pt idx="8">
                  <c:v>45169</c:v>
                </c:pt>
                <c:pt idx="9">
                  <c:v>45199</c:v>
                </c:pt>
                <c:pt idx="10">
                  <c:v>45230</c:v>
                </c:pt>
                <c:pt idx="11">
                  <c:v>45260</c:v>
                </c:pt>
                <c:pt idx="12">
                  <c:v>45291</c:v>
                </c:pt>
                <c:pt idx="13">
                  <c:v>45322</c:v>
                </c:pt>
                <c:pt idx="14">
                  <c:v>45351</c:v>
                </c:pt>
                <c:pt idx="15">
                  <c:v>45382</c:v>
                </c:pt>
              </c:numCache>
            </c:numRef>
          </c:cat>
          <c:val>
            <c:numRef>
              <c:f>'[- מעודכן - ביצועי משקי בית במיקוד עד שנה ומעל שנה.xlsx]סיכום'!$AE$43:$AE$58</c:f>
              <c:numCache>
                <c:formatCode>0%</c:formatCode>
                <c:ptCount val="16"/>
                <c:pt idx="0">
                  <c:v>0.80952380952380953</c:v>
                </c:pt>
                <c:pt idx="1">
                  <c:v>0.78371569950517317</c:v>
                </c:pt>
                <c:pt idx="2">
                  <c:v>0.75057034220532315</c:v>
                </c:pt>
                <c:pt idx="3">
                  <c:v>0.73975903614457816</c:v>
                </c:pt>
                <c:pt idx="4">
                  <c:v>0.70344827586206893</c:v>
                </c:pt>
                <c:pt idx="5">
                  <c:v>0.71132826637712621</c:v>
                </c:pt>
                <c:pt idx="6">
                  <c:v>0.72473118279569892</c:v>
                </c:pt>
                <c:pt idx="7">
                  <c:v>0.72258064516129028</c:v>
                </c:pt>
                <c:pt idx="8">
                  <c:v>0.7397849462365591</c:v>
                </c:pt>
                <c:pt idx="9">
                  <c:v>0.7397849462365591</c:v>
                </c:pt>
                <c:pt idx="10">
                  <c:v>0.70537634408602146</c:v>
                </c:pt>
                <c:pt idx="11">
                  <c:v>0.67741935483870963</c:v>
                </c:pt>
                <c:pt idx="12">
                  <c:v>0.65806451612903227</c:v>
                </c:pt>
                <c:pt idx="13">
                  <c:v>0.6690484870579656</c:v>
                </c:pt>
                <c:pt idx="14">
                  <c:v>0.64772727272727271</c:v>
                </c:pt>
                <c:pt idx="15">
                  <c:v>0.65227272727272723</c:v>
                </c:pt>
              </c:numCache>
            </c:numRef>
          </c:val>
          <c:smooth val="0"/>
          <c:extLst>
            <c:ext xmlns:c16="http://schemas.microsoft.com/office/drawing/2014/chart" uri="{C3380CC4-5D6E-409C-BE32-E72D297353CC}">
              <c16:uniqueId val="{00000001-B6A8-4CBF-BCDB-C03259F5794C}"/>
            </c:ext>
          </c:extLst>
        </c:ser>
        <c:dLbls>
          <c:showLegendKey val="0"/>
          <c:showVal val="0"/>
          <c:showCatName val="0"/>
          <c:showSerName val="0"/>
          <c:showPercent val="0"/>
          <c:showBubbleSize val="0"/>
        </c:dLbls>
        <c:smooth val="0"/>
        <c:axId val="150927616"/>
        <c:axId val="151007232"/>
      </c:lineChart>
      <c:dateAx>
        <c:axId val="150927616"/>
        <c:scaling>
          <c:orientation val="minMax"/>
          <c:min val="44927"/>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1007232"/>
        <c:crosses val="autoZero"/>
        <c:auto val="1"/>
        <c:lblOffset val="100"/>
        <c:baseTimeUnit val="months"/>
      </c:dateAx>
      <c:valAx>
        <c:axId val="151007232"/>
        <c:scaling>
          <c:orientation val="minMax"/>
          <c:min val="0.45"/>
        </c:scaling>
        <c:delete val="1"/>
        <c:axPos val="l"/>
        <c:numFmt formatCode="0%" sourceLinked="1"/>
        <c:majorTickMark val="none"/>
        <c:minorTickMark val="none"/>
        <c:tickLblPos val="nextTo"/>
        <c:crossAx val="150927616"/>
        <c:crosses val="autoZero"/>
        <c:crossBetween val="between"/>
      </c:valAx>
      <c:spPr>
        <a:noFill/>
        <a:ln>
          <a:noFill/>
        </a:ln>
        <a:effectLst/>
      </c:spPr>
    </c:plotArea>
    <c:legend>
      <c:legendPos val="b"/>
      <c:layout>
        <c:manualLayout>
          <c:xMode val="edge"/>
          <c:yMode val="edge"/>
          <c:x val="0.23009490104091654"/>
          <c:y val="0.1218708097080083"/>
          <c:w val="0.47648587973175105"/>
          <c:h val="7.443250040746628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ssistant" panose="00000500000000000000" pitchFamily="2" charset="-79"/>
          <a:cs typeface="Assistant" panose="00000500000000000000" pitchFamily="2" charset="-79"/>
        </a:defRPr>
      </a:pPr>
      <a:endParaRPr lang="en-IL"/>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100" b="1"/>
              <a:t>איור 8 - השוואה תמסורת ריבית הבנק המרכזי לריבית פיקדונות משקי בית (פיקדונות בריבית קבועה), ינואר</a:t>
            </a:r>
            <a:r>
              <a:rPr lang="he-IL" sz="1100" b="1" baseline="0"/>
              <a:t> 2023</a:t>
            </a:r>
            <a:r>
              <a:rPr lang="he-IL" sz="1100" b="1"/>
              <a:t> עד ינואר 2024</a:t>
            </a:r>
            <a:r>
              <a:rPr lang="he-IL" sz="1100" b="0"/>
              <a:t> |</a:t>
            </a:r>
            <a:r>
              <a:rPr lang="en-US" sz="1100" b="0"/>
              <a:t> </a:t>
            </a:r>
            <a:r>
              <a:rPr lang="he-IL" sz="1100" b="0"/>
              <a:t>אחוזים</a:t>
            </a:r>
          </a:p>
        </c:rich>
      </c:tx>
      <c:layout>
        <c:manualLayout>
          <c:xMode val="edge"/>
          <c:yMode val="edge"/>
          <c:x val="0.14870850778641159"/>
          <c:y val="0"/>
        </c:manualLayout>
      </c:layout>
      <c:overlay val="0"/>
      <c:spPr>
        <a:noFill/>
        <a:ln>
          <a:noFill/>
        </a:ln>
        <a:effectLst/>
      </c:spPr>
    </c:title>
    <c:autoTitleDeleted val="0"/>
    <c:plotArea>
      <c:layout>
        <c:manualLayout>
          <c:layoutTarget val="inner"/>
          <c:xMode val="edge"/>
          <c:yMode val="edge"/>
          <c:x val="8.379599541178695E-2"/>
          <c:y val="0.28828819517755289"/>
          <c:w val="0.87521441437709135"/>
          <c:h val="0.32894250772563044"/>
        </c:manualLayout>
      </c:layout>
      <c:lineChart>
        <c:grouping val="standard"/>
        <c:varyColors val="0"/>
        <c:ser>
          <c:idx val="0"/>
          <c:order val="0"/>
          <c:tx>
            <c:strRef>
              <c:f>'מרכז ארוך טווח'!$R$3:$R$6</c:f>
              <c:strCache>
                <c:ptCount val="4"/>
                <c:pt idx="0">
                  <c:v>ארה"ב</c:v>
                </c:pt>
              </c:strCache>
            </c:strRef>
          </c:tx>
          <c:spPr>
            <a:ln w="28575" cap="rnd">
              <a:solidFill>
                <a:srgbClr val="00B0F0"/>
              </a:solidFill>
              <a:round/>
            </a:ln>
            <a:effectLst/>
          </c:spPr>
          <c:marker>
            <c:symbol val="none"/>
          </c:marker>
          <c:dLbls>
            <c:dLbl>
              <c:idx val="9"/>
              <c:layout>
                <c:manualLayout>
                  <c:x val="-0.10221116309820036"/>
                  <c:y val="7.3643382238948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97-489D-B567-634984789610}"/>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97-489D-B567-6349847896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F0"/>
                    </a:solidFill>
                    <a:latin typeface="Assistant" panose="00000500000000000000" pitchFamily="2" charset="-79"/>
                    <a:ea typeface="+mn-ea"/>
                    <a:cs typeface="Assistant" panose="00000500000000000000" pitchFamily="2" charset="-79"/>
                  </a:defRPr>
                </a:pPr>
                <a:endParaRPr lang="en-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'מרכז ארוך טווח'!$Q$7:$Q$28</c:f>
              <c:numCache>
                <c:formatCode>m/d/yyyy</c:formatCode>
                <c:ptCount val="22"/>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numCache>
            </c:numRef>
          </c:cat>
          <c:val>
            <c:numRef>
              <c:f>'מרכז ארוך טווח'!$R$7:$R$28</c:f>
              <c:numCache>
                <c:formatCode>0%</c:formatCode>
                <c:ptCount val="22"/>
                <c:pt idx="0">
                  <c:v>7.7499999999999861E-2</c:v>
                </c:pt>
                <c:pt idx="1">
                  <c:v>5.3142857142857144E-2</c:v>
                </c:pt>
                <c:pt idx="2">
                  <c:v>6.9718875502008018E-2</c:v>
                </c:pt>
                <c:pt idx="3">
                  <c:v>0.11519125683060108</c:v>
                </c:pt>
                <c:pt idx="4">
                  <c:v>0.15030303030303033</c:v>
                </c:pt>
                <c:pt idx="5">
                  <c:v>0.19540938677629324</c:v>
                </c:pt>
                <c:pt idx="6">
                  <c:v>0.19798319327731093</c:v>
                </c:pt>
                <c:pt idx="7">
                  <c:v>0.21234790446146912</c:v>
                </c:pt>
                <c:pt idx="8">
                  <c:v>0.23826446280991739</c:v>
                </c:pt>
                <c:pt idx="9">
                  <c:v>0.27609375000000003</c:v>
                </c:pt>
                <c:pt idx="10">
                  <c:v>0.27916957753904964</c:v>
                </c:pt>
                <c:pt idx="11">
                  <c:v>0.30326086956521742</c:v>
                </c:pt>
                <c:pt idx="12">
                  <c:v>0.29163763066202092</c:v>
                </c:pt>
                <c:pt idx="13">
                  <c:v>0.28694214876033058</c:v>
                </c:pt>
                <c:pt idx="14">
                  <c:v>0.29719008264462815</c:v>
                </c:pt>
                <c:pt idx="15">
                  <c:v>0.30805031446540881</c:v>
                </c:pt>
                <c:pt idx="16">
                  <c:v>0.30805031446540881</c:v>
                </c:pt>
                <c:pt idx="17">
                  <c:v>0.3158490566037736</c:v>
                </c:pt>
                <c:pt idx="18">
                  <c:v>0.32169811320754715</c:v>
                </c:pt>
                <c:pt idx="19">
                  <c:v>0.32169811320754715</c:v>
                </c:pt>
                <c:pt idx="20">
                  <c:v>0.3353459119496856</c:v>
                </c:pt>
                <c:pt idx="21">
                  <c:v>0.3353459119496856</c:v>
                </c:pt>
              </c:numCache>
            </c:numRef>
          </c:val>
          <c:smooth val="0"/>
          <c:extLst>
            <c:ext xmlns:c16="http://schemas.microsoft.com/office/drawing/2014/chart" uri="{C3380CC4-5D6E-409C-BE32-E72D297353CC}">
              <c16:uniqueId val="{00000002-7B97-489D-B567-634984789610}"/>
            </c:ext>
          </c:extLst>
        </c:ser>
        <c:ser>
          <c:idx val="1"/>
          <c:order val="1"/>
          <c:tx>
            <c:strRef>
              <c:f>'מרכז ארוך טווח'!$S$3:$S$6</c:f>
              <c:strCache>
                <c:ptCount val="4"/>
                <c:pt idx="0">
                  <c:v>אירופה</c:v>
                </c:pt>
              </c:strCache>
            </c:strRef>
          </c:tx>
          <c:spPr>
            <a:ln w="28575" cap="rnd">
              <a:solidFill>
                <a:srgbClr val="FF0000"/>
              </a:solidFill>
              <a:round/>
            </a:ln>
            <a:effectLst/>
          </c:spPr>
          <c:marker>
            <c:symbol val="none"/>
          </c:marker>
          <c:dLbls>
            <c:dLbl>
              <c:idx val="9"/>
              <c:layout>
                <c:manualLayout>
                  <c:x val="-0.10078429443277828"/>
                  <c:y val="1.80424662368169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97-489D-B567-634984789610}"/>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97-489D-B567-6349847896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Assistant" panose="00000500000000000000" pitchFamily="2" charset="-79"/>
                    <a:ea typeface="+mn-ea"/>
                    <a:cs typeface="Assistant" panose="00000500000000000000" pitchFamily="2" charset="-79"/>
                  </a:defRPr>
                </a:pPr>
                <a:endParaRPr lang="en-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'מרכז ארוך טווח'!$Q$7:$Q$28</c:f>
              <c:numCache>
                <c:formatCode>m/d/yyyy</c:formatCode>
                <c:ptCount val="22"/>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numCache>
            </c:numRef>
          </c:cat>
          <c:val>
            <c:numRef>
              <c:f>'מרכז ארוך טווח'!$T$7:$T$28</c:f>
              <c:numCache>
                <c:formatCode>0%</c:formatCode>
                <c:ptCount val="22"/>
                <c:pt idx="0">
                  <c:v>2.3808565153378564E-3</c:v>
                </c:pt>
                <c:pt idx="1">
                  <c:v>5.6001098083086705E-4</c:v>
                </c:pt>
                <c:pt idx="2">
                  <c:v>3.4594328495160201E-4</c:v>
                </c:pt>
                <c:pt idx="3">
                  <c:v>1.5899890856249765E-2</c:v>
                </c:pt>
                <c:pt idx="4">
                  <c:v>0.2286352435696426</c:v>
                </c:pt>
                <c:pt idx="5">
                  <c:v>0.19994952470009861</c:v>
                </c:pt>
                <c:pt idx="6">
                  <c:v>0.1678244903419745</c:v>
                </c:pt>
                <c:pt idx="7">
                  <c:v>0.12452881108202331</c:v>
                </c:pt>
                <c:pt idx="8">
                  <c:v>0.12683069911626965</c:v>
                </c:pt>
                <c:pt idx="9">
                  <c:v>0.13633180734932268</c:v>
                </c:pt>
                <c:pt idx="10">
                  <c:v>0.20599502897003463</c:v>
                </c:pt>
                <c:pt idx="11">
                  <c:v>0.20726606550280358</c:v>
                </c:pt>
                <c:pt idx="12">
                  <c:v>0.21057224166345881</c:v>
                </c:pt>
                <c:pt idx="13">
                  <c:v>0.21236586273797198</c:v>
                </c:pt>
                <c:pt idx="14">
                  <c:v>0.21644521016815499</c:v>
                </c:pt>
                <c:pt idx="15">
                  <c:v>0.21183434247659255</c:v>
                </c:pt>
                <c:pt idx="16">
                  <c:v>0.21510857959554949</c:v>
                </c:pt>
                <c:pt idx="17">
                  <c:v>0.22365784632641009</c:v>
                </c:pt>
                <c:pt idx="18">
                  <c:v>0.23291473844274985</c:v>
                </c:pt>
                <c:pt idx="19">
                  <c:v>0.23808291917560659</c:v>
                </c:pt>
                <c:pt idx="20">
                  <c:v>0.24487230141152419</c:v>
                </c:pt>
                <c:pt idx="21">
                  <c:v>0.25016893809330942</c:v>
                </c:pt>
              </c:numCache>
            </c:numRef>
          </c:val>
          <c:smooth val="0"/>
          <c:extLst>
            <c:ext xmlns:c16="http://schemas.microsoft.com/office/drawing/2014/chart" uri="{C3380CC4-5D6E-409C-BE32-E72D297353CC}">
              <c16:uniqueId val="{00000005-7B97-489D-B567-634984789610}"/>
            </c:ext>
          </c:extLst>
        </c:ser>
        <c:ser>
          <c:idx val="2"/>
          <c:order val="2"/>
          <c:tx>
            <c:strRef>
              <c:f>'מרכז ארוך טווח'!$U$3:$U$6</c:f>
              <c:strCache>
                <c:ptCount val="4"/>
                <c:pt idx="0">
                  <c:v>בריטניה</c:v>
                </c:pt>
              </c:strCache>
            </c:strRef>
          </c:tx>
          <c:spPr>
            <a:ln w="28575" cap="rnd">
              <a:solidFill>
                <a:schemeClr val="accent3"/>
              </a:solidFill>
              <a:round/>
            </a:ln>
            <a:effectLst/>
          </c:spPr>
          <c:marker>
            <c:symbol val="none"/>
          </c:marker>
          <c:dLbls>
            <c:dLbl>
              <c:idx val="9"/>
              <c:layout>
                <c:manualLayout>
                  <c:x val="-0.10303628192480543"/>
                  <c:y val="-1.1250703168948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97-489D-B567-634984789610}"/>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97-489D-B567-6349847896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Assistant" panose="00000500000000000000" pitchFamily="2" charset="-79"/>
                    <a:ea typeface="+mn-ea"/>
                    <a:cs typeface="Assistant" panose="00000500000000000000" pitchFamily="2" charset="-79"/>
                  </a:defRPr>
                </a:pPr>
                <a:endParaRPr lang="en-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'מרכז ארוך טווח'!$Q$7:$Q$28</c:f>
              <c:numCache>
                <c:formatCode>m/d/yyyy</c:formatCode>
                <c:ptCount val="22"/>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numCache>
            </c:numRef>
          </c:cat>
          <c:val>
            <c:numRef>
              <c:f>'מרכז ארוך טווח'!$U$7:$U$28</c:f>
              <c:numCache>
                <c:formatCode>0%</c:formatCode>
                <c:ptCount val="22"/>
                <c:pt idx="0">
                  <c:v>1.3175000000000003</c:v>
                </c:pt>
                <c:pt idx="1">
                  <c:v>0.95162790697674404</c:v>
                </c:pt>
                <c:pt idx="2">
                  <c:v>1.3094400000000002</c:v>
                </c:pt>
                <c:pt idx="3">
                  <c:v>1.2876923076923077</c:v>
                </c:pt>
                <c:pt idx="4">
                  <c:v>0.94388059701492544</c:v>
                </c:pt>
                <c:pt idx="5">
                  <c:v>1.2196721311475411</c:v>
                </c:pt>
                <c:pt idx="6">
                  <c:v>1.4364356435643564</c:v>
                </c:pt>
                <c:pt idx="7">
                  <c:v>1.0132963988919668</c:v>
                </c:pt>
                <c:pt idx="8">
                  <c:v>0.90832826747720352</c:v>
                </c:pt>
                <c:pt idx="9">
                  <c:v>0.89960784313725484</c:v>
                </c:pt>
                <c:pt idx="10">
                  <c:v>0.80626563838903176</c:v>
                </c:pt>
                <c:pt idx="11">
                  <c:v>0.78514018691588794</c:v>
                </c:pt>
                <c:pt idx="12">
                  <c:v>0.80462222222222224</c:v>
                </c:pt>
                <c:pt idx="13">
                  <c:v>0.79770700636942682</c:v>
                </c:pt>
                <c:pt idx="14">
                  <c:v>0.83642914331465168</c:v>
                </c:pt>
                <c:pt idx="15">
                  <c:v>0.92029465930018428</c:v>
                </c:pt>
                <c:pt idx="16">
                  <c:v>0.90947735191637635</c:v>
                </c:pt>
                <c:pt idx="17">
                  <c:v>0.92675958188153318</c:v>
                </c:pt>
                <c:pt idx="18">
                  <c:v>0.93972125435540066</c:v>
                </c:pt>
                <c:pt idx="19">
                  <c:v>0.89435540069686403</c:v>
                </c:pt>
                <c:pt idx="20">
                  <c:v>0.83818815331010454</c:v>
                </c:pt>
                <c:pt idx="21">
                  <c:v>0.78202090592334494</c:v>
                </c:pt>
              </c:numCache>
            </c:numRef>
          </c:val>
          <c:smooth val="0"/>
          <c:extLst>
            <c:ext xmlns:c16="http://schemas.microsoft.com/office/drawing/2014/chart" uri="{C3380CC4-5D6E-409C-BE32-E72D297353CC}">
              <c16:uniqueId val="{00000008-7B97-489D-B567-634984789610}"/>
            </c:ext>
          </c:extLst>
        </c:ser>
        <c:ser>
          <c:idx val="3"/>
          <c:order val="3"/>
          <c:tx>
            <c:strRef>
              <c:f>'מרכז ארוך טווח'!$V$3:$V$6</c:f>
              <c:strCache>
                <c:ptCount val="4"/>
                <c:pt idx="0">
                  <c:v>אוסטרליה</c:v>
                </c:pt>
              </c:strCache>
            </c:strRef>
          </c:tx>
          <c:spPr>
            <a:ln w="28575" cap="rnd">
              <a:solidFill>
                <a:schemeClr val="accent4"/>
              </a:solidFill>
              <a:round/>
            </a:ln>
            <a:effectLst/>
          </c:spPr>
          <c:marker>
            <c:symbol val="none"/>
          </c:marker>
          <c:dLbls>
            <c:dLbl>
              <c:idx val="9"/>
              <c:layout>
                <c:manualLayout>
                  <c:x val="-0.10316246641481554"/>
                  <c:y val="2.50202645539361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97-489D-B567-634984789610}"/>
                </c:ext>
              </c:extLst>
            </c:dLbl>
            <c:dLbl>
              <c:idx val="21"/>
              <c:layout>
                <c:manualLayout>
                  <c:x val="-1.716645609597878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97-489D-B567-6349847896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C000"/>
                    </a:solidFill>
                    <a:latin typeface="Assistant" panose="00000500000000000000" pitchFamily="2" charset="-79"/>
                    <a:ea typeface="+mn-ea"/>
                    <a:cs typeface="Assistant" panose="00000500000000000000" pitchFamily="2" charset="-79"/>
                  </a:defRPr>
                </a:pPr>
                <a:endParaRPr lang="en-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'מרכז ארוך טווח'!$Q$7:$Q$28</c:f>
              <c:numCache>
                <c:formatCode>m/d/yyyy</c:formatCode>
                <c:ptCount val="22"/>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numCache>
            </c:numRef>
          </c:cat>
          <c:val>
            <c:numRef>
              <c:f>'מרכז ארוך טווח'!$V$7:$V$28</c:f>
              <c:numCache>
                <c:formatCode>0%</c:formatCode>
                <c:ptCount val="22"/>
                <c:pt idx="0">
                  <c:v>0</c:v>
                </c:pt>
                <c:pt idx="1">
                  <c:v>0.6413793103448282</c:v>
                </c:pt>
                <c:pt idx="2">
                  <c:v>0.30769230769230765</c:v>
                </c:pt>
                <c:pt idx="3">
                  <c:v>0.54829931972789081</c:v>
                </c:pt>
                <c:pt idx="4">
                  <c:v>0.49023255813953459</c:v>
                </c:pt>
                <c:pt idx="5">
                  <c:v>0.53076923076923066</c:v>
                </c:pt>
                <c:pt idx="6">
                  <c:v>0.90879478827361604</c:v>
                </c:pt>
                <c:pt idx="7">
                  <c:v>0.87272727272727302</c:v>
                </c:pt>
                <c:pt idx="8">
                  <c:v>0.81089918256130833</c:v>
                </c:pt>
                <c:pt idx="9">
                  <c:v>0.8166666666666671</c:v>
                </c:pt>
                <c:pt idx="10">
                  <c:v>0.81340782122905064</c:v>
                </c:pt>
                <c:pt idx="11">
                  <c:v>0.85467289719626216</c:v>
                </c:pt>
                <c:pt idx="12">
                  <c:v>0.8428571428571433</c:v>
                </c:pt>
                <c:pt idx="13">
                  <c:v>0.84181034482758677</c:v>
                </c:pt>
                <c:pt idx="14">
                  <c:v>0.82105263157894803</c:v>
                </c:pt>
                <c:pt idx="15">
                  <c:v>0.86249999999999982</c:v>
                </c:pt>
                <c:pt idx="16">
                  <c:v>0.86250000000000016</c:v>
                </c:pt>
                <c:pt idx="17">
                  <c:v>0.86250000000000016</c:v>
                </c:pt>
                <c:pt idx="18">
                  <c:v>0.81176470588235294</c:v>
                </c:pt>
                <c:pt idx="19">
                  <c:v>0.81176470588235294</c:v>
                </c:pt>
                <c:pt idx="20">
                  <c:v>0.81176470588235294</c:v>
                </c:pt>
                <c:pt idx="21">
                  <c:v>0.81176470588235294</c:v>
                </c:pt>
              </c:numCache>
            </c:numRef>
          </c:val>
          <c:smooth val="0"/>
          <c:extLst>
            <c:ext xmlns:c16="http://schemas.microsoft.com/office/drawing/2014/chart" uri="{C3380CC4-5D6E-409C-BE32-E72D297353CC}">
              <c16:uniqueId val="{0000000B-7B97-489D-B567-634984789610}"/>
            </c:ext>
          </c:extLst>
        </c:ser>
        <c:ser>
          <c:idx val="4"/>
          <c:order val="4"/>
          <c:tx>
            <c:strRef>
              <c:f>'מרכז ארוך טווח'!$W$3:$W$6</c:f>
              <c:strCache>
                <c:ptCount val="4"/>
                <c:pt idx="0">
                  <c:v>ישראל</c:v>
                </c:pt>
              </c:strCache>
            </c:strRef>
          </c:tx>
          <c:spPr>
            <a:ln w="28575" cap="rnd">
              <a:solidFill>
                <a:srgbClr val="002060"/>
              </a:solidFill>
              <a:round/>
            </a:ln>
            <a:effectLst/>
          </c:spPr>
          <c:marker>
            <c:symbol val="none"/>
          </c:marker>
          <c:dLbls>
            <c:dLbl>
              <c:idx val="9"/>
              <c:layout>
                <c:manualLayout>
                  <c:x val="-0.10324428782147052"/>
                  <c:y val="2.4027485969841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97-489D-B567-634984789610}"/>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97-489D-B567-6349847896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ssistant" panose="00000500000000000000" pitchFamily="2" charset="-79"/>
                    <a:ea typeface="+mn-ea"/>
                    <a:cs typeface="Assistant" panose="00000500000000000000" pitchFamily="2" charset="-79"/>
                  </a:defRPr>
                </a:pPr>
                <a:endParaRPr lang="en-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'מרכז ארוך טווח'!$Q$7:$Q$28</c:f>
              <c:numCache>
                <c:formatCode>m/d/yyyy</c:formatCode>
                <c:ptCount val="22"/>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numCache>
            </c:numRef>
          </c:cat>
          <c:val>
            <c:numRef>
              <c:f>'מרכז ארוך טווח'!$W$7:$W$28</c:f>
              <c:numCache>
                <c:formatCode>0%</c:formatCode>
                <c:ptCount val="22"/>
                <c:pt idx="0">
                  <c:v>0.35714285714285748</c:v>
                </c:pt>
                <c:pt idx="1">
                  <c:v>0.45454545454545464</c:v>
                </c:pt>
                <c:pt idx="2">
                  <c:v>0.69230769230769229</c:v>
                </c:pt>
                <c:pt idx="3">
                  <c:v>0.64761904761904765</c:v>
                </c:pt>
                <c:pt idx="4">
                  <c:v>0.6742424242424242</c:v>
                </c:pt>
                <c:pt idx="5">
                  <c:v>0.96315789473684221</c:v>
                </c:pt>
                <c:pt idx="6">
                  <c:v>0.89430894308943099</c:v>
                </c:pt>
                <c:pt idx="7">
                  <c:v>0.85559566787003616</c:v>
                </c:pt>
                <c:pt idx="8">
                  <c:v>0.7103064066852367</c:v>
                </c:pt>
                <c:pt idx="9">
                  <c:v>0.74734042553191493</c:v>
                </c:pt>
                <c:pt idx="10">
                  <c:v>0.67951807228915651</c:v>
                </c:pt>
                <c:pt idx="11">
                  <c:v>0.7057471264367815</c:v>
                </c:pt>
                <c:pt idx="12">
                  <c:v>0.68609865470852016</c:v>
                </c:pt>
                <c:pt idx="13">
                  <c:v>0.68172043010752681</c:v>
                </c:pt>
                <c:pt idx="14">
                  <c:v>0.72473118279569892</c:v>
                </c:pt>
                <c:pt idx="15">
                  <c:v>0.72258064516129028</c:v>
                </c:pt>
                <c:pt idx="16">
                  <c:v>0.7397849462365591</c:v>
                </c:pt>
                <c:pt idx="17">
                  <c:v>0.7397849462365591</c:v>
                </c:pt>
                <c:pt idx="18">
                  <c:v>0.70537634408602146</c:v>
                </c:pt>
                <c:pt idx="19">
                  <c:v>0.67741935483870963</c:v>
                </c:pt>
                <c:pt idx="20">
                  <c:v>0.65806451612903227</c:v>
                </c:pt>
                <c:pt idx="21">
                  <c:v>0.66968325791855199</c:v>
                </c:pt>
              </c:numCache>
            </c:numRef>
          </c:val>
          <c:smooth val="0"/>
          <c:extLst>
            <c:ext xmlns:c16="http://schemas.microsoft.com/office/drawing/2014/chart" uri="{C3380CC4-5D6E-409C-BE32-E72D297353CC}">
              <c16:uniqueId val="{0000000E-7B97-489D-B567-634984789610}"/>
            </c:ext>
          </c:extLst>
        </c:ser>
        <c:dLbls>
          <c:showLegendKey val="0"/>
          <c:showVal val="0"/>
          <c:showCatName val="0"/>
          <c:showSerName val="0"/>
          <c:showPercent val="0"/>
          <c:showBubbleSize val="0"/>
        </c:dLbls>
        <c:smooth val="0"/>
        <c:axId val="151564288"/>
        <c:axId val="151565824"/>
      </c:lineChart>
      <c:dateAx>
        <c:axId val="151564288"/>
        <c:scaling>
          <c:orientation val="minMax"/>
          <c:min val="44927"/>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crossAx val="151565824"/>
        <c:crosses val="autoZero"/>
        <c:auto val="1"/>
        <c:lblOffset val="100"/>
        <c:baseTimeUnit val="months"/>
      </c:dateAx>
      <c:valAx>
        <c:axId val="151565824"/>
        <c:scaling>
          <c:orientation val="minMax"/>
          <c:max val="1"/>
          <c:min val="0"/>
        </c:scaling>
        <c:delete val="1"/>
        <c:axPos val="l"/>
        <c:numFmt formatCode="0%" sourceLinked="0"/>
        <c:majorTickMark val="out"/>
        <c:minorTickMark val="none"/>
        <c:tickLblPos val="nextTo"/>
        <c:crossAx val="151564288"/>
        <c:crosses val="autoZero"/>
        <c:crossBetween val="between"/>
      </c:valAx>
      <c:spPr>
        <a:noFill/>
        <a:ln>
          <a:noFill/>
        </a:ln>
        <a:effectLst/>
      </c:spPr>
    </c:plotArea>
    <c:legend>
      <c:legendPos val="b"/>
      <c:layout>
        <c:manualLayout>
          <c:xMode val="edge"/>
          <c:yMode val="edge"/>
          <c:x val="0.1203014618240132"/>
          <c:y val="0.19355491214263884"/>
          <c:w val="0.78174260608084956"/>
          <c:h val="6.130960192475940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en-I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ssistant" panose="00000500000000000000" pitchFamily="2" charset="-79"/>
          <a:cs typeface="Assistant" panose="00000500000000000000" pitchFamily="2" charset="-79"/>
        </a:defRPr>
      </a:pPr>
      <a:endParaRPr lang="en-IL"/>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0.0477</cdr:x>
      <cdr:y>0.89224</cdr:y>
    </cdr:from>
    <cdr:to>
      <cdr:x>1</cdr:x>
      <cdr:y>0.97338</cdr:y>
    </cdr:to>
    <cdr:sp macro="" textlink="">
      <cdr:nvSpPr>
        <cdr:cNvPr id="2" name="TextBox 1"/>
        <cdr:cNvSpPr txBox="1"/>
      </cdr:nvSpPr>
      <cdr:spPr>
        <a:xfrm xmlns:a="http://schemas.openxmlformats.org/drawingml/2006/main">
          <a:off x="255613" y="2494617"/>
          <a:ext cx="5103152" cy="22686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rtl="1"/>
          <a:r>
            <a:rPr lang="he-IL" sz="1000" b="1">
              <a:latin typeface="Assistant" panose="00000500000000000000" pitchFamily="2" charset="-79"/>
              <a:cs typeface="Assistant" panose="00000500000000000000" pitchFamily="2" charset="-79"/>
            </a:rPr>
            <a:t>המקור:</a:t>
          </a:r>
          <a:r>
            <a:rPr lang="he-IL" sz="1000">
              <a:latin typeface="Assistant" panose="00000500000000000000" pitchFamily="2" charset="-79"/>
              <a:cs typeface="Assistant" panose="00000500000000000000" pitchFamily="2" charset="-79"/>
            </a:rPr>
            <a:t> דיווחים</a:t>
          </a:r>
          <a:r>
            <a:rPr lang="he-IL" sz="1000" baseline="0">
              <a:latin typeface="Assistant" panose="00000500000000000000" pitchFamily="2" charset="-79"/>
              <a:cs typeface="Assistant" panose="00000500000000000000" pitchFamily="2" charset="-79"/>
            </a:rPr>
            <a:t> לפיקוח על הבנקים ועיבודי הפיקוח על הבנקים</a:t>
          </a:r>
          <a:endParaRPr lang="he-IL" sz="1000">
            <a:latin typeface="Assistant" panose="00000500000000000000" pitchFamily="2" charset="-79"/>
            <a:cs typeface="Assistant" panose="00000500000000000000" pitchFamily="2" charset="-79"/>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0.91661</cdr:y>
    </cdr:from>
    <cdr:to>
      <cdr:x>1</cdr:x>
      <cdr:y>1</cdr:y>
    </cdr:to>
    <cdr:sp macro="" textlink="">
      <cdr:nvSpPr>
        <cdr:cNvPr id="2" name="TextBox 1"/>
        <cdr:cNvSpPr txBox="1"/>
      </cdr:nvSpPr>
      <cdr:spPr>
        <a:xfrm xmlns:a="http://schemas.openxmlformats.org/drawingml/2006/main">
          <a:off x="0" y="2523744"/>
          <a:ext cx="5274310" cy="229616"/>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900" b="1">
              <a:latin typeface="Assistant" panose="00000500000000000000" pitchFamily="2" charset="-79"/>
              <a:cs typeface="Assistant" panose="00000500000000000000" pitchFamily="2" charset="-79"/>
            </a:rPr>
            <a:t>המקור:</a:t>
          </a:r>
          <a:r>
            <a:rPr lang="he-IL" sz="900">
              <a:latin typeface="Assistant" panose="00000500000000000000" pitchFamily="2" charset="-79"/>
              <a:cs typeface="Assistant" panose="00000500000000000000" pitchFamily="2" charset="-79"/>
            </a:rPr>
            <a:t> דיווחים</a:t>
          </a:r>
          <a:r>
            <a:rPr lang="he-IL" sz="900" baseline="0">
              <a:latin typeface="Assistant" panose="00000500000000000000" pitchFamily="2" charset="-79"/>
              <a:cs typeface="Assistant" panose="00000500000000000000" pitchFamily="2" charset="-79"/>
            </a:rPr>
            <a:t> לפיקוח על הבנקים ועיבודי הפיקוח על הבנקים</a:t>
          </a:r>
          <a:endParaRPr lang="he-IL" sz="900">
            <a:latin typeface="Assistant" panose="00000500000000000000" pitchFamily="2" charset="-79"/>
            <a:cs typeface="Assistant" panose="00000500000000000000" pitchFamily="2" charset="-79"/>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0.25602</cdr:x>
      <cdr:y>0.92629</cdr:y>
    </cdr:from>
    <cdr:to>
      <cdr:x>0.99183</cdr:x>
      <cdr:y>1</cdr:y>
    </cdr:to>
    <cdr:sp macro="" textlink="">
      <cdr:nvSpPr>
        <cdr:cNvPr id="4" name="תיבת טקסט 3"/>
        <cdr:cNvSpPr txBox="1"/>
      </cdr:nvSpPr>
      <cdr:spPr>
        <a:xfrm xmlns:a="http://schemas.openxmlformats.org/drawingml/2006/main">
          <a:off x="1350336" y="2360427"/>
          <a:ext cx="3880883" cy="187827"/>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r" rtl="1"/>
          <a:r>
            <a:rPr lang="he-IL" sz="900" b="1">
              <a:latin typeface="Assistant" panose="00000500000000000000" pitchFamily="2" charset="-79"/>
              <a:cs typeface="Assistant" panose="00000500000000000000" pitchFamily="2" charset="-79"/>
            </a:rPr>
            <a:t>המקור: </a:t>
          </a:r>
          <a:r>
            <a:rPr lang="he-IL" sz="900">
              <a:latin typeface="Assistant" panose="00000500000000000000" pitchFamily="2" charset="-79"/>
              <a:cs typeface="Assistant" panose="00000500000000000000" pitchFamily="2" charset="-79"/>
            </a:rPr>
            <a:t>דוחות כספיים לציבור, דיווחים לפיקוח על הבנקים ועיבודי הפיקוח על הבנקים.</a:t>
          </a:r>
        </a:p>
      </cdr:txBody>
    </cdr:sp>
  </cdr:relSizeAnchor>
</c:userShapes>
</file>

<file path=word/drawings/drawing4.xml><?xml version="1.0" encoding="utf-8"?>
<c:userShapes xmlns:c="http://schemas.openxmlformats.org/drawingml/2006/chart">
  <cdr:relSizeAnchor xmlns:cdr="http://schemas.openxmlformats.org/drawingml/2006/chartDrawing">
    <cdr:from>
      <cdr:x>0.00882</cdr:x>
      <cdr:y>0.90022</cdr:y>
    </cdr:from>
    <cdr:to>
      <cdr:x>0.99163</cdr:x>
      <cdr:y>1</cdr:y>
    </cdr:to>
    <cdr:sp macro="" textlink="">
      <cdr:nvSpPr>
        <cdr:cNvPr id="3" name="TextBox 1"/>
        <cdr:cNvSpPr txBox="1"/>
      </cdr:nvSpPr>
      <cdr:spPr>
        <a:xfrm xmlns:a="http://schemas.openxmlformats.org/drawingml/2006/main">
          <a:off x="50800" y="2392325"/>
          <a:ext cx="5663565" cy="26515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900" b="1">
              <a:latin typeface="Assistant" panose="00000500000000000000" pitchFamily="2" charset="-79"/>
              <a:cs typeface="Assistant" panose="00000500000000000000" pitchFamily="2" charset="-79"/>
            </a:rPr>
            <a:t>המקור:</a:t>
          </a:r>
          <a:r>
            <a:rPr lang="he-IL" sz="900">
              <a:latin typeface="Assistant" panose="00000500000000000000" pitchFamily="2" charset="-79"/>
              <a:cs typeface="Assistant" panose="00000500000000000000" pitchFamily="2" charset="-79"/>
            </a:rPr>
            <a:t> דיווחים</a:t>
          </a:r>
          <a:r>
            <a:rPr lang="he-IL" sz="900" baseline="0">
              <a:latin typeface="Assistant" panose="00000500000000000000" pitchFamily="2" charset="-79"/>
              <a:cs typeface="Assistant" panose="00000500000000000000" pitchFamily="2" charset="-79"/>
            </a:rPr>
            <a:t> לפיקוח על הבנקים ועיבודי הפיקוח על הבנקים</a:t>
          </a:r>
          <a:endParaRPr lang="he-IL" sz="900">
            <a:latin typeface="Assistant" panose="00000500000000000000" pitchFamily="2" charset="-79"/>
            <a:cs typeface="Assistant" panose="00000500000000000000" pitchFamily="2" charset="-79"/>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0.03505</cdr:x>
      <cdr:y>0.91399</cdr:y>
    </cdr:from>
    <cdr:to>
      <cdr:x>1</cdr:x>
      <cdr:y>1</cdr:y>
    </cdr:to>
    <cdr:sp macro="" textlink="">
      <cdr:nvSpPr>
        <cdr:cNvPr id="2" name="TextBox 1"/>
        <cdr:cNvSpPr txBox="1"/>
      </cdr:nvSpPr>
      <cdr:spPr>
        <a:xfrm xmlns:a="http://schemas.openxmlformats.org/drawingml/2006/main">
          <a:off x="205740" y="2817775"/>
          <a:ext cx="5663565" cy="26515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900" b="1">
              <a:latin typeface="Assistant" panose="00000500000000000000" pitchFamily="2" charset="-79"/>
              <a:cs typeface="Assistant" panose="00000500000000000000" pitchFamily="2" charset="-79"/>
            </a:rPr>
            <a:t>המקור:</a:t>
          </a:r>
          <a:r>
            <a:rPr lang="he-IL" sz="900">
              <a:latin typeface="Assistant" panose="00000500000000000000" pitchFamily="2" charset="-79"/>
              <a:cs typeface="Assistant" panose="00000500000000000000" pitchFamily="2" charset="-79"/>
            </a:rPr>
            <a:t> דיווחים</a:t>
          </a:r>
          <a:r>
            <a:rPr lang="he-IL" sz="900" baseline="0">
              <a:latin typeface="Assistant" panose="00000500000000000000" pitchFamily="2" charset="-79"/>
              <a:cs typeface="Assistant" panose="00000500000000000000" pitchFamily="2" charset="-79"/>
            </a:rPr>
            <a:t> לפיקוח על הבנקים ועיבודי הפיקוח על הבנקים</a:t>
          </a:r>
          <a:endParaRPr lang="he-IL" sz="900">
            <a:latin typeface="Assistant" panose="00000500000000000000" pitchFamily="2" charset="-79"/>
            <a:cs typeface="Assistant" panose="00000500000000000000" pitchFamily="2" charset="-79"/>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0.0196</cdr:x>
      <cdr:y>0.89507</cdr:y>
    </cdr:from>
    <cdr:to>
      <cdr:x>1</cdr:x>
      <cdr:y>0.97781</cdr:y>
    </cdr:to>
    <cdr:sp macro="" textlink="">
      <cdr:nvSpPr>
        <cdr:cNvPr id="2" name="TextBox 1"/>
        <cdr:cNvSpPr txBox="1"/>
      </cdr:nvSpPr>
      <cdr:spPr>
        <a:xfrm xmlns:a="http://schemas.openxmlformats.org/drawingml/2006/main">
          <a:off x="238644" y="2868575"/>
          <a:ext cx="5170921" cy="26515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900" b="1">
              <a:latin typeface="Assistant" panose="00000500000000000000" pitchFamily="2" charset="-79"/>
              <a:cs typeface="Assistant" panose="00000500000000000000" pitchFamily="2" charset="-79"/>
            </a:rPr>
            <a:t>המקור:</a:t>
          </a:r>
          <a:r>
            <a:rPr lang="he-IL" sz="900">
              <a:latin typeface="Assistant" panose="00000500000000000000" pitchFamily="2" charset="-79"/>
              <a:cs typeface="Assistant" panose="00000500000000000000" pitchFamily="2" charset="-79"/>
            </a:rPr>
            <a:t> דיווחים</a:t>
          </a:r>
          <a:r>
            <a:rPr lang="he-IL" sz="900" baseline="0">
              <a:latin typeface="Assistant" panose="00000500000000000000" pitchFamily="2" charset="-79"/>
              <a:cs typeface="Assistant" panose="00000500000000000000" pitchFamily="2" charset="-79"/>
            </a:rPr>
            <a:t> לפיקוח על הבנקים ועיבודי הפיקוח על הבנקים</a:t>
          </a:r>
          <a:endParaRPr lang="he-IL" sz="900">
            <a:latin typeface="Assistant" panose="00000500000000000000" pitchFamily="2" charset="-79"/>
            <a:cs typeface="Assistant" panose="00000500000000000000" pitchFamily="2" charset="-79"/>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0.73226</cdr:y>
    </cdr:from>
    <cdr:to>
      <cdr:x>1</cdr:x>
      <cdr:y>1</cdr:y>
    </cdr:to>
    <cdr:sp macro="" textlink="">
      <cdr:nvSpPr>
        <cdr:cNvPr id="3" name="TextBox 1"/>
        <cdr:cNvSpPr txBox="1"/>
      </cdr:nvSpPr>
      <cdr:spPr>
        <a:xfrm xmlns:a="http://schemas.openxmlformats.org/drawingml/2006/main">
          <a:off x="0" y="2162174"/>
          <a:ext cx="6315075" cy="79057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900" b="1">
              <a:latin typeface="Assistant" panose="00000500000000000000" pitchFamily="2" charset="-79"/>
              <a:cs typeface="Assistant" panose="00000500000000000000" pitchFamily="2" charset="-79"/>
            </a:rPr>
            <a:t>המקור:</a:t>
          </a:r>
        </a:p>
        <a:p xmlns:a="http://schemas.openxmlformats.org/drawingml/2006/main">
          <a:pPr rtl="1"/>
          <a:r>
            <a:rPr lang="he-IL" sz="900">
              <a:latin typeface="Assistant" panose="00000500000000000000" pitchFamily="2" charset="-79"/>
              <a:cs typeface="Assistant" panose="00000500000000000000" pitchFamily="2" charset="-79"/>
            </a:rPr>
            <a:t>ארה"ב </a:t>
          </a:r>
          <a:r>
            <a:rPr lang="en-US" sz="900">
              <a:latin typeface="Assistant" panose="00000500000000000000" pitchFamily="2" charset="-79"/>
              <a:cs typeface="Assistant" panose="00000500000000000000" pitchFamily="2" charset="-79"/>
            </a:rPr>
            <a:t>Federal Reserve Economic Data</a:t>
          </a:r>
          <a:r>
            <a:rPr lang="he-IL" sz="900">
              <a:latin typeface="Assistant" panose="00000500000000000000" pitchFamily="2" charset="-79"/>
              <a:cs typeface="Assistant" panose="00000500000000000000" pitchFamily="2" charset="-79"/>
            </a:rPr>
            <a:t>, ריבית (</a:t>
          </a:r>
          <a:r>
            <a:rPr lang="en-US" sz="900">
              <a:latin typeface="Assistant" panose="00000500000000000000" pitchFamily="2" charset="-79"/>
              <a:cs typeface="Assistant" panose="00000500000000000000" pitchFamily="2" charset="-79"/>
            </a:rPr>
            <a:t>IOBR (Interest on Reserve Balances</a:t>
          </a:r>
          <a:r>
            <a:rPr lang="he-IL" sz="900">
              <a:latin typeface="Assistant" panose="00000500000000000000" pitchFamily="2" charset="-79"/>
              <a:cs typeface="Assistant" panose="00000500000000000000" pitchFamily="2" charset="-79"/>
            </a:rPr>
            <a:t>.</a:t>
          </a:r>
        </a:p>
        <a:p xmlns:a="http://schemas.openxmlformats.org/drawingml/2006/main">
          <a:pPr rtl="1"/>
          <a:r>
            <a:rPr lang="he-IL" sz="900">
              <a:latin typeface="Assistant" panose="00000500000000000000" pitchFamily="2" charset="-79"/>
              <a:cs typeface="Assistant" panose="00000500000000000000" pitchFamily="2" charset="-79"/>
            </a:rPr>
            <a:t> </a:t>
          </a:r>
          <a:r>
            <a:rPr lang="en-US" sz="900">
              <a:latin typeface="Assistant" panose="00000500000000000000" pitchFamily="2" charset="-79"/>
              <a:cs typeface="Assistant" panose="00000500000000000000" pitchFamily="2" charset="-79"/>
            </a:rPr>
            <a:t>ECB</a:t>
          </a:r>
          <a:r>
            <a:rPr lang="he-IL" sz="900">
              <a:latin typeface="Assistant" panose="00000500000000000000" pitchFamily="2" charset="-79"/>
              <a:cs typeface="Assistant" panose="00000500000000000000" pitchFamily="2" charset="-79"/>
            </a:rPr>
            <a:t> – נתוני </a:t>
          </a:r>
          <a:r>
            <a:rPr lang="en-US" sz="900">
              <a:latin typeface="Assistant" panose="00000500000000000000" pitchFamily="2" charset="-79"/>
              <a:cs typeface="Assistant" panose="00000500000000000000" pitchFamily="2" charset="-79"/>
            </a:rPr>
            <a:t>ECB</a:t>
          </a:r>
          <a:r>
            <a:rPr lang="he-IL" sz="900">
              <a:latin typeface="Assistant" panose="00000500000000000000" pitchFamily="2" charset="-79"/>
              <a:cs typeface="Assistant" panose="00000500000000000000" pitchFamily="2" charset="-79"/>
            </a:rPr>
            <a:t>,</a:t>
          </a:r>
          <a:r>
            <a:rPr lang="en-US" sz="900">
              <a:latin typeface="Assistant" panose="00000500000000000000" pitchFamily="2" charset="-79"/>
              <a:cs typeface="Assistant" panose="00000500000000000000" pitchFamily="2" charset="-79"/>
            </a:rPr>
            <a:t>European Central Bank - Statistical Data Warehouse </a:t>
          </a:r>
          <a:r>
            <a:rPr lang="he-IL" sz="900">
              <a:latin typeface="Assistant" panose="00000500000000000000" pitchFamily="2" charset="-79"/>
              <a:cs typeface="Assistant" panose="00000500000000000000" pitchFamily="2" charset="-79"/>
            </a:rPr>
            <a:t>,</a:t>
          </a:r>
          <a:r>
            <a:rPr lang="he-IL" sz="900" baseline="0">
              <a:latin typeface="Assistant" panose="00000500000000000000" pitchFamily="2" charset="-79"/>
              <a:cs typeface="Assistant" panose="00000500000000000000" pitchFamily="2" charset="-79"/>
            </a:rPr>
            <a:t> </a:t>
          </a:r>
          <a:r>
            <a:rPr lang="he-IL" sz="900">
              <a:latin typeface="Assistant" panose="00000500000000000000" pitchFamily="2" charset="-79"/>
              <a:cs typeface="Assistant" panose="00000500000000000000" pitchFamily="2" charset="-79"/>
            </a:rPr>
            <a:t>ריבית </a:t>
          </a:r>
          <a:r>
            <a:rPr lang="en-US" sz="900">
              <a:latin typeface="Assistant" panose="00000500000000000000" pitchFamily="2" charset="-79"/>
              <a:cs typeface="Assistant" panose="00000500000000000000" pitchFamily="2" charset="-79"/>
            </a:rPr>
            <a:t>Deposit facility rate</a:t>
          </a:r>
          <a:r>
            <a:rPr lang="he-IL" sz="900">
              <a:latin typeface="Assistant" panose="00000500000000000000" pitchFamily="2" charset="-79"/>
              <a:cs typeface="Assistant" panose="00000500000000000000" pitchFamily="2" charset="-79"/>
            </a:rPr>
            <a:t>.</a:t>
          </a:r>
        </a:p>
        <a:p xmlns:a="http://schemas.openxmlformats.org/drawingml/2006/main">
          <a:pPr rtl="1"/>
          <a:r>
            <a:rPr lang="he-IL" sz="900">
              <a:latin typeface="Assistant" panose="00000500000000000000" pitchFamily="2" charset="-79"/>
              <a:cs typeface="Assistant" panose="00000500000000000000" pitchFamily="2" charset="-79"/>
            </a:rPr>
            <a:t> בריטניה – נתוני </a:t>
          </a:r>
          <a:r>
            <a:rPr lang="en-US" sz="900">
              <a:latin typeface="Assistant" panose="00000500000000000000" pitchFamily="2" charset="-79"/>
              <a:cs typeface="Assistant" panose="00000500000000000000" pitchFamily="2" charset="-79"/>
            </a:rPr>
            <a:t>BOE</a:t>
          </a:r>
          <a:r>
            <a:rPr lang="he-IL" sz="900">
              <a:latin typeface="Assistant" panose="00000500000000000000" pitchFamily="2" charset="-79"/>
              <a:cs typeface="Assistant" panose="00000500000000000000" pitchFamily="2" charset="-79"/>
            </a:rPr>
            <a:t>, ריבית </a:t>
          </a:r>
          <a:r>
            <a:rPr lang="en-US" sz="900">
              <a:latin typeface="Assistant" panose="00000500000000000000" pitchFamily="2" charset="-79"/>
              <a:cs typeface="Assistant" panose="00000500000000000000" pitchFamily="2" charset="-79"/>
            </a:rPr>
            <a:t>BOE Base Rate</a:t>
          </a:r>
          <a:r>
            <a:rPr lang="he-IL" sz="900">
              <a:latin typeface="Assistant" panose="00000500000000000000" pitchFamily="2" charset="-79"/>
              <a:cs typeface="Assistant" panose="00000500000000000000" pitchFamily="2" charset="-79"/>
            </a:rPr>
            <a:t>.</a:t>
          </a:r>
        </a:p>
        <a:p xmlns:a="http://schemas.openxmlformats.org/drawingml/2006/main">
          <a:pPr rtl="1"/>
          <a:r>
            <a:rPr lang="he-IL" sz="900">
              <a:latin typeface="Assistant" panose="00000500000000000000" pitchFamily="2" charset="-79"/>
              <a:cs typeface="Assistant" panose="00000500000000000000" pitchFamily="2" charset="-79"/>
            </a:rPr>
            <a:t>אוסטרליה –נתוני </a:t>
          </a:r>
          <a:r>
            <a:rPr lang="en-US" sz="900">
              <a:latin typeface="Assistant" panose="00000500000000000000" pitchFamily="2" charset="-79"/>
              <a:cs typeface="Assistant" panose="00000500000000000000" pitchFamily="2" charset="-79"/>
            </a:rPr>
            <a:t>RBA</a:t>
          </a:r>
          <a:r>
            <a:rPr lang="he-IL" sz="900">
              <a:latin typeface="Assistant" panose="00000500000000000000" pitchFamily="2" charset="-79"/>
              <a:cs typeface="Assistant" panose="00000500000000000000" pitchFamily="2" charset="-79"/>
            </a:rPr>
            <a:t>, </a:t>
          </a:r>
          <a:r>
            <a:rPr lang="en-US" sz="900">
              <a:latin typeface="Assistant" panose="00000500000000000000" pitchFamily="2" charset="-79"/>
              <a:cs typeface="Assistant" panose="00000500000000000000" pitchFamily="2" charset="-79"/>
            </a:rPr>
            <a:t>RBA Official Cash Rate</a:t>
          </a:r>
          <a:endParaRPr lang="he-IL" sz="900">
            <a:latin typeface="Assistant" panose="00000500000000000000" pitchFamily="2" charset="-79"/>
            <a:cs typeface="Assistant" panose="00000500000000000000" pitchFamily="2"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7153-D382-400E-BE14-59BC16EC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2388</Words>
  <Characters>13618</Characters>
  <Application>Microsoft Office Word</Application>
  <DocSecurity>0</DocSecurity>
  <Lines>113</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Jamil Abu Aqel</cp:lastModifiedBy>
  <cp:revision>2</cp:revision>
  <cp:lastPrinted>2024-05-12T07:39:00Z</cp:lastPrinted>
  <dcterms:created xsi:type="dcterms:W3CDTF">2024-05-15T07:29:00Z</dcterms:created>
  <dcterms:modified xsi:type="dcterms:W3CDTF">2024-05-15T07:29:00Z</dcterms:modified>
</cp:coreProperties>
</file>