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031A9D" w:rsidRPr="005E28F6" w:rsidTr="00031A9D">
        <w:tc>
          <w:tcPr>
            <w:tcW w:w="3343" w:type="dxa"/>
            <w:tcBorders>
              <w:top w:val="nil"/>
              <w:left w:val="nil"/>
              <w:bottom w:val="nil"/>
              <w:right w:val="nil"/>
            </w:tcBorders>
            <w:vAlign w:val="center"/>
          </w:tcPr>
          <w:p w:rsidR="00031A9D" w:rsidRPr="005E28F6" w:rsidRDefault="00031A9D" w:rsidP="00F2528F">
            <w:pPr>
              <w:bidi/>
              <w:spacing w:line="360" w:lineRule="auto"/>
              <w:jc w:val="center"/>
              <w:rPr>
                <w:rFonts w:asciiTheme="minorHAnsi" w:hAnsiTheme="minorHAnsi" w:cstheme="minorHAnsi"/>
                <w:b/>
                <w:bCs/>
                <w:rtl/>
              </w:rPr>
            </w:pPr>
            <w:r w:rsidRPr="005E28F6">
              <w:rPr>
                <w:rFonts w:asciiTheme="minorHAnsi" w:hAnsiTheme="minorHAnsi" w:cstheme="minorHAnsi"/>
                <w:b/>
                <w:bCs/>
                <w:rtl/>
              </w:rPr>
              <w:t>בנק ישראל</w:t>
            </w:r>
          </w:p>
          <w:p w:rsidR="00031A9D" w:rsidRPr="005E28F6" w:rsidRDefault="00031A9D" w:rsidP="00F2528F">
            <w:pPr>
              <w:bidi/>
              <w:spacing w:line="360" w:lineRule="auto"/>
              <w:jc w:val="center"/>
              <w:rPr>
                <w:rFonts w:asciiTheme="minorHAnsi" w:hAnsiTheme="minorHAnsi" w:cstheme="minorHAnsi"/>
                <w:b/>
                <w:bCs/>
              </w:rPr>
            </w:pPr>
            <w:r w:rsidRPr="005E28F6">
              <w:rPr>
                <w:rFonts w:asciiTheme="minorHAnsi" w:hAnsiTheme="minorHAnsi" w:cstheme="minorHAnsi"/>
                <w:rtl/>
              </w:rPr>
              <w:t>דוברות והסברה כלכלית</w:t>
            </w:r>
          </w:p>
        </w:tc>
        <w:tc>
          <w:tcPr>
            <w:tcW w:w="2596" w:type="dxa"/>
            <w:tcBorders>
              <w:top w:val="nil"/>
              <w:left w:val="nil"/>
              <w:bottom w:val="nil"/>
              <w:right w:val="nil"/>
            </w:tcBorders>
            <w:shd w:val="clear" w:color="auto" w:fill="FFFFFF"/>
          </w:tcPr>
          <w:p w:rsidR="00031A9D" w:rsidRPr="005E28F6" w:rsidRDefault="00CC57F4" w:rsidP="00F2528F">
            <w:pPr>
              <w:bidi/>
              <w:spacing w:line="360" w:lineRule="auto"/>
              <w:jc w:val="center"/>
              <w:rPr>
                <w:rFonts w:asciiTheme="minorHAnsi" w:hAnsiTheme="minorHAnsi" w:cstheme="minorHAnsi"/>
              </w:rPr>
            </w:pPr>
            <w:r>
              <w:rPr>
                <w:rFonts w:asciiTheme="minorHAnsi" w:hAnsiTheme="minorHAnsi" w:cstheme="minorHAnsi"/>
                <w:noProof/>
              </w:rPr>
              <w:drawing>
                <wp:inline distT="0" distB="0" distL="0" distR="0" wp14:anchorId="5F08C3AE">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rsidR="00031A9D" w:rsidRPr="005E28F6" w:rsidRDefault="00031A9D" w:rsidP="00F2528F">
            <w:pPr>
              <w:bidi/>
              <w:spacing w:line="360" w:lineRule="auto"/>
              <w:jc w:val="center"/>
              <w:rPr>
                <w:rFonts w:asciiTheme="minorHAnsi" w:hAnsiTheme="minorHAnsi" w:cstheme="minorHAnsi"/>
                <w:rtl/>
              </w:rPr>
            </w:pPr>
            <w:r w:rsidRPr="005E28F6">
              <w:rPr>
                <w:rFonts w:asciiTheme="minorHAnsi" w:hAnsiTheme="minorHAnsi" w:cstheme="minorHAnsi"/>
                <w:highlight w:val="green"/>
                <w:rtl/>
              </w:rPr>
              <w:t>‏</w:t>
            </w:r>
            <w:r w:rsidRPr="005E28F6">
              <w:rPr>
                <w:rFonts w:asciiTheme="minorHAnsi" w:hAnsiTheme="minorHAnsi" w:cstheme="minorHAnsi"/>
                <w:rtl/>
              </w:rPr>
              <w:t xml:space="preserve">ירושלים, </w:t>
            </w:r>
            <w:r w:rsidRPr="005E28F6">
              <w:rPr>
                <w:rFonts w:asciiTheme="minorHAnsi" w:hAnsiTheme="minorHAnsi" w:cstheme="minorHAnsi"/>
                <w:rtl/>
              </w:rPr>
              <w:fldChar w:fldCharType="begin"/>
            </w:r>
            <w:r w:rsidRPr="005E28F6">
              <w:rPr>
                <w:rFonts w:asciiTheme="minorHAnsi" w:hAnsiTheme="minorHAnsi" w:cstheme="minorHAnsi"/>
                <w:rtl/>
              </w:rPr>
              <w:instrText xml:space="preserve"> </w:instrText>
            </w:r>
            <w:r w:rsidRPr="005E28F6">
              <w:rPr>
                <w:rFonts w:asciiTheme="minorHAnsi" w:hAnsiTheme="minorHAnsi" w:cstheme="minorHAnsi"/>
              </w:rPr>
              <w:instrText>DATE</w:instrText>
            </w:r>
            <w:r w:rsidRPr="005E28F6">
              <w:rPr>
                <w:rFonts w:asciiTheme="minorHAnsi" w:hAnsiTheme="minorHAnsi" w:cstheme="minorHAnsi"/>
                <w:rtl/>
              </w:rPr>
              <w:instrText xml:space="preserve"> \@ "</w:instrText>
            </w:r>
            <w:r w:rsidRPr="005E28F6">
              <w:rPr>
                <w:rFonts w:asciiTheme="minorHAnsi" w:hAnsiTheme="minorHAnsi" w:cstheme="minorHAnsi"/>
              </w:rPr>
              <w:instrText>d MMMM, yyyy" \h</w:instrText>
            </w:r>
            <w:r w:rsidRPr="005E28F6">
              <w:rPr>
                <w:rFonts w:asciiTheme="minorHAnsi" w:hAnsiTheme="minorHAnsi" w:cstheme="minorHAnsi"/>
                <w:rtl/>
              </w:rPr>
              <w:instrText xml:space="preserve"> </w:instrText>
            </w:r>
            <w:r w:rsidRPr="005E28F6">
              <w:rPr>
                <w:rFonts w:asciiTheme="minorHAnsi" w:hAnsiTheme="minorHAnsi" w:cstheme="minorHAnsi"/>
                <w:rtl/>
              </w:rPr>
              <w:fldChar w:fldCharType="separate"/>
            </w:r>
            <w:r w:rsidR="00572554">
              <w:rPr>
                <w:rFonts w:asciiTheme="minorHAnsi" w:hAnsiTheme="minorHAnsi" w:cstheme="minorHAnsi"/>
                <w:noProof/>
                <w:rtl/>
              </w:rPr>
              <w:t>‏י"ט אלול, תשפ"ו</w:t>
            </w:r>
            <w:r w:rsidRPr="005E28F6">
              <w:rPr>
                <w:rFonts w:asciiTheme="minorHAnsi" w:hAnsiTheme="minorHAnsi" w:cstheme="minorHAnsi"/>
                <w:rtl/>
              </w:rPr>
              <w:fldChar w:fldCharType="end"/>
            </w:r>
          </w:p>
          <w:p w:rsidR="00031A9D" w:rsidRPr="005E28F6" w:rsidRDefault="00A75A17" w:rsidP="00F2528F">
            <w:pPr>
              <w:bidi/>
              <w:spacing w:line="360" w:lineRule="auto"/>
              <w:jc w:val="center"/>
              <w:rPr>
                <w:rFonts w:asciiTheme="minorHAnsi" w:hAnsiTheme="minorHAnsi" w:cstheme="minorHAnsi"/>
                <w:highlight w:val="green"/>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DATE  \@ "d MMMM, yyyy</w:instrText>
            </w:r>
            <w:r>
              <w:rPr>
                <w:rFonts w:asciiTheme="minorHAnsi" w:hAnsiTheme="minorHAnsi" w:cstheme="minorHAnsi" w:hint="cs"/>
                <w:rtl/>
              </w:rPr>
              <w:instrText>"</w:instrText>
            </w:r>
            <w:r>
              <w:rPr>
                <w:rFonts w:asciiTheme="minorHAnsi" w:hAnsiTheme="minorHAnsi" w:cstheme="minorHAnsi"/>
                <w:rtl/>
              </w:rPr>
              <w:instrText xml:space="preserve"> </w:instrText>
            </w:r>
            <w:r>
              <w:rPr>
                <w:rFonts w:asciiTheme="minorHAnsi" w:hAnsiTheme="minorHAnsi" w:cstheme="minorHAnsi"/>
                <w:rtl/>
              </w:rPr>
              <w:fldChar w:fldCharType="separate"/>
            </w:r>
            <w:r w:rsidR="00572554">
              <w:rPr>
                <w:rFonts w:asciiTheme="minorHAnsi" w:hAnsiTheme="minorHAnsi" w:cstheme="minorHAnsi"/>
                <w:noProof/>
                <w:rtl/>
              </w:rPr>
              <w:t>‏1 ספטמבר, 2026</w:t>
            </w:r>
            <w:r>
              <w:rPr>
                <w:rFonts w:asciiTheme="minorHAnsi" w:hAnsiTheme="minorHAnsi" w:cstheme="minorHAnsi"/>
                <w:rtl/>
              </w:rPr>
              <w:fldChar w:fldCharType="end"/>
            </w:r>
          </w:p>
        </w:tc>
      </w:tr>
    </w:tbl>
    <w:p w:rsidR="003E7478" w:rsidRDefault="003E7478" w:rsidP="00DD6497">
      <w:pPr>
        <w:bidi/>
        <w:spacing w:line="360" w:lineRule="auto"/>
        <w:jc w:val="center"/>
        <w:rPr>
          <w:rFonts w:asciiTheme="minorHAnsi" w:hAnsiTheme="minorHAnsi" w:cstheme="minorHAnsi"/>
          <w:sz w:val="22"/>
          <w:szCs w:val="22"/>
          <w:rtl/>
        </w:rPr>
      </w:pPr>
    </w:p>
    <w:p w:rsidR="000B589E" w:rsidRDefault="000B589E" w:rsidP="000B589E">
      <w:pPr>
        <w:bidi/>
        <w:spacing w:line="360" w:lineRule="auto"/>
        <w:rPr>
          <w:rFonts w:asciiTheme="minorHAnsi" w:hAnsiTheme="minorHAnsi" w:cstheme="minorHAnsi"/>
          <w:rtl/>
        </w:rPr>
      </w:pPr>
      <w:r w:rsidRPr="000B589E">
        <w:rPr>
          <w:rFonts w:asciiTheme="minorHAnsi" w:hAnsiTheme="minorHAnsi" w:cstheme="minorHAnsi" w:hint="cs"/>
          <w:rtl/>
        </w:rPr>
        <w:t>הודעה לעיתונו</w:t>
      </w:r>
      <w:r w:rsidRPr="000B589E">
        <w:rPr>
          <w:rFonts w:asciiTheme="minorHAnsi" w:hAnsiTheme="minorHAnsi" w:cstheme="minorHAnsi" w:hint="eastAsia"/>
          <w:rtl/>
        </w:rPr>
        <w:t>ת</w:t>
      </w:r>
      <w:r>
        <w:rPr>
          <w:rFonts w:asciiTheme="minorHAnsi" w:hAnsiTheme="minorHAnsi" w:cstheme="minorHAnsi" w:hint="cs"/>
          <w:rtl/>
        </w:rPr>
        <w:t xml:space="preserve">: </w:t>
      </w:r>
    </w:p>
    <w:p w:rsidR="00B2223E" w:rsidRPr="00572554" w:rsidRDefault="00572554" w:rsidP="00572554">
      <w:pPr>
        <w:bidi/>
        <w:spacing w:line="360" w:lineRule="auto"/>
        <w:jc w:val="center"/>
        <w:rPr>
          <w:rFonts w:asciiTheme="minorHAnsi" w:hAnsiTheme="minorHAnsi" w:cstheme="minorHAnsi"/>
          <w:b/>
          <w:bCs/>
          <w:sz w:val="28"/>
          <w:szCs w:val="28"/>
          <w:rtl/>
        </w:rPr>
      </w:pPr>
      <w:r w:rsidRPr="00572554">
        <w:rPr>
          <w:rFonts w:asciiTheme="minorHAnsi" w:hAnsiTheme="minorHAnsi" w:cs="Calibri"/>
          <w:b/>
          <w:bCs/>
          <w:sz w:val="28"/>
          <w:szCs w:val="28"/>
          <w:rtl/>
        </w:rPr>
        <w:t>הוועדה המוניטרית החליטה ב-0</w:t>
      </w:r>
      <w:r w:rsidRPr="00572554">
        <w:rPr>
          <w:rFonts w:asciiTheme="minorHAnsi" w:hAnsiTheme="minorHAnsi" w:cs="Calibri" w:hint="cs"/>
          <w:b/>
          <w:bCs/>
          <w:sz w:val="28"/>
          <w:szCs w:val="28"/>
          <w:rtl/>
        </w:rPr>
        <w:t>1</w:t>
      </w:r>
      <w:r w:rsidRPr="00572554">
        <w:rPr>
          <w:rFonts w:asciiTheme="minorHAnsi" w:hAnsiTheme="minorHAnsi" w:cs="Calibri"/>
          <w:b/>
          <w:bCs/>
          <w:sz w:val="28"/>
          <w:szCs w:val="28"/>
          <w:rtl/>
        </w:rPr>
        <w:t>/0</w:t>
      </w:r>
      <w:r w:rsidRPr="00572554">
        <w:rPr>
          <w:rFonts w:asciiTheme="minorHAnsi" w:hAnsiTheme="minorHAnsi" w:cs="Calibri" w:hint="cs"/>
          <w:b/>
          <w:bCs/>
          <w:sz w:val="28"/>
          <w:szCs w:val="28"/>
          <w:rtl/>
        </w:rPr>
        <w:t>9</w:t>
      </w:r>
      <w:r w:rsidRPr="00572554">
        <w:rPr>
          <w:rFonts w:asciiTheme="minorHAnsi" w:hAnsiTheme="minorHAnsi" w:cs="Calibri"/>
          <w:b/>
          <w:bCs/>
          <w:sz w:val="28"/>
          <w:szCs w:val="28"/>
          <w:rtl/>
        </w:rPr>
        <w:t>/2026 להוריד את הריבית ב-0.25% לרמה של 3.</w:t>
      </w:r>
      <w:r w:rsidRPr="00572554">
        <w:rPr>
          <w:rFonts w:asciiTheme="minorHAnsi" w:hAnsiTheme="minorHAnsi" w:cs="Calibri" w:hint="cs"/>
          <w:b/>
          <w:bCs/>
          <w:sz w:val="28"/>
          <w:szCs w:val="28"/>
          <w:rtl/>
        </w:rPr>
        <w:t>25</w:t>
      </w:r>
      <w:r w:rsidRPr="00572554">
        <w:rPr>
          <w:rFonts w:asciiTheme="minorHAnsi" w:hAnsiTheme="minorHAnsi" w:cs="Calibri"/>
          <w:b/>
          <w:bCs/>
          <w:sz w:val="28"/>
          <w:szCs w:val="28"/>
          <w:rtl/>
        </w:rPr>
        <w:t>%</w:t>
      </w:r>
    </w:p>
    <w:p w:rsidR="00B2223E" w:rsidRDefault="00B2223E" w:rsidP="00B2223E">
      <w:pPr>
        <w:bidi/>
        <w:spacing w:line="360" w:lineRule="auto"/>
        <w:rPr>
          <w:rFonts w:asciiTheme="minorHAnsi" w:hAnsiTheme="minorHAnsi" w:cstheme="minorHAnsi"/>
          <w:rtl/>
        </w:rPr>
      </w:pPr>
      <w:bookmarkStart w:id="0" w:name="_GoBack"/>
      <w:bookmarkEnd w:id="0"/>
    </w:p>
    <w:p w:rsidR="00B2223E" w:rsidRPr="00905C94" w:rsidRDefault="00B2223E" w:rsidP="00B2223E">
      <w:pPr>
        <w:pStyle w:val="ListParagraph"/>
        <w:numPr>
          <w:ilvl w:val="0"/>
          <w:numId w:val="11"/>
        </w:numPr>
        <w:bidi/>
        <w:spacing w:after="0" w:line="360" w:lineRule="auto"/>
        <w:jc w:val="both"/>
        <w:rPr>
          <w:rFonts w:ascii="Segoe UI" w:eastAsia="Times New Roman" w:hAnsi="Segoe UI" w:cs="Segoe UI"/>
          <w:b/>
          <w:bCs/>
          <w:sz w:val="21"/>
          <w:szCs w:val="21"/>
          <w:rtl/>
        </w:rPr>
      </w:pPr>
      <w:r w:rsidRPr="00905C94">
        <w:rPr>
          <w:rFonts w:ascii="Segoe UI" w:eastAsia="Times New Roman" w:hAnsi="Segoe UI" w:cs="Segoe UI"/>
          <w:b/>
          <w:bCs/>
          <w:sz w:val="21"/>
          <w:szCs w:val="21"/>
          <w:rtl/>
        </w:rPr>
        <w:t>בחודשים האחרונים התמתנה האינפלציה, ושיעורה בתקופה הנסקרת נמוך ממרכז תחום היעד</w:t>
      </w:r>
      <w:r>
        <w:rPr>
          <w:rFonts w:ascii="Segoe UI" w:eastAsia="Times New Roman" w:hAnsi="Segoe UI" w:cs="Segoe UI" w:hint="cs"/>
          <w:b/>
          <w:bCs/>
          <w:sz w:val="21"/>
          <w:szCs w:val="21"/>
          <w:rtl/>
        </w:rPr>
        <w:t>.</w:t>
      </w:r>
      <w:r w:rsidRPr="00905C94">
        <w:rPr>
          <w:rFonts w:ascii="Segoe UI" w:eastAsia="Times New Roman" w:hAnsi="Segoe UI" w:cs="Segoe UI"/>
          <w:b/>
          <w:bCs/>
          <w:sz w:val="21"/>
          <w:szCs w:val="21"/>
        </w:rPr>
        <w:t xml:space="preserve"> </w:t>
      </w:r>
    </w:p>
    <w:p w:rsidR="00B2223E" w:rsidRPr="00905C94" w:rsidRDefault="00B2223E" w:rsidP="00B2223E">
      <w:pPr>
        <w:pStyle w:val="ListParagraph"/>
        <w:numPr>
          <w:ilvl w:val="0"/>
          <w:numId w:val="11"/>
        </w:numPr>
        <w:bidi/>
        <w:spacing w:after="0" w:line="360" w:lineRule="auto"/>
        <w:jc w:val="both"/>
        <w:rPr>
          <w:rFonts w:ascii="Segoe UI" w:eastAsia="Times New Roman" w:hAnsi="Segoe UI" w:cs="Segoe UI"/>
          <w:b/>
          <w:bCs/>
          <w:sz w:val="21"/>
          <w:szCs w:val="21"/>
          <w:rtl/>
        </w:rPr>
      </w:pPr>
      <w:r w:rsidRPr="00905C94">
        <w:rPr>
          <w:rFonts w:ascii="Segoe UI" w:eastAsia="Times New Roman" w:hAnsi="Segoe UI" w:cs="Segoe UI"/>
          <w:b/>
          <w:bCs/>
          <w:sz w:val="21"/>
          <w:szCs w:val="21"/>
          <w:rtl/>
        </w:rPr>
        <w:t xml:space="preserve">מנתוני החשבונאות הלאומית לרביע השני לשנת 2026 עולה כי התוצר </w:t>
      </w:r>
      <w:r>
        <w:rPr>
          <w:rFonts w:ascii="Segoe UI" w:eastAsia="Times New Roman" w:hAnsi="Segoe UI" w:cs="Segoe UI" w:hint="cs"/>
          <w:b/>
          <w:bCs/>
          <w:sz w:val="21"/>
          <w:szCs w:val="21"/>
          <w:rtl/>
        </w:rPr>
        <w:t>היה</w:t>
      </w:r>
      <w:r w:rsidRPr="00905C94">
        <w:rPr>
          <w:rFonts w:ascii="Segoe UI" w:eastAsia="Times New Roman" w:hAnsi="Segoe UI" w:cs="Segoe UI"/>
          <w:b/>
          <w:bCs/>
          <w:sz w:val="21"/>
          <w:szCs w:val="21"/>
          <w:rtl/>
        </w:rPr>
        <w:t xml:space="preserve"> גבוה </w:t>
      </w:r>
      <w:r>
        <w:rPr>
          <w:rFonts w:ascii="Segoe UI" w:eastAsia="Times New Roman" w:hAnsi="Segoe UI" w:cs="Segoe UI" w:hint="cs"/>
          <w:b/>
          <w:bCs/>
          <w:sz w:val="21"/>
          <w:szCs w:val="21"/>
          <w:rtl/>
        </w:rPr>
        <w:t>ב-6.2% ביחס לרביע הרביעי של 2025. הנתונים</w:t>
      </w:r>
      <w:r w:rsidRPr="00905C94">
        <w:rPr>
          <w:rFonts w:ascii="Segoe UI" w:eastAsia="Times New Roman" w:hAnsi="Segoe UI" w:cs="Segoe UI"/>
          <w:b/>
          <w:bCs/>
          <w:sz w:val="21"/>
          <w:szCs w:val="21"/>
          <w:rtl/>
        </w:rPr>
        <w:t xml:space="preserve"> </w:t>
      </w:r>
      <w:r w:rsidRPr="00905C94">
        <w:rPr>
          <w:rFonts w:ascii="Segoe UI" w:eastAsia="Times New Roman" w:hAnsi="Segoe UI" w:cs="Segoe UI" w:hint="eastAsia"/>
          <w:b/>
          <w:bCs/>
          <w:sz w:val="21"/>
          <w:szCs w:val="21"/>
          <w:rtl/>
        </w:rPr>
        <w:t>משקפים</w:t>
      </w:r>
      <w:r w:rsidRPr="00905C94">
        <w:rPr>
          <w:rFonts w:ascii="Segoe UI" w:eastAsia="Times New Roman" w:hAnsi="Segoe UI" w:cs="Segoe UI"/>
          <w:b/>
          <w:bCs/>
          <w:sz w:val="21"/>
          <w:szCs w:val="21"/>
          <w:rtl/>
        </w:rPr>
        <w:t xml:space="preserve">, בחלקם, התאוששות של המשק מהפגיעה בפעילות במהלך הרביע הראשון על רקע מבצע "שאגת הארי". </w:t>
      </w:r>
      <w:r>
        <w:rPr>
          <w:rFonts w:ascii="Segoe UI" w:eastAsia="Times New Roman" w:hAnsi="Segoe UI" w:cs="Segoe UI" w:hint="cs"/>
          <w:b/>
          <w:bCs/>
          <w:sz w:val="21"/>
          <w:szCs w:val="21"/>
          <w:rtl/>
        </w:rPr>
        <w:t xml:space="preserve">עם זאת, </w:t>
      </w:r>
      <w:r w:rsidRPr="00905C94">
        <w:rPr>
          <w:rFonts w:ascii="Segoe UI" w:eastAsia="Times New Roman" w:hAnsi="Segoe UI" w:cs="Segoe UI"/>
          <w:b/>
          <w:bCs/>
          <w:sz w:val="21"/>
          <w:szCs w:val="21"/>
          <w:rtl/>
        </w:rPr>
        <w:t xml:space="preserve">בניכוי </w:t>
      </w:r>
      <w:r>
        <w:rPr>
          <w:rFonts w:ascii="Segoe UI" w:eastAsia="Times New Roman" w:hAnsi="Segoe UI" w:cs="Segoe UI" w:hint="cs"/>
          <w:b/>
          <w:bCs/>
          <w:sz w:val="21"/>
          <w:szCs w:val="21"/>
          <w:rtl/>
        </w:rPr>
        <w:t xml:space="preserve">ייצור </w:t>
      </w:r>
      <w:r w:rsidRPr="00295436">
        <w:rPr>
          <w:rFonts w:ascii="Segoe UI" w:eastAsia="Times New Roman" w:hAnsi="Segoe UI" w:cs="Segoe UI"/>
          <w:b/>
          <w:bCs/>
          <w:sz w:val="21"/>
          <w:szCs w:val="21"/>
          <w:rtl/>
        </w:rPr>
        <w:t>בחו"ל</w:t>
      </w:r>
      <w:r>
        <w:rPr>
          <w:rFonts w:ascii="Segoe UI" w:eastAsia="Times New Roman" w:hAnsi="Segoe UI" w:cs="Segoe UI" w:hint="cs"/>
          <w:b/>
          <w:bCs/>
          <w:sz w:val="21"/>
          <w:szCs w:val="21"/>
          <w:rtl/>
        </w:rPr>
        <w:t xml:space="preserve"> של</w:t>
      </w:r>
      <w:r w:rsidRPr="00905C94">
        <w:rPr>
          <w:rFonts w:ascii="Segoe UI" w:eastAsia="Times New Roman" w:hAnsi="Segoe UI" w:cs="Segoe UI"/>
          <w:b/>
          <w:bCs/>
          <w:sz w:val="21"/>
          <w:szCs w:val="21"/>
          <w:rtl/>
        </w:rPr>
        <w:t xml:space="preserve"> חברות ישראליות התוצר ברביע השני של 2026 היה גבוה ב-3.8 אחוזים ביחס לרביע האחרון של 2025 (במונחים שנתיים)</w:t>
      </w:r>
      <w:r w:rsidRPr="00905C94">
        <w:rPr>
          <w:rFonts w:ascii="Segoe UI" w:eastAsia="Times New Roman" w:hAnsi="Segoe UI" w:cs="Segoe UI"/>
          <w:b/>
          <w:bCs/>
          <w:sz w:val="21"/>
          <w:szCs w:val="21"/>
        </w:rPr>
        <w:t>.</w:t>
      </w:r>
    </w:p>
    <w:p w:rsidR="00B2223E" w:rsidRPr="00905C94" w:rsidRDefault="00B2223E" w:rsidP="00B2223E">
      <w:pPr>
        <w:pStyle w:val="ListParagraph"/>
        <w:numPr>
          <w:ilvl w:val="0"/>
          <w:numId w:val="11"/>
        </w:numPr>
        <w:bidi/>
        <w:spacing w:after="0" w:line="360" w:lineRule="auto"/>
        <w:jc w:val="both"/>
        <w:rPr>
          <w:rFonts w:ascii="Segoe UI" w:eastAsia="Times New Roman" w:hAnsi="Segoe UI" w:cs="Segoe UI"/>
          <w:b/>
          <w:bCs/>
          <w:sz w:val="21"/>
          <w:szCs w:val="21"/>
          <w:rtl/>
        </w:rPr>
      </w:pPr>
      <w:proofErr w:type="spellStart"/>
      <w:r w:rsidRPr="00905C94">
        <w:rPr>
          <w:rFonts w:ascii="Segoe UI" w:eastAsia="Times New Roman" w:hAnsi="Segoe UI" w:cs="Segoe UI"/>
          <w:b/>
          <w:bCs/>
          <w:sz w:val="21"/>
          <w:szCs w:val="21"/>
          <w:rtl/>
        </w:rPr>
        <w:t>אי־הוודאות</w:t>
      </w:r>
      <w:proofErr w:type="spellEnd"/>
      <w:r w:rsidRPr="00905C94">
        <w:rPr>
          <w:rFonts w:ascii="Segoe UI" w:eastAsia="Times New Roman" w:hAnsi="Segoe UI" w:cs="Segoe UI"/>
          <w:b/>
          <w:bCs/>
          <w:sz w:val="21"/>
          <w:szCs w:val="21"/>
          <w:rtl/>
        </w:rPr>
        <w:t xml:space="preserve"> עודנה גבוהה על רקע המתיחות הגיאופוליטית, יחד עם זאת, בתקופה הנסקרת פרמיית הסיכון של ישראל המשיכה לשהות ברמות הדומות לאלו ששררו טרם השבעה באוקטובר ושער החליפין של השקל נותר ללא שינוי משמעותי</w:t>
      </w:r>
      <w:r w:rsidRPr="00905C94">
        <w:rPr>
          <w:rFonts w:ascii="Segoe UI" w:eastAsia="Times New Roman" w:hAnsi="Segoe UI" w:cs="Segoe UI"/>
          <w:b/>
          <w:bCs/>
          <w:sz w:val="21"/>
          <w:szCs w:val="21"/>
        </w:rPr>
        <w:t>.</w:t>
      </w:r>
    </w:p>
    <w:p w:rsidR="00B2223E" w:rsidRDefault="00B2223E" w:rsidP="00B2223E">
      <w:pPr>
        <w:pStyle w:val="ListParagraph"/>
        <w:numPr>
          <w:ilvl w:val="0"/>
          <w:numId w:val="11"/>
        </w:numPr>
        <w:bidi/>
        <w:spacing w:after="0" w:line="360" w:lineRule="auto"/>
        <w:jc w:val="both"/>
        <w:rPr>
          <w:rFonts w:ascii="Segoe UI" w:eastAsia="Times New Roman" w:hAnsi="Segoe UI" w:cs="Segoe UI"/>
          <w:b/>
          <w:bCs/>
          <w:sz w:val="21"/>
          <w:szCs w:val="21"/>
        </w:rPr>
      </w:pPr>
      <w:r w:rsidRPr="00905C94">
        <w:rPr>
          <w:rFonts w:ascii="Segoe UI" w:eastAsia="Times New Roman" w:hAnsi="Segoe UI" w:cs="Segoe UI"/>
          <w:b/>
          <w:bCs/>
          <w:sz w:val="21"/>
          <w:szCs w:val="21"/>
          <w:rtl/>
        </w:rPr>
        <w:t xml:space="preserve">שוק העבודה מוסיף להיות הדוק, </w:t>
      </w:r>
      <w:r>
        <w:rPr>
          <w:rFonts w:ascii="Segoe UI" w:eastAsia="Times New Roman" w:hAnsi="Segoe UI" w:cs="Segoe UI" w:hint="cs"/>
          <w:b/>
          <w:bCs/>
          <w:sz w:val="21"/>
          <w:szCs w:val="21"/>
          <w:rtl/>
        </w:rPr>
        <w:t xml:space="preserve">השכר במגזר העסקי ללא הייטק עלה ב-5.4% בחודשים מרץ-מאי בהשוואה לתקופה המקבילה אשתקד. </w:t>
      </w:r>
      <w:r w:rsidRPr="00905C94">
        <w:rPr>
          <w:rFonts w:ascii="Segoe UI" w:eastAsia="Times New Roman" w:hAnsi="Segoe UI" w:cs="Segoe UI"/>
          <w:b/>
          <w:bCs/>
          <w:sz w:val="21"/>
          <w:szCs w:val="21"/>
          <w:rtl/>
        </w:rPr>
        <w:t>בנתוני הקצה חלה עלייה קלה בשיעורי ההשתתפות והאבטלה הרחבה.</w:t>
      </w:r>
      <w:r>
        <w:rPr>
          <w:rFonts w:ascii="Segoe UI" w:eastAsia="Times New Roman" w:hAnsi="Segoe UI" w:cs="Segoe UI" w:hint="cs"/>
          <w:b/>
          <w:bCs/>
          <w:sz w:val="21"/>
          <w:szCs w:val="21"/>
          <w:rtl/>
        </w:rPr>
        <w:t xml:space="preserve"> </w:t>
      </w:r>
    </w:p>
    <w:p w:rsidR="00B2223E" w:rsidRPr="00905C94" w:rsidRDefault="00B2223E" w:rsidP="00B2223E">
      <w:pPr>
        <w:pStyle w:val="ListParagraph"/>
        <w:numPr>
          <w:ilvl w:val="0"/>
          <w:numId w:val="11"/>
        </w:numPr>
        <w:bidi/>
        <w:spacing w:after="0" w:line="360" w:lineRule="auto"/>
        <w:jc w:val="both"/>
        <w:rPr>
          <w:rFonts w:ascii="Segoe UI" w:eastAsia="Times New Roman" w:hAnsi="Segoe UI" w:cs="Segoe UI"/>
          <w:b/>
          <w:bCs/>
          <w:sz w:val="21"/>
          <w:szCs w:val="21"/>
          <w:rtl/>
        </w:rPr>
      </w:pPr>
      <w:r w:rsidRPr="00905C94">
        <w:rPr>
          <w:rFonts w:ascii="Segoe UI" w:eastAsia="Times New Roman" w:hAnsi="Segoe UI" w:cs="Segoe UI" w:hint="eastAsia"/>
          <w:b/>
          <w:bCs/>
          <w:sz w:val="21"/>
          <w:szCs w:val="21"/>
          <w:rtl/>
        </w:rPr>
        <w:t>בשוק</w:t>
      </w:r>
      <w:r w:rsidRPr="00905C94">
        <w:rPr>
          <w:rFonts w:ascii="Segoe UI" w:eastAsia="Times New Roman" w:hAnsi="Segoe UI" w:cs="Segoe UI"/>
          <w:b/>
          <w:bCs/>
          <w:sz w:val="21"/>
          <w:szCs w:val="21"/>
          <w:rtl/>
        </w:rPr>
        <w:t xml:space="preserve"> הדיור, מלאי הדירות שנותרו למכירה יציב ומוסיף לשהות ברמה גבוהה, כאשר בחודשים מאי </w:t>
      </w:r>
      <w:r w:rsidRPr="00905C94">
        <w:rPr>
          <w:rFonts w:ascii="Segoe UI" w:eastAsia="Times New Roman" w:hAnsi="Segoe UI" w:cs="Segoe UI" w:hint="eastAsia"/>
          <w:b/>
          <w:bCs/>
          <w:sz w:val="21"/>
          <w:szCs w:val="21"/>
          <w:rtl/>
        </w:rPr>
        <w:t>ו</w:t>
      </w:r>
      <w:r w:rsidRPr="00905C94">
        <w:rPr>
          <w:rFonts w:ascii="Segoe UI" w:eastAsia="Times New Roman" w:hAnsi="Segoe UI" w:cs="Segoe UI"/>
          <w:b/>
          <w:bCs/>
          <w:sz w:val="21"/>
          <w:szCs w:val="21"/>
          <w:rtl/>
        </w:rPr>
        <w:t xml:space="preserve">יוני </w:t>
      </w:r>
      <w:r w:rsidRPr="00905C94">
        <w:rPr>
          <w:rFonts w:ascii="Segoe UI" w:eastAsia="Times New Roman" w:hAnsi="Segoe UI" w:cs="Segoe UI" w:hint="eastAsia"/>
          <w:b/>
          <w:bCs/>
          <w:sz w:val="21"/>
          <w:szCs w:val="21"/>
          <w:rtl/>
        </w:rPr>
        <w:t>חלה</w:t>
      </w:r>
      <w:r w:rsidRPr="00905C94">
        <w:rPr>
          <w:rFonts w:ascii="Segoe UI" w:eastAsia="Times New Roman" w:hAnsi="Segoe UI" w:cs="Segoe UI"/>
          <w:b/>
          <w:bCs/>
          <w:sz w:val="21"/>
          <w:szCs w:val="21"/>
          <w:rtl/>
        </w:rPr>
        <w:t xml:space="preserve"> עליה </w:t>
      </w:r>
      <w:r w:rsidRPr="00905C94">
        <w:rPr>
          <w:rFonts w:ascii="Segoe UI" w:eastAsia="Times New Roman" w:hAnsi="Segoe UI" w:cs="Segoe UI" w:hint="eastAsia"/>
          <w:b/>
          <w:bCs/>
          <w:sz w:val="21"/>
          <w:szCs w:val="21"/>
          <w:rtl/>
        </w:rPr>
        <w:t>מתונה</w:t>
      </w:r>
      <w:r w:rsidRPr="00905C94">
        <w:rPr>
          <w:rFonts w:ascii="Segoe UI" w:eastAsia="Times New Roman" w:hAnsi="Segoe UI" w:cs="Segoe UI"/>
          <w:b/>
          <w:bCs/>
          <w:sz w:val="21"/>
          <w:szCs w:val="21"/>
          <w:rtl/>
        </w:rPr>
        <w:t xml:space="preserve"> בהיקף העסקאות, </w:t>
      </w:r>
      <w:r w:rsidRPr="00905C94">
        <w:rPr>
          <w:rFonts w:ascii="Segoe UI" w:eastAsia="Times New Roman" w:hAnsi="Segoe UI" w:cs="Segoe UI" w:hint="eastAsia"/>
          <w:b/>
          <w:bCs/>
          <w:sz w:val="21"/>
          <w:szCs w:val="21"/>
          <w:rtl/>
        </w:rPr>
        <w:t>בעיקר</w:t>
      </w:r>
      <w:r w:rsidRPr="00905C94">
        <w:rPr>
          <w:rFonts w:ascii="Segoe UI" w:eastAsia="Times New Roman" w:hAnsi="Segoe UI" w:cs="Segoe UI"/>
          <w:b/>
          <w:bCs/>
          <w:sz w:val="21"/>
          <w:szCs w:val="21"/>
          <w:rtl/>
        </w:rPr>
        <w:t xml:space="preserve"> </w:t>
      </w:r>
      <w:r w:rsidRPr="00905C94">
        <w:rPr>
          <w:rFonts w:ascii="Segoe UI" w:eastAsia="Times New Roman" w:hAnsi="Segoe UI" w:cs="Segoe UI" w:hint="eastAsia"/>
          <w:b/>
          <w:bCs/>
          <w:sz w:val="21"/>
          <w:szCs w:val="21"/>
          <w:rtl/>
        </w:rPr>
        <w:t>בדירות</w:t>
      </w:r>
      <w:r w:rsidRPr="00905C94">
        <w:rPr>
          <w:rFonts w:ascii="Segoe UI" w:eastAsia="Times New Roman" w:hAnsi="Segoe UI" w:cs="Segoe UI"/>
          <w:b/>
          <w:bCs/>
          <w:sz w:val="21"/>
          <w:szCs w:val="21"/>
          <w:rtl/>
        </w:rPr>
        <w:t xml:space="preserve"> </w:t>
      </w:r>
      <w:r w:rsidRPr="00905C94">
        <w:rPr>
          <w:rFonts w:ascii="Segoe UI" w:eastAsia="Times New Roman" w:hAnsi="Segoe UI" w:cs="Segoe UI" w:hint="eastAsia"/>
          <w:b/>
          <w:bCs/>
          <w:sz w:val="21"/>
          <w:szCs w:val="21"/>
          <w:rtl/>
        </w:rPr>
        <w:t>חדשות</w:t>
      </w:r>
      <w:r w:rsidRPr="00905C94">
        <w:rPr>
          <w:rFonts w:ascii="Segoe UI" w:eastAsia="Times New Roman" w:hAnsi="Segoe UI" w:cs="Segoe UI"/>
          <w:b/>
          <w:bCs/>
          <w:sz w:val="21"/>
          <w:szCs w:val="21"/>
          <w:rtl/>
        </w:rPr>
        <w:t>.</w:t>
      </w:r>
    </w:p>
    <w:p w:rsidR="00B2223E" w:rsidRPr="004D2590" w:rsidRDefault="00B2223E" w:rsidP="00B2223E">
      <w:pPr>
        <w:bidi/>
        <w:spacing w:after="0" w:line="360" w:lineRule="auto"/>
        <w:jc w:val="both"/>
        <w:rPr>
          <w:rFonts w:ascii="Segoe UI" w:eastAsia="Times New Roman" w:hAnsi="Segoe UI" w:cs="Segoe UI"/>
          <w:b/>
          <w:bCs/>
          <w:sz w:val="21"/>
          <w:szCs w:val="21"/>
          <w:highlight w:val="yellow"/>
          <w:rtl/>
        </w:rPr>
      </w:pPr>
    </w:p>
    <w:p w:rsidR="00B2223E" w:rsidRDefault="00B2223E" w:rsidP="00B2223E">
      <w:pPr>
        <w:bidi/>
        <w:spacing w:after="0" w:line="360" w:lineRule="auto"/>
        <w:jc w:val="both"/>
        <w:rPr>
          <w:rFonts w:ascii="Segoe UI" w:eastAsia="Times New Roman" w:hAnsi="Segoe UI" w:cs="Segoe UI"/>
          <w:b/>
          <w:bCs/>
          <w:sz w:val="21"/>
          <w:szCs w:val="21"/>
          <w:highlight w:val="yellow"/>
          <w:rtl/>
        </w:rPr>
      </w:pPr>
      <w:r w:rsidRPr="004D2590">
        <w:rPr>
          <w:rFonts w:ascii="Segoe UI" w:eastAsia="Times New Roman" w:hAnsi="Segoe UI" w:cs="Segoe UI"/>
          <w:b/>
          <w:bCs/>
          <w:sz w:val="21"/>
          <w:szCs w:val="21"/>
          <w:rtl/>
        </w:rPr>
        <w:t>מדיניות הוועדה המוניטרית מתמקדת ביציבות מחירים, תמיכה בפעילות הכלכלית ויציבות השווקים. תוואי הריבית ייקבע בהתאם להתפתחות האינפלציה, לפעילות המשק, לאי הוודאות הגיאופוליטית ולהתפתחויות הפיסקליות.</w:t>
      </w:r>
    </w:p>
    <w:p w:rsidR="00B2223E" w:rsidRDefault="00B2223E" w:rsidP="00B2223E">
      <w:pPr>
        <w:bidi/>
        <w:spacing w:after="0" w:line="360" w:lineRule="auto"/>
        <w:jc w:val="both"/>
        <w:rPr>
          <w:rFonts w:asciiTheme="minorHAnsi" w:hAnsiTheme="minorHAnsi" w:cs="Calibri"/>
          <w:rtl/>
        </w:rPr>
      </w:pPr>
    </w:p>
    <w:p w:rsidR="00B2223E" w:rsidRPr="004D2590" w:rsidRDefault="00B2223E" w:rsidP="00B2223E">
      <w:pPr>
        <w:bidi/>
        <w:spacing w:after="0" w:line="360" w:lineRule="auto"/>
        <w:jc w:val="both"/>
        <w:rPr>
          <w:rFonts w:ascii="Segoe UI" w:eastAsia="Times New Roman" w:hAnsi="Segoe UI" w:cs="Segoe UI"/>
          <w:sz w:val="21"/>
          <w:szCs w:val="21"/>
          <w:rtl/>
        </w:rPr>
      </w:pPr>
      <w:r w:rsidRPr="00820346">
        <w:rPr>
          <w:rFonts w:asciiTheme="minorHAnsi" w:hAnsiTheme="minorHAnsi" w:cs="Calibri" w:hint="cs"/>
          <w:rtl/>
        </w:rPr>
        <w:t>בחודשים האחרונים התמתנה האינפלציה, ו</w:t>
      </w:r>
      <w:r w:rsidRPr="00820346">
        <w:rPr>
          <w:rFonts w:asciiTheme="minorHAnsi" w:hAnsiTheme="minorHAnsi" w:cs="Calibri"/>
          <w:rtl/>
        </w:rPr>
        <w:t>שיעור</w:t>
      </w:r>
      <w:r w:rsidRPr="00820346">
        <w:rPr>
          <w:rFonts w:asciiTheme="minorHAnsi" w:hAnsiTheme="minorHAnsi" w:cs="Calibri" w:hint="cs"/>
          <w:rtl/>
        </w:rPr>
        <w:t>ה</w:t>
      </w:r>
      <w:r w:rsidRPr="00820346">
        <w:rPr>
          <w:rFonts w:asciiTheme="minorHAnsi" w:hAnsiTheme="minorHAnsi" w:cs="Calibri"/>
          <w:rtl/>
        </w:rPr>
        <w:t xml:space="preserve"> </w:t>
      </w:r>
      <w:r w:rsidRPr="00820346">
        <w:rPr>
          <w:rFonts w:asciiTheme="minorHAnsi" w:hAnsiTheme="minorHAnsi" w:cs="Calibri" w:hint="cs"/>
          <w:rtl/>
        </w:rPr>
        <w:t xml:space="preserve">בתקופה הנסקרת </w:t>
      </w:r>
      <w:r w:rsidRPr="00820346">
        <w:rPr>
          <w:rFonts w:asciiTheme="minorHAnsi" w:hAnsiTheme="minorHAnsi" w:cs="Calibri"/>
          <w:rtl/>
        </w:rPr>
        <w:t>נמוך ממרכז תחום היעד</w:t>
      </w:r>
      <w:r w:rsidRPr="00820346">
        <w:rPr>
          <w:rFonts w:asciiTheme="minorHAnsi" w:hAnsiTheme="minorHAnsi" w:cs="Calibri" w:hint="cs"/>
          <w:rtl/>
        </w:rPr>
        <w:t>. התוצר</w:t>
      </w:r>
      <w:r w:rsidRPr="00820346">
        <w:rPr>
          <w:rFonts w:asciiTheme="minorHAnsi" w:hAnsiTheme="minorHAnsi" w:cs="Calibri"/>
          <w:rtl/>
        </w:rPr>
        <w:t xml:space="preserve"> </w:t>
      </w:r>
      <w:r w:rsidRPr="00820346">
        <w:rPr>
          <w:rFonts w:asciiTheme="minorHAnsi" w:hAnsiTheme="minorHAnsi" w:cs="Calibri" w:hint="cs"/>
          <w:rtl/>
        </w:rPr>
        <w:t>צמח בקצב מהיר במחצית הראשונה של השנה</w:t>
      </w:r>
      <w:r w:rsidRPr="00820346">
        <w:rPr>
          <w:rFonts w:asciiTheme="minorHAnsi" w:hAnsiTheme="minorHAnsi" w:cs="Calibri"/>
          <w:rtl/>
        </w:rPr>
        <w:t xml:space="preserve">, </w:t>
      </w:r>
      <w:r w:rsidRPr="00820346">
        <w:rPr>
          <w:rFonts w:asciiTheme="minorHAnsi" w:hAnsiTheme="minorHAnsi" w:cs="Calibri" w:hint="cs"/>
          <w:rtl/>
        </w:rPr>
        <w:t>אך</w:t>
      </w:r>
      <w:r w:rsidRPr="00820346">
        <w:rPr>
          <w:rFonts w:asciiTheme="minorHAnsi" w:hAnsiTheme="minorHAnsi" w:cs="Calibri"/>
          <w:rtl/>
        </w:rPr>
        <w:t xml:space="preserve"> </w:t>
      </w:r>
      <w:r w:rsidRPr="00820346">
        <w:rPr>
          <w:rFonts w:asciiTheme="minorHAnsi" w:hAnsiTheme="minorHAnsi" w:cs="Calibri" w:hint="cs"/>
          <w:rtl/>
        </w:rPr>
        <w:t xml:space="preserve">בניכוי ייצור בחו"ל מסתמנת פעילות מתונה יותר. </w:t>
      </w:r>
      <w:proofErr w:type="spellStart"/>
      <w:r w:rsidRPr="00820346">
        <w:rPr>
          <w:rFonts w:asciiTheme="minorHAnsi" w:hAnsiTheme="minorHAnsi" w:cs="Calibri"/>
          <w:rtl/>
        </w:rPr>
        <w:t>אי־הוודאות</w:t>
      </w:r>
      <w:proofErr w:type="spellEnd"/>
      <w:r w:rsidRPr="00820346">
        <w:rPr>
          <w:rFonts w:asciiTheme="minorHAnsi" w:hAnsiTheme="minorHAnsi" w:cs="Calibri"/>
          <w:rtl/>
        </w:rPr>
        <w:t xml:space="preserve"> </w:t>
      </w:r>
      <w:r w:rsidRPr="00820346">
        <w:rPr>
          <w:rFonts w:asciiTheme="minorHAnsi" w:hAnsiTheme="minorHAnsi" w:cs="Calibri" w:hint="eastAsia"/>
          <w:rtl/>
        </w:rPr>
        <w:t>עודנה</w:t>
      </w:r>
      <w:r w:rsidRPr="00820346">
        <w:rPr>
          <w:rFonts w:asciiTheme="minorHAnsi" w:hAnsiTheme="minorHAnsi" w:cs="Calibri"/>
          <w:rtl/>
        </w:rPr>
        <w:t xml:space="preserve"> גבוהה על רקע המתיחות הגיאופוליטית, </w:t>
      </w:r>
      <w:r w:rsidRPr="00820346">
        <w:rPr>
          <w:rFonts w:asciiTheme="minorHAnsi" w:hAnsiTheme="minorHAnsi" w:cs="Calibri" w:hint="eastAsia"/>
          <w:rtl/>
        </w:rPr>
        <w:t>יחד</w:t>
      </w:r>
      <w:r w:rsidRPr="00820346">
        <w:rPr>
          <w:rFonts w:asciiTheme="minorHAnsi" w:hAnsiTheme="minorHAnsi" w:cs="Calibri"/>
          <w:rtl/>
        </w:rPr>
        <w:t xml:space="preserve"> </w:t>
      </w:r>
      <w:r w:rsidRPr="00820346">
        <w:rPr>
          <w:rFonts w:asciiTheme="minorHAnsi" w:hAnsiTheme="minorHAnsi" w:cs="Calibri" w:hint="eastAsia"/>
          <w:rtl/>
        </w:rPr>
        <w:t>עם</w:t>
      </w:r>
      <w:r w:rsidRPr="00820346">
        <w:rPr>
          <w:rFonts w:asciiTheme="minorHAnsi" w:hAnsiTheme="minorHAnsi" w:cs="Calibri"/>
          <w:rtl/>
        </w:rPr>
        <w:t xml:space="preserve"> </w:t>
      </w:r>
      <w:r w:rsidRPr="00820346">
        <w:rPr>
          <w:rFonts w:asciiTheme="minorHAnsi" w:hAnsiTheme="minorHAnsi" w:cs="Calibri" w:hint="eastAsia"/>
          <w:rtl/>
        </w:rPr>
        <w:t>זאת</w:t>
      </w:r>
      <w:r w:rsidRPr="00820346">
        <w:rPr>
          <w:rFonts w:asciiTheme="minorHAnsi" w:hAnsiTheme="minorHAnsi" w:cs="Calibri"/>
          <w:rtl/>
        </w:rPr>
        <w:t>,</w:t>
      </w:r>
      <w:r w:rsidRPr="00820346">
        <w:rPr>
          <w:rFonts w:asciiTheme="minorHAnsi" w:hAnsiTheme="minorHAnsi" w:cs="Calibri" w:hint="cs"/>
          <w:rtl/>
        </w:rPr>
        <w:t xml:space="preserve"> בתקופה הנסקרת </w:t>
      </w:r>
      <w:r w:rsidRPr="00820346">
        <w:rPr>
          <w:rFonts w:asciiTheme="minorHAnsi" w:hAnsiTheme="minorHAnsi" w:cs="Calibri"/>
          <w:rtl/>
        </w:rPr>
        <w:t xml:space="preserve">פרמיית הסיכון של ישראל </w:t>
      </w:r>
      <w:r w:rsidRPr="00820346">
        <w:rPr>
          <w:rFonts w:asciiTheme="minorHAnsi" w:hAnsiTheme="minorHAnsi" w:cs="Calibri" w:hint="cs"/>
          <w:rtl/>
        </w:rPr>
        <w:t>המשיכה לשהות</w:t>
      </w:r>
      <w:r w:rsidRPr="00820346">
        <w:rPr>
          <w:rFonts w:asciiTheme="minorHAnsi" w:hAnsiTheme="minorHAnsi" w:cs="Calibri"/>
          <w:rtl/>
        </w:rPr>
        <w:t xml:space="preserve"> </w:t>
      </w:r>
      <w:r w:rsidRPr="00820346">
        <w:rPr>
          <w:rFonts w:asciiTheme="minorHAnsi" w:hAnsiTheme="minorHAnsi" w:cs="Calibri" w:hint="eastAsia"/>
          <w:rtl/>
        </w:rPr>
        <w:t>ברמ</w:t>
      </w:r>
      <w:r w:rsidRPr="00820346">
        <w:rPr>
          <w:rFonts w:asciiTheme="minorHAnsi" w:hAnsiTheme="minorHAnsi" w:cs="Calibri" w:hint="cs"/>
          <w:rtl/>
        </w:rPr>
        <w:t>ות הדומות לאלו ששררו טרם השבעה באוקטובר</w:t>
      </w:r>
      <w:r w:rsidRPr="00820346">
        <w:rPr>
          <w:rFonts w:asciiTheme="minorHAnsi" w:hAnsiTheme="minorHAnsi" w:cs="Calibri"/>
          <w:rtl/>
        </w:rPr>
        <w:t xml:space="preserve"> </w:t>
      </w:r>
      <w:r w:rsidRPr="00820346">
        <w:rPr>
          <w:rFonts w:asciiTheme="minorHAnsi" w:hAnsiTheme="minorHAnsi" w:cs="Calibri" w:hint="cs"/>
          <w:rtl/>
        </w:rPr>
        <w:t>ושער החליפין של השקל נותר ללא שינוי משמעותי</w:t>
      </w:r>
      <w:r w:rsidRPr="004D2590">
        <w:rPr>
          <w:rFonts w:ascii="Segoe UI" w:eastAsia="Times New Roman" w:hAnsi="Segoe UI" w:cs="Segoe UI" w:hint="cs"/>
          <w:sz w:val="21"/>
          <w:szCs w:val="21"/>
          <w:rtl/>
        </w:rPr>
        <w:t>.</w:t>
      </w:r>
      <w:r w:rsidRPr="004D2590">
        <w:rPr>
          <w:rFonts w:ascii="Segoe UI" w:eastAsia="Times New Roman" w:hAnsi="Segoe UI" w:cs="Segoe UI"/>
          <w:sz w:val="21"/>
          <w:szCs w:val="21"/>
        </w:rPr>
        <w:t xml:space="preserve"> </w:t>
      </w:r>
    </w:p>
    <w:p w:rsidR="00B2223E" w:rsidRPr="004D2590" w:rsidRDefault="00B2223E" w:rsidP="00B2223E">
      <w:pPr>
        <w:bidi/>
        <w:spacing w:after="0" w:line="360" w:lineRule="auto"/>
        <w:jc w:val="both"/>
        <w:rPr>
          <w:rFonts w:asciiTheme="minorHAnsi" w:hAnsiTheme="minorHAnsi" w:cs="Calibri"/>
          <w:rtl/>
        </w:rPr>
      </w:pPr>
    </w:p>
    <w:p w:rsidR="00B2223E" w:rsidRPr="004D2590" w:rsidRDefault="00B2223E" w:rsidP="00B2223E">
      <w:pPr>
        <w:bidi/>
        <w:spacing w:after="0" w:line="360" w:lineRule="auto"/>
        <w:jc w:val="both"/>
        <w:rPr>
          <w:rFonts w:asciiTheme="minorHAnsi" w:hAnsiTheme="minorHAnsi" w:cs="Calibri"/>
          <w:rtl/>
        </w:rPr>
      </w:pPr>
      <w:r w:rsidRPr="004D2590">
        <w:rPr>
          <w:rFonts w:asciiTheme="minorHAnsi" w:hAnsiTheme="minorHAnsi" w:cs="Calibri"/>
          <w:rtl/>
        </w:rPr>
        <w:lastRenderedPageBreak/>
        <w:t>מדד המחירים לצרכן נותר ללא שינוי בחודש יוני</w:t>
      </w:r>
      <w:r w:rsidRPr="004D2590">
        <w:rPr>
          <w:rFonts w:asciiTheme="minorHAnsi" w:hAnsiTheme="minorHAnsi" w:cs="Calibri" w:hint="cs"/>
          <w:rtl/>
        </w:rPr>
        <w:t xml:space="preserve"> ועלה</w:t>
      </w:r>
      <w:r w:rsidRPr="004D2590">
        <w:rPr>
          <w:rFonts w:asciiTheme="minorHAnsi" w:hAnsiTheme="minorHAnsi" w:cs="Calibri"/>
          <w:rtl/>
        </w:rPr>
        <w:t xml:space="preserve"> ב-0.3% בחודש </w:t>
      </w:r>
      <w:r w:rsidRPr="004D2590">
        <w:rPr>
          <w:rFonts w:asciiTheme="minorHAnsi" w:hAnsiTheme="minorHAnsi" w:cs="Calibri" w:hint="cs"/>
          <w:rtl/>
        </w:rPr>
        <w:t>יולי</w:t>
      </w:r>
      <w:r w:rsidRPr="004D2590">
        <w:rPr>
          <w:rFonts w:asciiTheme="minorHAnsi" w:hAnsiTheme="minorHAnsi" w:cstheme="minorHAnsi" w:hint="cs"/>
          <w:rtl/>
        </w:rPr>
        <w:t xml:space="preserve">. </w:t>
      </w:r>
      <w:r w:rsidRPr="004D2590">
        <w:rPr>
          <w:rFonts w:asciiTheme="minorHAnsi" w:hAnsiTheme="minorHAnsi" w:cs="Calibri"/>
          <w:rtl/>
        </w:rPr>
        <w:t xml:space="preserve">האינפלציה בשנים-עשר החודשים האחרונים </w:t>
      </w:r>
      <w:r w:rsidRPr="004D2590">
        <w:rPr>
          <w:rFonts w:asciiTheme="minorHAnsi" w:hAnsiTheme="minorHAnsi" w:cs="Calibri" w:hint="cs"/>
          <w:rtl/>
        </w:rPr>
        <w:t xml:space="preserve">עמדה בחודש יולי על 1.5%, </w:t>
      </w:r>
      <w:r w:rsidRPr="004D2590">
        <w:rPr>
          <w:rFonts w:ascii="Segoe UI" w:eastAsia="Times New Roman" w:hAnsi="Segoe UI" w:cs="Segoe UI" w:hint="cs"/>
          <w:sz w:val="21"/>
          <w:szCs w:val="21"/>
          <w:rtl/>
        </w:rPr>
        <w:t>מתחת</w:t>
      </w:r>
      <w:r w:rsidRPr="004D2590">
        <w:rPr>
          <w:rFonts w:asciiTheme="minorHAnsi" w:hAnsiTheme="minorHAnsi" w:cs="Calibri" w:hint="cs"/>
          <w:rtl/>
        </w:rPr>
        <w:t xml:space="preserve"> למרכז היעד </w:t>
      </w:r>
      <w:r w:rsidRPr="004D2590">
        <w:rPr>
          <w:rFonts w:ascii="Calibri" w:eastAsiaTheme="minorHAnsi" w:hAnsi="Calibri" w:cs="Calibri"/>
          <w:b/>
          <w:bCs/>
        </w:rPr>
        <w:t>)</w:t>
      </w:r>
      <w:r w:rsidRPr="004D2590">
        <w:rPr>
          <w:rFonts w:asciiTheme="minorHAnsi" w:hAnsiTheme="minorHAnsi" w:cs="Calibri" w:hint="cs"/>
          <w:b/>
          <w:bCs/>
          <w:rtl/>
        </w:rPr>
        <w:t>א</w:t>
      </w:r>
      <w:r w:rsidRPr="004D2590">
        <w:rPr>
          <w:rFonts w:asciiTheme="minorHAnsi" w:hAnsiTheme="minorHAnsi" w:cs="Calibri"/>
          <w:b/>
          <w:bCs/>
          <w:rtl/>
        </w:rPr>
        <w:t>יור 1).</w:t>
      </w:r>
      <w:r w:rsidRPr="004D2590">
        <w:rPr>
          <w:rFonts w:asciiTheme="minorHAnsi" w:hAnsiTheme="minorHAnsi" w:cs="Calibri"/>
          <w:rtl/>
        </w:rPr>
        <w:t xml:space="preserve"> </w:t>
      </w:r>
      <w:r w:rsidRPr="004D2590">
        <w:rPr>
          <w:rFonts w:asciiTheme="minorHAnsi" w:hAnsiTheme="minorHAnsi" w:cs="Calibri" w:hint="cs"/>
          <w:rtl/>
        </w:rPr>
        <w:t>ה</w:t>
      </w:r>
      <w:r w:rsidRPr="004D2590">
        <w:rPr>
          <w:rFonts w:asciiTheme="minorHAnsi" w:hAnsiTheme="minorHAnsi" w:cs="Calibri"/>
          <w:rtl/>
        </w:rPr>
        <w:t xml:space="preserve">אינפלציה </w:t>
      </w:r>
      <w:r w:rsidRPr="004D2590">
        <w:rPr>
          <w:rFonts w:asciiTheme="minorHAnsi" w:hAnsiTheme="minorHAnsi" w:cs="Calibri" w:hint="cs"/>
          <w:rtl/>
        </w:rPr>
        <w:t xml:space="preserve">השנתית </w:t>
      </w:r>
      <w:r w:rsidRPr="004D2590">
        <w:rPr>
          <w:rFonts w:asciiTheme="minorHAnsi" w:hAnsiTheme="minorHAnsi" w:cs="Calibri"/>
          <w:rtl/>
        </w:rPr>
        <w:t xml:space="preserve">בניכוי אנרגיה </w:t>
      </w:r>
      <w:proofErr w:type="spellStart"/>
      <w:r w:rsidRPr="004D2590">
        <w:rPr>
          <w:rFonts w:asciiTheme="minorHAnsi" w:hAnsiTheme="minorHAnsi" w:cs="Calibri" w:hint="cs"/>
          <w:rtl/>
        </w:rPr>
        <w:t>ו</w:t>
      </w:r>
      <w:r w:rsidRPr="004D2590">
        <w:rPr>
          <w:rFonts w:asciiTheme="minorHAnsi" w:hAnsiTheme="minorHAnsi" w:cs="Calibri"/>
          <w:rtl/>
        </w:rPr>
        <w:t>פו"י</w:t>
      </w:r>
      <w:proofErr w:type="spellEnd"/>
      <w:r w:rsidRPr="004D2590">
        <w:rPr>
          <w:rFonts w:asciiTheme="minorHAnsi" w:hAnsiTheme="minorHAnsi" w:cs="Calibri"/>
          <w:rtl/>
        </w:rPr>
        <w:t xml:space="preserve"> </w:t>
      </w:r>
      <w:r w:rsidRPr="004D2590">
        <w:rPr>
          <w:rFonts w:asciiTheme="minorHAnsi" w:hAnsiTheme="minorHAnsi" w:cs="Calibri" w:hint="cs"/>
          <w:rtl/>
        </w:rPr>
        <w:t>עמדה ביולי ע</w:t>
      </w:r>
      <w:r w:rsidRPr="004D2590">
        <w:rPr>
          <w:rFonts w:asciiTheme="minorHAnsi" w:hAnsiTheme="minorHAnsi" w:cs="Calibri"/>
          <w:rtl/>
        </w:rPr>
        <w:t xml:space="preserve">ל </w:t>
      </w:r>
      <w:r w:rsidRPr="004D2590">
        <w:rPr>
          <w:rFonts w:asciiTheme="minorHAnsi" w:hAnsiTheme="minorHAnsi" w:cs="Calibri" w:hint="cs"/>
          <w:rtl/>
        </w:rPr>
        <w:t>1.5%</w:t>
      </w:r>
      <w:r w:rsidRPr="004D2590">
        <w:rPr>
          <w:rFonts w:asciiTheme="minorHAnsi" w:hAnsiTheme="minorHAnsi" w:cs="Calibri"/>
          <w:rtl/>
        </w:rPr>
        <w:t xml:space="preserve"> </w:t>
      </w:r>
      <w:r w:rsidRPr="004D2590">
        <w:rPr>
          <w:rFonts w:asciiTheme="minorHAnsi" w:hAnsiTheme="minorHAnsi" w:cs="Calibri"/>
          <w:b/>
          <w:bCs/>
          <w:rtl/>
        </w:rPr>
        <w:t>(איור 2).</w:t>
      </w:r>
      <w:r w:rsidRPr="004D2590">
        <w:rPr>
          <w:rFonts w:asciiTheme="minorHAnsi" w:hAnsiTheme="minorHAnsi" w:cs="Calibri"/>
          <w:rtl/>
        </w:rPr>
        <w:t xml:space="preserve"> </w:t>
      </w:r>
      <w:r w:rsidRPr="004D2590">
        <w:rPr>
          <w:rFonts w:asciiTheme="minorHAnsi" w:hAnsiTheme="minorHAnsi" w:cs="Calibri" w:hint="cs"/>
          <w:rtl/>
        </w:rPr>
        <w:t xml:space="preserve">קצב </w:t>
      </w:r>
      <w:r w:rsidRPr="004D2590">
        <w:rPr>
          <w:rFonts w:asciiTheme="minorHAnsi" w:hAnsiTheme="minorHAnsi" w:cs="Calibri"/>
          <w:rtl/>
        </w:rPr>
        <w:t xml:space="preserve">העלייה השנתי של הרכיבים </w:t>
      </w:r>
      <w:r w:rsidRPr="004D2590">
        <w:rPr>
          <w:rFonts w:asciiTheme="minorHAnsi" w:hAnsiTheme="minorHAnsi" w:cs="Calibri" w:hint="cs"/>
          <w:rtl/>
        </w:rPr>
        <w:t>הבלתי סחירים התמתן ועמד על 2.5% ב-12 החודשים האחרונים, בהשוואה ל-2.8% בחודש יוני. קצב אינפלציית הסחירים ירד ועמד על 0.3%</w:t>
      </w:r>
      <w:r w:rsidRPr="004D2590">
        <w:rPr>
          <w:rFonts w:ascii="Segoe UI" w:eastAsia="Times New Roman" w:hAnsi="Segoe UI" w:cs="Segoe UI"/>
          <w:sz w:val="21"/>
          <w:szCs w:val="21"/>
          <w:rtl/>
        </w:rPr>
        <w:t>–</w:t>
      </w:r>
      <w:r w:rsidRPr="004D2590">
        <w:rPr>
          <w:rFonts w:asciiTheme="minorHAnsi" w:hAnsiTheme="minorHAnsi" w:cs="Calibri" w:hint="cs"/>
          <w:rtl/>
        </w:rPr>
        <w:t xml:space="preserve"> ב-12 החודשים האחרונים, בהשוואה ל-0.1%</w:t>
      </w:r>
      <w:r w:rsidRPr="004D2590">
        <w:rPr>
          <w:rFonts w:ascii="Segoe UI" w:eastAsia="Times New Roman" w:hAnsi="Segoe UI" w:cs="Segoe UI"/>
          <w:sz w:val="21"/>
          <w:szCs w:val="21"/>
          <w:rtl/>
        </w:rPr>
        <w:t>–</w:t>
      </w:r>
      <w:r w:rsidRPr="004D2590">
        <w:rPr>
          <w:rFonts w:asciiTheme="minorHAnsi" w:hAnsiTheme="minorHAnsi" w:cs="Calibri" w:hint="cs"/>
          <w:rtl/>
        </w:rPr>
        <w:t xml:space="preserve"> בחודש הקודם.</w:t>
      </w:r>
      <w:r w:rsidRPr="004D2590">
        <w:rPr>
          <w:rFonts w:asciiTheme="minorHAnsi" w:hAnsiTheme="minorHAnsi" w:cs="Calibri"/>
          <w:rtl/>
        </w:rPr>
        <w:t xml:space="preserve"> </w:t>
      </w:r>
      <w:r w:rsidRPr="004D2590">
        <w:rPr>
          <w:rFonts w:asciiTheme="minorHAnsi" w:hAnsiTheme="minorHAnsi" w:cs="Calibri"/>
          <w:b/>
          <w:bCs/>
          <w:rtl/>
        </w:rPr>
        <w:t>(איור 3)</w:t>
      </w:r>
      <w:r w:rsidRPr="004D2590">
        <w:rPr>
          <w:rFonts w:asciiTheme="minorHAnsi" w:hAnsiTheme="minorHAnsi" w:cs="Calibri"/>
          <w:b/>
          <w:bCs/>
        </w:rPr>
        <w:t>.</w:t>
      </w:r>
      <w:r w:rsidRPr="004D2590">
        <w:rPr>
          <w:rFonts w:asciiTheme="minorHAnsi" w:hAnsiTheme="minorHAnsi" w:cs="Calibri" w:hint="cs"/>
          <w:rtl/>
        </w:rPr>
        <w:t xml:space="preserve"> </w:t>
      </w:r>
      <w:r w:rsidRPr="00820346">
        <w:rPr>
          <w:rFonts w:asciiTheme="minorHAnsi" w:hAnsiTheme="minorHAnsi" w:cs="Calibri"/>
          <w:rtl/>
        </w:rPr>
        <w:t xml:space="preserve">עפ"י הערכות החזאים האינפלציה צפויה לשהות בחודשים הקרובים בקרבת מרכז טווח היעד </w:t>
      </w:r>
      <w:r w:rsidRPr="004D2590">
        <w:rPr>
          <w:rFonts w:ascii="Segoe UI" w:eastAsia="Times New Roman" w:hAnsi="Segoe UI" w:cs="Segoe UI"/>
          <w:b/>
          <w:bCs/>
          <w:sz w:val="21"/>
          <w:szCs w:val="21"/>
          <w:rtl/>
        </w:rPr>
        <w:t>(איור 5).</w:t>
      </w:r>
      <w:r w:rsidRPr="004D2590">
        <w:rPr>
          <w:rFonts w:asciiTheme="minorHAnsi" w:hAnsiTheme="minorHAnsi" w:cs="Calibri"/>
          <w:rtl/>
        </w:rPr>
        <w:t xml:space="preserve"> הציפיות לאינפלציה לשנה קדימה מ</w:t>
      </w:r>
      <w:r w:rsidRPr="004D2590">
        <w:rPr>
          <w:rFonts w:asciiTheme="minorHAnsi" w:hAnsiTheme="minorHAnsi" w:cs="Calibri" w:hint="cs"/>
          <w:rtl/>
        </w:rPr>
        <w:t xml:space="preserve">מרבית </w:t>
      </w:r>
      <w:r w:rsidRPr="004D2590">
        <w:rPr>
          <w:rFonts w:asciiTheme="minorHAnsi" w:hAnsiTheme="minorHAnsi" w:cs="Calibri"/>
          <w:rtl/>
        </w:rPr>
        <w:t xml:space="preserve">המקורות </w:t>
      </w:r>
      <w:r w:rsidRPr="004D2590">
        <w:rPr>
          <w:rFonts w:asciiTheme="minorHAnsi" w:hAnsiTheme="minorHAnsi" w:cs="Calibri" w:hint="eastAsia"/>
          <w:rtl/>
        </w:rPr>
        <w:t>שוהות</w:t>
      </w:r>
      <w:r w:rsidRPr="004D2590">
        <w:rPr>
          <w:rFonts w:asciiTheme="minorHAnsi" w:hAnsiTheme="minorHAnsi" w:cs="Calibri" w:hint="cs"/>
          <w:rtl/>
        </w:rPr>
        <w:t xml:space="preserve"> </w:t>
      </w:r>
      <w:r>
        <w:rPr>
          <w:rFonts w:asciiTheme="minorHAnsi" w:hAnsiTheme="minorHAnsi" w:cs="Calibri" w:hint="cs"/>
          <w:rtl/>
        </w:rPr>
        <w:t>בסביבת</w:t>
      </w:r>
      <w:r w:rsidRPr="004D2590">
        <w:rPr>
          <w:rFonts w:asciiTheme="minorHAnsi" w:hAnsiTheme="minorHAnsi" w:cs="Calibri" w:hint="cs"/>
          <w:rtl/>
        </w:rPr>
        <w:t xml:space="preserve"> מרכ</w:t>
      </w:r>
      <w:r w:rsidRPr="004D2590">
        <w:rPr>
          <w:rFonts w:asciiTheme="minorHAnsi" w:hAnsiTheme="minorHAnsi" w:cs="Calibri"/>
          <w:rtl/>
        </w:rPr>
        <w:t xml:space="preserve">ז היעד </w:t>
      </w:r>
      <w:r w:rsidRPr="004D2590">
        <w:rPr>
          <w:rFonts w:asciiTheme="minorHAnsi" w:hAnsiTheme="minorHAnsi" w:cs="Calibri"/>
          <w:b/>
          <w:bCs/>
          <w:rtl/>
        </w:rPr>
        <w:t xml:space="preserve">(איור 6). </w:t>
      </w:r>
      <w:r w:rsidRPr="004D2590">
        <w:rPr>
          <w:rFonts w:asciiTheme="minorHAnsi" w:hAnsiTheme="minorHAnsi" w:cs="Calibri"/>
          <w:rtl/>
        </w:rPr>
        <w:t xml:space="preserve">הציפיות לשנה השנייה ואילך </w:t>
      </w:r>
      <w:r w:rsidRPr="004D2590">
        <w:rPr>
          <w:rFonts w:asciiTheme="minorHAnsi" w:hAnsiTheme="minorHAnsi" w:cs="Calibri" w:hint="cs"/>
          <w:rtl/>
        </w:rPr>
        <w:t>נמצאות בקרבת</w:t>
      </w:r>
      <w:r w:rsidRPr="004D2590">
        <w:rPr>
          <w:rFonts w:asciiTheme="minorHAnsi" w:hAnsiTheme="minorHAnsi" w:cs="Calibri"/>
          <w:rtl/>
        </w:rPr>
        <w:t xml:space="preserve"> מרכז היעד </w:t>
      </w:r>
      <w:r w:rsidRPr="004D2590">
        <w:rPr>
          <w:rFonts w:asciiTheme="minorHAnsi" w:hAnsiTheme="minorHAnsi" w:cs="Calibri"/>
          <w:b/>
          <w:bCs/>
          <w:rtl/>
        </w:rPr>
        <w:t>(איור 7).</w:t>
      </w:r>
    </w:p>
    <w:p w:rsidR="00B2223E" w:rsidRPr="004D2590" w:rsidRDefault="00B2223E" w:rsidP="00B2223E">
      <w:pPr>
        <w:bidi/>
        <w:spacing w:line="360" w:lineRule="auto"/>
        <w:jc w:val="both"/>
        <w:rPr>
          <w:rFonts w:asciiTheme="minorHAnsi" w:hAnsiTheme="minorHAnsi" w:cs="Calibri"/>
          <w:rtl/>
        </w:rPr>
      </w:pPr>
      <w:r w:rsidRPr="004D2590">
        <w:rPr>
          <w:rFonts w:asciiTheme="minorHAnsi" w:hAnsiTheme="minorHAnsi" w:cs="Calibri"/>
          <w:rtl/>
        </w:rPr>
        <w:t xml:space="preserve">מאז החלטת הריבית האחרונה, השקל יוסף בשיעור של </w:t>
      </w:r>
      <w:r w:rsidRPr="004D2590">
        <w:rPr>
          <w:rFonts w:asciiTheme="minorHAnsi" w:hAnsiTheme="minorHAnsi" w:cs="Calibri" w:hint="cs"/>
          <w:rtl/>
        </w:rPr>
        <w:t>0.6%</w:t>
      </w:r>
      <w:r w:rsidRPr="004D2590">
        <w:rPr>
          <w:rFonts w:asciiTheme="minorHAnsi" w:hAnsiTheme="minorHAnsi" w:cs="Calibri"/>
          <w:rtl/>
        </w:rPr>
        <w:t xml:space="preserve"> מול הדולר ופוחת בשיעור של </w:t>
      </w:r>
      <w:r w:rsidRPr="004D2590">
        <w:rPr>
          <w:rFonts w:asciiTheme="minorHAnsi" w:hAnsiTheme="minorHAnsi" w:cs="Calibri" w:hint="cs"/>
          <w:rtl/>
        </w:rPr>
        <w:t>1</w:t>
      </w:r>
      <w:r w:rsidRPr="004D2590">
        <w:rPr>
          <w:rFonts w:asciiTheme="minorHAnsi" w:hAnsiTheme="minorHAnsi" w:cs="Calibri"/>
          <w:rtl/>
        </w:rPr>
        <w:t xml:space="preserve">% מול האירו. במונחים נומינליים אפקטיביים </w:t>
      </w:r>
      <w:r w:rsidRPr="004D2590">
        <w:rPr>
          <w:rFonts w:asciiTheme="minorHAnsi" w:hAnsiTheme="minorHAnsi" w:cs="Calibri" w:hint="cs"/>
          <w:rtl/>
        </w:rPr>
        <w:t>פוחת</w:t>
      </w:r>
      <w:r w:rsidRPr="004D2590">
        <w:rPr>
          <w:rFonts w:asciiTheme="minorHAnsi" w:hAnsiTheme="minorHAnsi" w:cs="Calibri"/>
          <w:rtl/>
        </w:rPr>
        <w:t xml:space="preserve"> השקל ב-0.</w:t>
      </w:r>
      <w:r w:rsidRPr="004D2590">
        <w:rPr>
          <w:rFonts w:asciiTheme="minorHAnsi" w:hAnsiTheme="minorHAnsi" w:cs="Calibri" w:hint="cs"/>
          <w:rtl/>
        </w:rPr>
        <w:t>1</w:t>
      </w:r>
      <w:r w:rsidRPr="004D2590">
        <w:rPr>
          <w:rFonts w:asciiTheme="minorHAnsi" w:hAnsiTheme="minorHAnsi" w:cs="Calibri"/>
          <w:rtl/>
        </w:rPr>
        <w:t>%.</w:t>
      </w:r>
    </w:p>
    <w:p w:rsidR="00B2223E" w:rsidRPr="004D2590" w:rsidRDefault="00B2223E" w:rsidP="00B2223E">
      <w:pPr>
        <w:bidi/>
        <w:spacing w:line="360" w:lineRule="auto"/>
        <w:jc w:val="both"/>
        <w:rPr>
          <w:rFonts w:cs="Calibri"/>
        </w:rPr>
      </w:pPr>
      <w:r w:rsidRPr="00E82A34">
        <w:rPr>
          <w:rFonts w:cs="Calibri"/>
          <w:rtl/>
        </w:rPr>
        <w:t xml:space="preserve">להערכת הוועדה, </w:t>
      </w:r>
      <w:r w:rsidRPr="00E82A34">
        <w:rPr>
          <w:rFonts w:cs="Calibri" w:hint="eastAsia"/>
          <w:rtl/>
        </w:rPr>
        <w:t>קיימים</w:t>
      </w:r>
      <w:r w:rsidRPr="00E82A34">
        <w:rPr>
          <w:rFonts w:cs="Calibri"/>
          <w:rtl/>
        </w:rPr>
        <w:t xml:space="preserve"> מספר גורמים שיכולים להשפיע בכיוונים מנוגדים על התפתחות האינפלציה. סביבת האינפלציה תושפע </w:t>
      </w:r>
      <w:r w:rsidRPr="00E82A34">
        <w:rPr>
          <w:rFonts w:cs="Calibri" w:hint="eastAsia"/>
          <w:rtl/>
        </w:rPr>
        <w:t>במידה</w:t>
      </w:r>
      <w:r w:rsidRPr="00E82A34">
        <w:rPr>
          <w:rFonts w:cs="Calibri"/>
          <w:rtl/>
        </w:rPr>
        <w:t xml:space="preserve"> רבה </w:t>
      </w:r>
      <w:r w:rsidRPr="00E82A34">
        <w:rPr>
          <w:rFonts w:cs="Calibri" w:hint="eastAsia"/>
          <w:rtl/>
        </w:rPr>
        <w:t>מההתפתחויות</w:t>
      </w:r>
      <w:r w:rsidRPr="00E82A34">
        <w:rPr>
          <w:rFonts w:cs="Calibri"/>
          <w:rtl/>
        </w:rPr>
        <w:t xml:space="preserve"> הגיאופוליטיות והשפעותיהן על הפעילות במשק ועל מחירי האנרגיה, </w:t>
      </w:r>
      <w:r w:rsidRPr="00E82A34">
        <w:rPr>
          <w:rFonts w:cs="Calibri" w:hint="eastAsia"/>
          <w:rtl/>
        </w:rPr>
        <w:t>מפרמיית</w:t>
      </w:r>
      <w:r w:rsidRPr="00E82A34">
        <w:rPr>
          <w:rFonts w:cs="Calibri"/>
          <w:rtl/>
        </w:rPr>
        <w:t xml:space="preserve"> הסיכון </w:t>
      </w:r>
      <w:proofErr w:type="spellStart"/>
      <w:r w:rsidRPr="00E82A34">
        <w:rPr>
          <w:rFonts w:cs="Calibri"/>
          <w:rtl/>
        </w:rPr>
        <w:t>ושע"ח</w:t>
      </w:r>
      <w:proofErr w:type="spellEnd"/>
      <w:r w:rsidRPr="00E82A34">
        <w:rPr>
          <w:rFonts w:cs="Calibri"/>
          <w:rtl/>
        </w:rPr>
        <w:t xml:space="preserve">, </w:t>
      </w:r>
      <w:r w:rsidRPr="00E82A34">
        <w:rPr>
          <w:rFonts w:cs="Calibri" w:hint="eastAsia"/>
          <w:rtl/>
        </w:rPr>
        <w:t>מהתפתחות</w:t>
      </w:r>
      <w:r w:rsidRPr="00E82A34">
        <w:rPr>
          <w:rFonts w:cs="Calibri"/>
          <w:rtl/>
        </w:rPr>
        <w:t xml:space="preserve"> </w:t>
      </w:r>
      <w:proofErr w:type="spellStart"/>
      <w:r w:rsidRPr="00E82A34">
        <w:rPr>
          <w:rFonts w:cs="Calibri" w:hint="eastAsia"/>
          <w:rtl/>
        </w:rPr>
        <w:t>הביקושים</w:t>
      </w:r>
      <w:proofErr w:type="spellEnd"/>
      <w:r w:rsidRPr="00E82A34">
        <w:rPr>
          <w:rFonts w:cs="Calibri"/>
          <w:rtl/>
        </w:rPr>
        <w:t xml:space="preserve"> </w:t>
      </w:r>
      <w:r w:rsidRPr="00E82A34">
        <w:rPr>
          <w:rFonts w:cs="Calibri" w:hint="eastAsia"/>
          <w:rtl/>
        </w:rPr>
        <w:t>לצד</w:t>
      </w:r>
      <w:r w:rsidRPr="00E82A34">
        <w:rPr>
          <w:rFonts w:cs="Calibri"/>
          <w:rtl/>
        </w:rPr>
        <w:t xml:space="preserve"> </w:t>
      </w:r>
      <w:r w:rsidRPr="00E82A34">
        <w:rPr>
          <w:rFonts w:cs="Calibri" w:hint="eastAsia"/>
          <w:rtl/>
        </w:rPr>
        <w:t>מגבלות</w:t>
      </w:r>
      <w:r w:rsidRPr="00E82A34">
        <w:rPr>
          <w:rFonts w:cs="Calibri"/>
          <w:rtl/>
        </w:rPr>
        <w:t xml:space="preserve"> </w:t>
      </w:r>
      <w:r w:rsidRPr="00E82A34">
        <w:rPr>
          <w:rFonts w:cs="Calibri" w:hint="eastAsia"/>
          <w:rtl/>
        </w:rPr>
        <w:t>ההיצע</w:t>
      </w:r>
      <w:r w:rsidRPr="00E82A34">
        <w:rPr>
          <w:rFonts w:cs="Calibri"/>
          <w:rtl/>
        </w:rPr>
        <w:t xml:space="preserve">, </w:t>
      </w:r>
      <w:r w:rsidRPr="00E82A34">
        <w:rPr>
          <w:rFonts w:cs="Calibri" w:hint="eastAsia"/>
          <w:rtl/>
        </w:rPr>
        <w:t>וכן</w:t>
      </w:r>
      <w:r w:rsidRPr="00E82A34">
        <w:rPr>
          <w:rFonts w:cs="Calibri"/>
          <w:rtl/>
        </w:rPr>
        <w:t xml:space="preserve"> </w:t>
      </w:r>
      <w:r w:rsidRPr="00E82A34">
        <w:rPr>
          <w:rFonts w:cs="Calibri" w:hint="eastAsia"/>
          <w:rtl/>
        </w:rPr>
        <w:t>מההתפתחויות</w:t>
      </w:r>
      <w:r w:rsidRPr="00E82A34">
        <w:rPr>
          <w:rFonts w:cs="Calibri"/>
          <w:rtl/>
        </w:rPr>
        <w:t xml:space="preserve"> </w:t>
      </w:r>
      <w:r w:rsidRPr="00E82A34">
        <w:rPr>
          <w:rFonts w:cs="Calibri" w:hint="eastAsia"/>
          <w:rtl/>
        </w:rPr>
        <w:t>הפיסקליות</w:t>
      </w:r>
      <w:r w:rsidRPr="00905C94">
        <w:rPr>
          <w:rFonts w:cs="Calibri"/>
          <w:rtl/>
        </w:rPr>
        <w:t>.</w:t>
      </w:r>
    </w:p>
    <w:p w:rsidR="00B2223E" w:rsidRPr="004D2590" w:rsidRDefault="00B2223E" w:rsidP="00B2223E">
      <w:pPr>
        <w:bidi/>
        <w:spacing w:after="0" w:line="360" w:lineRule="auto"/>
        <w:jc w:val="both"/>
        <w:rPr>
          <w:rFonts w:cs="Calibri"/>
          <w:rtl/>
        </w:rPr>
      </w:pPr>
      <w:r w:rsidRPr="004D2590">
        <w:rPr>
          <w:rFonts w:cs="Calibri"/>
          <w:rtl/>
        </w:rPr>
        <w:t xml:space="preserve">מנתוני החשבונאות הלאומית של </w:t>
      </w:r>
      <w:proofErr w:type="spellStart"/>
      <w:r w:rsidRPr="004D2590">
        <w:rPr>
          <w:rFonts w:cs="Calibri"/>
          <w:rtl/>
        </w:rPr>
        <w:t>הלמ"ס</w:t>
      </w:r>
      <w:proofErr w:type="spellEnd"/>
      <w:r w:rsidRPr="004D2590">
        <w:rPr>
          <w:rFonts w:cs="Calibri"/>
          <w:rtl/>
        </w:rPr>
        <w:t xml:space="preserve"> לרביע </w:t>
      </w:r>
      <w:r w:rsidRPr="004D2590">
        <w:rPr>
          <w:rFonts w:cs="Calibri" w:hint="cs"/>
          <w:rtl/>
        </w:rPr>
        <w:t>השני</w:t>
      </w:r>
      <w:r w:rsidRPr="004D2590">
        <w:rPr>
          <w:rFonts w:cs="Calibri"/>
          <w:rtl/>
        </w:rPr>
        <w:t xml:space="preserve"> לשנת </w:t>
      </w:r>
      <w:r w:rsidRPr="004D2590">
        <w:rPr>
          <w:rFonts w:cs="Calibri" w:hint="cs"/>
          <w:rtl/>
        </w:rPr>
        <w:t>2026</w:t>
      </w:r>
      <w:r w:rsidRPr="004D2590">
        <w:rPr>
          <w:rFonts w:cs="Calibri"/>
          <w:rtl/>
        </w:rPr>
        <w:t xml:space="preserve"> עולה כי התוצר </w:t>
      </w:r>
      <w:r w:rsidRPr="004D2590">
        <w:rPr>
          <w:rFonts w:cs="Calibri" w:hint="cs"/>
          <w:rtl/>
        </w:rPr>
        <w:t>צמח</w:t>
      </w:r>
      <w:r w:rsidRPr="004D2590">
        <w:rPr>
          <w:rFonts w:cs="Calibri"/>
          <w:rtl/>
        </w:rPr>
        <w:t xml:space="preserve"> </w:t>
      </w:r>
      <w:r w:rsidRPr="004D2590">
        <w:rPr>
          <w:rFonts w:cs="Calibri" w:hint="cs"/>
          <w:rtl/>
        </w:rPr>
        <w:t>בשיעור גבוה של 15</w:t>
      </w:r>
      <w:r w:rsidRPr="004D2590">
        <w:rPr>
          <w:rFonts w:cs="Calibri"/>
          <w:rtl/>
        </w:rPr>
        <w:t>.4% במונחים שנתיים בהשוואה ל</w:t>
      </w:r>
      <w:r w:rsidRPr="004D2590">
        <w:rPr>
          <w:rFonts w:cs="Calibri" w:hint="cs"/>
          <w:rtl/>
        </w:rPr>
        <w:t>רביע</w:t>
      </w:r>
      <w:r w:rsidRPr="004D2590">
        <w:rPr>
          <w:rFonts w:cs="Calibri"/>
          <w:rtl/>
        </w:rPr>
        <w:t xml:space="preserve"> </w:t>
      </w:r>
      <w:r w:rsidRPr="004D2590">
        <w:rPr>
          <w:rFonts w:cs="Calibri" w:hint="cs"/>
          <w:rtl/>
        </w:rPr>
        <w:t>הראשון</w:t>
      </w:r>
      <w:r w:rsidRPr="004D2590">
        <w:rPr>
          <w:rFonts w:cs="Calibri"/>
          <w:rtl/>
        </w:rPr>
        <w:t xml:space="preserve"> של </w:t>
      </w:r>
      <w:r w:rsidRPr="004D2590">
        <w:rPr>
          <w:rFonts w:cs="Calibri" w:hint="cs"/>
          <w:rtl/>
        </w:rPr>
        <w:t>השנה, והיה גבוה ב-6.2% ביחס לרביע הרביעי של 2025</w:t>
      </w:r>
      <w:r w:rsidRPr="004D2590">
        <w:rPr>
          <w:rFonts w:cs="Calibri"/>
          <w:rtl/>
        </w:rPr>
        <w:t xml:space="preserve"> </w:t>
      </w:r>
      <w:r w:rsidRPr="00C474D7">
        <w:rPr>
          <w:rFonts w:cs="Calibri"/>
          <w:b/>
          <w:bCs/>
          <w:rtl/>
        </w:rPr>
        <w:t xml:space="preserve">(איור </w:t>
      </w:r>
      <w:r>
        <w:rPr>
          <w:rFonts w:cs="Calibri" w:hint="cs"/>
          <w:b/>
          <w:bCs/>
          <w:rtl/>
        </w:rPr>
        <w:t>10</w:t>
      </w:r>
      <w:r w:rsidRPr="00C474D7">
        <w:rPr>
          <w:rFonts w:cs="Calibri"/>
          <w:b/>
          <w:bCs/>
          <w:rtl/>
        </w:rPr>
        <w:t>).</w:t>
      </w:r>
      <w:r w:rsidRPr="004D2590">
        <w:rPr>
          <w:rFonts w:cs="Calibri" w:hint="cs"/>
          <w:rtl/>
        </w:rPr>
        <w:t xml:space="preserve"> </w:t>
      </w:r>
      <w:r w:rsidRPr="004D2590">
        <w:rPr>
          <w:rFonts w:cs="Calibri"/>
          <w:rtl/>
        </w:rPr>
        <w:t xml:space="preserve">התוצר העסקי </w:t>
      </w:r>
      <w:r w:rsidRPr="004D2590">
        <w:rPr>
          <w:rFonts w:cs="Calibri" w:hint="cs"/>
          <w:rtl/>
        </w:rPr>
        <w:t>היה גבוה ביחס לרביע הרביעי של 2025</w:t>
      </w:r>
      <w:r w:rsidRPr="004D2590">
        <w:rPr>
          <w:rFonts w:cs="Calibri"/>
          <w:rtl/>
        </w:rPr>
        <w:t xml:space="preserve"> ב-</w:t>
      </w:r>
      <w:r w:rsidRPr="004D2590">
        <w:rPr>
          <w:rFonts w:cs="Calibri" w:hint="cs"/>
          <w:rtl/>
        </w:rPr>
        <w:t>7.4</w:t>
      </w:r>
      <w:r w:rsidRPr="004D2590">
        <w:rPr>
          <w:rFonts w:cs="Calibri"/>
          <w:rtl/>
        </w:rPr>
        <w:t>%</w:t>
      </w:r>
      <w:r w:rsidRPr="004D2590">
        <w:rPr>
          <w:rFonts w:cs="Calibri" w:hint="cs"/>
          <w:rtl/>
        </w:rPr>
        <w:t>.</w:t>
      </w:r>
      <w:r w:rsidRPr="004D2590">
        <w:rPr>
          <w:rFonts w:cs="Calibri"/>
          <w:rtl/>
        </w:rPr>
        <w:t xml:space="preserve"> </w:t>
      </w:r>
      <w:r w:rsidRPr="00B55E38">
        <w:rPr>
          <w:rFonts w:cs="Calibri"/>
          <w:rtl/>
        </w:rPr>
        <w:t xml:space="preserve">לאור נתוני הצמיחה הגבוהים </w:t>
      </w:r>
      <w:r w:rsidRPr="00B55E38">
        <w:rPr>
          <w:rFonts w:cs="Calibri" w:hint="eastAsia"/>
          <w:rtl/>
        </w:rPr>
        <w:t>ברביע</w:t>
      </w:r>
      <w:r w:rsidRPr="00B55E38">
        <w:rPr>
          <w:rFonts w:cs="Calibri"/>
          <w:rtl/>
        </w:rPr>
        <w:t xml:space="preserve"> השני, </w:t>
      </w:r>
      <w:r w:rsidRPr="00B55E38">
        <w:rPr>
          <w:rFonts w:cs="Calibri" w:hint="eastAsia"/>
          <w:rtl/>
        </w:rPr>
        <w:t>ועל</w:t>
      </w:r>
      <w:r w:rsidRPr="00B55E38">
        <w:rPr>
          <w:rFonts w:cs="Calibri"/>
          <w:rtl/>
        </w:rPr>
        <w:t xml:space="preserve"> </w:t>
      </w:r>
      <w:r w:rsidRPr="00B55E38">
        <w:rPr>
          <w:rFonts w:cs="Calibri" w:hint="eastAsia"/>
          <w:rtl/>
        </w:rPr>
        <w:t>רקע</w:t>
      </w:r>
      <w:r w:rsidRPr="00B55E38">
        <w:rPr>
          <w:rFonts w:cs="Calibri"/>
          <w:rtl/>
        </w:rPr>
        <w:t xml:space="preserve"> </w:t>
      </w:r>
      <w:r w:rsidRPr="00B55E38">
        <w:rPr>
          <w:rFonts w:cs="Calibri" w:hint="eastAsia"/>
          <w:rtl/>
        </w:rPr>
        <w:t>עדכון</w:t>
      </w:r>
      <w:r w:rsidRPr="00B55E38">
        <w:rPr>
          <w:rFonts w:cs="Calibri"/>
          <w:rtl/>
        </w:rPr>
        <w:t xml:space="preserve"> </w:t>
      </w:r>
      <w:r w:rsidRPr="00B55E38">
        <w:rPr>
          <w:rFonts w:cs="Calibri" w:hint="eastAsia"/>
          <w:rtl/>
        </w:rPr>
        <w:t>של</w:t>
      </w:r>
      <w:r w:rsidRPr="00B55E38">
        <w:rPr>
          <w:rFonts w:cs="Calibri"/>
          <w:rtl/>
        </w:rPr>
        <w:t xml:space="preserve"> </w:t>
      </w:r>
      <w:proofErr w:type="spellStart"/>
      <w:r w:rsidRPr="00B55E38">
        <w:rPr>
          <w:rFonts w:cs="Calibri" w:hint="eastAsia"/>
          <w:rtl/>
        </w:rPr>
        <w:t>הלמ</w:t>
      </w:r>
      <w:r w:rsidRPr="00B55E38">
        <w:rPr>
          <w:rFonts w:cs="Calibri"/>
          <w:rtl/>
        </w:rPr>
        <w:t>"ס</w:t>
      </w:r>
      <w:proofErr w:type="spellEnd"/>
      <w:r w:rsidRPr="00B55E38">
        <w:rPr>
          <w:rFonts w:cs="Calibri"/>
          <w:rtl/>
        </w:rPr>
        <w:t xml:space="preserve"> </w:t>
      </w:r>
      <w:r w:rsidRPr="00B55E38">
        <w:rPr>
          <w:rFonts w:cs="Calibri" w:hint="eastAsia"/>
          <w:rtl/>
        </w:rPr>
        <w:t>לנתוני</w:t>
      </w:r>
      <w:r w:rsidRPr="00B55E38">
        <w:rPr>
          <w:rFonts w:cs="Calibri"/>
          <w:rtl/>
        </w:rPr>
        <w:t xml:space="preserve"> התוצר לשנים הקודמות, הפער ממגמת הצמיחה ארוכת הטווח </w:t>
      </w:r>
      <w:r w:rsidRPr="00B55E38">
        <w:rPr>
          <w:rFonts w:cs="Calibri" w:hint="eastAsia"/>
          <w:rtl/>
        </w:rPr>
        <w:t>של</w:t>
      </w:r>
      <w:r w:rsidRPr="00B55E38">
        <w:rPr>
          <w:rFonts w:cs="Calibri"/>
          <w:rtl/>
        </w:rPr>
        <w:t xml:space="preserve"> התוצר התכווץ משמעותית ועמד על כ-0.</w:t>
      </w:r>
      <w:r w:rsidRPr="00905C94">
        <w:rPr>
          <w:rFonts w:cs="Calibri"/>
          <w:rtl/>
        </w:rPr>
        <w:t>8</w:t>
      </w:r>
      <w:r w:rsidRPr="00B55E38">
        <w:rPr>
          <w:rFonts w:cs="Calibri"/>
          <w:rtl/>
        </w:rPr>
        <w:t>%</w:t>
      </w:r>
      <w:r>
        <w:rPr>
          <w:rFonts w:cs="Calibri" w:hint="cs"/>
          <w:rtl/>
        </w:rPr>
        <w:t xml:space="preserve"> </w:t>
      </w:r>
      <w:r w:rsidRPr="00C474D7">
        <w:rPr>
          <w:rFonts w:cs="Calibri"/>
          <w:b/>
          <w:bCs/>
          <w:rtl/>
        </w:rPr>
        <w:t>(איור 11).</w:t>
      </w:r>
      <w:r w:rsidRPr="00B55E38">
        <w:rPr>
          <w:rFonts w:cs="Calibri"/>
          <w:rtl/>
        </w:rPr>
        <w:t xml:space="preserve"> צמיחת</w:t>
      </w:r>
      <w:r w:rsidRPr="004D2590">
        <w:rPr>
          <w:rFonts w:cs="Calibri"/>
          <w:rtl/>
        </w:rPr>
        <w:t xml:space="preserve"> התוצר </w:t>
      </w:r>
      <w:r w:rsidRPr="004D2590">
        <w:rPr>
          <w:rFonts w:cs="Calibri" w:hint="cs"/>
          <w:rtl/>
        </w:rPr>
        <w:t xml:space="preserve">ברביע השני </w:t>
      </w:r>
      <w:r w:rsidRPr="004D2590">
        <w:rPr>
          <w:rFonts w:cs="Calibri"/>
          <w:rtl/>
        </w:rPr>
        <w:t>הושפעה מגידול מהיר בכל רכיביו</w:t>
      </w:r>
      <w:r>
        <w:rPr>
          <w:rFonts w:cs="Calibri" w:hint="cs"/>
          <w:rtl/>
        </w:rPr>
        <w:t xml:space="preserve"> </w:t>
      </w:r>
      <w:r w:rsidRPr="00C474D7">
        <w:rPr>
          <w:rFonts w:cs="Calibri"/>
          <w:b/>
          <w:bCs/>
          <w:rtl/>
        </w:rPr>
        <w:t>(לוח 1)</w:t>
      </w:r>
      <w:r>
        <w:rPr>
          <w:rFonts w:cs="Calibri" w:hint="cs"/>
          <w:rtl/>
        </w:rPr>
        <w:t xml:space="preserve"> </w:t>
      </w:r>
      <w:r w:rsidRPr="004D2590">
        <w:rPr>
          <w:rFonts w:cs="Calibri"/>
          <w:rtl/>
        </w:rPr>
        <w:t xml:space="preserve">. </w:t>
      </w:r>
      <w:r w:rsidRPr="004D2590">
        <w:rPr>
          <w:rFonts w:cs="Calibri" w:hint="cs"/>
          <w:rtl/>
        </w:rPr>
        <w:t xml:space="preserve">נתוני הצמיחה ברביע השני משקפים, בחלקם, התאוששות של המשק מהפגיעה בפעילות במהלך הרביע הראשון על רקע מבצע "שאגת הארי". </w:t>
      </w:r>
      <w:r>
        <w:rPr>
          <w:rFonts w:cs="Calibri" w:hint="cs"/>
          <w:rtl/>
        </w:rPr>
        <w:t>עם זאת,</w:t>
      </w:r>
      <w:r w:rsidRPr="004D2590">
        <w:rPr>
          <w:rFonts w:cs="Calibri" w:hint="cs"/>
          <w:rtl/>
        </w:rPr>
        <w:t xml:space="preserve"> בניכוי פעילות חברות ישראליות בחו"ל הצמיחה במחצית הראשונה של השנה הייתה מתונה יותר </w:t>
      </w:r>
      <w:r w:rsidRPr="004D2590">
        <w:rPr>
          <w:rFonts w:cs="Calibri"/>
          <w:rtl/>
        </w:rPr>
        <w:t>–</w:t>
      </w:r>
      <w:r w:rsidRPr="004D2590">
        <w:rPr>
          <w:rFonts w:cs="Calibri" w:hint="cs"/>
          <w:rtl/>
        </w:rPr>
        <w:t xml:space="preserve"> התוצר ברביע השני של 2026 היה גבוה ב-</w:t>
      </w:r>
      <w:r w:rsidRPr="004D2590">
        <w:rPr>
          <w:rFonts w:cs="Calibri"/>
          <w:rtl/>
        </w:rPr>
        <w:t xml:space="preserve">3.8 אחוזים ביחס לרביע </w:t>
      </w:r>
      <w:r w:rsidRPr="004D2590">
        <w:rPr>
          <w:rFonts w:cs="Calibri" w:hint="cs"/>
          <w:rtl/>
        </w:rPr>
        <w:t>האחרון</w:t>
      </w:r>
      <w:r w:rsidRPr="004D2590">
        <w:rPr>
          <w:rFonts w:cs="Calibri"/>
          <w:rtl/>
        </w:rPr>
        <w:t xml:space="preserve"> של 2025 (במונחים שנתיים).</w:t>
      </w:r>
      <w:r w:rsidRPr="004D2590">
        <w:rPr>
          <w:rFonts w:cs="Calibri" w:hint="cs"/>
          <w:rtl/>
        </w:rPr>
        <w:t xml:space="preserve"> </w:t>
      </w:r>
    </w:p>
    <w:p w:rsidR="00B2223E" w:rsidRPr="004D2590" w:rsidRDefault="00B2223E" w:rsidP="00B2223E">
      <w:pPr>
        <w:bidi/>
        <w:spacing w:after="0" w:line="360" w:lineRule="auto"/>
        <w:jc w:val="both"/>
        <w:rPr>
          <w:rFonts w:cs="Calibri"/>
          <w:highlight w:val="yellow"/>
          <w:rtl/>
        </w:rPr>
      </w:pPr>
    </w:p>
    <w:p w:rsidR="00B2223E" w:rsidRPr="004D2590" w:rsidRDefault="00B2223E" w:rsidP="00B2223E">
      <w:pPr>
        <w:bidi/>
        <w:spacing w:after="0" w:line="360" w:lineRule="auto"/>
        <w:jc w:val="both"/>
        <w:rPr>
          <w:rFonts w:eastAsia="Times New Roman" w:cstheme="minorHAnsi"/>
          <w:rtl/>
        </w:rPr>
      </w:pPr>
      <w:r w:rsidRPr="00E82A34">
        <w:rPr>
          <w:rFonts w:cs="Calibri" w:hint="cs"/>
          <w:rtl/>
        </w:rPr>
        <w:t xml:space="preserve">האינדיקטורים השוטפים לפעילות הכלכלית מראים כי </w:t>
      </w:r>
      <w:r w:rsidRPr="00E82A34">
        <w:rPr>
          <w:rFonts w:asciiTheme="minorHAnsi" w:hAnsiTheme="minorHAnsi" w:cs="Calibri"/>
          <w:rtl/>
        </w:rPr>
        <w:t xml:space="preserve">ההוצאות בכרטיסי אשראי במחירים שוטפים </w:t>
      </w:r>
      <w:r w:rsidRPr="00E82A34">
        <w:rPr>
          <w:rFonts w:asciiTheme="minorHAnsi" w:hAnsiTheme="minorHAnsi" w:cs="Calibri" w:hint="cs"/>
          <w:rtl/>
        </w:rPr>
        <w:t>תנודתיות ומצויות מעט מתחת ל</w:t>
      </w:r>
      <w:r w:rsidRPr="00E82A34">
        <w:rPr>
          <w:rFonts w:asciiTheme="minorHAnsi" w:hAnsiTheme="minorHAnsi" w:cs="Calibri"/>
          <w:rtl/>
        </w:rPr>
        <w:t xml:space="preserve">קו המגמה </w:t>
      </w:r>
      <w:r w:rsidRPr="00E82A34">
        <w:rPr>
          <w:rFonts w:asciiTheme="minorHAnsi" w:hAnsiTheme="minorHAnsi" w:cs="Calibri" w:hint="cs"/>
          <w:rtl/>
        </w:rPr>
        <w:t xml:space="preserve">ארוך הטווח </w:t>
      </w:r>
      <w:r w:rsidRPr="00E82A34">
        <w:rPr>
          <w:rFonts w:asciiTheme="minorHAnsi" w:hAnsiTheme="minorHAnsi" w:cstheme="minorHAnsi"/>
          <w:b/>
          <w:bCs/>
          <w:rtl/>
        </w:rPr>
        <w:t xml:space="preserve">(איור </w:t>
      </w:r>
      <w:r w:rsidRPr="00E82A34">
        <w:rPr>
          <w:rFonts w:asciiTheme="minorHAnsi" w:hAnsiTheme="minorHAnsi" w:cstheme="minorHAnsi" w:hint="cs"/>
          <w:b/>
          <w:bCs/>
          <w:rtl/>
        </w:rPr>
        <w:t>1</w:t>
      </w:r>
      <w:r>
        <w:rPr>
          <w:rFonts w:asciiTheme="minorHAnsi" w:hAnsiTheme="minorHAnsi" w:cstheme="minorHAnsi" w:hint="cs"/>
          <w:b/>
          <w:bCs/>
          <w:rtl/>
        </w:rPr>
        <w:t>3</w:t>
      </w:r>
      <w:r w:rsidRPr="00E82A34">
        <w:rPr>
          <w:rFonts w:asciiTheme="minorHAnsi" w:hAnsiTheme="minorHAnsi" w:cstheme="minorHAnsi"/>
          <w:b/>
          <w:bCs/>
          <w:rtl/>
        </w:rPr>
        <w:t>).</w:t>
      </w:r>
      <w:r w:rsidRPr="00E82A34">
        <w:rPr>
          <w:rFonts w:asciiTheme="minorHAnsi" w:hAnsiTheme="minorHAnsi" w:cstheme="minorHAnsi" w:hint="cs"/>
          <w:rtl/>
        </w:rPr>
        <w:t xml:space="preserve"> ה</w:t>
      </w:r>
      <w:r w:rsidRPr="00E82A34">
        <w:rPr>
          <w:rFonts w:asciiTheme="minorHAnsi" w:hAnsiTheme="minorHAnsi" w:cstheme="minorHAnsi"/>
          <w:rtl/>
        </w:rPr>
        <w:t xml:space="preserve">מאזן המצרפי בסקר המגמות בעסקים של </w:t>
      </w:r>
      <w:proofErr w:type="spellStart"/>
      <w:r w:rsidRPr="00E82A34">
        <w:rPr>
          <w:rFonts w:asciiTheme="minorHAnsi" w:hAnsiTheme="minorHAnsi" w:cstheme="minorHAnsi"/>
          <w:rtl/>
        </w:rPr>
        <w:t>הלמ"ס</w:t>
      </w:r>
      <w:proofErr w:type="spellEnd"/>
      <w:r w:rsidRPr="00E82A34">
        <w:rPr>
          <w:rFonts w:asciiTheme="minorHAnsi" w:hAnsiTheme="minorHAnsi" w:cstheme="minorHAnsi" w:hint="cs"/>
          <w:rtl/>
        </w:rPr>
        <w:t xml:space="preserve"> </w:t>
      </w:r>
      <w:r w:rsidRPr="00E82A34">
        <w:rPr>
          <w:rFonts w:asciiTheme="minorHAnsi" w:hAnsiTheme="minorHAnsi" w:cstheme="minorHAnsi"/>
          <w:rtl/>
        </w:rPr>
        <w:t xml:space="preserve">לחודש </w:t>
      </w:r>
      <w:r w:rsidRPr="00E82A34">
        <w:rPr>
          <w:rFonts w:asciiTheme="minorHAnsi" w:hAnsiTheme="minorHAnsi" w:cstheme="minorHAnsi" w:hint="cs"/>
          <w:rtl/>
        </w:rPr>
        <w:t xml:space="preserve">יולי </w:t>
      </w:r>
      <w:r w:rsidRPr="00E82A34">
        <w:rPr>
          <w:rFonts w:asciiTheme="minorHAnsi" w:hAnsiTheme="minorHAnsi" w:cs="Calibri"/>
          <w:rtl/>
        </w:rPr>
        <w:t>מצביע על המשך שיפור כחלק מההתאוששות לאחר הפגיעה</w:t>
      </w:r>
      <w:r w:rsidRPr="004D2590">
        <w:rPr>
          <w:rFonts w:asciiTheme="minorHAnsi" w:hAnsiTheme="minorHAnsi" w:cs="Calibri"/>
          <w:rtl/>
        </w:rPr>
        <w:t xml:space="preserve"> בפעילות במהלך מבצע </w:t>
      </w:r>
      <w:r w:rsidRPr="004D2590">
        <w:rPr>
          <w:rFonts w:asciiTheme="minorHAnsi" w:hAnsiTheme="minorHAnsi" w:cs="Calibri" w:hint="cs"/>
          <w:rtl/>
        </w:rPr>
        <w:t>"</w:t>
      </w:r>
      <w:r w:rsidRPr="004D2590">
        <w:rPr>
          <w:rFonts w:asciiTheme="minorHAnsi" w:hAnsiTheme="minorHAnsi" w:cs="Calibri"/>
          <w:rtl/>
        </w:rPr>
        <w:t>שאגת הארי</w:t>
      </w:r>
      <w:r w:rsidRPr="004D2590">
        <w:rPr>
          <w:rFonts w:asciiTheme="minorHAnsi" w:hAnsiTheme="minorHAnsi" w:cs="Calibri" w:hint="cs"/>
          <w:rtl/>
        </w:rPr>
        <w:t xml:space="preserve">". אולם </w:t>
      </w:r>
      <w:r w:rsidRPr="004D2590">
        <w:rPr>
          <w:rFonts w:ascii="Calibri" w:eastAsia="Calibri" w:hAnsi="Calibri" w:cs="Calibri"/>
          <w:rtl/>
        </w:rPr>
        <w:t xml:space="preserve">מאזני הנטו </w:t>
      </w:r>
      <w:r w:rsidRPr="004D2590">
        <w:rPr>
          <w:rFonts w:ascii="Calibri" w:eastAsia="Calibri" w:hAnsi="Calibri" w:cs="Calibri" w:hint="cs"/>
          <w:rtl/>
        </w:rPr>
        <w:t xml:space="preserve">במרבית הענפים </w:t>
      </w:r>
      <w:r w:rsidRPr="004D2590">
        <w:rPr>
          <w:rFonts w:ascii="Calibri" w:eastAsia="Calibri" w:hAnsi="Calibri" w:cs="Calibri"/>
          <w:rtl/>
        </w:rPr>
        <w:t xml:space="preserve">עדיין נמוכים מכפי שהיו </w:t>
      </w:r>
      <w:r w:rsidRPr="004D2590">
        <w:rPr>
          <w:rFonts w:ascii="Calibri" w:eastAsia="Calibri" w:hAnsi="Calibri" w:cs="Calibri" w:hint="cs"/>
          <w:rtl/>
        </w:rPr>
        <w:t>בחודשים שקדמו למרץ 2026</w:t>
      </w:r>
      <w:r w:rsidRPr="004D2590">
        <w:rPr>
          <w:rFonts w:asciiTheme="minorHAnsi" w:hAnsiTheme="minorHAnsi" w:cs="Calibri"/>
          <w:b/>
          <w:bCs/>
          <w:rtl/>
        </w:rPr>
        <w:t xml:space="preserve"> </w:t>
      </w:r>
      <w:r w:rsidRPr="004D2590">
        <w:rPr>
          <w:rFonts w:asciiTheme="minorHAnsi" w:hAnsiTheme="minorHAnsi" w:cstheme="minorHAnsi"/>
          <w:b/>
          <w:bCs/>
          <w:rtl/>
        </w:rPr>
        <w:t>(איור 1</w:t>
      </w:r>
      <w:r>
        <w:rPr>
          <w:rFonts w:asciiTheme="minorHAnsi" w:hAnsiTheme="minorHAnsi" w:cstheme="minorHAnsi" w:hint="cs"/>
          <w:b/>
          <w:bCs/>
          <w:rtl/>
        </w:rPr>
        <w:t>2</w:t>
      </w:r>
      <w:r w:rsidRPr="004D2590">
        <w:rPr>
          <w:rFonts w:asciiTheme="minorHAnsi" w:hAnsiTheme="minorHAnsi" w:cstheme="minorHAnsi"/>
          <w:b/>
          <w:bCs/>
          <w:rtl/>
        </w:rPr>
        <w:t>)</w:t>
      </w:r>
      <w:r w:rsidRPr="004D2590">
        <w:rPr>
          <w:rFonts w:asciiTheme="minorHAnsi" w:hAnsiTheme="minorHAnsi" w:cstheme="minorHAnsi"/>
          <w:rtl/>
        </w:rPr>
        <w:t xml:space="preserve">. </w:t>
      </w:r>
      <w:r w:rsidRPr="004D2590">
        <w:rPr>
          <w:rFonts w:asciiTheme="minorHAnsi" w:hAnsiTheme="minorHAnsi" w:cstheme="minorHAnsi"/>
          <w:shd w:val="clear" w:color="auto" w:fill="FFFFFF" w:themeFill="background1"/>
          <w:rtl/>
        </w:rPr>
        <w:t>גיוסי</w:t>
      </w:r>
      <w:r w:rsidRPr="004D2590">
        <w:rPr>
          <w:rFonts w:asciiTheme="minorHAnsi" w:hAnsiTheme="minorHAnsi" w:cstheme="minorHAnsi"/>
          <w:rtl/>
        </w:rPr>
        <w:t xml:space="preserve"> ההון במגזר ההייטק </w:t>
      </w:r>
      <w:r w:rsidRPr="004D2590">
        <w:rPr>
          <w:rFonts w:asciiTheme="minorHAnsi" w:hAnsiTheme="minorHAnsi" w:cstheme="minorHAnsi" w:hint="eastAsia"/>
          <w:rtl/>
        </w:rPr>
        <w:t>ברביע</w:t>
      </w:r>
      <w:r w:rsidRPr="004D2590">
        <w:rPr>
          <w:rFonts w:asciiTheme="minorHAnsi" w:hAnsiTheme="minorHAnsi" w:cstheme="minorHAnsi"/>
          <w:rtl/>
        </w:rPr>
        <w:t xml:space="preserve"> </w:t>
      </w:r>
      <w:r w:rsidRPr="004D2590">
        <w:rPr>
          <w:rFonts w:asciiTheme="minorHAnsi" w:hAnsiTheme="minorHAnsi" w:cstheme="minorHAnsi" w:hint="cs"/>
          <w:rtl/>
        </w:rPr>
        <w:t>השלישי</w:t>
      </w:r>
      <w:r w:rsidRPr="004D2590">
        <w:rPr>
          <w:rFonts w:asciiTheme="minorHAnsi" w:hAnsiTheme="minorHAnsi" w:cstheme="minorHAnsi"/>
          <w:rtl/>
        </w:rPr>
        <w:t xml:space="preserve"> של הש</w:t>
      </w:r>
      <w:r w:rsidRPr="004D2590">
        <w:rPr>
          <w:rFonts w:asciiTheme="minorHAnsi" w:hAnsiTheme="minorHAnsi" w:cstheme="minorHAnsi" w:hint="eastAsia"/>
          <w:rtl/>
        </w:rPr>
        <w:t>נה</w:t>
      </w:r>
      <w:r w:rsidRPr="004D2590">
        <w:rPr>
          <w:rFonts w:asciiTheme="minorHAnsi" w:hAnsiTheme="minorHAnsi" w:cstheme="minorHAnsi"/>
          <w:rtl/>
        </w:rPr>
        <w:t xml:space="preserve"> </w:t>
      </w:r>
      <w:r w:rsidRPr="004D2590">
        <w:rPr>
          <w:rFonts w:asciiTheme="minorHAnsi" w:hAnsiTheme="minorHAnsi" w:cstheme="minorHAnsi" w:hint="cs"/>
          <w:rtl/>
        </w:rPr>
        <w:t xml:space="preserve">עומדים על כ-3 מיליארדי דולרים, רמה נמוכה מהרביעים הראשון והשני של השנה </w:t>
      </w:r>
      <w:r w:rsidRPr="004D2590">
        <w:rPr>
          <w:rFonts w:asciiTheme="minorHAnsi" w:hAnsiTheme="minorHAnsi" w:cstheme="minorHAnsi"/>
          <w:b/>
          <w:bCs/>
          <w:rtl/>
        </w:rPr>
        <w:t xml:space="preserve">(איור </w:t>
      </w:r>
      <w:r>
        <w:rPr>
          <w:rFonts w:asciiTheme="minorHAnsi" w:hAnsiTheme="minorHAnsi" w:cstheme="minorHAnsi" w:hint="cs"/>
          <w:b/>
          <w:bCs/>
          <w:rtl/>
        </w:rPr>
        <w:t>14</w:t>
      </w:r>
      <w:r w:rsidRPr="004D2590">
        <w:rPr>
          <w:rFonts w:asciiTheme="minorHAnsi" w:hAnsiTheme="minorHAnsi" w:cstheme="minorHAnsi"/>
          <w:b/>
          <w:bCs/>
          <w:rtl/>
        </w:rPr>
        <w:t>)</w:t>
      </w:r>
      <w:r w:rsidRPr="004D2590">
        <w:rPr>
          <w:rFonts w:asciiTheme="minorHAnsi" w:hAnsiTheme="minorHAnsi" w:cstheme="minorHAnsi"/>
          <w:rtl/>
        </w:rPr>
        <w:t>.</w:t>
      </w:r>
      <w:r w:rsidRPr="004D2590">
        <w:rPr>
          <w:rFonts w:asciiTheme="minorHAnsi" w:hAnsiTheme="minorHAnsi" w:cs="Calibri"/>
          <w:rtl/>
        </w:rPr>
        <w:t xml:space="preserve"> נתוני סחר החוץ לחודש יולי מצביעים על התמתנות </w:t>
      </w:r>
      <w:r w:rsidRPr="004D2590">
        <w:rPr>
          <w:rFonts w:asciiTheme="minorHAnsi" w:hAnsiTheme="minorHAnsi" w:cs="Calibri" w:hint="cs"/>
          <w:rtl/>
        </w:rPr>
        <w:t xml:space="preserve">ביצוא הסחורות </w:t>
      </w:r>
      <w:r w:rsidRPr="004D2590">
        <w:rPr>
          <w:rFonts w:asciiTheme="minorHAnsi" w:hAnsiTheme="minorHAnsi" w:cs="Calibri"/>
          <w:rtl/>
        </w:rPr>
        <w:t xml:space="preserve">לאחר עלייה חדה בחודשים מאי ויוני </w:t>
      </w:r>
      <w:r>
        <w:rPr>
          <w:rFonts w:eastAsia="Times New Roman" w:cstheme="minorHAnsi" w:hint="cs"/>
          <w:rtl/>
        </w:rPr>
        <w:t xml:space="preserve">, בחודש יוני </w:t>
      </w:r>
      <w:r w:rsidRPr="00B55E38">
        <w:rPr>
          <w:rFonts w:eastAsia="Times New Roman" w:cstheme="minorHAnsi" w:hint="eastAsia"/>
          <w:rtl/>
        </w:rPr>
        <w:t>חלה</w:t>
      </w:r>
      <w:r w:rsidRPr="00B55E38">
        <w:rPr>
          <w:rFonts w:eastAsia="Times New Roman" w:cstheme="minorHAnsi"/>
          <w:rtl/>
        </w:rPr>
        <w:t xml:space="preserve"> </w:t>
      </w:r>
      <w:r w:rsidRPr="00905C94">
        <w:rPr>
          <w:rFonts w:eastAsia="Times New Roman" w:cstheme="minorHAnsi" w:hint="eastAsia"/>
          <w:rtl/>
        </w:rPr>
        <w:t>עלייה</w:t>
      </w:r>
      <w:r w:rsidRPr="00905C94">
        <w:rPr>
          <w:rFonts w:eastAsia="Times New Roman" w:cstheme="minorHAnsi"/>
          <w:rtl/>
        </w:rPr>
        <w:t xml:space="preserve"> חדה ביצוא </w:t>
      </w:r>
      <w:r w:rsidRPr="00905C94">
        <w:rPr>
          <w:rFonts w:eastAsia="Times New Roman" w:cstheme="minorHAnsi" w:hint="eastAsia"/>
          <w:rtl/>
        </w:rPr>
        <w:t>השירותים</w:t>
      </w:r>
      <w:r w:rsidRPr="00905C94">
        <w:rPr>
          <w:rFonts w:eastAsia="Times New Roman" w:cstheme="minorHAnsi"/>
          <w:rtl/>
        </w:rPr>
        <w:t xml:space="preserve"> </w:t>
      </w:r>
      <w:r w:rsidRPr="00B55E38">
        <w:rPr>
          <w:rFonts w:asciiTheme="minorHAnsi" w:hAnsiTheme="minorHAnsi" w:cstheme="minorHAnsi"/>
          <w:b/>
          <w:bCs/>
          <w:rtl/>
        </w:rPr>
        <w:t>(איור 20)</w:t>
      </w:r>
      <w:r w:rsidRPr="00B55E38">
        <w:rPr>
          <w:rFonts w:asciiTheme="minorHAnsi" w:hAnsiTheme="minorHAnsi" w:cstheme="minorHAnsi"/>
          <w:rtl/>
        </w:rPr>
        <w:t>.</w:t>
      </w:r>
    </w:p>
    <w:p w:rsidR="00B2223E" w:rsidRPr="004D2590" w:rsidRDefault="00B2223E" w:rsidP="00B2223E">
      <w:pPr>
        <w:bidi/>
        <w:spacing w:after="0" w:line="360" w:lineRule="auto"/>
        <w:jc w:val="both"/>
        <w:rPr>
          <w:rFonts w:eastAsia="Times New Roman" w:cstheme="minorHAnsi"/>
          <w:rtl/>
        </w:rPr>
      </w:pPr>
    </w:p>
    <w:p w:rsidR="00B2223E" w:rsidRPr="004D2590" w:rsidRDefault="00B2223E" w:rsidP="00B2223E">
      <w:pPr>
        <w:bidi/>
        <w:spacing w:after="0" w:line="360" w:lineRule="auto"/>
        <w:jc w:val="both"/>
        <w:rPr>
          <w:rFonts w:asciiTheme="minorHAnsi" w:hAnsiTheme="minorHAnsi" w:cstheme="minorHAnsi"/>
          <w:rtl/>
        </w:rPr>
      </w:pPr>
      <w:r w:rsidRPr="004D2590">
        <w:rPr>
          <w:rFonts w:asciiTheme="minorHAnsi" w:hAnsiTheme="minorHAnsi" w:cs="Calibri"/>
          <w:rtl/>
        </w:rPr>
        <w:lastRenderedPageBreak/>
        <w:t xml:space="preserve">הגירעון המצטבר </w:t>
      </w:r>
      <w:r w:rsidRPr="004D2590">
        <w:rPr>
          <w:rFonts w:asciiTheme="minorHAnsi" w:hAnsiTheme="minorHAnsi" w:cs="Calibri" w:hint="cs"/>
          <w:rtl/>
        </w:rPr>
        <w:t xml:space="preserve">של הממשלה </w:t>
      </w:r>
      <w:r w:rsidRPr="004D2590">
        <w:rPr>
          <w:rFonts w:asciiTheme="minorHAnsi" w:hAnsiTheme="minorHAnsi" w:cs="Calibri"/>
          <w:rtl/>
        </w:rPr>
        <w:t xml:space="preserve">ב-12 החודשים האחרונים </w:t>
      </w:r>
      <w:r w:rsidRPr="004D2590">
        <w:rPr>
          <w:rFonts w:asciiTheme="minorHAnsi" w:hAnsiTheme="minorHAnsi" w:cs="Calibri" w:hint="cs"/>
          <w:rtl/>
        </w:rPr>
        <w:t>עמד בחודשים יוני ויולי על 3.4 אחוזי</w:t>
      </w:r>
      <w:r w:rsidRPr="004D2590">
        <w:rPr>
          <w:rFonts w:asciiTheme="minorHAnsi" w:hAnsiTheme="minorHAnsi" w:cs="Calibri"/>
          <w:rtl/>
        </w:rPr>
        <w:t xml:space="preserve"> תוצר</w:t>
      </w:r>
      <w:r>
        <w:rPr>
          <w:rFonts w:asciiTheme="minorHAnsi" w:hAnsiTheme="minorHAnsi" w:cs="Calibri" w:hint="cs"/>
          <w:rtl/>
        </w:rPr>
        <w:t>,</w:t>
      </w:r>
      <w:r w:rsidRPr="004D2590">
        <w:rPr>
          <w:rFonts w:asciiTheme="minorHAnsi" w:hAnsiTheme="minorHAnsi" w:cs="Calibri" w:hint="cs"/>
          <w:rtl/>
        </w:rPr>
        <w:t xml:space="preserve"> </w:t>
      </w:r>
      <w:r>
        <w:rPr>
          <w:rFonts w:asciiTheme="minorHAnsi" w:hAnsiTheme="minorHAnsi" w:cs="Calibri" w:hint="cs"/>
          <w:rtl/>
        </w:rPr>
        <w:t>מתחת ליעד הגירעון של הממשלה לשנת 2026</w:t>
      </w:r>
      <w:r w:rsidRPr="004D2590">
        <w:rPr>
          <w:rFonts w:asciiTheme="minorHAnsi" w:hAnsiTheme="minorHAnsi" w:cs="Calibri" w:hint="cs"/>
          <w:rtl/>
        </w:rPr>
        <w:t>. זאת,</w:t>
      </w:r>
      <w:r w:rsidRPr="004D2590">
        <w:rPr>
          <w:rFonts w:asciiTheme="minorHAnsi" w:hAnsiTheme="minorHAnsi" w:cs="Calibri"/>
          <w:rtl/>
        </w:rPr>
        <w:t xml:space="preserve"> </w:t>
      </w:r>
      <w:r w:rsidRPr="004D2590">
        <w:rPr>
          <w:rFonts w:asciiTheme="minorHAnsi" w:hAnsiTheme="minorHAnsi" w:cs="Calibri" w:hint="cs"/>
          <w:rtl/>
        </w:rPr>
        <w:t>בשל</w:t>
      </w:r>
      <w:r w:rsidRPr="004D2590">
        <w:rPr>
          <w:rFonts w:asciiTheme="minorHAnsi" w:hAnsiTheme="minorHAnsi" w:cs="Calibri"/>
          <w:rtl/>
        </w:rPr>
        <w:t xml:space="preserve"> התקציב ההמשכי ברביע הראשון של השנה</w:t>
      </w:r>
      <w:r w:rsidRPr="004D2590">
        <w:rPr>
          <w:rFonts w:asciiTheme="minorHAnsi" w:hAnsiTheme="minorHAnsi" w:cs="Calibri" w:hint="cs"/>
          <w:rtl/>
        </w:rPr>
        <w:t>, שהוביל</w:t>
      </w:r>
      <w:r w:rsidRPr="004D2590">
        <w:rPr>
          <w:rFonts w:asciiTheme="minorHAnsi" w:hAnsiTheme="minorHAnsi" w:cs="Calibri"/>
          <w:rtl/>
        </w:rPr>
        <w:t xml:space="preserve"> </w:t>
      </w:r>
      <w:r w:rsidRPr="004D2590">
        <w:rPr>
          <w:rFonts w:asciiTheme="minorHAnsi" w:hAnsiTheme="minorHAnsi" w:cs="Calibri" w:hint="cs"/>
          <w:rtl/>
        </w:rPr>
        <w:t>ל</w:t>
      </w:r>
      <w:r w:rsidRPr="004D2590">
        <w:rPr>
          <w:rFonts w:asciiTheme="minorHAnsi" w:hAnsiTheme="minorHAnsi" w:cs="Calibri"/>
          <w:rtl/>
        </w:rPr>
        <w:t xml:space="preserve">רמה נמוכה של הוצאות </w:t>
      </w:r>
      <w:r w:rsidRPr="004D2590">
        <w:rPr>
          <w:rFonts w:asciiTheme="minorHAnsi" w:hAnsiTheme="minorHAnsi" w:cs="Calibri" w:hint="cs"/>
          <w:rtl/>
        </w:rPr>
        <w:t xml:space="preserve">אזרחיות של </w:t>
      </w:r>
      <w:r w:rsidRPr="004D2590">
        <w:rPr>
          <w:rFonts w:asciiTheme="minorHAnsi" w:hAnsiTheme="minorHAnsi" w:cs="Calibri"/>
          <w:rtl/>
        </w:rPr>
        <w:t>הממשלה</w:t>
      </w:r>
      <w:r w:rsidRPr="004D2590">
        <w:rPr>
          <w:rFonts w:asciiTheme="minorHAnsi" w:hAnsiTheme="minorHAnsi" w:cs="Calibri" w:hint="cs"/>
          <w:rtl/>
        </w:rPr>
        <w:t>,</w:t>
      </w:r>
      <w:r w:rsidRPr="004D2590">
        <w:rPr>
          <w:rFonts w:asciiTheme="minorHAnsi" w:hAnsiTheme="minorHAnsi" w:cs="Calibri"/>
          <w:rtl/>
        </w:rPr>
        <w:t xml:space="preserve"> </w:t>
      </w:r>
      <w:r w:rsidRPr="004D2590">
        <w:rPr>
          <w:rFonts w:asciiTheme="minorHAnsi" w:hAnsiTheme="minorHAnsi" w:cs="Calibri" w:hint="cs"/>
          <w:rtl/>
        </w:rPr>
        <w:t xml:space="preserve">שיתכן </w:t>
      </w:r>
      <w:r>
        <w:rPr>
          <w:rFonts w:asciiTheme="minorHAnsi" w:hAnsiTheme="minorHAnsi" w:cs="Calibri" w:hint="cs"/>
          <w:rtl/>
        </w:rPr>
        <w:t>ויעלו</w:t>
      </w:r>
      <w:r w:rsidRPr="004D2590">
        <w:rPr>
          <w:rFonts w:asciiTheme="minorHAnsi" w:hAnsiTheme="minorHAnsi" w:cs="Calibri" w:hint="cs"/>
          <w:rtl/>
        </w:rPr>
        <w:t xml:space="preserve"> בהמשך השנה</w:t>
      </w:r>
      <w:r w:rsidRPr="004D2590">
        <w:rPr>
          <w:rFonts w:asciiTheme="minorHAnsi" w:hAnsiTheme="minorHAnsi" w:cs="Calibri"/>
          <w:rtl/>
        </w:rPr>
        <w:t xml:space="preserve">. </w:t>
      </w:r>
      <w:r w:rsidRPr="004D2590">
        <w:rPr>
          <w:rFonts w:asciiTheme="minorHAnsi" w:hAnsiTheme="minorHAnsi" w:cstheme="minorHAnsi" w:hint="cs"/>
          <w:rtl/>
        </w:rPr>
        <w:t xml:space="preserve">כמו כן, </w:t>
      </w:r>
      <w:r w:rsidRPr="004D2590">
        <w:rPr>
          <w:rFonts w:asciiTheme="minorHAnsi" w:hAnsiTheme="minorHAnsi" w:cstheme="minorHAnsi"/>
          <w:rtl/>
        </w:rPr>
        <w:t xml:space="preserve">תקבולי הממשלה ממיסים ישירים בחודש </w:t>
      </w:r>
      <w:r w:rsidRPr="004D2590">
        <w:rPr>
          <w:rFonts w:asciiTheme="minorHAnsi" w:hAnsiTheme="minorHAnsi" w:cstheme="minorHAnsi" w:hint="cs"/>
          <w:rtl/>
        </w:rPr>
        <w:t>יולי</w:t>
      </w:r>
      <w:r w:rsidRPr="004D2590">
        <w:rPr>
          <w:rFonts w:asciiTheme="minorHAnsi" w:hAnsiTheme="minorHAnsi" w:cstheme="minorHAnsi"/>
          <w:rtl/>
        </w:rPr>
        <w:t xml:space="preserve"> (במחירים קבועים ובניכוי שינויי חקיקה והכנסות חד פעמיות) </w:t>
      </w:r>
      <w:r w:rsidRPr="004D2590">
        <w:rPr>
          <w:rFonts w:asciiTheme="minorHAnsi" w:hAnsiTheme="minorHAnsi" w:cs="Calibri"/>
          <w:rtl/>
        </w:rPr>
        <w:t xml:space="preserve">ממשיכים להימצא מעל קו המגמה </w:t>
      </w:r>
      <w:r w:rsidRPr="004D2590">
        <w:rPr>
          <w:rFonts w:asciiTheme="minorHAnsi" w:hAnsiTheme="minorHAnsi" w:cstheme="minorHAnsi"/>
          <w:rtl/>
        </w:rPr>
        <w:t xml:space="preserve">ארוכת הטווח </w:t>
      </w:r>
      <w:r w:rsidRPr="004D2590">
        <w:rPr>
          <w:rFonts w:asciiTheme="minorHAnsi" w:hAnsiTheme="minorHAnsi" w:cstheme="minorHAnsi"/>
          <w:b/>
          <w:bCs/>
          <w:rtl/>
        </w:rPr>
        <w:t xml:space="preserve">(איור </w:t>
      </w:r>
      <w:r w:rsidRPr="004D2590">
        <w:rPr>
          <w:rFonts w:asciiTheme="minorHAnsi" w:hAnsiTheme="minorHAnsi" w:cstheme="minorHAnsi" w:hint="cs"/>
          <w:b/>
          <w:bCs/>
          <w:rtl/>
        </w:rPr>
        <w:t>1</w:t>
      </w:r>
      <w:r>
        <w:rPr>
          <w:rFonts w:asciiTheme="minorHAnsi" w:hAnsiTheme="minorHAnsi" w:cstheme="minorHAnsi" w:hint="cs"/>
          <w:b/>
          <w:bCs/>
          <w:rtl/>
        </w:rPr>
        <w:t>5</w:t>
      </w:r>
      <w:r w:rsidRPr="004D2590">
        <w:rPr>
          <w:rFonts w:asciiTheme="minorHAnsi" w:hAnsiTheme="minorHAnsi" w:cstheme="minorHAnsi"/>
          <w:b/>
          <w:bCs/>
          <w:rtl/>
        </w:rPr>
        <w:t>).</w:t>
      </w:r>
      <w:r w:rsidRPr="004D2590">
        <w:rPr>
          <w:rFonts w:asciiTheme="minorHAnsi" w:hAnsiTheme="minorHAnsi" w:cstheme="minorHAnsi"/>
          <w:rtl/>
        </w:rPr>
        <w:t xml:space="preserve"> </w:t>
      </w:r>
      <w:r w:rsidRPr="008C4A5C">
        <w:rPr>
          <w:rFonts w:asciiTheme="minorHAnsi" w:hAnsiTheme="minorHAnsi" w:cs="Calibri"/>
          <w:rtl/>
        </w:rPr>
        <w:t xml:space="preserve">קיימת אי ודאות לגבי הגדלת תקציב הביטחון לשנת 2026 ולשנים הבאות, היקף ועיתוי צעדי ההתאמה שהממשלה תבצע כדי לממנה, והשפעתה על העלייה </w:t>
      </w:r>
      <w:proofErr w:type="spellStart"/>
      <w:r w:rsidRPr="008C4A5C">
        <w:rPr>
          <w:rFonts w:asciiTheme="minorHAnsi" w:hAnsiTheme="minorHAnsi" w:cs="Calibri"/>
          <w:rtl/>
        </w:rPr>
        <w:t>בגרעונות</w:t>
      </w:r>
      <w:proofErr w:type="spellEnd"/>
      <w:r w:rsidRPr="008C4A5C">
        <w:rPr>
          <w:rFonts w:asciiTheme="minorHAnsi" w:hAnsiTheme="minorHAnsi" w:cs="Calibri"/>
          <w:rtl/>
        </w:rPr>
        <w:t xml:space="preserve"> הצפויים</w:t>
      </w:r>
      <w:r w:rsidRPr="008C4A5C">
        <w:rPr>
          <w:rFonts w:asciiTheme="minorHAnsi" w:hAnsiTheme="minorHAnsi" w:cs="Calibri" w:hint="cs"/>
          <w:rtl/>
        </w:rPr>
        <w:t>.</w:t>
      </w:r>
    </w:p>
    <w:p w:rsidR="00B2223E" w:rsidRDefault="00B2223E" w:rsidP="00B2223E">
      <w:pPr>
        <w:bidi/>
        <w:spacing w:line="360" w:lineRule="auto"/>
        <w:jc w:val="both"/>
        <w:rPr>
          <w:rFonts w:asciiTheme="minorHAnsi" w:hAnsiTheme="minorHAnsi" w:cs="Calibri"/>
          <w:rtl/>
        </w:rPr>
      </w:pPr>
    </w:p>
    <w:p w:rsidR="00B2223E" w:rsidRPr="004D2590" w:rsidRDefault="00B2223E" w:rsidP="00B2223E">
      <w:pPr>
        <w:bidi/>
        <w:spacing w:line="360" w:lineRule="auto"/>
        <w:jc w:val="both"/>
        <w:rPr>
          <w:rFonts w:asciiTheme="minorHAnsi" w:hAnsiTheme="minorHAnsi" w:cs="Calibri"/>
          <w:rtl/>
        </w:rPr>
      </w:pPr>
      <w:r w:rsidRPr="004D2590">
        <w:rPr>
          <w:rFonts w:asciiTheme="minorHAnsi" w:hAnsiTheme="minorHAnsi" w:cs="Calibri"/>
          <w:rtl/>
        </w:rPr>
        <w:t>שוק העבודה מוסיף להיות הדוק</w:t>
      </w:r>
      <w:r w:rsidRPr="004D2590">
        <w:rPr>
          <w:rFonts w:asciiTheme="minorHAnsi" w:hAnsiTheme="minorHAnsi" w:cs="Calibri" w:hint="cs"/>
          <w:rtl/>
        </w:rPr>
        <w:t>, ובנתוני הקצה חלה עלייה קלה בשיעורי ההשתתפות והאבטלה הרחבה.</w:t>
      </w:r>
      <w:r w:rsidRPr="004D2590">
        <w:rPr>
          <w:rFonts w:asciiTheme="minorHAnsi" w:hAnsiTheme="minorHAnsi" w:cs="Calibri"/>
          <w:rtl/>
        </w:rPr>
        <w:t xml:space="preserve"> </w:t>
      </w:r>
      <w:r w:rsidRPr="004D2590">
        <w:rPr>
          <w:rFonts w:asciiTheme="minorHAnsi" w:hAnsiTheme="minorHAnsi" w:cstheme="minorHAnsi"/>
          <w:rtl/>
        </w:rPr>
        <w:t xml:space="preserve">שיעור התעסוקה ושיעור ההשתתפות בגילי </w:t>
      </w:r>
      <w:r w:rsidRPr="004D2590">
        <w:rPr>
          <w:rFonts w:asciiTheme="minorHAnsi" w:hAnsiTheme="minorHAnsi" w:cstheme="minorHAnsi" w:hint="cs"/>
          <w:rtl/>
        </w:rPr>
        <w:t xml:space="preserve">64-25 </w:t>
      </w:r>
      <w:r w:rsidRPr="004D2590">
        <w:rPr>
          <w:rFonts w:asciiTheme="minorHAnsi" w:hAnsiTheme="minorHAnsi" w:cstheme="minorHAnsi"/>
          <w:rtl/>
        </w:rPr>
        <w:t xml:space="preserve">עמדו </w:t>
      </w:r>
      <w:r w:rsidRPr="004D2590">
        <w:rPr>
          <w:rFonts w:asciiTheme="minorHAnsi" w:hAnsiTheme="minorHAnsi" w:cstheme="minorHAnsi" w:hint="cs"/>
          <w:rtl/>
        </w:rPr>
        <w:t>ביולי</w:t>
      </w:r>
      <w:r w:rsidRPr="004D2590">
        <w:rPr>
          <w:rFonts w:asciiTheme="minorHAnsi" w:hAnsiTheme="minorHAnsi" w:cstheme="minorHAnsi"/>
          <w:rtl/>
        </w:rPr>
        <w:t xml:space="preserve"> על</w:t>
      </w:r>
      <w:r>
        <w:rPr>
          <w:rFonts w:asciiTheme="minorHAnsi" w:hAnsiTheme="minorHAnsi" w:cstheme="minorHAnsi" w:hint="cs"/>
          <w:rtl/>
        </w:rPr>
        <w:t xml:space="preserve"> </w:t>
      </w:r>
      <w:r w:rsidRPr="004D2590">
        <w:rPr>
          <w:rFonts w:asciiTheme="minorHAnsi" w:hAnsiTheme="minorHAnsi" w:cstheme="minorHAnsi" w:hint="cs"/>
          <w:rtl/>
        </w:rPr>
        <w:t>78.9%</w:t>
      </w:r>
      <w:r w:rsidRPr="004D2590">
        <w:rPr>
          <w:rFonts w:asciiTheme="minorHAnsi" w:hAnsiTheme="minorHAnsi" w:cstheme="minorHAnsi"/>
          <w:rtl/>
        </w:rPr>
        <w:t xml:space="preserve"> ו-</w:t>
      </w:r>
      <w:r w:rsidRPr="004D2590">
        <w:rPr>
          <w:rFonts w:asciiTheme="minorHAnsi" w:hAnsiTheme="minorHAnsi" w:cstheme="minorHAnsi" w:hint="cs"/>
          <w:rtl/>
        </w:rPr>
        <w:t>81.3</w:t>
      </w:r>
      <w:r w:rsidRPr="004D2590">
        <w:rPr>
          <w:rFonts w:asciiTheme="minorHAnsi" w:hAnsiTheme="minorHAnsi" w:cstheme="minorHAnsi"/>
          <w:rtl/>
        </w:rPr>
        <w:t>% בהתאמה</w:t>
      </w:r>
      <w:r w:rsidRPr="004D2590">
        <w:rPr>
          <w:rFonts w:asciiTheme="minorHAnsi" w:hAnsiTheme="minorHAnsi" w:cs="Calibri" w:hint="cs"/>
          <w:rtl/>
        </w:rPr>
        <w:t xml:space="preserve"> </w:t>
      </w:r>
      <w:r w:rsidRPr="004D2590">
        <w:rPr>
          <w:rFonts w:asciiTheme="minorHAnsi" w:hAnsiTheme="minorHAnsi" w:cstheme="minorHAnsi"/>
          <w:b/>
          <w:bCs/>
          <w:rtl/>
        </w:rPr>
        <w:t>(איור</w:t>
      </w:r>
      <w:r w:rsidRPr="004D2590">
        <w:rPr>
          <w:rFonts w:asciiTheme="minorHAnsi" w:hAnsiTheme="minorHAnsi" w:cstheme="minorHAnsi" w:hint="cs"/>
          <w:b/>
          <w:bCs/>
          <w:rtl/>
        </w:rPr>
        <w:t>1</w:t>
      </w:r>
      <w:r>
        <w:rPr>
          <w:rFonts w:asciiTheme="minorHAnsi" w:hAnsiTheme="minorHAnsi" w:cstheme="minorHAnsi" w:hint="cs"/>
          <w:b/>
          <w:bCs/>
          <w:rtl/>
        </w:rPr>
        <w:t>6</w:t>
      </w:r>
      <w:r w:rsidRPr="004D2590">
        <w:rPr>
          <w:rFonts w:asciiTheme="minorHAnsi" w:hAnsiTheme="minorHAnsi" w:cstheme="minorHAnsi" w:hint="cs"/>
          <w:b/>
          <w:bCs/>
          <w:rtl/>
        </w:rPr>
        <w:t>א</w:t>
      </w:r>
      <w:r w:rsidRPr="004D2590">
        <w:rPr>
          <w:rFonts w:asciiTheme="minorHAnsi" w:hAnsiTheme="minorHAnsi" w:cstheme="minorHAnsi"/>
          <w:b/>
          <w:bCs/>
          <w:rtl/>
        </w:rPr>
        <w:t>)</w:t>
      </w:r>
      <w:r w:rsidRPr="004D2590">
        <w:rPr>
          <w:rFonts w:asciiTheme="minorHAnsi" w:hAnsiTheme="minorHAnsi" w:cstheme="minorHAnsi"/>
          <w:rtl/>
        </w:rPr>
        <w:t>.</w:t>
      </w:r>
      <w:r w:rsidRPr="004D2590">
        <w:rPr>
          <w:rFonts w:asciiTheme="minorHAnsi" w:hAnsiTheme="minorHAnsi" w:cs="Calibri" w:hint="cs"/>
          <w:rtl/>
        </w:rPr>
        <w:t xml:space="preserve"> </w:t>
      </w:r>
      <w:r w:rsidRPr="004D2590">
        <w:rPr>
          <w:rFonts w:asciiTheme="minorHAnsi" w:hAnsiTheme="minorHAnsi" w:cs="Calibri"/>
          <w:rtl/>
        </w:rPr>
        <w:t xml:space="preserve">שיעור הנעדרים זמנית מהעבודה בשל שירות מילואים </w:t>
      </w:r>
      <w:r w:rsidRPr="004D2590">
        <w:rPr>
          <w:rFonts w:asciiTheme="minorHAnsi" w:hAnsiTheme="minorHAnsi" w:cs="Calibri" w:hint="cs"/>
          <w:rtl/>
        </w:rPr>
        <w:t xml:space="preserve">נותר יציב בחודשים יוני ויולי </w:t>
      </w:r>
      <w:r w:rsidRPr="004D2590">
        <w:rPr>
          <w:rFonts w:asciiTheme="minorHAnsi" w:hAnsiTheme="minorHAnsi" w:cs="Calibri"/>
          <w:rtl/>
        </w:rPr>
        <w:t xml:space="preserve">ועמד על </w:t>
      </w:r>
      <w:r w:rsidRPr="004D2590">
        <w:rPr>
          <w:rFonts w:asciiTheme="minorHAnsi" w:hAnsiTheme="minorHAnsi" w:cs="Calibri" w:hint="cs"/>
          <w:rtl/>
        </w:rPr>
        <w:t>0.5%</w:t>
      </w:r>
      <w:r w:rsidRPr="004D2590">
        <w:rPr>
          <w:rFonts w:asciiTheme="minorHAnsi" w:hAnsiTheme="minorHAnsi" w:cstheme="minorHAnsi"/>
          <w:rtl/>
        </w:rPr>
        <w:t>.</w:t>
      </w:r>
      <w:r w:rsidRPr="004D2590">
        <w:rPr>
          <w:rFonts w:asciiTheme="minorHAnsi" w:hAnsiTheme="minorHAnsi" w:cs="Calibri"/>
          <w:rtl/>
        </w:rPr>
        <w:t xml:space="preserve"> </w:t>
      </w:r>
      <w:r w:rsidRPr="004D2590">
        <w:rPr>
          <w:rFonts w:asciiTheme="minorHAnsi" w:hAnsiTheme="minorHAnsi" w:cstheme="minorHAnsi"/>
          <w:rtl/>
        </w:rPr>
        <w:t>שיעור האבטלה הרחבה בגילי</w:t>
      </w:r>
      <w:r w:rsidRPr="004D2590">
        <w:rPr>
          <w:rFonts w:asciiTheme="minorHAnsi" w:hAnsiTheme="minorHAnsi" w:cstheme="minorHAnsi" w:hint="cs"/>
          <w:rtl/>
        </w:rPr>
        <w:t xml:space="preserve"> עבודה העיקריים (64-25)</w:t>
      </w:r>
      <w:r w:rsidRPr="004D2590">
        <w:rPr>
          <w:rFonts w:asciiTheme="minorHAnsi" w:hAnsiTheme="minorHAnsi" w:cstheme="minorHAnsi"/>
          <w:rtl/>
        </w:rPr>
        <w:t xml:space="preserve"> </w:t>
      </w:r>
      <w:r w:rsidRPr="004D2590">
        <w:rPr>
          <w:rFonts w:asciiTheme="minorHAnsi" w:hAnsiTheme="minorHAnsi" w:cstheme="minorHAnsi" w:hint="cs"/>
          <w:rtl/>
        </w:rPr>
        <w:t xml:space="preserve">עמד על 3.2% בחודש יולי, רמה הדומה לרמה ששררה ערב מבצע "שאגת הארי" </w:t>
      </w:r>
      <w:r w:rsidRPr="004D2590">
        <w:rPr>
          <w:rFonts w:asciiTheme="minorHAnsi" w:hAnsiTheme="minorHAnsi" w:cstheme="minorHAnsi"/>
          <w:b/>
          <w:bCs/>
          <w:rtl/>
        </w:rPr>
        <w:t xml:space="preserve">(איור </w:t>
      </w:r>
      <w:r w:rsidRPr="004D2590">
        <w:rPr>
          <w:rFonts w:asciiTheme="minorHAnsi" w:hAnsiTheme="minorHAnsi" w:cstheme="minorHAnsi" w:hint="cs"/>
          <w:b/>
          <w:bCs/>
          <w:rtl/>
        </w:rPr>
        <w:t>1</w:t>
      </w:r>
      <w:r>
        <w:rPr>
          <w:rFonts w:asciiTheme="minorHAnsi" w:hAnsiTheme="minorHAnsi" w:cstheme="minorHAnsi" w:hint="cs"/>
          <w:b/>
          <w:bCs/>
          <w:rtl/>
        </w:rPr>
        <w:t>6ב</w:t>
      </w:r>
      <w:r w:rsidRPr="004D2590">
        <w:rPr>
          <w:rFonts w:asciiTheme="minorHAnsi" w:hAnsiTheme="minorHAnsi" w:cstheme="minorHAnsi"/>
          <w:b/>
          <w:bCs/>
          <w:rtl/>
        </w:rPr>
        <w:t>).</w:t>
      </w:r>
      <w:r w:rsidRPr="004D2590">
        <w:rPr>
          <w:rFonts w:asciiTheme="minorHAnsi" w:hAnsiTheme="minorHAnsi" w:cs="Calibri"/>
          <w:rtl/>
        </w:rPr>
        <w:t xml:space="preserve"> </w:t>
      </w:r>
      <w:r w:rsidRPr="004D2590">
        <w:rPr>
          <w:rFonts w:asciiTheme="minorHAnsi" w:hAnsiTheme="minorHAnsi" w:cstheme="minorHAnsi"/>
          <w:rtl/>
        </w:rPr>
        <w:t xml:space="preserve">שיעור המשרות הפנויות </w:t>
      </w:r>
      <w:r w:rsidRPr="004D2590">
        <w:rPr>
          <w:rFonts w:asciiTheme="minorHAnsi" w:hAnsiTheme="minorHAnsi" w:cstheme="minorHAnsi" w:hint="cs"/>
          <w:rtl/>
        </w:rPr>
        <w:t xml:space="preserve">עלה מעט </w:t>
      </w:r>
      <w:r w:rsidRPr="004D2590">
        <w:rPr>
          <w:rFonts w:asciiTheme="minorHAnsi" w:hAnsiTheme="minorHAnsi" w:cs="Calibri" w:hint="cs"/>
          <w:rtl/>
        </w:rPr>
        <w:t xml:space="preserve">ועמד בחודש יולי על 4.5% </w:t>
      </w:r>
      <w:r w:rsidRPr="004D2590">
        <w:rPr>
          <w:rFonts w:asciiTheme="minorHAnsi" w:hAnsiTheme="minorHAnsi" w:cstheme="minorHAnsi" w:hint="cs"/>
          <w:b/>
          <w:bCs/>
          <w:rtl/>
        </w:rPr>
        <w:t>(</w:t>
      </w:r>
      <w:r w:rsidRPr="004D2590">
        <w:rPr>
          <w:rFonts w:asciiTheme="minorHAnsi" w:hAnsiTheme="minorHAnsi" w:cstheme="minorHAnsi"/>
          <w:b/>
          <w:bCs/>
          <w:rtl/>
        </w:rPr>
        <w:t>איור</w:t>
      </w:r>
      <w:r w:rsidRPr="004D2590">
        <w:rPr>
          <w:rFonts w:asciiTheme="minorHAnsi" w:hAnsiTheme="minorHAnsi" w:cstheme="minorHAnsi" w:hint="cs"/>
          <w:b/>
          <w:bCs/>
          <w:rtl/>
        </w:rPr>
        <w:t>1</w:t>
      </w:r>
      <w:r>
        <w:rPr>
          <w:rFonts w:asciiTheme="minorHAnsi" w:hAnsiTheme="minorHAnsi" w:cstheme="minorHAnsi" w:hint="cs"/>
          <w:b/>
          <w:bCs/>
          <w:rtl/>
        </w:rPr>
        <w:t>7</w:t>
      </w:r>
      <w:r w:rsidRPr="004D2590">
        <w:rPr>
          <w:rFonts w:asciiTheme="minorHAnsi" w:hAnsiTheme="minorHAnsi" w:cstheme="minorHAnsi" w:hint="cs"/>
          <w:b/>
          <w:bCs/>
          <w:rtl/>
        </w:rPr>
        <w:t>א</w:t>
      </w:r>
      <w:r w:rsidRPr="004D2590">
        <w:rPr>
          <w:rFonts w:asciiTheme="minorHAnsi" w:hAnsiTheme="minorHAnsi" w:cstheme="minorHAnsi"/>
          <w:b/>
          <w:bCs/>
          <w:rtl/>
        </w:rPr>
        <w:t>)</w:t>
      </w:r>
      <w:r w:rsidRPr="004D2590">
        <w:rPr>
          <w:rFonts w:asciiTheme="minorHAnsi" w:hAnsiTheme="minorHAnsi" w:cstheme="minorHAnsi"/>
          <w:rtl/>
        </w:rPr>
        <w:t>.</w:t>
      </w:r>
      <w:r w:rsidRPr="004D2590">
        <w:rPr>
          <w:rFonts w:asciiTheme="minorHAnsi" w:hAnsiTheme="minorHAnsi" w:cstheme="minorHAnsi"/>
          <w:b/>
          <w:bCs/>
          <w:rtl/>
        </w:rPr>
        <w:t xml:space="preserve"> </w:t>
      </w:r>
      <w:r w:rsidRPr="004D2590">
        <w:rPr>
          <w:rFonts w:asciiTheme="minorHAnsi" w:hAnsiTheme="minorHAnsi" w:cs="Calibri"/>
          <w:rtl/>
        </w:rPr>
        <w:t xml:space="preserve">קצב עליית השכר </w:t>
      </w:r>
      <w:r w:rsidRPr="004D2590">
        <w:rPr>
          <w:rFonts w:asciiTheme="minorHAnsi" w:hAnsiTheme="minorHAnsi" w:cs="Calibri" w:hint="cs"/>
          <w:rtl/>
        </w:rPr>
        <w:t xml:space="preserve">הנומינלי </w:t>
      </w:r>
      <w:r w:rsidRPr="004D2590">
        <w:rPr>
          <w:rFonts w:asciiTheme="minorHAnsi" w:hAnsiTheme="minorHAnsi" w:cs="Calibri"/>
          <w:rtl/>
        </w:rPr>
        <w:t>במשק בחודש</w:t>
      </w:r>
      <w:r w:rsidRPr="004D2590">
        <w:rPr>
          <w:rFonts w:asciiTheme="minorHAnsi" w:hAnsiTheme="minorHAnsi" w:cs="Calibri" w:hint="cs"/>
          <w:rtl/>
        </w:rPr>
        <w:t>ים</w:t>
      </w:r>
      <w:r w:rsidRPr="004D2590">
        <w:rPr>
          <w:rFonts w:asciiTheme="minorHAnsi" w:hAnsiTheme="minorHAnsi" w:cs="Calibri"/>
          <w:rtl/>
        </w:rPr>
        <w:t xml:space="preserve"> </w:t>
      </w:r>
      <w:r w:rsidRPr="004D2590">
        <w:rPr>
          <w:rFonts w:asciiTheme="minorHAnsi" w:hAnsiTheme="minorHAnsi" w:cs="Calibri" w:hint="cs"/>
          <w:rtl/>
        </w:rPr>
        <w:t>אפריל-יוני</w:t>
      </w:r>
      <w:r w:rsidRPr="004D2590">
        <w:rPr>
          <w:rFonts w:asciiTheme="minorHAnsi" w:hAnsiTheme="minorHAnsi" w:cs="Calibri"/>
          <w:rtl/>
        </w:rPr>
        <w:t xml:space="preserve"> עמד על 6.</w:t>
      </w:r>
      <w:r w:rsidRPr="004D2590">
        <w:rPr>
          <w:rFonts w:asciiTheme="minorHAnsi" w:hAnsiTheme="minorHAnsi" w:cs="Calibri" w:hint="cs"/>
          <w:rtl/>
        </w:rPr>
        <w:t>2</w:t>
      </w:r>
      <w:r w:rsidRPr="004D2590">
        <w:rPr>
          <w:rFonts w:asciiTheme="minorHAnsi" w:hAnsiTheme="minorHAnsi" w:cs="Calibri"/>
          <w:rtl/>
        </w:rPr>
        <w:t xml:space="preserve">% לעומת </w:t>
      </w:r>
      <w:r w:rsidRPr="004D2590">
        <w:rPr>
          <w:rFonts w:asciiTheme="minorHAnsi" w:hAnsiTheme="minorHAnsi" w:cs="Calibri" w:hint="cs"/>
          <w:rtl/>
        </w:rPr>
        <w:t>התקופה</w:t>
      </w:r>
      <w:r w:rsidRPr="004D2590">
        <w:rPr>
          <w:rFonts w:asciiTheme="minorHAnsi" w:hAnsiTheme="minorHAnsi" w:cs="Calibri"/>
          <w:rtl/>
        </w:rPr>
        <w:t xml:space="preserve"> </w:t>
      </w:r>
      <w:r w:rsidRPr="004D2590">
        <w:rPr>
          <w:rFonts w:asciiTheme="minorHAnsi" w:hAnsiTheme="minorHAnsi" w:cs="Calibri" w:hint="cs"/>
          <w:rtl/>
        </w:rPr>
        <w:t>ה</w:t>
      </w:r>
      <w:r w:rsidRPr="004D2590">
        <w:rPr>
          <w:rFonts w:asciiTheme="minorHAnsi" w:hAnsiTheme="minorHAnsi" w:cs="Calibri"/>
          <w:rtl/>
        </w:rPr>
        <w:t>מקביל</w:t>
      </w:r>
      <w:r w:rsidRPr="004D2590">
        <w:rPr>
          <w:rFonts w:asciiTheme="minorHAnsi" w:hAnsiTheme="minorHAnsi" w:cs="Calibri" w:hint="cs"/>
          <w:rtl/>
        </w:rPr>
        <w:t>ה</w:t>
      </w:r>
      <w:r w:rsidRPr="004D2590">
        <w:rPr>
          <w:rFonts w:asciiTheme="minorHAnsi" w:hAnsiTheme="minorHAnsi" w:cs="Calibri"/>
          <w:rtl/>
        </w:rPr>
        <w:t xml:space="preserve"> אשתקד. </w:t>
      </w:r>
      <w:r w:rsidRPr="004D2590">
        <w:rPr>
          <w:rFonts w:asciiTheme="minorHAnsi" w:hAnsiTheme="minorHAnsi" w:cs="Calibri" w:hint="cs"/>
          <w:rtl/>
        </w:rPr>
        <w:t>העלייה בשכר משקפת בין היתר עליות בשכר המינימום ובשכר במגזר הציבורי.</w:t>
      </w:r>
      <w:r w:rsidRPr="004D2590">
        <w:rPr>
          <w:rFonts w:asciiTheme="minorHAnsi" w:hAnsiTheme="minorHAnsi" w:cs="Calibri"/>
          <w:rtl/>
        </w:rPr>
        <w:t xml:space="preserve"> קצב עליית השכר במגזר העסקי </w:t>
      </w:r>
      <w:r w:rsidRPr="004D2590">
        <w:rPr>
          <w:rFonts w:asciiTheme="minorHAnsi" w:hAnsiTheme="minorHAnsi" w:cs="Calibri" w:hint="cs"/>
          <w:rtl/>
        </w:rPr>
        <w:t xml:space="preserve">ללא הייטק </w:t>
      </w:r>
      <w:r w:rsidRPr="004D2590">
        <w:rPr>
          <w:rFonts w:asciiTheme="minorHAnsi" w:hAnsiTheme="minorHAnsi" w:cs="Calibri"/>
          <w:rtl/>
        </w:rPr>
        <w:t xml:space="preserve">עלה בחודשים מרץ-מאי ועמד על </w:t>
      </w:r>
      <w:r w:rsidRPr="004D2590">
        <w:rPr>
          <w:rFonts w:asciiTheme="minorHAnsi" w:hAnsiTheme="minorHAnsi" w:cs="Calibri" w:hint="cs"/>
          <w:rtl/>
        </w:rPr>
        <w:t>5.4</w:t>
      </w:r>
      <w:r w:rsidRPr="004D2590">
        <w:rPr>
          <w:rFonts w:asciiTheme="minorHAnsi" w:hAnsiTheme="minorHAnsi" w:cs="Calibri"/>
          <w:rtl/>
        </w:rPr>
        <w:t xml:space="preserve">% ביחס לתקופה המקבילה אשתקד </w:t>
      </w:r>
      <w:r w:rsidRPr="004D2590">
        <w:rPr>
          <w:rFonts w:asciiTheme="minorHAnsi" w:hAnsiTheme="minorHAnsi" w:cs="Calibri"/>
          <w:b/>
          <w:bCs/>
          <w:rtl/>
        </w:rPr>
        <w:t>(איור 1</w:t>
      </w:r>
      <w:r>
        <w:rPr>
          <w:rFonts w:asciiTheme="minorHAnsi" w:hAnsiTheme="minorHAnsi" w:cs="Calibri" w:hint="cs"/>
          <w:b/>
          <w:bCs/>
          <w:rtl/>
        </w:rPr>
        <w:t>8</w:t>
      </w:r>
      <w:r w:rsidRPr="004D2590">
        <w:rPr>
          <w:rFonts w:asciiTheme="minorHAnsi" w:hAnsiTheme="minorHAnsi" w:cs="Calibri"/>
          <w:b/>
          <w:bCs/>
          <w:rtl/>
        </w:rPr>
        <w:t>).</w:t>
      </w:r>
      <w:r w:rsidRPr="004D2590">
        <w:rPr>
          <w:rFonts w:asciiTheme="minorHAnsi" w:hAnsiTheme="minorHAnsi" w:cs="Calibri"/>
          <w:rtl/>
        </w:rPr>
        <w:t xml:space="preserve"> </w:t>
      </w:r>
      <w:r w:rsidRPr="004D2590">
        <w:rPr>
          <w:rFonts w:asciiTheme="minorHAnsi" w:hAnsiTheme="minorHAnsi" w:cstheme="minorHAnsi" w:hint="eastAsia"/>
          <w:rtl/>
        </w:rPr>
        <w:t>יחד</w:t>
      </w:r>
      <w:r w:rsidRPr="004D2590">
        <w:rPr>
          <w:rFonts w:asciiTheme="minorHAnsi" w:hAnsiTheme="minorHAnsi" w:cstheme="minorHAnsi"/>
          <w:rtl/>
        </w:rPr>
        <w:t xml:space="preserve"> </w:t>
      </w:r>
      <w:r w:rsidRPr="004D2590">
        <w:rPr>
          <w:rFonts w:asciiTheme="minorHAnsi" w:hAnsiTheme="minorHAnsi" w:cstheme="minorHAnsi" w:hint="eastAsia"/>
          <w:rtl/>
        </w:rPr>
        <w:t>עם</w:t>
      </w:r>
      <w:r w:rsidRPr="004D2590">
        <w:rPr>
          <w:rFonts w:asciiTheme="minorHAnsi" w:hAnsiTheme="minorHAnsi" w:cstheme="minorHAnsi"/>
          <w:rtl/>
        </w:rPr>
        <w:t xml:space="preserve"> </w:t>
      </w:r>
      <w:r w:rsidRPr="004D2590">
        <w:rPr>
          <w:rFonts w:asciiTheme="minorHAnsi" w:hAnsiTheme="minorHAnsi" w:cstheme="minorHAnsi" w:hint="eastAsia"/>
          <w:rtl/>
        </w:rPr>
        <w:t>זאת</w:t>
      </w:r>
      <w:r w:rsidRPr="004D2590">
        <w:rPr>
          <w:rFonts w:asciiTheme="minorHAnsi" w:hAnsiTheme="minorHAnsi" w:cstheme="minorHAnsi"/>
          <w:rtl/>
        </w:rPr>
        <w:t xml:space="preserve">, </w:t>
      </w:r>
      <w:r w:rsidRPr="004D2590">
        <w:rPr>
          <w:rFonts w:asciiTheme="minorHAnsi" w:hAnsiTheme="minorHAnsi" w:cstheme="minorHAnsi" w:hint="eastAsia"/>
          <w:rtl/>
        </w:rPr>
        <w:t>הנתונים</w:t>
      </w:r>
      <w:r w:rsidRPr="004D2590">
        <w:rPr>
          <w:rFonts w:asciiTheme="minorHAnsi" w:hAnsiTheme="minorHAnsi" w:cstheme="minorHAnsi"/>
          <w:rtl/>
        </w:rPr>
        <w:t xml:space="preserve"> </w:t>
      </w:r>
      <w:r w:rsidRPr="004D2590">
        <w:rPr>
          <w:rFonts w:asciiTheme="minorHAnsi" w:hAnsiTheme="minorHAnsi" w:cstheme="minorHAnsi" w:hint="eastAsia"/>
          <w:rtl/>
        </w:rPr>
        <w:t>עדיין</w:t>
      </w:r>
      <w:r w:rsidRPr="004D2590">
        <w:rPr>
          <w:rFonts w:asciiTheme="minorHAnsi" w:hAnsiTheme="minorHAnsi" w:cstheme="minorHAnsi"/>
          <w:rtl/>
        </w:rPr>
        <w:t xml:space="preserve"> </w:t>
      </w:r>
      <w:r w:rsidRPr="004D2590">
        <w:rPr>
          <w:rFonts w:asciiTheme="minorHAnsi" w:hAnsiTheme="minorHAnsi" w:cstheme="minorHAnsi" w:hint="eastAsia"/>
          <w:rtl/>
        </w:rPr>
        <w:t>מושפעים</w:t>
      </w:r>
      <w:r w:rsidRPr="004D2590">
        <w:rPr>
          <w:rFonts w:asciiTheme="minorHAnsi" w:hAnsiTheme="minorHAnsi" w:cstheme="minorHAnsi"/>
          <w:rtl/>
        </w:rPr>
        <w:t xml:space="preserve"> </w:t>
      </w:r>
      <w:r w:rsidRPr="004D2590">
        <w:rPr>
          <w:rFonts w:asciiTheme="minorHAnsi" w:hAnsiTheme="minorHAnsi" w:cstheme="minorHAnsi" w:hint="eastAsia"/>
          <w:rtl/>
        </w:rPr>
        <w:t>משינויים</w:t>
      </w:r>
      <w:r w:rsidRPr="004D2590">
        <w:rPr>
          <w:rFonts w:asciiTheme="minorHAnsi" w:hAnsiTheme="minorHAnsi" w:cstheme="minorHAnsi"/>
          <w:rtl/>
        </w:rPr>
        <w:t xml:space="preserve"> </w:t>
      </w:r>
      <w:r w:rsidRPr="004D2590">
        <w:rPr>
          <w:rFonts w:asciiTheme="minorHAnsi" w:hAnsiTheme="minorHAnsi" w:cstheme="minorHAnsi" w:hint="eastAsia"/>
          <w:rtl/>
        </w:rPr>
        <w:t>בהרכב</w:t>
      </w:r>
      <w:r w:rsidRPr="004D2590">
        <w:rPr>
          <w:rFonts w:asciiTheme="minorHAnsi" w:hAnsiTheme="minorHAnsi" w:cstheme="minorHAnsi"/>
          <w:rtl/>
        </w:rPr>
        <w:t xml:space="preserve"> </w:t>
      </w:r>
      <w:r w:rsidRPr="004D2590">
        <w:rPr>
          <w:rFonts w:asciiTheme="minorHAnsi" w:hAnsiTheme="minorHAnsi" w:cstheme="minorHAnsi" w:hint="eastAsia"/>
          <w:rtl/>
        </w:rPr>
        <w:t>העובדים</w:t>
      </w:r>
      <w:r w:rsidRPr="004D2590">
        <w:rPr>
          <w:rFonts w:asciiTheme="minorHAnsi" w:hAnsiTheme="minorHAnsi" w:cstheme="minorHAnsi"/>
          <w:rtl/>
        </w:rPr>
        <w:t xml:space="preserve"> </w:t>
      </w:r>
      <w:r w:rsidRPr="004D2590">
        <w:rPr>
          <w:rFonts w:asciiTheme="minorHAnsi" w:hAnsiTheme="minorHAnsi" w:cstheme="minorHAnsi" w:hint="eastAsia"/>
          <w:rtl/>
        </w:rPr>
        <w:t>בהשפעת</w:t>
      </w:r>
      <w:r w:rsidRPr="004D2590">
        <w:rPr>
          <w:rFonts w:asciiTheme="minorHAnsi" w:hAnsiTheme="minorHAnsi" w:cstheme="minorHAnsi"/>
          <w:rtl/>
        </w:rPr>
        <w:t xml:space="preserve"> </w:t>
      </w:r>
      <w:r w:rsidRPr="004D2590">
        <w:rPr>
          <w:rFonts w:asciiTheme="minorHAnsi" w:hAnsiTheme="minorHAnsi" w:cstheme="minorHAnsi" w:hint="eastAsia"/>
          <w:rtl/>
        </w:rPr>
        <w:t>מבצע</w:t>
      </w:r>
      <w:r w:rsidRPr="004D2590">
        <w:rPr>
          <w:rFonts w:asciiTheme="minorHAnsi" w:hAnsiTheme="minorHAnsi" w:cstheme="minorHAnsi"/>
          <w:rtl/>
        </w:rPr>
        <w:t xml:space="preserve"> "שאגת </w:t>
      </w:r>
      <w:r w:rsidRPr="004D2590">
        <w:rPr>
          <w:rFonts w:asciiTheme="minorHAnsi" w:hAnsiTheme="minorHAnsi" w:cstheme="minorHAnsi" w:hint="eastAsia"/>
          <w:rtl/>
        </w:rPr>
        <w:t>הארי</w:t>
      </w:r>
      <w:r w:rsidRPr="004D2590">
        <w:rPr>
          <w:rFonts w:asciiTheme="minorHAnsi" w:hAnsiTheme="minorHAnsi" w:cstheme="minorHAnsi"/>
          <w:rtl/>
        </w:rPr>
        <w:t>".</w:t>
      </w:r>
    </w:p>
    <w:p w:rsidR="00B2223E" w:rsidRPr="004D2590" w:rsidRDefault="00B2223E" w:rsidP="00B2223E">
      <w:pPr>
        <w:bidi/>
        <w:spacing w:line="360" w:lineRule="auto"/>
        <w:jc w:val="both"/>
        <w:rPr>
          <w:rFonts w:asciiTheme="minorHAnsi" w:hAnsiTheme="minorHAnsi" w:cstheme="minorHAnsi"/>
          <w:rtl/>
        </w:rPr>
      </w:pPr>
      <w:r w:rsidRPr="004D2590">
        <w:rPr>
          <w:rFonts w:asciiTheme="minorHAnsi" w:hAnsiTheme="minorHAnsi" w:cs="Calibri" w:hint="cs"/>
          <w:rtl/>
        </w:rPr>
        <w:t xml:space="preserve">בשוק הדיור, </w:t>
      </w:r>
      <w:r w:rsidRPr="004D2590">
        <w:rPr>
          <w:rFonts w:asciiTheme="minorHAnsi" w:hAnsiTheme="minorHAnsi" w:cs="Calibri"/>
          <w:rtl/>
        </w:rPr>
        <w:t>מלאי הדירות שנותרו למכירה</w:t>
      </w:r>
      <w:r w:rsidRPr="004D2590">
        <w:rPr>
          <w:rFonts w:asciiTheme="minorHAnsi" w:hAnsiTheme="minorHAnsi" w:cs="Calibri" w:hint="cs"/>
          <w:rtl/>
        </w:rPr>
        <w:t xml:space="preserve"> יציב ומוסיף לשהות ברמה גבוהה, כאשר </w:t>
      </w:r>
      <w:r>
        <w:rPr>
          <w:rFonts w:asciiTheme="minorHAnsi" w:hAnsiTheme="minorHAnsi" w:cs="Calibri" w:hint="cs"/>
          <w:rtl/>
        </w:rPr>
        <w:t>בחודשים מאי</w:t>
      </w:r>
      <w:r w:rsidRPr="00905C94">
        <w:rPr>
          <w:rFonts w:asciiTheme="minorHAnsi" w:hAnsiTheme="minorHAnsi" w:cs="Calibri"/>
          <w:rtl/>
        </w:rPr>
        <w:t xml:space="preserve"> </w:t>
      </w:r>
      <w:r>
        <w:rPr>
          <w:rFonts w:asciiTheme="minorHAnsi" w:hAnsiTheme="minorHAnsi" w:cs="Calibri" w:hint="cs"/>
          <w:rtl/>
        </w:rPr>
        <w:t>ו</w:t>
      </w:r>
      <w:r w:rsidRPr="00905C94">
        <w:rPr>
          <w:rFonts w:asciiTheme="minorHAnsi" w:hAnsiTheme="minorHAnsi" w:cs="Calibri"/>
          <w:rtl/>
        </w:rPr>
        <w:t xml:space="preserve">יוני </w:t>
      </w:r>
      <w:r w:rsidRPr="00905C94">
        <w:rPr>
          <w:rFonts w:asciiTheme="minorHAnsi" w:hAnsiTheme="minorHAnsi" w:cs="Calibri" w:hint="eastAsia"/>
          <w:rtl/>
        </w:rPr>
        <w:t>חלה</w:t>
      </w:r>
      <w:r w:rsidRPr="00905C94">
        <w:rPr>
          <w:rFonts w:asciiTheme="minorHAnsi" w:hAnsiTheme="minorHAnsi" w:cs="Calibri"/>
          <w:rtl/>
        </w:rPr>
        <w:t xml:space="preserve"> עליה </w:t>
      </w:r>
      <w:r w:rsidRPr="00905C94">
        <w:rPr>
          <w:rFonts w:asciiTheme="minorHAnsi" w:hAnsiTheme="minorHAnsi" w:cs="Calibri" w:hint="eastAsia"/>
          <w:rtl/>
        </w:rPr>
        <w:t>מתונה</w:t>
      </w:r>
      <w:r w:rsidRPr="00905C94">
        <w:rPr>
          <w:rFonts w:asciiTheme="minorHAnsi" w:hAnsiTheme="minorHAnsi" w:cs="Calibri"/>
          <w:rtl/>
        </w:rPr>
        <w:t xml:space="preserve"> בהיקף העסקאות, </w:t>
      </w:r>
      <w:r w:rsidRPr="00905C94">
        <w:rPr>
          <w:rFonts w:asciiTheme="minorHAnsi" w:hAnsiTheme="minorHAnsi" w:cs="Calibri" w:hint="eastAsia"/>
          <w:rtl/>
        </w:rPr>
        <w:t>בעיקר</w:t>
      </w:r>
      <w:r w:rsidRPr="00905C94">
        <w:rPr>
          <w:rFonts w:asciiTheme="minorHAnsi" w:hAnsiTheme="minorHAnsi" w:cs="Calibri"/>
          <w:rtl/>
        </w:rPr>
        <w:t xml:space="preserve"> </w:t>
      </w:r>
      <w:r w:rsidRPr="00905C94">
        <w:rPr>
          <w:rFonts w:asciiTheme="minorHAnsi" w:hAnsiTheme="minorHAnsi" w:cs="Calibri" w:hint="eastAsia"/>
          <w:rtl/>
        </w:rPr>
        <w:t>בדירות</w:t>
      </w:r>
      <w:r w:rsidRPr="00905C94">
        <w:rPr>
          <w:rFonts w:asciiTheme="minorHAnsi" w:hAnsiTheme="minorHAnsi" w:cs="Calibri"/>
          <w:rtl/>
        </w:rPr>
        <w:t xml:space="preserve"> </w:t>
      </w:r>
      <w:r w:rsidRPr="00905C94">
        <w:rPr>
          <w:rFonts w:asciiTheme="minorHAnsi" w:hAnsiTheme="minorHAnsi" w:cs="Calibri" w:hint="eastAsia"/>
          <w:rtl/>
        </w:rPr>
        <w:t>חדשות</w:t>
      </w:r>
      <w:r w:rsidRPr="00905C94">
        <w:rPr>
          <w:rFonts w:asciiTheme="minorHAnsi" w:hAnsiTheme="minorHAnsi" w:cs="Calibri"/>
          <w:rtl/>
        </w:rPr>
        <w:t>.</w:t>
      </w:r>
      <w:r w:rsidRPr="00987AAE">
        <w:rPr>
          <w:rFonts w:asciiTheme="minorHAnsi" w:hAnsiTheme="minorHAnsi" w:cs="Calibri"/>
          <w:rtl/>
        </w:rPr>
        <w:t xml:space="preserve"> בחודשים </w:t>
      </w:r>
      <w:r w:rsidRPr="00987AAE">
        <w:rPr>
          <w:rFonts w:asciiTheme="minorHAnsi" w:hAnsiTheme="minorHAnsi" w:cs="Calibri" w:hint="eastAsia"/>
          <w:rtl/>
        </w:rPr>
        <w:t>מאי</w:t>
      </w:r>
      <w:r w:rsidRPr="00987AAE">
        <w:rPr>
          <w:rFonts w:asciiTheme="minorHAnsi" w:hAnsiTheme="minorHAnsi" w:cs="Calibri"/>
          <w:rtl/>
        </w:rPr>
        <w:t>–</w:t>
      </w:r>
      <w:r w:rsidRPr="00987AAE">
        <w:rPr>
          <w:rFonts w:asciiTheme="minorHAnsi" w:hAnsiTheme="minorHAnsi" w:cs="Calibri" w:hint="eastAsia"/>
          <w:rtl/>
        </w:rPr>
        <w:t>יוני</w:t>
      </w:r>
      <w:r w:rsidRPr="004D2590">
        <w:rPr>
          <w:rFonts w:asciiTheme="minorHAnsi" w:hAnsiTheme="minorHAnsi" w:cs="Calibri" w:hint="cs"/>
          <w:rtl/>
        </w:rPr>
        <w:t xml:space="preserve"> עלו מחירי הדירות ב-0.1%, </w:t>
      </w:r>
      <w:r>
        <w:rPr>
          <w:rFonts w:asciiTheme="minorHAnsi" w:hAnsiTheme="minorHAnsi" w:cs="Calibri" w:hint="cs"/>
          <w:rtl/>
        </w:rPr>
        <w:t>ובשנה האחרונה</w:t>
      </w:r>
      <w:r w:rsidRPr="004D2590">
        <w:rPr>
          <w:rFonts w:asciiTheme="minorHAnsi" w:hAnsiTheme="minorHAnsi" w:cs="Calibri" w:hint="cs"/>
          <w:rtl/>
        </w:rPr>
        <w:t xml:space="preserve"> ירדו מחירי הדירות</w:t>
      </w:r>
      <w:r w:rsidRPr="004D2590">
        <w:rPr>
          <w:rFonts w:asciiTheme="minorHAnsi" w:hAnsiTheme="minorHAnsi" w:cstheme="minorHAnsi" w:hint="cs"/>
          <w:rtl/>
        </w:rPr>
        <w:t xml:space="preserve"> ב-1.5%</w:t>
      </w:r>
      <w:r w:rsidRPr="004D2590">
        <w:rPr>
          <w:rFonts w:asciiTheme="minorHAnsi" w:hAnsiTheme="minorHAnsi" w:cstheme="minorHAnsi" w:hint="cs"/>
          <w:b/>
          <w:bCs/>
          <w:rtl/>
        </w:rPr>
        <w:t xml:space="preserve"> </w:t>
      </w:r>
      <w:r w:rsidRPr="004D2590">
        <w:rPr>
          <w:rFonts w:asciiTheme="minorHAnsi" w:hAnsiTheme="minorHAnsi" w:cstheme="minorHAnsi"/>
          <w:b/>
          <w:bCs/>
          <w:rtl/>
        </w:rPr>
        <w:t>(איור 8).</w:t>
      </w:r>
      <w:r w:rsidRPr="004D2590">
        <w:rPr>
          <w:rFonts w:asciiTheme="minorHAnsi" w:hAnsiTheme="minorHAnsi" w:cstheme="minorHAnsi"/>
          <w:rtl/>
        </w:rPr>
        <w:t xml:space="preserve"> בחודש </w:t>
      </w:r>
      <w:r w:rsidRPr="004D2590">
        <w:rPr>
          <w:rFonts w:asciiTheme="minorHAnsi" w:hAnsiTheme="minorHAnsi" w:cstheme="minorHAnsi" w:hint="cs"/>
          <w:rtl/>
        </w:rPr>
        <w:t>יולי</w:t>
      </w:r>
      <w:r w:rsidRPr="004D2590">
        <w:rPr>
          <w:rFonts w:asciiTheme="minorHAnsi" w:hAnsiTheme="minorHAnsi" w:cstheme="minorHAnsi"/>
          <w:rtl/>
        </w:rPr>
        <w:t xml:space="preserve"> הועמדו משכנתאות בסך של </w:t>
      </w:r>
      <w:r w:rsidRPr="004D2590">
        <w:rPr>
          <w:rFonts w:asciiTheme="minorHAnsi" w:hAnsiTheme="minorHAnsi" w:cstheme="minorHAnsi" w:hint="cs"/>
          <w:rtl/>
        </w:rPr>
        <w:t xml:space="preserve">כ-10 מיליארדי ש"ח (בניכוי עונתיות) </w:t>
      </w:r>
      <w:r w:rsidRPr="004D2590">
        <w:rPr>
          <w:rFonts w:asciiTheme="minorHAnsi" w:hAnsiTheme="minorHAnsi" w:cstheme="minorHAnsi"/>
          <w:b/>
          <w:bCs/>
          <w:rtl/>
        </w:rPr>
        <w:t>(איור 9</w:t>
      </w:r>
      <w:r w:rsidRPr="004D2590">
        <w:rPr>
          <w:rFonts w:asciiTheme="minorHAnsi" w:hAnsiTheme="minorHAnsi" w:cs="Calibri" w:hint="cs"/>
          <w:b/>
          <w:bCs/>
          <w:rtl/>
        </w:rPr>
        <w:t>)</w:t>
      </w:r>
      <w:r w:rsidRPr="004D2590">
        <w:rPr>
          <w:rFonts w:asciiTheme="minorHAnsi" w:hAnsiTheme="minorHAnsi" w:cs="Calibri" w:hint="cs"/>
          <w:rtl/>
        </w:rPr>
        <w:t xml:space="preserve">. </w:t>
      </w:r>
      <w:r w:rsidRPr="004D2590">
        <w:rPr>
          <w:rFonts w:asciiTheme="minorHAnsi" w:hAnsiTheme="minorHAnsi" w:cs="Calibri"/>
          <w:rtl/>
        </w:rPr>
        <w:t xml:space="preserve">קצב </w:t>
      </w:r>
      <w:r w:rsidRPr="004D2590">
        <w:rPr>
          <w:rFonts w:asciiTheme="minorHAnsi" w:hAnsiTheme="minorHAnsi" w:cs="Calibri" w:hint="cs"/>
          <w:rtl/>
        </w:rPr>
        <w:t>העלייה השנתי ב</w:t>
      </w:r>
      <w:r w:rsidRPr="004D2590">
        <w:rPr>
          <w:rFonts w:asciiTheme="minorHAnsi" w:hAnsiTheme="minorHAnsi" w:cs="Calibri"/>
          <w:rtl/>
        </w:rPr>
        <w:t xml:space="preserve">סעיף הדיור </w:t>
      </w:r>
      <w:r w:rsidRPr="004D2590">
        <w:rPr>
          <w:rFonts w:asciiTheme="minorHAnsi" w:hAnsiTheme="minorHAnsi" w:cstheme="minorHAnsi"/>
          <w:rtl/>
        </w:rPr>
        <w:t xml:space="preserve">במדד המחירים לצרכן </w:t>
      </w:r>
      <w:r w:rsidRPr="004D2590">
        <w:rPr>
          <w:rFonts w:asciiTheme="minorHAnsi" w:hAnsiTheme="minorHAnsi" w:cs="Calibri" w:hint="cs"/>
          <w:rtl/>
        </w:rPr>
        <w:t>ירד ועמד על 3.9% ביולי. קצב עליית המחירים ב</w:t>
      </w:r>
      <w:r w:rsidRPr="004D2590">
        <w:rPr>
          <w:rFonts w:asciiTheme="minorHAnsi" w:hAnsiTheme="minorHAnsi" w:cs="Calibri"/>
          <w:rtl/>
        </w:rPr>
        <w:t>חוזים המתחדשים</w:t>
      </w:r>
      <w:r w:rsidRPr="004D2590">
        <w:rPr>
          <w:rFonts w:asciiTheme="minorHAnsi" w:hAnsiTheme="minorHAnsi" w:cs="Calibri" w:hint="cs"/>
          <w:rtl/>
        </w:rPr>
        <w:t xml:space="preserve"> התייצב ועמד על 2.6%.</w:t>
      </w:r>
      <w:r w:rsidRPr="004D2590">
        <w:rPr>
          <w:rFonts w:asciiTheme="minorHAnsi" w:hAnsiTheme="minorHAnsi" w:cs="Calibri"/>
          <w:rtl/>
        </w:rPr>
        <w:t xml:space="preserve"> קצב העלייה השנתי בחוזים בהם הייתה תחלופת שוכר </w:t>
      </w:r>
      <w:r w:rsidRPr="004D2590">
        <w:rPr>
          <w:rFonts w:asciiTheme="minorHAnsi" w:hAnsiTheme="minorHAnsi" w:cs="Calibri" w:hint="cs"/>
          <w:rtl/>
        </w:rPr>
        <w:t>ירד</w:t>
      </w:r>
      <w:r w:rsidRPr="004D2590">
        <w:rPr>
          <w:rFonts w:asciiTheme="minorHAnsi" w:hAnsiTheme="minorHAnsi" w:cs="Calibri"/>
          <w:rtl/>
        </w:rPr>
        <w:t xml:space="preserve"> ועמד במדד </w:t>
      </w:r>
      <w:r w:rsidRPr="004D2590">
        <w:rPr>
          <w:rFonts w:asciiTheme="minorHAnsi" w:hAnsiTheme="minorHAnsi" w:cs="Calibri" w:hint="cs"/>
          <w:rtl/>
        </w:rPr>
        <w:t>יולי</w:t>
      </w:r>
      <w:r w:rsidRPr="004D2590">
        <w:rPr>
          <w:rFonts w:asciiTheme="minorHAnsi" w:hAnsiTheme="minorHAnsi" w:cs="Calibri"/>
          <w:rtl/>
        </w:rPr>
        <w:t xml:space="preserve"> על </w:t>
      </w:r>
      <w:r w:rsidRPr="004D2590">
        <w:rPr>
          <w:rFonts w:asciiTheme="minorHAnsi" w:hAnsiTheme="minorHAnsi" w:cs="Calibri" w:hint="cs"/>
          <w:rtl/>
        </w:rPr>
        <w:t>4.7</w:t>
      </w:r>
      <w:r w:rsidRPr="004D2590">
        <w:rPr>
          <w:rFonts w:asciiTheme="minorHAnsi" w:hAnsiTheme="minorHAnsi" w:cs="Calibri"/>
          <w:rtl/>
        </w:rPr>
        <w:t>%</w:t>
      </w:r>
      <w:r w:rsidRPr="004D2590">
        <w:rPr>
          <w:rFonts w:asciiTheme="minorHAnsi" w:hAnsiTheme="minorHAnsi" w:cs="Calibri" w:hint="cs"/>
          <w:rtl/>
        </w:rPr>
        <w:t>, בהשוואה ל-6.6% ביוני</w:t>
      </w:r>
      <w:r w:rsidRPr="004D2590">
        <w:rPr>
          <w:rFonts w:asciiTheme="minorHAnsi" w:hAnsiTheme="minorHAnsi" w:cs="Calibri"/>
          <w:rtl/>
        </w:rPr>
        <w:t>.</w:t>
      </w:r>
    </w:p>
    <w:p w:rsidR="00B2223E" w:rsidRPr="004D2590" w:rsidRDefault="00B2223E" w:rsidP="00B2223E">
      <w:pPr>
        <w:bidi/>
        <w:spacing w:before="240" w:after="0" w:line="360" w:lineRule="auto"/>
        <w:jc w:val="both"/>
        <w:rPr>
          <w:rFonts w:asciiTheme="minorHAnsi" w:eastAsiaTheme="minorHAnsi" w:hAnsiTheme="minorHAnsi" w:cstheme="minorHAnsi"/>
          <w:rtl/>
        </w:rPr>
      </w:pPr>
      <w:r w:rsidRPr="004D2590">
        <w:rPr>
          <w:rFonts w:asciiTheme="minorHAnsi" w:hAnsiTheme="minorHAnsi" w:cs="Calibri"/>
          <w:rtl/>
        </w:rPr>
        <w:t xml:space="preserve">במהלך התקופה הנסקרת, מדדי המניות המקומיים </w:t>
      </w:r>
      <w:r w:rsidRPr="004D2590">
        <w:rPr>
          <w:rFonts w:asciiTheme="minorHAnsi" w:hAnsiTheme="minorHAnsi" w:cs="Calibri" w:hint="cs"/>
          <w:rtl/>
        </w:rPr>
        <w:t xml:space="preserve">נסחרו במגמה מעורבת </w:t>
      </w:r>
      <w:r w:rsidRPr="004D2590">
        <w:rPr>
          <w:rFonts w:asciiTheme="minorHAnsi" w:hAnsiTheme="minorHAnsi" w:cs="Calibri"/>
          <w:b/>
          <w:bCs/>
          <w:rtl/>
        </w:rPr>
        <w:t xml:space="preserve">(איור </w:t>
      </w:r>
      <w:r w:rsidRPr="004D2590">
        <w:rPr>
          <w:rFonts w:asciiTheme="minorHAnsi" w:hAnsiTheme="minorHAnsi" w:cs="Calibri" w:hint="cs"/>
          <w:b/>
          <w:bCs/>
          <w:rtl/>
        </w:rPr>
        <w:t>27</w:t>
      </w:r>
      <w:r w:rsidRPr="004D2590">
        <w:rPr>
          <w:rFonts w:asciiTheme="minorHAnsi" w:hAnsiTheme="minorHAnsi" w:cs="Calibri"/>
          <w:b/>
          <w:bCs/>
          <w:rtl/>
        </w:rPr>
        <w:t>)</w:t>
      </w:r>
      <w:r>
        <w:rPr>
          <w:rFonts w:asciiTheme="minorHAnsi" w:hAnsiTheme="minorHAnsi" w:cs="Calibri" w:hint="cs"/>
          <w:b/>
          <w:bCs/>
          <w:rtl/>
        </w:rPr>
        <w:t>.</w:t>
      </w:r>
      <w:r w:rsidRPr="004D2590">
        <w:rPr>
          <w:rFonts w:asciiTheme="minorHAnsi" w:hAnsiTheme="minorHAnsi" w:cs="Calibri" w:hint="cs"/>
          <w:b/>
          <w:bCs/>
          <w:rtl/>
        </w:rPr>
        <w:t xml:space="preserve"> </w:t>
      </w:r>
      <w:r>
        <w:rPr>
          <w:rFonts w:asciiTheme="minorHAnsi" w:hAnsiTheme="minorHAnsi" w:cs="Calibri" w:hint="cs"/>
          <w:rtl/>
        </w:rPr>
        <w:t xml:space="preserve">כמו כן, </w:t>
      </w:r>
      <w:r w:rsidRPr="004D2590">
        <w:rPr>
          <w:rFonts w:asciiTheme="minorHAnsi" w:hAnsiTheme="minorHAnsi" w:cs="Calibri"/>
          <w:rtl/>
        </w:rPr>
        <w:t xml:space="preserve">נרשמה </w:t>
      </w:r>
      <w:r w:rsidRPr="004D2590">
        <w:rPr>
          <w:rFonts w:asciiTheme="minorHAnsi" w:hAnsiTheme="minorHAnsi" w:cs="Calibri" w:hint="cs"/>
          <w:rtl/>
        </w:rPr>
        <w:t>עליית</w:t>
      </w:r>
      <w:r w:rsidRPr="004D2590">
        <w:rPr>
          <w:rFonts w:asciiTheme="minorHAnsi" w:hAnsiTheme="minorHAnsi" w:cs="Calibri"/>
          <w:rtl/>
        </w:rPr>
        <w:t xml:space="preserve"> תשואות באגרות החוב הממשלתיות</w:t>
      </w:r>
      <w:r w:rsidRPr="004D2590">
        <w:rPr>
          <w:rFonts w:asciiTheme="minorHAnsi" w:hAnsiTheme="minorHAnsi" w:cs="Calibri" w:hint="cs"/>
          <w:rtl/>
        </w:rPr>
        <w:t>, זאת בדומה למגמה העולמית</w:t>
      </w:r>
      <w:r w:rsidRPr="004D2590">
        <w:rPr>
          <w:rFonts w:asciiTheme="minorHAnsi" w:hAnsiTheme="minorHAnsi" w:cs="Calibri"/>
          <w:b/>
          <w:bCs/>
          <w:rtl/>
        </w:rPr>
        <w:t xml:space="preserve"> (איור 2</w:t>
      </w:r>
      <w:r>
        <w:rPr>
          <w:rFonts w:asciiTheme="minorHAnsi" w:hAnsiTheme="minorHAnsi" w:cs="Calibri" w:hint="cs"/>
          <w:b/>
          <w:bCs/>
          <w:rtl/>
        </w:rPr>
        <w:t>4</w:t>
      </w:r>
      <w:r w:rsidRPr="004D2590">
        <w:rPr>
          <w:rFonts w:asciiTheme="minorHAnsi" w:hAnsiTheme="minorHAnsi" w:cs="Calibri"/>
          <w:b/>
          <w:bCs/>
          <w:rtl/>
        </w:rPr>
        <w:t>).</w:t>
      </w:r>
      <w:r w:rsidRPr="004D2590">
        <w:rPr>
          <w:rFonts w:asciiTheme="minorHAnsi" w:hAnsiTheme="minorHAnsi" w:cs="Calibri"/>
          <w:rtl/>
        </w:rPr>
        <w:t xml:space="preserve"> פרמיית הסיכון של ישראל, כפי שבאה לידי ביטוי במרווח ה-</w:t>
      </w:r>
      <w:r w:rsidRPr="004D2590">
        <w:rPr>
          <w:rFonts w:asciiTheme="minorHAnsi" w:hAnsiTheme="minorHAnsi" w:cstheme="minorHAnsi"/>
        </w:rPr>
        <w:t>CDS</w:t>
      </w:r>
      <w:r w:rsidRPr="004D2590">
        <w:rPr>
          <w:rFonts w:asciiTheme="minorHAnsi" w:hAnsiTheme="minorHAnsi" w:cs="Calibri"/>
          <w:rtl/>
        </w:rPr>
        <w:t xml:space="preserve"> </w:t>
      </w:r>
      <w:r w:rsidRPr="004D2590">
        <w:rPr>
          <w:rFonts w:asciiTheme="minorHAnsi" w:hAnsiTheme="minorHAnsi" w:cs="Calibri" w:hint="cs"/>
          <w:rtl/>
        </w:rPr>
        <w:t>נותרה ללא שינוי משמעותי</w:t>
      </w:r>
      <w:r w:rsidRPr="004D2590">
        <w:rPr>
          <w:rFonts w:asciiTheme="minorHAnsi" w:hAnsiTheme="minorHAnsi" w:cs="Calibri"/>
          <w:rtl/>
        </w:rPr>
        <w:t xml:space="preserve"> בתקופה הנסקרת</w:t>
      </w:r>
      <w:r w:rsidRPr="004D2590">
        <w:rPr>
          <w:rFonts w:asciiTheme="minorHAnsi" w:hAnsiTheme="minorHAnsi" w:cs="Calibri" w:hint="cs"/>
          <w:rtl/>
        </w:rPr>
        <w:t xml:space="preserve">, ושוהה ברמה הקרובה לרמתה טרם השבעה באוקטובר </w:t>
      </w:r>
      <w:r w:rsidRPr="004D2590">
        <w:rPr>
          <w:rFonts w:asciiTheme="minorHAnsi" w:hAnsiTheme="minorHAnsi" w:cs="Calibri"/>
          <w:b/>
          <w:bCs/>
          <w:rtl/>
        </w:rPr>
        <w:t xml:space="preserve">(איור </w:t>
      </w:r>
      <w:r w:rsidRPr="004D2590">
        <w:rPr>
          <w:rFonts w:asciiTheme="minorHAnsi" w:hAnsiTheme="minorHAnsi" w:cs="Calibri" w:hint="cs"/>
          <w:b/>
          <w:bCs/>
          <w:rtl/>
        </w:rPr>
        <w:t>28</w:t>
      </w:r>
      <w:r w:rsidRPr="004D2590">
        <w:rPr>
          <w:rFonts w:asciiTheme="minorHAnsi" w:hAnsiTheme="minorHAnsi" w:cs="Calibri"/>
          <w:b/>
          <w:bCs/>
          <w:rtl/>
        </w:rPr>
        <w:t xml:space="preserve">א-ב). </w:t>
      </w:r>
      <w:r w:rsidRPr="004D2590">
        <w:rPr>
          <w:rFonts w:asciiTheme="minorHAnsi" w:hAnsiTheme="minorHAnsi" w:cs="Calibri"/>
          <w:rtl/>
        </w:rPr>
        <w:t>המרווח בין תשוא</w:t>
      </w:r>
      <w:r>
        <w:rPr>
          <w:rFonts w:asciiTheme="minorHAnsi" w:hAnsiTheme="minorHAnsi" w:cs="Calibri" w:hint="cs"/>
          <w:rtl/>
        </w:rPr>
        <w:t>ו</w:t>
      </w:r>
      <w:r w:rsidRPr="004D2590">
        <w:rPr>
          <w:rFonts w:asciiTheme="minorHAnsi" w:hAnsiTheme="minorHAnsi" w:cs="Calibri"/>
          <w:rtl/>
        </w:rPr>
        <w:t xml:space="preserve">ת </w:t>
      </w:r>
      <w:proofErr w:type="spellStart"/>
      <w:r w:rsidRPr="004D2590">
        <w:rPr>
          <w:rFonts w:asciiTheme="minorHAnsi" w:hAnsiTheme="minorHAnsi" w:cs="Calibri"/>
          <w:rtl/>
        </w:rPr>
        <w:t>האג"ח</w:t>
      </w:r>
      <w:proofErr w:type="spellEnd"/>
      <w:r w:rsidRPr="004D2590">
        <w:rPr>
          <w:rFonts w:asciiTheme="minorHAnsi" w:hAnsiTheme="minorHAnsi" w:cs="Calibri"/>
          <w:rtl/>
        </w:rPr>
        <w:t xml:space="preserve"> הממשלתיות הנקובות בדולרים </w:t>
      </w:r>
      <w:proofErr w:type="spellStart"/>
      <w:r w:rsidRPr="004D2590">
        <w:rPr>
          <w:rFonts w:asciiTheme="minorHAnsi" w:hAnsiTheme="minorHAnsi" w:cs="Calibri"/>
          <w:rtl/>
        </w:rPr>
        <w:t>והאג"ח</w:t>
      </w:r>
      <w:proofErr w:type="spellEnd"/>
      <w:r w:rsidRPr="004D2590">
        <w:rPr>
          <w:rFonts w:asciiTheme="minorHAnsi" w:hAnsiTheme="minorHAnsi" w:cs="Calibri"/>
          <w:rtl/>
        </w:rPr>
        <w:t xml:space="preserve"> הממשלתיות של ארה"ב </w:t>
      </w:r>
      <w:r w:rsidRPr="008C4A5C">
        <w:rPr>
          <w:rFonts w:asciiTheme="minorHAnsi" w:hAnsiTheme="minorHAnsi" w:cs="Calibri"/>
          <w:rtl/>
        </w:rPr>
        <w:t>ירד</w:t>
      </w:r>
      <w:r w:rsidRPr="008C4A5C">
        <w:rPr>
          <w:rFonts w:asciiTheme="minorHAnsi" w:hAnsiTheme="minorHAnsi" w:cs="Calibri" w:hint="cs"/>
          <w:rtl/>
        </w:rPr>
        <w:t>.</w:t>
      </w:r>
      <w:r w:rsidRPr="004D2590">
        <w:rPr>
          <w:rFonts w:asciiTheme="minorHAnsi" w:hAnsiTheme="minorHAnsi" w:cs="Calibri" w:hint="cs"/>
          <w:rtl/>
        </w:rPr>
        <w:t xml:space="preserve"> בתקופה הנסקרת</w:t>
      </w:r>
      <w:r w:rsidRPr="004D2590">
        <w:rPr>
          <w:rFonts w:asciiTheme="minorHAnsi" w:hAnsiTheme="minorHAnsi" w:cs="Calibri"/>
          <w:rtl/>
        </w:rPr>
        <w:t xml:space="preserve"> המשיך האשראי העסקי לצמוח בקצב גבוה, בהובלת האשראי הבנקאי</w:t>
      </w:r>
      <w:r w:rsidRPr="004D2590">
        <w:rPr>
          <w:rFonts w:asciiTheme="minorHAnsi" w:hAnsiTheme="minorHAnsi" w:cstheme="minorHAnsi" w:hint="cs"/>
          <w:rtl/>
        </w:rPr>
        <w:t xml:space="preserve">, כאשר חלק ניכר מהגידול מיוחס למימון פעילויות בשוק ההון. </w:t>
      </w:r>
      <w:r w:rsidRPr="004D2590">
        <w:rPr>
          <w:rFonts w:asciiTheme="minorHAnsi" w:hAnsiTheme="minorHAnsi" w:cstheme="minorHAnsi"/>
          <w:rtl/>
        </w:rPr>
        <w:t xml:space="preserve">האשראי הצרכני למשקי </w:t>
      </w:r>
      <w:r w:rsidRPr="004D2590">
        <w:rPr>
          <w:rFonts w:asciiTheme="minorHAnsi" w:hAnsiTheme="minorHAnsi" w:cstheme="minorHAnsi" w:hint="cs"/>
          <w:rtl/>
        </w:rPr>
        <w:t>ה</w:t>
      </w:r>
      <w:r w:rsidRPr="004D2590">
        <w:rPr>
          <w:rFonts w:asciiTheme="minorHAnsi" w:hAnsiTheme="minorHAnsi" w:cstheme="minorHAnsi"/>
          <w:rtl/>
        </w:rPr>
        <w:t>בית מכל</w:t>
      </w:r>
      <w:r w:rsidRPr="004D2590">
        <w:rPr>
          <w:rFonts w:asciiTheme="minorHAnsi" w:hAnsiTheme="minorHAnsi" w:cstheme="minorHAnsi" w:hint="cs"/>
          <w:rtl/>
        </w:rPr>
        <w:t>ל</w:t>
      </w:r>
      <w:r w:rsidRPr="004D2590">
        <w:rPr>
          <w:rFonts w:asciiTheme="minorHAnsi" w:hAnsiTheme="minorHAnsi" w:cstheme="minorHAnsi"/>
          <w:rtl/>
        </w:rPr>
        <w:t xml:space="preserve"> המקורות</w:t>
      </w:r>
      <w:r w:rsidRPr="004D2590">
        <w:rPr>
          <w:rFonts w:asciiTheme="minorHAnsi" w:hAnsiTheme="minorHAnsi" w:cstheme="minorHAnsi" w:hint="cs"/>
          <w:rtl/>
        </w:rPr>
        <w:t xml:space="preserve"> ה</w:t>
      </w:r>
      <w:r w:rsidRPr="004D2590">
        <w:rPr>
          <w:rFonts w:asciiTheme="minorHAnsi" w:hAnsiTheme="minorHAnsi" w:cstheme="minorHAnsi"/>
          <w:rtl/>
        </w:rPr>
        <w:t xml:space="preserve">משיך לצמוח </w:t>
      </w:r>
      <w:r w:rsidRPr="004D2590">
        <w:rPr>
          <w:rFonts w:asciiTheme="minorHAnsi" w:hAnsiTheme="minorHAnsi" w:cstheme="minorHAnsi" w:hint="cs"/>
          <w:rtl/>
        </w:rPr>
        <w:t>בקצב מתון</w:t>
      </w:r>
      <w:r w:rsidRPr="004D2590">
        <w:rPr>
          <w:rFonts w:asciiTheme="minorHAnsi" w:hAnsiTheme="minorHAnsi" w:cstheme="minorHAnsi"/>
          <w:rtl/>
        </w:rPr>
        <w:t>. שיעורי הפיגורים בכל מגזרי הפעילות שומרים על רמה נמוכה</w:t>
      </w:r>
      <w:r>
        <w:rPr>
          <w:rFonts w:asciiTheme="minorHAnsi" w:hAnsiTheme="minorHAnsi" w:cstheme="minorHAnsi" w:hint="cs"/>
          <w:rtl/>
        </w:rPr>
        <w:t>.</w:t>
      </w:r>
      <w:r w:rsidRPr="004D2590">
        <w:rPr>
          <w:rFonts w:asciiTheme="minorHAnsi" w:hAnsiTheme="minorHAnsi" w:cstheme="minorHAnsi" w:hint="cs"/>
          <w:rtl/>
        </w:rPr>
        <w:t xml:space="preserve"> </w:t>
      </w:r>
    </w:p>
    <w:p w:rsidR="00B2223E" w:rsidRPr="004D2590" w:rsidRDefault="00B2223E" w:rsidP="00B2223E">
      <w:pPr>
        <w:bidi/>
        <w:spacing w:before="240" w:after="0" w:line="360" w:lineRule="auto"/>
        <w:jc w:val="both"/>
        <w:rPr>
          <w:rFonts w:asciiTheme="minorHAnsi" w:eastAsiaTheme="minorHAnsi" w:hAnsiTheme="minorHAnsi" w:cs="Calibri"/>
          <w:rtl/>
        </w:rPr>
      </w:pPr>
      <w:r w:rsidRPr="004D2590">
        <w:rPr>
          <w:rFonts w:asciiTheme="minorHAnsi" w:eastAsiaTheme="minorHAnsi" w:hAnsiTheme="minorHAnsi" w:cs="Calibri" w:hint="cs"/>
          <w:rtl/>
        </w:rPr>
        <w:lastRenderedPageBreak/>
        <w:t>המתיחות</w:t>
      </w:r>
      <w:r w:rsidRPr="004D2590">
        <w:rPr>
          <w:rFonts w:asciiTheme="minorHAnsi" w:eastAsiaTheme="minorHAnsi" w:hAnsiTheme="minorHAnsi" w:cs="Calibri"/>
          <w:rtl/>
        </w:rPr>
        <w:t xml:space="preserve"> הגיאופוליטית במזרח התיכון הובילה לעלייה חדה במחירי האנרגיה ולשיבושים בשרשראות האספקה הגלובליות.</w:t>
      </w:r>
      <w:r w:rsidRPr="004D2590">
        <w:rPr>
          <w:rFonts w:asciiTheme="minorHAnsi" w:eastAsiaTheme="minorHAnsi" w:hAnsiTheme="minorHAnsi" w:cs="Calibri" w:hint="cs"/>
          <w:rtl/>
        </w:rPr>
        <w:t xml:space="preserve"> </w:t>
      </w:r>
      <w:r w:rsidRPr="004D2590">
        <w:rPr>
          <w:rFonts w:asciiTheme="minorHAnsi" w:eastAsiaTheme="minorHAnsi" w:hAnsiTheme="minorHAnsi" w:cs="Calibri"/>
          <w:rtl/>
        </w:rPr>
        <w:t>בתקופה הנסקרת, מחיר חבית נפט מסוג ברנט עלה ב</w:t>
      </w:r>
      <w:r w:rsidRPr="004D2590">
        <w:rPr>
          <w:rFonts w:asciiTheme="minorHAnsi" w:eastAsiaTheme="minorHAnsi" w:hAnsiTheme="minorHAnsi" w:cs="Calibri" w:hint="cs"/>
          <w:rtl/>
        </w:rPr>
        <w:t>כ</w:t>
      </w:r>
      <w:r w:rsidRPr="004D2590">
        <w:rPr>
          <w:rFonts w:asciiTheme="minorHAnsi" w:eastAsiaTheme="minorHAnsi" w:hAnsiTheme="minorHAnsi" w:cs="Calibri"/>
          <w:rtl/>
        </w:rPr>
        <w:t>-</w:t>
      </w:r>
      <w:r w:rsidRPr="00905C94">
        <w:rPr>
          <w:rFonts w:asciiTheme="minorHAnsi" w:eastAsiaTheme="minorHAnsi" w:hAnsiTheme="minorHAnsi" w:cs="Calibri"/>
          <w:rtl/>
        </w:rPr>
        <w:t>25%</w:t>
      </w:r>
      <w:r w:rsidRPr="004D2590">
        <w:rPr>
          <w:rFonts w:asciiTheme="minorHAnsi" w:eastAsiaTheme="minorHAnsi" w:hAnsiTheme="minorHAnsi" w:cs="Calibri"/>
          <w:rtl/>
        </w:rPr>
        <w:t xml:space="preserve"> והוא נסחר סביב ה-</w:t>
      </w:r>
      <w:r>
        <w:rPr>
          <w:rFonts w:asciiTheme="minorHAnsi" w:eastAsiaTheme="minorHAnsi" w:hAnsiTheme="minorHAnsi" w:cs="Calibri" w:hint="cs"/>
          <w:rtl/>
        </w:rPr>
        <w:t>90</w:t>
      </w:r>
      <w:r w:rsidRPr="004D2590">
        <w:rPr>
          <w:rFonts w:asciiTheme="minorHAnsi" w:eastAsiaTheme="minorHAnsi" w:hAnsiTheme="minorHAnsi" w:cs="Calibri"/>
          <w:rtl/>
        </w:rPr>
        <w:t>$ לחבית</w:t>
      </w:r>
      <w:r w:rsidRPr="004D2590">
        <w:rPr>
          <w:rFonts w:asciiTheme="minorHAnsi" w:eastAsiaTheme="minorHAnsi" w:hAnsiTheme="minorHAnsi" w:cs="Calibri" w:hint="cs"/>
          <w:rtl/>
        </w:rPr>
        <w:t xml:space="preserve">, בנוסף, </w:t>
      </w:r>
      <w:r w:rsidRPr="004D2590">
        <w:rPr>
          <w:rFonts w:asciiTheme="minorHAnsi" w:eastAsiaTheme="minorHAnsi" w:hAnsiTheme="minorHAnsi" w:cs="Calibri"/>
          <w:rtl/>
        </w:rPr>
        <w:t xml:space="preserve">מחירי הגז הטבעי באירופה עלו לרמות שיא </w:t>
      </w:r>
      <w:r w:rsidRPr="00B55E38">
        <w:rPr>
          <w:rFonts w:asciiTheme="minorHAnsi" w:eastAsiaTheme="minorHAnsi" w:hAnsiTheme="minorHAnsi" w:cs="Calibri"/>
          <w:rtl/>
        </w:rPr>
        <w:t xml:space="preserve">מאז </w:t>
      </w:r>
      <w:r w:rsidRPr="00905C94">
        <w:rPr>
          <w:rFonts w:asciiTheme="minorHAnsi" w:eastAsiaTheme="minorHAnsi" w:hAnsiTheme="minorHAnsi" w:cs="Calibri" w:hint="eastAsia"/>
          <w:rtl/>
        </w:rPr>
        <w:t>פרוץ</w:t>
      </w:r>
      <w:r w:rsidRPr="00905C94">
        <w:rPr>
          <w:rFonts w:asciiTheme="minorHAnsi" w:eastAsiaTheme="minorHAnsi" w:hAnsiTheme="minorHAnsi" w:cs="Calibri"/>
          <w:rtl/>
        </w:rPr>
        <w:t xml:space="preserve"> </w:t>
      </w:r>
      <w:r w:rsidRPr="00B55E38">
        <w:rPr>
          <w:rFonts w:asciiTheme="minorHAnsi" w:eastAsiaTheme="minorHAnsi" w:hAnsiTheme="minorHAnsi" w:cs="Calibri"/>
          <w:rtl/>
        </w:rPr>
        <w:t xml:space="preserve">"שאגת </w:t>
      </w:r>
      <w:r w:rsidRPr="00B55E38">
        <w:rPr>
          <w:rFonts w:asciiTheme="minorHAnsi" w:eastAsiaTheme="minorHAnsi" w:hAnsiTheme="minorHAnsi" w:cs="Calibri" w:hint="eastAsia"/>
          <w:rtl/>
        </w:rPr>
        <w:t>הארי</w:t>
      </w:r>
      <w:r w:rsidRPr="00B55E38">
        <w:rPr>
          <w:rFonts w:asciiTheme="minorHAnsi" w:eastAsiaTheme="minorHAnsi" w:hAnsiTheme="minorHAnsi" w:cs="Calibri"/>
          <w:rtl/>
        </w:rPr>
        <w:t xml:space="preserve">" </w:t>
      </w:r>
      <w:r w:rsidRPr="00B55E38">
        <w:rPr>
          <w:rFonts w:asciiTheme="minorHAnsi" w:eastAsiaTheme="minorHAnsi" w:hAnsiTheme="minorHAnsi" w:cs="Calibri"/>
          <w:b/>
          <w:bCs/>
          <w:rtl/>
        </w:rPr>
        <w:t>(איור 30).</w:t>
      </w:r>
      <w:r w:rsidRPr="004D2590">
        <w:rPr>
          <w:rFonts w:asciiTheme="minorHAnsi" w:eastAsiaTheme="minorHAnsi" w:hAnsiTheme="minorHAnsi" w:cs="Calibri"/>
          <w:b/>
          <w:bCs/>
          <w:rtl/>
        </w:rPr>
        <w:t xml:space="preserve"> </w:t>
      </w:r>
      <w:r w:rsidRPr="004D2590">
        <w:rPr>
          <w:rFonts w:asciiTheme="minorHAnsi" w:eastAsiaTheme="minorHAnsi" w:hAnsiTheme="minorHAnsi" w:cs="Calibri"/>
          <w:rtl/>
        </w:rPr>
        <w:t>מדד מנהלי הרכש הגלובלי עלה בחודשים יוני ויולי, ושוהה ברמה המצביעה על המשך התרחבות בתוצר העולמי</w:t>
      </w:r>
      <w:r w:rsidRPr="004D2590">
        <w:rPr>
          <w:rFonts w:asciiTheme="minorHAnsi" w:eastAsiaTheme="minorHAnsi" w:hAnsiTheme="minorHAnsi" w:cs="Calibri" w:hint="cs"/>
          <w:rtl/>
        </w:rPr>
        <w:t xml:space="preserve"> </w:t>
      </w:r>
      <w:r w:rsidRPr="004D2590">
        <w:rPr>
          <w:rFonts w:asciiTheme="minorHAnsi" w:eastAsiaTheme="minorHAnsi" w:hAnsiTheme="minorHAnsi" w:cs="Calibri"/>
          <w:b/>
          <w:bCs/>
          <w:rtl/>
        </w:rPr>
        <w:t xml:space="preserve">(איור 32). </w:t>
      </w:r>
      <w:r w:rsidRPr="004D2590">
        <w:rPr>
          <w:rFonts w:asciiTheme="minorHAnsi" w:eastAsiaTheme="minorHAnsi" w:hAnsiTheme="minorHAnsi" w:cs="Calibri"/>
          <w:rtl/>
        </w:rPr>
        <w:t xml:space="preserve">התקופה הנסקרת התאפיינה בעלייה חדה בתשואות </w:t>
      </w:r>
      <w:proofErr w:type="spellStart"/>
      <w:r w:rsidRPr="004D2590">
        <w:rPr>
          <w:rFonts w:asciiTheme="minorHAnsi" w:eastAsiaTheme="minorHAnsi" w:hAnsiTheme="minorHAnsi" w:cs="Calibri"/>
          <w:rtl/>
        </w:rPr>
        <w:t>האג"ח</w:t>
      </w:r>
      <w:proofErr w:type="spellEnd"/>
      <w:r w:rsidRPr="004D2590">
        <w:rPr>
          <w:rFonts w:asciiTheme="minorHAnsi" w:eastAsiaTheme="minorHAnsi" w:hAnsiTheme="minorHAnsi" w:cs="Calibri"/>
          <w:rtl/>
        </w:rPr>
        <w:t xml:space="preserve"> הממשלתיות בעולם</w:t>
      </w:r>
      <w:r w:rsidRPr="004D2590">
        <w:rPr>
          <w:rFonts w:asciiTheme="minorHAnsi" w:eastAsiaTheme="minorHAnsi" w:hAnsiTheme="minorHAnsi" w:cs="Calibri" w:hint="cs"/>
          <w:rtl/>
        </w:rPr>
        <w:t xml:space="preserve">, </w:t>
      </w:r>
      <w:r w:rsidRPr="004D2590">
        <w:rPr>
          <w:rFonts w:asciiTheme="minorHAnsi" w:eastAsiaTheme="minorHAnsi" w:hAnsiTheme="minorHAnsi" w:cs="Calibri"/>
          <w:rtl/>
        </w:rPr>
        <w:t>כשהתשואות הארוכות שוהות ברמות גבוהות</w:t>
      </w:r>
      <w:r w:rsidRPr="004D2590">
        <w:rPr>
          <w:rFonts w:asciiTheme="minorHAnsi" w:eastAsiaTheme="minorHAnsi" w:hAnsiTheme="minorHAnsi" w:cs="Calibri" w:hint="cs"/>
          <w:rtl/>
        </w:rPr>
        <w:t xml:space="preserve">. </w:t>
      </w:r>
      <w:r w:rsidRPr="004D2590">
        <w:rPr>
          <w:rFonts w:asciiTheme="minorHAnsi" w:eastAsiaTheme="minorHAnsi" w:hAnsiTheme="minorHAnsi" w:cstheme="minorHAnsi" w:hint="cs"/>
          <w:rtl/>
        </w:rPr>
        <w:t xml:space="preserve">בארה"ב </w:t>
      </w:r>
      <w:r w:rsidRPr="004D2590">
        <w:rPr>
          <w:rFonts w:asciiTheme="minorHAnsi" w:eastAsiaTheme="minorHAnsi" w:hAnsiTheme="minorHAnsi" w:cs="Calibri"/>
          <w:rtl/>
        </w:rPr>
        <w:t xml:space="preserve">התוצר צמח </w:t>
      </w:r>
      <w:r w:rsidRPr="004D2590">
        <w:rPr>
          <w:rFonts w:asciiTheme="minorHAnsi" w:eastAsiaTheme="minorHAnsi" w:hAnsiTheme="minorHAnsi" w:cs="Calibri" w:hint="cs"/>
          <w:rtl/>
        </w:rPr>
        <w:t>ברביע</w:t>
      </w:r>
      <w:r w:rsidRPr="004D2590">
        <w:rPr>
          <w:rFonts w:asciiTheme="minorHAnsi" w:eastAsiaTheme="minorHAnsi" w:hAnsiTheme="minorHAnsi" w:cs="Calibri"/>
          <w:rtl/>
        </w:rPr>
        <w:t xml:space="preserve"> </w:t>
      </w:r>
      <w:r w:rsidRPr="004D2590">
        <w:rPr>
          <w:rFonts w:asciiTheme="minorHAnsi" w:eastAsiaTheme="minorHAnsi" w:hAnsiTheme="minorHAnsi" w:cs="Calibri" w:hint="cs"/>
          <w:rtl/>
        </w:rPr>
        <w:t>השני</w:t>
      </w:r>
      <w:r w:rsidRPr="004D2590">
        <w:rPr>
          <w:rFonts w:asciiTheme="minorHAnsi" w:eastAsiaTheme="minorHAnsi" w:hAnsiTheme="minorHAnsi" w:cs="Calibri"/>
          <w:rtl/>
        </w:rPr>
        <w:t xml:space="preserve"> בקצב שנתי של </w:t>
      </w:r>
      <w:r w:rsidRPr="004D2590">
        <w:rPr>
          <w:rFonts w:asciiTheme="minorHAnsi" w:eastAsiaTheme="minorHAnsi" w:hAnsiTheme="minorHAnsi" w:cs="Calibri" w:hint="cs"/>
          <w:rtl/>
        </w:rPr>
        <w:t xml:space="preserve">1.5% </w:t>
      </w:r>
      <w:r w:rsidRPr="004D2590">
        <w:rPr>
          <w:rFonts w:asciiTheme="minorHAnsi" w:eastAsiaTheme="minorHAnsi" w:hAnsiTheme="minorHAnsi" w:cs="Calibri"/>
          <w:rtl/>
        </w:rPr>
        <w:t xml:space="preserve">ובגוש האירו עמדה </w:t>
      </w:r>
      <w:r w:rsidRPr="004D2590">
        <w:rPr>
          <w:rFonts w:asciiTheme="minorHAnsi" w:eastAsiaTheme="minorHAnsi" w:hAnsiTheme="minorHAnsi" w:cs="Calibri" w:hint="cs"/>
          <w:rtl/>
        </w:rPr>
        <w:t xml:space="preserve">הצמיחה </w:t>
      </w:r>
      <w:r w:rsidRPr="004D2590">
        <w:rPr>
          <w:rFonts w:asciiTheme="minorHAnsi" w:eastAsiaTheme="minorHAnsi" w:hAnsiTheme="minorHAnsi" w:cs="Calibri"/>
          <w:rtl/>
        </w:rPr>
        <w:t>על 1.8% ברב</w:t>
      </w:r>
      <w:r w:rsidRPr="004D2590">
        <w:rPr>
          <w:rFonts w:asciiTheme="minorHAnsi" w:eastAsiaTheme="minorHAnsi" w:hAnsiTheme="minorHAnsi" w:cs="Calibri" w:hint="cs"/>
          <w:rtl/>
        </w:rPr>
        <w:t>י</w:t>
      </w:r>
      <w:r w:rsidRPr="004D2590">
        <w:rPr>
          <w:rFonts w:asciiTheme="minorHAnsi" w:eastAsiaTheme="minorHAnsi" w:hAnsiTheme="minorHAnsi" w:cs="Calibri"/>
          <w:rtl/>
        </w:rPr>
        <w:t>ע השני ב</w:t>
      </w:r>
      <w:r w:rsidRPr="004D2590">
        <w:rPr>
          <w:rFonts w:asciiTheme="minorHAnsi" w:eastAsiaTheme="minorHAnsi" w:hAnsiTheme="minorHAnsi" w:cs="Calibri" w:hint="cs"/>
          <w:rtl/>
        </w:rPr>
        <w:t>קצב שנתי</w:t>
      </w:r>
      <w:r w:rsidRPr="004D2590">
        <w:rPr>
          <w:rFonts w:asciiTheme="minorHAnsi" w:eastAsiaTheme="minorHAnsi" w:hAnsiTheme="minorHAnsi" w:cs="Calibri"/>
          <w:rtl/>
        </w:rPr>
        <w:t xml:space="preserve">. האינפלציה השנתית בארה"ב </w:t>
      </w:r>
      <w:r w:rsidRPr="004D2590">
        <w:rPr>
          <w:rFonts w:asciiTheme="minorHAnsi" w:eastAsiaTheme="minorHAnsi" w:hAnsiTheme="minorHAnsi" w:cs="Calibri" w:hint="cs"/>
          <w:rtl/>
        </w:rPr>
        <w:t>לחודש יולי ירדה קלות ו</w:t>
      </w:r>
      <w:r w:rsidRPr="004D2590">
        <w:rPr>
          <w:rFonts w:asciiTheme="minorHAnsi" w:eastAsiaTheme="minorHAnsi" w:hAnsiTheme="minorHAnsi" w:cs="Calibri"/>
          <w:rtl/>
        </w:rPr>
        <w:t>מדד המחירים לצרכן (</w:t>
      </w:r>
      <w:r w:rsidRPr="004D2590">
        <w:rPr>
          <w:rFonts w:asciiTheme="minorHAnsi" w:eastAsiaTheme="minorHAnsi" w:hAnsiTheme="minorHAnsi" w:cstheme="minorHAnsi"/>
        </w:rPr>
        <w:t>CPI</w:t>
      </w:r>
      <w:r w:rsidRPr="004D2590">
        <w:rPr>
          <w:rFonts w:asciiTheme="minorHAnsi" w:eastAsiaTheme="minorHAnsi" w:hAnsiTheme="minorHAnsi" w:cs="Calibri"/>
          <w:rtl/>
        </w:rPr>
        <w:t>)</w:t>
      </w:r>
      <w:r w:rsidRPr="004D2590">
        <w:rPr>
          <w:rFonts w:asciiTheme="minorHAnsi" w:eastAsiaTheme="minorHAnsi" w:hAnsiTheme="minorHAnsi" w:cs="Calibri" w:hint="cs"/>
          <w:rtl/>
        </w:rPr>
        <w:t xml:space="preserve"> עמד על 3.4% </w:t>
      </w:r>
      <w:r w:rsidRPr="004D2590">
        <w:rPr>
          <w:rFonts w:asciiTheme="minorHAnsi" w:eastAsiaTheme="minorHAnsi" w:hAnsiTheme="minorHAnsi" w:cs="Calibri"/>
          <w:rtl/>
        </w:rPr>
        <w:t>ומדד הליבה</w:t>
      </w:r>
      <w:r w:rsidRPr="004D2590">
        <w:rPr>
          <w:rFonts w:asciiTheme="minorHAnsi" w:eastAsiaTheme="minorHAnsi" w:hAnsiTheme="minorHAnsi" w:cs="Calibri" w:hint="cs"/>
          <w:rtl/>
        </w:rPr>
        <w:t xml:space="preserve"> </w:t>
      </w:r>
      <w:r w:rsidRPr="004D2590">
        <w:rPr>
          <w:rFonts w:asciiTheme="minorHAnsi" w:eastAsiaTheme="minorHAnsi" w:hAnsiTheme="minorHAnsi" w:cstheme="minorHAnsi"/>
        </w:rPr>
        <w:t>(Core CPI)</w:t>
      </w:r>
      <w:r w:rsidRPr="004D2590">
        <w:rPr>
          <w:rFonts w:asciiTheme="minorHAnsi" w:eastAsiaTheme="minorHAnsi" w:hAnsiTheme="minorHAnsi" w:cstheme="minorHAnsi"/>
          <w:rtl/>
        </w:rPr>
        <w:t xml:space="preserve"> </w:t>
      </w:r>
      <w:r w:rsidRPr="004D2590">
        <w:rPr>
          <w:rFonts w:asciiTheme="minorHAnsi" w:eastAsiaTheme="minorHAnsi" w:hAnsiTheme="minorHAnsi" w:cs="Calibri" w:hint="cs"/>
          <w:rtl/>
        </w:rPr>
        <w:t xml:space="preserve">על </w:t>
      </w:r>
      <w:r w:rsidRPr="004D2590">
        <w:rPr>
          <w:rFonts w:asciiTheme="minorHAnsi" w:eastAsiaTheme="minorHAnsi" w:hAnsiTheme="minorHAnsi" w:cs="Calibri"/>
          <w:rtl/>
        </w:rPr>
        <w:t>2.</w:t>
      </w:r>
      <w:r w:rsidRPr="004D2590">
        <w:rPr>
          <w:rFonts w:asciiTheme="minorHAnsi" w:eastAsiaTheme="minorHAnsi" w:hAnsiTheme="minorHAnsi" w:cs="Calibri" w:hint="cs"/>
          <w:rtl/>
        </w:rPr>
        <w:t>5</w:t>
      </w:r>
      <w:r w:rsidRPr="004D2590">
        <w:rPr>
          <w:rFonts w:asciiTheme="minorHAnsi" w:eastAsiaTheme="minorHAnsi" w:hAnsiTheme="minorHAnsi" w:cs="Calibri"/>
          <w:rtl/>
        </w:rPr>
        <w:t>%</w:t>
      </w:r>
      <w:r w:rsidRPr="004D2590">
        <w:rPr>
          <w:rFonts w:asciiTheme="minorHAnsi" w:eastAsiaTheme="minorHAnsi" w:hAnsiTheme="minorHAnsi" w:cs="Calibri" w:hint="cs"/>
          <w:rtl/>
        </w:rPr>
        <w:t xml:space="preserve">. </w:t>
      </w:r>
      <w:r w:rsidRPr="004D2590">
        <w:rPr>
          <w:rFonts w:asciiTheme="minorHAnsi" w:eastAsiaTheme="minorHAnsi" w:hAnsiTheme="minorHAnsi" w:cstheme="minorHAnsi"/>
          <w:rtl/>
        </w:rPr>
        <w:t xml:space="preserve">בגוש האירו, האינפלציה </w:t>
      </w:r>
      <w:r w:rsidRPr="004D2590">
        <w:rPr>
          <w:rFonts w:asciiTheme="minorHAnsi" w:eastAsiaTheme="minorHAnsi" w:hAnsiTheme="minorHAnsi" w:cstheme="minorHAnsi" w:hint="cs"/>
          <w:rtl/>
        </w:rPr>
        <w:t>השנתית שבה לעלות</w:t>
      </w:r>
      <w:r w:rsidRPr="004D2590">
        <w:rPr>
          <w:rFonts w:asciiTheme="minorHAnsi" w:eastAsiaTheme="minorHAnsi" w:hAnsiTheme="minorHAnsi" w:cstheme="minorHAnsi"/>
          <w:rtl/>
        </w:rPr>
        <w:t xml:space="preserve"> </w:t>
      </w:r>
      <w:r w:rsidRPr="004D2590">
        <w:rPr>
          <w:rFonts w:asciiTheme="minorHAnsi" w:eastAsiaTheme="minorHAnsi" w:hAnsiTheme="minorHAnsi" w:cstheme="minorHAnsi" w:hint="cs"/>
          <w:rtl/>
        </w:rPr>
        <w:t>ועמדה ב</w:t>
      </w:r>
      <w:r w:rsidRPr="004D2590">
        <w:rPr>
          <w:rFonts w:asciiTheme="minorHAnsi" w:eastAsiaTheme="minorHAnsi" w:hAnsiTheme="minorHAnsi" w:cstheme="minorHAnsi"/>
          <w:rtl/>
        </w:rPr>
        <w:t xml:space="preserve">חודש </w:t>
      </w:r>
      <w:r w:rsidRPr="004D2590">
        <w:rPr>
          <w:rFonts w:asciiTheme="minorHAnsi" w:eastAsiaTheme="minorHAnsi" w:hAnsiTheme="minorHAnsi" w:cstheme="minorHAnsi" w:hint="cs"/>
          <w:rtl/>
        </w:rPr>
        <w:t>יולי</w:t>
      </w:r>
      <w:r w:rsidRPr="004D2590">
        <w:rPr>
          <w:rFonts w:asciiTheme="minorHAnsi" w:eastAsiaTheme="minorHAnsi" w:hAnsiTheme="minorHAnsi" w:cstheme="minorHAnsi"/>
          <w:rtl/>
        </w:rPr>
        <w:t xml:space="preserve"> על </w:t>
      </w:r>
      <w:r w:rsidRPr="004D2590">
        <w:rPr>
          <w:rFonts w:asciiTheme="minorHAnsi" w:eastAsiaTheme="minorHAnsi" w:hAnsiTheme="minorHAnsi" w:cstheme="minorHAnsi" w:hint="cs"/>
          <w:rtl/>
        </w:rPr>
        <w:t>2.9%,</w:t>
      </w:r>
      <w:r w:rsidRPr="004D2590">
        <w:rPr>
          <w:rFonts w:asciiTheme="minorHAnsi" w:eastAsiaTheme="minorHAnsi" w:hAnsiTheme="minorHAnsi" w:cstheme="minorHAnsi"/>
          <w:rtl/>
        </w:rPr>
        <w:t xml:space="preserve"> כשמדד הליבה </w:t>
      </w:r>
      <w:r w:rsidRPr="004D2590">
        <w:rPr>
          <w:rFonts w:asciiTheme="minorHAnsi" w:eastAsiaTheme="minorHAnsi" w:hAnsiTheme="minorHAnsi" w:cs="Calibri" w:hint="cs"/>
          <w:rtl/>
        </w:rPr>
        <w:t xml:space="preserve">עלה </w:t>
      </w:r>
      <w:r w:rsidRPr="004D2590">
        <w:rPr>
          <w:rFonts w:asciiTheme="minorHAnsi" w:eastAsiaTheme="minorHAnsi" w:hAnsiTheme="minorHAnsi" w:cs="Calibri"/>
          <w:rtl/>
        </w:rPr>
        <w:t xml:space="preserve">לרמה של </w:t>
      </w:r>
      <w:r w:rsidRPr="004D2590">
        <w:rPr>
          <w:rFonts w:asciiTheme="minorHAnsi" w:eastAsiaTheme="minorHAnsi" w:hAnsiTheme="minorHAnsi" w:cstheme="minorHAnsi"/>
          <w:rtl/>
        </w:rPr>
        <w:t>2.</w:t>
      </w:r>
      <w:r w:rsidRPr="004D2590">
        <w:rPr>
          <w:rFonts w:asciiTheme="minorHAnsi" w:eastAsiaTheme="minorHAnsi" w:hAnsiTheme="minorHAnsi" w:cstheme="minorHAnsi" w:hint="cs"/>
          <w:rtl/>
        </w:rPr>
        <w:t>5</w:t>
      </w:r>
      <w:r w:rsidRPr="004D2590">
        <w:rPr>
          <w:rFonts w:asciiTheme="minorHAnsi" w:eastAsiaTheme="minorHAnsi" w:hAnsiTheme="minorHAnsi" w:cstheme="minorHAnsi"/>
          <w:rtl/>
        </w:rPr>
        <w:t xml:space="preserve">% </w:t>
      </w:r>
      <w:r w:rsidRPr="00C474D7">
        <w:rPr>
          <w:rFonts w:asciiTheme="minorHAnsi" w:eastAsiaTheme="minorHAnsi" w:hAnsiTheme="minorHAnsi" w:cs="Calibri"/>
          <w:b/>
          <w:bCs/>
          <w:rtl/>
        </w:rPr>
        <w:t>(איור 33א-ב)</w:t>
      </w:r>
      <w:r>
        <w:rPr>
          <w:rFonts w:asciiTheme="minorHAnsi" w:eastAsiaTheme="minorHAnsi" w:hAnsiTheme="minorHAnsi" w:cs="Calibri" w:hint="cs"/>
          <w:rtl/>
        </w:rPr>
        <w:t>.</w:t>
      </w:r>
    </w:p>
    <w:p w:rsidR="00B2223E" w:rsidRPr="004D2590" w:rsidRDefault="00B2223E" w:rsidP="00B2223E">
      <w:pPr>
        <w:bidi/>
        <w:spacing w:after="0" w:line="360" w:lineRule="auto"/>
        <w:jc w:val="both"/>
        <w:rPr>
          <w:rFonts w:asciiTheme="minorHAnsi" w:hAnsiTheme="minorHAnsi" w:cs="Calibri"/>
          <w:rtl/>
        </w:rPr>
      </w:pPr>
      <w:r w:rsidRPr="004D2590">
        <w:rPr>
          <w:rFonts w:asciiTheme="minorHAnsi" w:eastAsiaTheme="minorHAnsi" w:hAnsiTheme="minorHAnsi" w:cs="Calibri"/>
          <w:rtl/>
        </w:rPr>
        <w:t xml:space="preserve">בתקופה הנסקרת, הבנקים המרכזיים העיקריים במדינות המפותחות הותירו את הריבית ללא שינוי </w:t>
      </w:r>
      <w:r w:rsidRPr="004D2590">
        <w:rPr>
          <w:rFonts w:asciiTheme="minorHAnsi" w:eastAsiaTheme="minorHAnsi" w:hAnsiTheme="minorHAnsi" w:cs="Calibri"/>
          <w:b/>
          <w:bCs/>
          <w:rtl/>
        </w:rPr>
        <w:t xml:space="preserve">(איור </w:t>
      </w:r>
      <w:r w:rsidRPr="004D2590">
        <w:rPr>
          <w:rFonts w:asciiTheme="minorHAnsi" w:eastAsiaTheme="minorHAnsi" w:hAnsiTheme="minorHAnsi" w:cs="Calibri" w:hint="cs"/>
          <w:b/>
          <w:bCs/>
          <w:rtl/>
        </w:rPr>
        <w:t>34</w:t>
      </w:r>
      <w:r w:rsidRPr="004D2590">
        <w:rPr>
          <w:rFonts w:asciiTheme="minorHAnsi" w:eastAsiaTheme="minorHAnsi" w:hAnsiTheme="minorHAnsi" w:cstheme="minorHAnsi" w:hint="cs"/>
          <w:b/>
          <w:bCs/>
          <w:rtl/>
        </w:rPr>
        <w:t>).</w:t>
      </w:r>
      <w:r w:rsidRPr="004D2590">
        <w:rPr>
          <w:rFonts w:asciiTheme="minorHAnsi" w:eastAsiaTheme="minorHAnsi" w:hAnsiTheme="minorHAnsi" w:cs="Calibri"/>
          <w:rtl/>
        </w:rPr>
        <w:t xml:space="preserve"> בארה"ב תוואי הריבית עלה </w:t>
      </w:r>
      <w:r w:rsidRPr="004D2590">
        <w:rPr>
          <w:rFonts w:asciiTheme="minorHAnsi" w:eastAsiaTheme="minorHAnsi" w:hAnsiTheme="minorHAnsi" w:cs="Calibri" w:hint="eastAsia"/>
          <w:rtl/>
        </w:rPr>
        <w:t>לאחר</w:t>
      </w:r>
      <w:r w:rsidRPr="004D2590">
        <w:rPr>
          <w:rFonts w:asciiTheme="minorHAnsi" w:eastAsiaTheme="minorHAnsi" w:hAnsiTheme="minorHAnsi" w:cs="Calibri"/>
          <w:rtl/>
        </w:rPr>
        <w:t xml:space="preserve"> נאו</w:t>
      </w:r>
      <w:r w:rsidRPr="004D2590">
        <w:rPr>
          <w:rFonts w:asciiTheme="minorHAnsi" w:eastAsiaTheme="minorHAnsi" w:hAnsiTheme="minorHAnsi" w:cs="Calibri" w:hint="eastAsia"/>
          <w:rtl/>
        </w:rPr>
        <w:t>ם</w:t>
      </w:r>
      <w:r w:rsidRPr="004D2590">
        <w:rPr>
          <w:rFonts w:asciiTheme="minorHAnsi" w:eastAsiaTheme="minorHAnsi" w:hAnsiTheme="minorHAnsi" w:cs="Calibri"/>
          <w:rtl/>
        </w:rPr>
        <w:t xml:space="preserve"> </w:t>
      </w:r>
      <w:r w:rsidRPr="004D2590">
        <w:rPr>
          <w:rFonts w:asciiTheme="minorHAnsi" w:eastAsiaTheme="minorHAnsi" w:hAnsiTheme="minorHAnsi" w:cs="Calibri" w:hint="eastAsia"/>
          <w:rtl/>
        </w:rPr>
        <w:t>יו</w:t>
      </w:r>
      <w:r w:rsidRPr="004D2590">
        <w:rPr>
          <w:rFonts w:asciiTheme="minorHAnsi" w:eastAsiaTheme="minorHAnsi" w:hAnsiTheme="minorHAnsi" w:cs="Calibri"/>
          <w:rtl/>
        </w:rPr>
        <w:t xml:space="preserve">"ר </w:t>
      </w:r>
      <w:r w:rsidRPr="004D2590">
        <w:rPr>
          <w:rFonts w:asciiTheme="minorHAnsi" w:eastAsiaTheme="minorHAnsi" w:hAnsiTheme="minorHAnsi" w:cs="Calibri" w:hint="eastAsia"/>
          <w:rtl/>
        </w:rPr>
        <w:t>הפד</w:t>
      </w:r>
      <w:r w:rsidRPr="004D2590">
        <w:rPr>
          <w:rFonts w:asciiTheme="minorHAnsi" w:eastAsiaTheme="minorHAnsi" w:hAnsiTheme="minorHAnsi" w:cs="Calibri"/>
          <w:rtl/>
        </w:rPr>
        <w:t xml:space="preserve">, ובגוש האירו תוואי הריבית עלה בחדות </w:t>
      </w:r>
      <w:r w:rsidRPr="004D2590">
        <w:rPr>
          <w:rFonts w:asciiTheme="minorHAnsi" w:eastAsiaTheme="minorHAnsi" w:hAnsiTheme="minorHAnsi" w:cs="Calibri" w:hint="eastAsia"/>
          <w:rtl/>
        </w:rPr>
        <w:t>בתקופה</w:t>
      </w:r>
      <w:r w:rsidRPr="004D2590">
        <w:rPr>
          <w:rFonts w:asciiTheme="minorHAnsi" w:eastAsiaTheme="minorHAnsi" w:hAnsiTheme="minorHAnsi" w:cs="Calibri"/>
          <w:rtl/>
        </w:rPr>
        <w:t xml:space="preserve"> </w:t>
      </w:r>
      <w:r w:rsidRPr="004D2590">
        <w:rPr>
          <w:rFonts w:asciiTheme="minorHAnsi" w:eastAsiaTheme="minorHAnsi" w:hAnsiTheme="minorHAnsi" w:cs="Calibri" w:hint="eastAsia"/>
          <w:rtl/>
        </w:rPr>
        <w:t>הנסקרת</w:t>
      </w:r>
      <w:r w:rsidRPr="004D2590">
        <w:rPr>
          <w:rFonts w:asciiTheme="minorHAnsi" w:eastAsiaTheme="minorHAnsi" w:hAnsiTheme="minorHAnsi" w:cs="Calibri"/>
          <w:rtl/>
        </w:rPr>
        <w:t xml:space="preserve"> </w:t>
      </w:r>
      <w:r w:rsidRPr="004D2590">
        <w:rPr>
          <w:rFonts w:asciiTheme="minorHAnsi" w:eastAsiaTheme="minorHAnsi" w:hAnsiTheme="minorHAnsi" w:cstheme="minorHAnsi"/>
          <w:b/>
          <w:bCs/>
          <w:rtl/>
        </w:rPr>
        <w:t xml:space="preserve">(איור </w:t>
      </w:r>
      <w:r>
        <w:rPr>
          <w:rFonts w:asciiTheme="minorHAnsi" w:eastAsiaTheme="minorHAnsi" w:hAnsiTheme="minorHAnsi" w:cstheme="minorHAnsi" w:hint="cs"/>
          <w:b/>
          <w:bCs/>
          <w:rtl/>
        </w:rPr>
        <w:t>35א-ב</w:t>
      </w:r>
      <w:r w:rsidRPr="004D2590">
        <w:rPr>
          <w:rFonts w:asciiTheme="minorHAnsi" w:eastAsiaTheme="minorHAnsi" w:hAnsiTheme="minorHAnsi" w:cstheme="minorHAnsi"/>
          <w:b/>
          <w:bCs/>
          <w:rtl/>
        </w:rPr>
        <w:t>)</w:t>
      </w:r>
      <w:r w:rsidRPr="004D2590">
        <w:rPr>
          <w:rFonts w:asciiTheme="minorHAnsi" w:eastAsiaTheme="minorHAnsi" w:hAnsiTheme="minorHAnsi" w:cstheme="minorHAnsi"/>
          <w:rtl/>
        </w:rPr>
        <w:t>.</w:t>
      </w:r>
    </w:p>
    <w:p w:rsidR="00B2223E" w:rsidRPr="004D2590" w:rsidRDefault="00B2223E" w:rsidP="00B2223E">
      <w:pPr>
        <w:bidi/>
        <w:spacing w:after="0" w:line="360" w:lineRule="auto"/>
        <w:jc w:val="both"/>
        <w:rPr>
          <w:rFonts w:asciiTheme="minorHAnsi" w:hAnsiTheme="minorHAnsi" w:cs="Calibri"/>
          <w:rtl/>
        </w:rPr>
      </w:pPr>
    </w:p>
    <w:p w:rsidR="00B2223E" w:rsidRPr="004D2590" w:rsidRDefault="00B2223E" w:rsidP="00B2223E">
      <w:pPr>
        <w:bidi/>
        <w:spacing w:after="0" w:line="360" w:lineRule="auto"/>
        <w:jc w:val="both"/>
        <w:rPr>
          <w:rFonts w:asciiTheme="minorHAnsi" w:hAnsiTheme="minorHAnsi" w:cs="Calibri"/>
          <w:rtl/>
        </w:rPr>
      </w:pPr>
      <w:r w:rsidRPr="004D2590">
        <w:rPr>
          <w:rFonts w:asciiTheme="minorHAnsi" w:hAnsiTheme="minorHAnsi" w:cs="Calibri"/>
          <w:rtl/>
        </w:rPr>
        <w:t>סיכום הדיונים המוניטריים שהתקיימו לקראת החלטה זו יפורסם ב-</w:t>
      </w:r>
      <w:r w:rsidRPr="004D2590">
        <w:rPr>
          <w:rFonts w:asciiTheme="minorHAnsi" w:hAnsiTheme="minorHAnsi" w:cs="Calibri" w:hint="cs"/>
          <w:rtl/>
        </w:rPr>
        <w:t>15</w:t>
      </w:r>
      <w:r w:rsidRPr="004D2590">
        <w:rPr>
          <w:rFonts w:asciiTheme="minorHAnsi" w:hAnsiTheme="minorHAnsi" w:cs="Calibri"/>
          <w:rtl/>
        </w:rPr>
        <w:t>.09.202</w:t>
      </w:r>
      <w:r w:rsidRPr="004D2590">
        <w:rPr>
          <w:rFonts w:asciiTheme="minorHAnsi" w:hAnsiTheme="minorHAnsi" w:cs="Calibri" w:hint="cs"/>
          <w:rtl/>
        </w:rPr>
        <w:t>6</w:t>
      </w:r>
      <w:r w:rsidRPr="004D2590">
        <w:rPr>
          <w:rFonts w:asciiTheme="minorHAnsi" w:hAnsiTheme="minorHAnsi" w:cs="Calibri"/>
          <w:rtl/>
        </w:rPr>
        <w:t xml:space="preserve">. החלטת המדיניות המוניטרית הבאה תתפרסם ביום </w:t>
      </w:r>
      <w:r w:rsidRPr="004D2590">
        <w:rPr>
          <w:rFonts w:asciiTheme="minorHAnsi" w:hAnsiTheme="minorHAnsi" w:cs="Calibri" w:hint="cs"/>
          <w:rtl/>
        </w:rPr>
        <w:t>רביעי</w:t>
      </w:r>
      <w:r w:rsidRPr="004D2590">
        <w:rPr>
          <w:rFonts w:asciiTheme="minorHAnsi" w:hAnsiTheme="minorHAnsi" w:cs="Calibri"/>
          <w:rtl/>
        </w:rPr>
        <w:t>, ה-</w:t>
      </w:r>
      <w:r w:rsidRPr="004D2590">
        <w:rPr>
          <w:rFonts w:asciiTheme="minorHAnsi" w:hAnsiTheme="minorHAnsi" w:cs="Calibri" w:hint="cs"/>
          <w:rtl/>
        </w:rPr>
        <w:t>21.10.2026</w:t>
      </w:r>
      <w:r w:rsidRPr="004D2590">
        <w:rPr>
          <w:rFonts w:asciiTheme="minorHAnsi" w:hAnsiTheme="minorHAnsi" w:cs="Calibri"/>
          <w:rtl/>
        </w:rPr>
        <w:t>.</w:t>
      </w:r>
    </w:p>
    <w:p w:rsidR="00B2223E" w:rsidRDefault="00B2223E" w:rsidP="00B2223E">
      <w:pPr>
        <w:bidi/>
        <w:spacing w:line="360" w:lineRule="auto"/>
        <w:rPr>
          <w:rFonts w:asciiTheme="minorHAnsi" w:hAnsiTheme="minorHAnsi" w:cstheme="minorHAnsi"/>
          <w:rtl/>
        </w:rPr>
      </w:pPr>
    </w:p>
    <w:p w:rsidR="000B589E" w:rsidRPr="000B589E" w:rsidRDefault="000B589E" w:rsidP="000B589E">
      <w:pPr>
        <w:bidi/>
        <w:spacing w:line="360" w:lineRule="auto"/>
        <w:rPr>
          <w:rFonts w:asciiTheme="minorHAnsi" w:hAnsiTheme="minorHAnsi" w:cstheme="minorHAnsi"/>
        </w:rPr>
      </w:pPr>
    </w:p>
    <w:sectPr w:rsidR="000B589E" w:rsidRPr="000B589E" w:rsidSect="00CC2499">
      <w:foot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BB6" w:rsidRDefault="00431BB6" w:rsidP="00E04682">
      <w:pPr>
        <w:spacing w:after="0" w:line="240" w:lineRule="auto"/>
      </w:pPr>
      <w:r>
        <w:separator/>
      </w:r>
    </w:p>
  </w:endnote>
  <w:endnote w:type="continuationSeparator" w:id="0">
    <w:p w:rsidR="00431BB6" w:rsidRDefault="00431BB6" w:rsidP="00E0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panose1 w:val="00000500000000000000"/>
    <w:charset w:val="00"/>
    <w:family w:val="auto"/>
    <w:pitch w:val="variable"/>
    <w:sig w:usb0="00000807" w:usb1="40000000" w:usb2="00000000" w:usb3="00000000" w:csb0="0000002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682" w:rsidRDefault="00F25BB5" w:rsidP="00F20046">
    <w:pPr>
      <w:pStyle w:val="Footer"/>
      <w:rPr>
        <w:rtl/>
      </w:rPr>
    </w:pPr>
    <w:r>
      <w:rPr>
        <w:noProof/>
      </w:rPr>
      <mc:AlternateContent>
        <mc:Choice Requires="wps">
          <w:drawing>
            <wp:anchor distT="0" distB="0" distL="114300" distR="114300" simplePos="0" relativeHeight="251665408" behindDoc="0" locked="0" layoutInCell="1" allowOverlap="1" wp14:anchorId="6F2FA1B7" wp14:editId="115BEBC9">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FA1B7"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1552" behindDoc="0" locked="0" layoutInCell="1" allowOverlap="1" wp14:anchorId="2A58D63D" wp14:editId="2D1F9C15">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0"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D63D" id="תיבת טקסט 22" o:spid="_x0000_s1027" type="#_x0000_t202" style="position:absolute;margin-left:-23.05pt;margin-top:6pt;width:167.75pt;height:4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1"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v:textbox>
              <w10:wrap anchorx="margin"/>
            </v:shape>
          </w:pict>
        </mc:Fallback>
      </mc:AlternateContent>
    </w:r>
    <w:r w:rsidR="00F20046">
      <w:rPr>
        <w:noProof/>
      </w:rPr>
      <mc:AlternateContent>
        <mc:Choice Requires="wps">
          <w:drawing>
            <wp:anchor distT="0" distB="0" distL="114300" distR="114300" simplePos="0" relativeHeight="251661312" behindDoc="0" locked="0" layoutInCell="1" allowOverlap="1" wp14:anchorId="71AF4990" wp14:editId="6CA604D5">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2" w:history="1">
                            <w:r w:rsidR="00571971"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AF4990" id="תיבת טקסט 9" o:spid="_x0000_s1028" type="#_x0000_t202" style="position:absolute;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3" w:history="1">
                      <w:r w:rsidR="00571971"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9264"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תיבת טקסט 7" o:spid="_x0000_s1029" type="#_x0000_t202" style="position:absolute;margin-left:394.85pt;margin-top:7pt;width:120.9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D1803" id="מחבר ישר 15"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BB6" w:rsidRDefault="00431BB6" w:rsidP="00E04682">
      <w:pPr>
        <w:spacing w:after="0" w:line="240" w:lineRule="auto"/>
      </w:pPr>
      <w:r>
        <w:separator/>
      </w:r>
    </w:p>
  </w:footnote>
  <w:footnote w:type="continuationSeparator" w:id="0">
    <w:p w:rsidR="00431BB6" w:rsidRDefault="00431BB6" w:rsidP="00E0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6049"/>
    <w:multiLevelType w:val="hybridMultilevel"/>
    <w:tmpl w:val="3A4AADEA"/>
    <w:lvl w:ilvl="0" w:tplc="BCEC41EA">
      <w:numFmt w:val="bullet"/>
      <w:lvlText w:val=""/>
      <w:lvlJc w:val="left"/>
      <w:pPr>
        <w:ind w:left="720" w:hanging="360"/>
      </w:pPr>
      <w:rPr>
        <w:rFonts w:ascii="Symbol" w:eastAsia="David"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654D7F"/>
    <w:multiLevelType w:val="hybridMultilevel"/>
    <w:tmpl w:val="7ECE0DC4"/>
    <w:lvl w:ilvl="0" w:tplc="311A03AC">
      <w:start w:val="1"/>
      <w:numFmt w:val="bullet"/>
      <w:lvlText w:val=""/>
      <w:lvlJc w:val="left"/>
      <w:pPr>
        <w:ind w:left="1513" w:hanging="360"/>
      </w:pPr>
      <w:rPr>
        <w:rFonts w:ascii="Symbol" w:hAnsi="Symbol" w:hint="default"/>
      </w:rPr>
    </w:lvl>
    <w:lvl w:ilvl="1" w:tplc="2CB8D966" w:tentative="1">
      <w:start w:val="1"/>
      <w:numFmt w:val="bullet"/>
      <w:lvlText w:val="o"/>
      <w:lvlJc w:val="left"/>
      <w:pPr>
        <w:ind w:left="2233" w:hanging="360"/>
      </w:pPr>
      <w:rPr>
        <w:rFonts w:ascii="Courier New" w:hAnsi="Courier New" w:cs="Courier New" w:hint="default"/>
      </w:rPr>
    </w:lvl>
    <w:lvl w:ilvl="2" w:tplc="D0E099F0" w:tentative="1">
      <w:start w:val="1"/>
      <w:numFmt w:val="bullet"/>
      <w:lvlText w:val=""/>
      <w:lvlJc w:val="left"/>
      <w:pPr>
        <w:ind w:left="2953" w:hanging="360"/>
      </w:pPr>
      <w:rPr>
        <w:rFonts w:ascii="Wingdings" w:hAnsi="Wingdings" w:hint="default"/>
      </w:rPr>
    </w:lvl>
    <w:lvl w:ilvl="3" w:tplc="F84073CA" w:tentative="1">
      <w:start w:val="1"/>
      <w:numFmt w:val="bullet"/>
      <w:lvlText w:val=""/>
      <w:lvlJc w:val="left"/>
      <w:pPr>
        <w:ind w:left="3673" w:hanging="360"/>
      </w:pPr>
      <w:rPr>
        <w:rFonts w:ascii="Symbol" w:hAnsi="Symbol" w:hint="default"/>
      </w:rPr>
    </w:lvl>
    <w:lvl w:ilvl="4" w:tplc="95A41C3A" w:tentative="1">
      <w:start w:val="1"/>
      <w:numFmt w:val="bullet"/>
      <w:lvlText w:val="o"/>
      <w:lvlJc w:val="left"/>
      <w:pPr>
        <w:ind w:left="4393" w:hanging="360"/>
      </w:pPr>
      <w:rPr>
        <w:rFonts w:ascii="Courier New" w:hAnsi="Courier New" w:cs="Courier New" w:hint="default"/>
      </w:rPr>
    </w:lvl>
    <w:lvl w:ilvl="5" w:tplc="4D0635D2" w:tentative="1">
      <w:start w:val="1"/>
      <w:numFmt w:val="bullet"/>
      <w:lvlText w:val=""/>
      <w:lvlJc w:val="left"/>
      <w:pPr>
        <w:ind w:left="5113" w:hanging="360"/>
      </w:pPr>
      <w:rPr>
        <w:rFonts w:ascii="Wingdings" w:hAnsi="Wingdings" w:hint="default"/>
      </w:rPr>
    </w:lvl>
    <w:lvl w:ilvl="6" w:tplc="0CF8D35A" w:tentative="1">
      <w:start w:val="1"/>
      <w:numFmt w:val="bullet"/>
      <w:lvlText w:val=""/>
      <w:lvlJc w:val="left"/>
      <w:pPr>
        <w:ind w:left="5833" w:hanging="360"/>
      </w:pPr>
      <w:rPr>
        <w:rFonts w:ascii="Symbol" w:hAnsi="Symbol" w:hint="default"/>
      </w:rPr>
    </w:lvl>
    <w:lvl w:ilvl="7" w:tplc="DE04F528" w:tentative="1">
      <w:start w:val="1"/>
      <w:numFmt w:val="bullet"/>
      <w:lvlText w:val="o"/>
      <w:lvlJc w:val="left"/>
      <w:pPr>
        <w:ind w:left="6553" w:hanging="360"/>
      </w:pPr>
      <w:rPr>
        <w:rFonts w:ascii="Courier New" w:hAnsi="Courier New" w:cs="Courier New" w:hint="default"/>
      </w:rPr>
    </w:lvl>
    <w:lvl w:ilvl="8" w:tplc="822AFB6E" w:tentative="1">
      <w:start w:val="1"/>
      <w:numFmt w:val="bullet"/>
      <w:lvlText w:val=""/>
      <w:lvlJc w:val="left"/>
      <w:pPr>
        <w:ind w:left="7273" w:hanging="360"/>
      </w:pPr>
      <w:rPr>
        <w:rFonts w:ascii="Wingdings" w:hAnsi="Wingdings" w:hint="default"/>
      </w:rPr>
    </w:lvl>
  </w:abstractNum>
  <w:abstractNum w:abstractNumId="3" w15:restartNumberingAfterBreak="0">
    <w:nsid w:val="3A951D18"/>
    <w:multiLevelType w:val="hybridMultilevel"/>
    <w:tmpl w:val="8D94D286"/>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C83BE5"/>
    <w:multiLevelType w:val="hybridMultilevel"/>
    <w:tmpl w:val="2348E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210C5A"/>
    <w:multiLevelType w:val="hybridMultilevel"/>
    <w:tmpl w:val="1F0214CA"/>
    <w:lvl w:ilvl="0" w:tplc="D41CDC90">
      <w:numFmt w:val="bullet"/>
      <w:lvlText w:val=""/>
      <w:lvlJc w:val="left"/>
      <w:pPr>
        <w:ind w:left="668" w:hanging="360"/>
      </w:pPr>
      <w:rPr>
        <w:rFonts w:ascii="Symbol" w:eastAsiaTheme="minorHAnsi" w:hAnsi="Symbol" w:cs="Assistant" w:hint="default"/>
      </w:rPr>
    </w:lvl>
    <w:lvl w:ilvl="1" w:tplc="04090003">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6" w15:restartNumberingAfterBreak="0">
    <w:nsid w:val="577F64B2"/>
    <w:multiLevelType w:val="hybridMultilevel"/>
    <w:tmpl w:val="A3E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014A7D"/>
    <w:multiLevelType w:val="hybridMultilevel"/>
    <w:tmpl w:val="CC7060DA"/>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8B7446"/>
    <w:multiLevelType w:val="hybridMultilevel"/>
    <w:tmpl w:val="EC7A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642CF"/>
    <w:multiLevelType w:val="hybridMultilevel"/>
    <w:tmpl w:val="917A7A3C"/>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41A4"/>
    <w:multiLevelType w:val="hybridMultilevel"/>
    <w:tmpl w:val="D5825F84"/>
    <w:lvl w:ilvl="0" w:tplc="2C8673AE">
      <w:start w:val="1"/>
      <w:numFmt w:val="bullet"/>
      <w:lvlText w:val=""/>
      <w:lvlJc w:val="left"/>
      <w:pPr>
        <w:ind w:left="720" w:hanging="360"/>
      </w:pPr>
      <w:rPr>
        <w:rFonts w:ascii="Symbol" w:hAnsi="Symbol" w:hint="default"/>
      </w:rPr>
    </w:lvl>
    <w:lvl w:ilvl="1" w:tplc="416E8F56" w:tentative="1">
      <w:start w:val="1"/>
      <w:numFmt w:val="bullet"/>
      <w:lvlText w:val="o"/>
      <w:lvlJc w:val="left"/>
      <w:pPr>
        <w:ind w:left="1440" w:hanging="360"/>
      </w:pPr>
      <w:rPr>
        <w:rFonts w:ascii="Courier New" w:hAnsi="Courier New" w:cs="Courier New" w:hint="default"/>
      </w:rPr>
    </w:lvl>
    <w:lvl w:ilvl="2" w:tplc="392CE05C" w:tentative="1">
      <w:start w:val="1"/>
      <w:numFmt w:val="bullet"/>
      <w:lvlText w:val=""/>
      <w:lvlJc w:val="left"/>
      <w:pPr>
        <w:ind w:left="2160" w:hanging="360"/>
      </w:pPr>
      <w:rPr>
        <w:rFonts w:ascii="Wingdings" w:hAnsi="Wingdings" w:hint="default"/>
      </w:rPr>
    </w:lvl>
    <w:lvl w:ilvl="3" w:tplc="BFAEF2A0" w:tentative="1">
      <w:start w:val="1"/>
      <w:numFmt w:val="bullet"/>
      <w:lvlText w:val=""/>
      <w:lvlJc w:val="left"/>
      <w:pPr>
        <w:ind w:left="2880" w:hanging="360"/>
      </w:pPr>
      <w:rPr>
        <w:rFonts w:ascii="Symbol" w:hAnsi="Symbol" w:hint="default"/>
      </w:rPr>
    </w:lvl>
    <w:lvl w:ilvl="4" w:tplc="9F04FF50" w:tentative="1">
      <w:start w:val="1"/>
      <w:numFmt w:val="bullet"/>
      <w:lvlText w:val="o"/>
      <w:lvlJc w:val="left"/>
      <w:pPr>
        <w:ind w:left="3600" w:hanging="360"/>
      </w:pPr>
      <w:rPr>
        <w:rFonts w:ascii="Courier New" w:hAnsi="Courier New" w:cs="Courier New" w:hint="default"/>
      </w:rPr>
    </w:lvl>
    <w:lvl w:ilvl="5" w:tplc="602A822A" w:tentative="1">
      <w:start w:val="1"/>
      <w:numFmt w:val="bullet"/>
      <w:lvlText w:val=""/>
      <w:lvlJc w:val="left"/>
      <w:pPr>
        <w:ind w:left="4320" w:hanging="360"/>
      </w:pPr>
      <w:rPr>
        <w:rFonts w:ascii="Wingdings" w:hAnsi="Wingdings" w:hint="default"/>
      </w:rPr>
    </w:lvl>
    <w:lvl w:ilvl="6" w:tplc="098C949E" w:tentative="1">
      <w:start w:val="1"/>
      <w:numFmt w:val="bullet"/>
      <w:lvlText w:val=""/>
      <w:lvlJc w:val="left"/>
      <w:pPr>
        <w:ind w:left="5040" w:hanging="360"/>
      </w:pPr>
      <w:rPr>
        <w:rFonts w:ascii="Symbol" w:hAnsi="Symbol" w:hint="default"/>
      </w:rPr>
    </w:lvl>
    <w:lvl w:ilvl="7" w:tplc="E3E09A74" w:tentative="1">
      <w:start w:val="1"/>
      <w:numFmt w:val="bullet"/>
      <w:lvlText w:val="o"/>
      <w:lvlJc w:val="left"/>
      <w:pPr>
        <w:ind w:left="5760" w:hanging="360"/>
      </w:pPr>
      <w:rPr>
        <w:rFonts w:ascii="Courier New" w:hAnsi="Courier New" w:cs="Courier New" w:hint="default"/>
      </w:rPr>
    </w:lvl>
    <w:lvl w:ilvl="8" w:tplc="F7B45E2A"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1"/>
  </w:num>
  <w:num w:numId="6">
    <w:abstractNumId w:val="10"/>
  </w:num>
  <w:num w:numId="7">
    <w:abstractNumId w:val="8"/>
  </w:num>
  <w:num w:numId="8">
    <w:abstractNumId w:val="7"/>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680E"/>
    <w:rsid w:val="00012503"/>
    <w:rsid w:val="00031A9D"/>
    <w:rsid w:val="00040A7F"/>
    <w:rsid w:val="00045C65"/>
    <w:rsid w:val="00055CC5"/>
    <w:rsid w:val="00065B9B"/>
    <w:rsid w:val="000727FD"/>
    <w:rsid w:val="00084B5A"/>
    <w:rsid w:val="000857B7"/>
    <w:rsid w:val="00087BB3"/>
    <w:rsid w:val="00095555"/>
    <w:rsid w:val="00096238"/>
    <w:rsid w:val="000A5329"/>
    <w:rsid w:val="000B589E"/>
    <w:rsid w:val="000C1E4D"/>
    <w:rsid w:val="000D2157"/>
    <w:rsid w:val="000D5445"/>
    <w:rsid w:val="000E7ED2"/>
    <w:rsid w:val="00100012"/>
    <w:rsid w:val="00113BC9"/>
    <w:rsid w:val="00115277"/>
    <w:rsid w:val="00115FEF"/>
    <w:rsid w:val="00127DAC"/>
    <w:rsid w:val="00151A07"/>
    <w:rsid w:val="00156135"/>
    <w:rsid w:val="00162DCC"/>
    <w:rsid w:val="00166DBC"/>
    <w:rsid w:val="001705B9"/>
    <w:rsid w:val="00170DDB"/>
    <w:rsid w:val="00184E4C"/>
    <w:rsid w:val="0019079B"/>
    <w:rsid w:val="00196785"/>
    <w:rsid w:val="001A2670"/>
    <w:rsid w:val="001A53CE"/>
    <w:rsid w:val="001B05C6"/>
    <w:rsid w:val="001B28C8"/>
    <w:rsid w:val="001B5E43"/>
    <w:rsid w:val="001C194B"/>
    <w:rsid w:val="001C7D79"/>
    <w:rsid w:val="001D5E62"/>
    <w:rsid w:val="001E0275"/>
    <w:rsid w:val="001E2886"/>
    <w:rsid w:val="001E46DB"/>
    <w:rsid w:val="001F2BE7"/>
    <w:rsid w:val="00223D37"/>
    <w:rsid w:val="00225BDF"/>
    <w:rsid w:val="00245BA3"/>
    <w:rsid w:val="00256095"/>
    <w:rsid w:val="00256D97"/>
    <w:rsid w:val="00265657"/>
    <w:rsid w:val="00274912"/>
    <w:rsid w:val="00275FE8"/>
    <w:rsid w:val="002834B6"/>
    <w:rsid w:val="00290B54"/>
    <w:rsid w:val="00297F94"/>
    <w:rsid w:val="002A2E4C"/>
    <w:rsid w:val="002A3CC4"/>
    <w:rsid w:val="002B564E"/>
    <w:rsid w:val="002B7877"/>
    <w:rsid w:val="002C05A5"/>
    <w:rsid w:val="002C754F"/>
    <w:rsid w:val="002D7AA8"/>
    <w:rsid w:val="002E330F"/>
    <w:rsid w:val="002E5F96"/>
    <w:rsid w:val="002F62A1"/>
    <w:rsid w:val="00301F96"/>
    <w:rsid w:val="003144E6"/>
    <w:rsid w:val="00315D7C"/>
    <w:rsid w:val="00316C9F"/>
    <w:rsid w:val="0031701E"/>
    <w:rsid w:val="0032792A"/>
    <w:rsid w:val="003353C9"/>
    <w:rsid w:val="00341083"/>
    <w:rsid w:val="00352E3C"/>
    <w:rsid w:val="003552BD"/>
    <w:rsid w:val="0036030B"/>
    <w:rsid w:val="003641E2"/>
    <w:rsid w:val="00370E6F"/>
    <w:rsid w:val="0037101B"/>
    <w:rsid w:val="003730B8"/>
    <w:rsid w:val="00375149"/>
    <w:rsid w:val="003A1561"/>
    <w:rsid w:val="003C2931"/>
    <w:rsid w:val="003E7478"/>
    <w:rsid w:val="003F01E4"/>
    <w:rsid w:val="003F57B2"/>
    <w:rsid w:val="00407D90"/>
    <w:rsid w:val="00431BB6"/>
    <w:rsid w:val="00440E7F"/>
    <w:rsid w:val="004537A7"/>
    <w:rsid w:val="004561A3"/>
    <w:rsid w:val="00460DDF"/>
    <w:rsid w:val="00461C90"/>
    <w:rsid w:val="00471092"/>
    <w:rsid w:val="004A120F"/>
    <w:rsid w:val="004A32D7"/>
    <w:rsid w:val="004A6295"/>
    <w:rsid w:val="004C6182"/>
    <w:rsid w:val="004C7925"/>
    <w:rsid w:val="004F26A1"/>
    <w:rsid w:val="004F5E3C"/>
    <w:rsid w:val="00567B1A"/>
    <w:rsid w:val="00571971"/>
    <w:rsid w:val="00572554"/>
    <w:rsid w:val="0057422C"/>
    <w:rsid w:val="00575141"/>
    <w:rsid w:val="0059782C"/>
    <w:rsid w:val="005A52A2"/>
    <w:rsid w:val="005C5BF9"/>
    <w:rsid w:val="005D5F2B"/>
    <w:rsid w:val="005E28F6"/>
    <w:rsid w:val="00614024"/>
    <w:rsid w:val="00632CD2"/>
    <w:rsid w:val="006344CC"/>
    <w:rsid w:val="0063559D"/>
    <w:rsid w:val="0063690B"/>
    <w:rsid w:val="00640309"/>
    <w:rsid w:val="00660075"/>
    <w:rsid w:val="00660F46"/>
    <w:rsid w:val="006811C3"/>
    <w:rsid w:val="006907D5"/>
    <w:rsid w:val="0069557C"/>
    <w:rsid w:val="006C3C36"/>
    <w:rsid w:val="006C5099"/>
    <w:rsid w:val="006F0964"/>
    <w:rsid w:val="00701240"/>
    <w:rsid w:val="00715D7F"/>
    <w:rsid w:val="00716C90"/>
    <w:rsid w:val="007172E4"/>
    <w:rsid w:val="00737090"/>
    <w:rsid w:val="00780795"/>
    <w:rsid w:val="00783F55"/>
    <w:rsid w:val="007916D5"/>
    <w:rsid w:val="0079406F"/>
    <w:rsid w:val="00797111"/>
    <w:rsid w:val="007A0330"/>
    <w:rsid w:val="007A25C0"/>
    <w:rsid w:val="007A2A08"/>
    <w:rsid w:val="007B2299"/>
    <w:rsid w:val="007B2E35"/>
    <w:rsid w:val="007B64D4"/>
    <w:rsid w:val="007C40B7"/>
    <w:rsid w:val="007C41CE"/>
    <w:rsid w:val="007D028E"/>
    <w:rsid w:val="007E3CCC"/>
    <w:rsid w:val="00803D2A"/>
    <w:rsid w:val="008058DF"/>
    <w:rsid w:val="00810049"/>
    <w:rsid w:val="008137A5"/>
    <w:rsid w:val="00832597"/>
    <w:rsid w:val="008371BA"/>
    <w:rsid w:val="00844664"/>
    <w:rsid w:val="008466F0"/>
    <w:rsid w:val="008473FB"/>
    <w:rsid w:val="00850CC4"/>
    <w:rsid w:val="00886388"/>
    <w:rsid w:val="008B3199"/>
    <w:rsid w:val="008C47FB"/>
    <w:rsid w:val="008C4A46"/>
    <w:rsid w:val="008C706D"/>
    <w:rsid w:val="008D3B16"/>
    <w:rsid w:val="008D5488"/>
    <w:rsid w:val="008E2484"/>
    <w:rsid w:val="008F0B52"/>
    <w:rsid w:val="008F617A"/>
    <w:rsid w:val="00914AC1"/>
    <w:rsid w:val="00921F03"/>
    <w:rsid w:val="0095375C"/>
    <w:rsid w:val="00965C79"/>
    <w:rsid w:val="00972198"/>
    <w:rsid w:val="00984B1A"/>
    <w:rsid w:val="009851B0"/>
    <w:rsid w:val="00996DA6"/>
    <w:rsid w:val="009A089E"/>
    <w:rsid w:val="009A50FF"/>
    <w:rsid w:val="009B0FA7"/>
    <w:rsid w:val="009B2E19"/>
    <w:rsid w:val="009C6D0D"/>
    <w:rsid w:val="009E2FD2"/>
    <w:rsid w:val="00A076E6"/>
    <w:rsid w:val="00A13844"/>
    <w:rsid w:val="00A27085"/>
    <w:rsid w:val="00A344EF"/>
    <w:rsid w:val="00A41BD0"/>
    <w:rsid w:val="00A47944"/>
    <w:rsid w:val="00A61A41"/>
    <w:rsid w:val="00A6309F"/>
    <w:rsid w:val="00A678C6"/>
    <w:rsid w:val="00A71B93"/>
    <w:rsid w:val="00A730E0"/>
    <w:rsid w:val="00A75A17"/>
    <w:rsid w:val="00A8460D"/>
    <w:rsid w:val="00A92A3D"/>
    <w:rsid w:val="00AA00A5"/>
    <w:rsid w:val="00AB01E0"/>
    <w:rsid w:val="00AB1761"/>
    <w:rsid w:val="00AB37A4"/>
    <w:rsid w:val="00AC35CD"/>
    <w:rsid w:val="00AE7479"/>
    <w:rsid w:val="00AF1FA7"/>
    <w:rsid w:val="00B02A8E"/>
    <w:rsid w:val="00B071B6"/>
    <w:rsid w:val="00B13490"/>
    <w:rsid w:val="00B161CC"/>
    <w:rsid w:val="00B2223E"/>
    <w:rsid w:val="00B35876"/>
    <w:rsid w:val="00B569FD"/>
    <w:rsid w:val="00B63A33"/>
    <w:rsid w:val="00B677DC"/>
    <w:rsid w:val="00B70E6F"/>
    <w:rsid w:val="00B91BF0"/>
    <w:rsid w:val="00B955C2"/>
    <w:rsid w:val="00BA0282"/>
    <w:rsid w:val="00BB6985"/>
    <w:rsid w:val="00BD0783"/>
    <w:rsid w:val="00BD17EF"/>
    <w:rsid w:val="00BD7743"/>
    <w:rsid w:val="00BE729B"/>
    <w:rsid w:val="00BF4F97"/>
    <w:rsid w:val="00BF5589"/>
    <w:rsid w:val="00C0095C"/>
    <w:rsid w:val="00C02512"/>
    <w:rsid w:val="00C10172"/>
    <w:rsid w:val="00C25C86"/>
    <w:rsid w:val="00C36D00"/>
    <w:rsid w:val="00C42A4B"/>
    <w:rsid w:val="00C463C1"/>
    <w:rsid w:val="00C46931"/>
    <w:rsid w:val="00C47A89"/>
    <w:rsid w:val="00C73E6B"/>
    <w:rsid w:val="00C85D4E"/>
    <w:rsid w:val="00C86CFC"/>
    <w:rsid w:val="00C9088B"/>
    <w:rsid w:val="00C91BA8"/>
    <w:rsid w:val="00C94FDB"/>
    <w:rsid w:val="00CA2ACF"/>
    <w:rsid w:val="00CB5C9F"/>
    <w:rsid w:val="00CB5CD9"/>
    <w:rsid w:val="00CB74C6"/>
    <w:rsid w:val="00CC2499"/>
    <w:rsid w:val="00CC57F4"/>
    <w:rsid w:val="00CC73CB"/>
    <w:rsid w:val="00CD11DB"/>
    <w:rsid w:val="00CD2037"/>
    <w:rsid w:val="00CD2A65"/>
    <w:rsid w:val="00CE2F8B"/>
    <w:rsid w:val="00D004D1"/>
    <w:rsid w:val="00D02324"/>
    <w:rsid w:val="00D06884"/>
    <w:rsid w:val="00D15579"/>
    <w:rsid w:val="00D45541"/>
    <w:rsid w:val="00D53BFE"/>
    <w:rsid w:val="00D73D49"/>
    <w:rsid w:val="00D747A1"/>
    <w:rsid w:val="00D85F94"/>
    <w:rsid w:val="00D878DF"/>
    <w:rsid w:val="00DB09F3"/>
    <w:rsid w:val="00DC23E1"/>
    <w:rsid w:val="00DC727C"/>
    <w:rsid w:val="00DD2E1F"/>
    <w:rsid w:val="00DD6497"/>
    <w:rsid w:val="00DE140A"/>
    <w:rsid w:val="00DF4B57"/>
    <w:rsid w:val="00E04682"/>
    <w:rsid w:val="00E20D4C"/>
    <w:rsid w:val="00E22BAA"/>
    <w:rsid w:val="00E44A34"/>
    <w:rsid w:val="00E52D98"/>
    <w:rsid w:val="00E52DAA"/>
    <w:rsid w:val="00E566ED"/>
    <w:rsid w:val="00E728E5"/>
    <w:rsid w:val="00E731F0"/>
    <w:rsid w:val="00E80E0F"/>
    <w:rsid w:val="00E84228"/>
    <w:rsid w:val="00EC51AC"/>
    <w:rsid w:val="00ED67BE"/>
    <w:rsid w:val="00EE07B1"/>
    <w:rsid w:val="00EF41BE"/>
    <w:rsid w:val="00F11065"/>
    <w:rsid w:val="00F20046"/>
    <w:rsid w:val="00F2528F"/>
    <w:rsid w:val="00F25BB5"/>
    <w:rsid w:val="00F40307"/>
    <w:rsid w:val="00F571F9"/>
    <w:rsid w:val="00F655AC"/>
    <w:rsid w:val="00F8256F"/>
    <w:rsid w:val="00F95970"/>
    <w:rsid w:val="00FB1B10"/>
    <w:rsid w:val="00FB278F"/>
    <w:rsid w:val="00FB3D7B"/>
    <w:rsid w:val="00FB6F6A"/>
    <w:rsid w:val="00FC67CB"/>
    <w:rsid w:val="00FD61EB"/>
    <w:rsid w:val="00FE245D"/>
    <w:rsid w:val="00FE3344"/>
    <w:rsid w:val="00FE77A7"/>
    <w:rsid w:val="00FF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9BE8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A9D"/>
    <w:pPr>
      <w:spacing w:after="160" w:line="259" w:lineRule="auto"/>
    </w:pPr>
    <w:rPr>
      <w:rFonts w:ascii="David" w:eastAsia="David" w:hAnsi="David" w:cs="Dav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141"/>
    <w:rPr>
      <w:color w:val="0000FF"/>
      <w:u w:val="single"/>
    </w:rPr>
  </w:style>
  <w:style w:type="paragraph" w:styleId="BalloonText">
    <w:name w:val="Balloon Text"/>
    <w:basedOn w:val="Normal"/>
    <w:link w:val="BalloonTextChar"/>
    <w:uiPriority w:val="99"/>
    <w:semiHidden/>
    <w:unhideWhenUsed/>
    <w:rsid w:val="007B64D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B64D4"/>
    <w:rPr>
      <w:rFonts w:ascii="Tahoma" w:hAnsi="Tahoma" w:cs="Tahoma"/>
      <w:sz w:val="18"/>
      <w:szCs w:val="18"/>
    </w:rPr>
  </w:style>
  <w:style w:type="paragraph" w:styleId="Header">
    <w:name w:val="header"/>
    <w:basedOn w:val="Normal"/>
    <w:link w:val="HeaderChar"/>
    <w:uiPriority w:val="99"/>
    <w:unhideWhenUsed/>
    <w:rsid w:val="00E046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682"/>
  </w:style>
  <w:style w:type="paragraph" w:styleId="Footer">
    <w:name w:val="footer"/>
    <w:basedOn w:val="Normal"/>
    <w:link w:val="FooterChar"/>
    <w:uiPriority w:val="99"/>
    <w:unhideWhenUsed/>
    <w:rsid w:val="00E046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682"/>
  </w:style>
  <w:style w:type="paragraph" w:styleId="ListParagraph">
    <w:name w:val="List Paragraph"/>
    <w:aliases w:val="פיסקת רשימה12,פיסקת רשימה121,פיסקת רשימה2,פיסקת רשימה11"/>
    <w:basedOn w:val="Normal"/>
    <w:link w:val="ListParagraphChar"/>
    <w:uiPriority w:val="34"/>
    <w:qFormat/>
    <w:rsid w:val="00CD2A65"/>
    <w:pPr>
      <w:ind w:left="720"/>
      <w:contextualSpacing/>
    </w:pPr>
  </w:style>
  <w:style w:type="character" w:styleId="CommentReference">
    <w:name w:val="annotation reference"/>
    <w:basedOn w:val="DefaultParagraphFont"/>
    <w:uiPriority w:val="99"/>
    <w:semiHidden/>
    <w:unhideWhenUsed/>
    <w:rsid w:val="004F26A1"/>
    <w:rPr>
      <w:sz w:val="16"/>
      <w:szCs w:val="16"/>
    </w:rPr>
  </w:style>
  <w:style w:type="paragraph" w:styleId="CommentText">
    <w:name w:val="annotation text"/>
    <w:basedOn w:val="Normal"/>
    <w:link w:val="CommentTextChar"/>
    <w:uiPriority w:val="99"/>
    <w:semiHidden/>
    <w:unhideWhenUsed/>
    <w:rsid w:val="004F26A1"/>
    <w:pPr>
      <w:spacing w:line="240" w:lineRule="auto"/>
    </w:pPr>
    <w:rPr>
      <w:sz w:val="20"/>
      <w:szCs w:val="20"/>
    </w:rPr>
  </w:style>
  <w:style w:type="character" w:customStyle="1" w:styleId="CommentTextChar">
    <w:name w:val="Comment Text Char"/>
    <w:basedOn w:val="DefaultParagraphFont"/>
    <w:link w:val="CommentText"/>
    <w:uiPriority w:val="99"/>
    <w:semiHidden/>
    <w:rsid w:val="004F26A1"/>
    <w:rPr>
      <w:sz w:val="20"/>
      <w:szCs w:val="20"/>
    </w:rPr>
  </w:style>
  <w:style w:type="paragraph" w:styleId="CommentSubject">
    <w:name w:val="annotation subject"/>
    <w:basedOn w:val="CommentText"/>
    <w:next w:val="CommentText"/>
    <w:link w:val="CommentSubjectChar"/>
    <w:uiPriority w:val="99"/>
    <w:semiHidden/>
    <w:unhideWhenUsed/>
    <w:rsid w:val="004F26A1"/>
    <w:rPr>
      <w:b/>
      <w:bCs/>
    </w:rPr>
  </w:style>
  <w:style w:type="character" w:customStyle="1" w:styleId="CommentSubjectChar">
    <w:name w:val="Comment Subject Char"/>
    <w:basedOn w:val="CommentTextChar"/>
    <w:link w:val="CommentSubject"/>
    <w:uiPriority w:val="99"/>
    <w:semiHidden/>
    <w:rsid w:val="004F26A1"/>
    <w:rPr>
      <w:b/>
      <w:bCs/>
      <w:sz w:val="20"/>
      <w:szCs w:val="20"/>
    </w:rPr>
  </w:style>
  <w:style w:type="character" w:styleId="FollowedHyperlink">
    <w:name w:val="FollowedHyperlink"/>
    <w:basedOn w:val="DefaultParagraphFont"/>
    <w:uiPriority w:val="99"/>
    <w:semiHidden/>
    <w:unhideWhenUsed/>
    <w:rsid w:val="00B569FD"/>
    <w:rPr>
      <w:color w:val="800080" w:themeColor="followedHyperlink"/>
      <w:u w:val="single"/>
    </w:rPr>
  </w:style>
  <w:style w:type="character" w:customStyle="1" w:styleId="ListParagraphChar">
    <w:name w:val="List Paragraph Char"/>
    <w:aliases w:val="פיסקת רשימה12 Char,פיסקת רשימה121 Char,פיסקת רשימה2 Char,פיסקת רשימה11 Char"/>
    <w:basedOn w:val="DefaultParagraphFont"/>
    <w:link w:val="ListParagraph"/>
    <w:uiPriority w:val="34"/>
    <w:rsid w:val="0003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4256">
      <w:bodyDiv w:val="1"/>
      <w:marLeft w:val="0"/>
      <w:marRight w:val="0"/>
      <w:marTop w:val="0"/>
      <w:marBottom w:val="0"/>
      <w:divBdr>
        <w:top w:val="none" w:sz="0" w:space="0" w:color="auto"/>
        <w:left w:val="none" w:sz="0" w:space="0" w:color="auto"/>
        <w:bottom w:val="none" w:sz="0" w:space="0" w:color="auto"/>
        <w:right w:val="none" w:sz="0" w:space="0" w:color="auto"/>
      </w:divBdr>
    </w:div>
    <w:div w:id="872764382">
      <w:bodyDiv w:val="1"/>
      <w:marLeft w:val="0"/>
      <w:marRight w:val="0"/>
      <w:marTop w:val="0"/>
      <w:marBottom w:val="0"/>
      <w:divBdr>
        <w:top w:val="none" w:sz="0" w:space="0" w:color="auto"/>
        <w:left w:val="none" w:sz="0" w:space="0" w:color="auto"/>
        <w:bottom w:val="none" w:sz="0" w:space="0" w:color="auto"/>
        <w:right w:val="none" w:sz="0" w:space="0" w:color="auto"/>
      </w:divBdr>
    </w:div>
    <w:div w:id="1112937149">
      <w:bodyDiv w:val="1"/>
      <w:marLeft w:val="0"/>
      <w:marRight w:val="0"/>
      <w:marTop w:val="0"/>
      <w:marBottom w:val="0"/>
      <w:divBdr>
        <w:top w:val="none" w:sz="0" w:space="0" w:color="auto"/>
        <w:left w:val="none" w:sz="0" w:space="0" w:color="auto"/>
        <w:bottom w:val="none" w:sz="0" w:space="0" w:color="auto"/>
        <w:right w:val="none" w:sz="0" w:space="0" w:color="auto"/>
      </w:divBdr>
    </w:div>
    <w:div w:id="1557356728">
      <w:bodyDiv w:val="1"/>
      <w:marLeft w:val="0"/>
      <w:marRight w:val="0"/>
      <w:marTop w:val="0"/>
      <w:marBottom w:val="0"/>
      <w:divBdr>
        <w:top w:val="none" w:sz="0" w:space="0" w:color="auto"/>
        <w:left w:val="none" w:sz="0" w:space="0" w:color="auto"/>
        <w:bottom w:val="none" w:sz="0" w:space="0" w:color="auto"/>
        <w:right w:val="none" w:sz="0" w:space="0" w:color="auto"/>
      </w:divBdr>
    </w:div>
    <w:div w:id="1963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facebook.com/bankisraelvc" TargetMode="External"/><Relationship Id="rId3" Type="http://schemas.openxmlformats.org/officeDocument/2006/relationships/image" Target="media/image2.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4.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3.png"/><Relationship Id="rId9" Type="http://schemas.microsoft.com/office/2007/relationships/hdphoto" Target="media/hdphoto3.wdp"/><Relationship Id="rId14" Type="http://schemas.openxmlformats.org/officeDocument/2006/relationships/hyperlink" Target="https://www.boi.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1311</Words>
  <Characters>6555</Characters>
  <Application>Microsoft Office Word</Application>
  <DocSecurity>0</DocSecurity>
  <Lines>54</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2026-09-01T11:18:00Z</dcterms:created>
  <dcterms:modified xsi:type="dcterms:W3CDTF">2026-09-01T11:34:00Z</dcterms:modified>
</cp:coreProperties>
</file>