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79"/>
        <w:bidiVisual/>
        <w:tblW w:w="8520" w:type="dxa"/>
        <w:tblLayout w:type="fixed"/>
        <w:tblLook w:val="0000" w:firstRow="0" w:lastRow="0" w:firstColumn="0" w:lastColumn="0" w:noHBand="0" w:noVBand="0"/>
      </w:tblPr>
      <w:tblGrid>
        <w:gridCol w:w="2840"/>
        <w:gridCol w:w="2596"/>
        <w:gridCol w:w="3084"/>
      </w:tblGrid>
      <w:tr w:rsidR="00BF350C" w:rsidRPr="00562BCB" w:rsidTr="00BF350C">
        <w:tc>
          <w:tcPr>
            <w:tcW w:w="2840" w:type="dxa"/>
            <w:tcBorders>
              <w:top w:val="nil"/>
              <w:left w:val="nil"/>
              <w:bottom w:val="nil"/>
              <w:right w:val="nil"/>
            </w:tcBorders>
            <w:vAlign w:val="center"/>
          </w:tcPr>
          <w:p w:rsidR="00BF350C" w:rsidRPr="00520BB4" w:rsidRDefault="00BF350C" w:rsidP="00BF350C">
            <w:pPr>
              <w:jc w:val="left"/>
              <w:rPr>
                <w:b/>
                <w:bCs/>
                <w:sz w:val="28"/>
                <w:szCs w:val="28"/>
              </w:rPr>
            </w:pPr>
            <w:r w:rsidRPr="00520BB4">
              <w:rPr>
                <w:b/>
                <w:bCs/>
                <w:sz w:val="28"/>
                <w:szCs w:val="28"/>
                <w:rtl/>
              </w:rPr>
              <w:t>בנ</w:t>
            </w:r>
            <w:r w:rsidRPr="00520BB4">
              <w:rPr>
                <w:rFonts w:hint="cs"/>
                <w:b/>
                <w:bCs/>
                <w:sz w:val="28"/>
                <w:szCs w:val="28"/>
                <w:rtl/>
              </w:rPr>
              <w:t xml:space="preserve">ק </w:t>
            </w:r>
            <w:r w:rsidRPr="00520BB4">
              <w:rPr>
                <w:b/>
                <w:bCs/>
                <w:sz w:val="28"/>
                <w:szCs w:val="28"/>
                <w:rtl/>
              </w:rPr>
              <w:t>יש</w:t>
            </w:r>
            <w:r w:rsidRPr="00520BB4">
              <w:rPr>
                <w:rFonts w:hint="cs"/>
                <w:b/>
                <w:bCs/>
                <w:sz w:val="28"/>
                <w:szCs w:val="28"/>
                <w:rtl/>
              </w:rPr>
              <w:t>ראל</w:t>
            </w:r>
          </w:p>
          <w:p w:rsidR="00BF350C" w:rsidRDefault="00BF350C" w:rsidP="00BF350C">
            <w:pPr>
              <w:ind w:right="-101"/>
              <w:jc w:val="left"/>
              <w:rPr>
                <w:sz w:val="24"/>
              </w:rPr>
            </w:pPr>
            <w:r w:rsidRPr="00520BB4">
              <w:rPr>
                <w:sz w:val="24"/>
                <w:rtl/>
              </w:rPr>
              <w:t>דו</w:t>
            </w:r>
            <w:r w:rsidRPr="00520BB4">
              <w:rPr>
                <w:rFonts w:hint="cs"/>
                <w:sz w:val="24"/>
                <w:rtl/>
              </w:rPr>
              <w:t>בר</w:t>
            </w:r>
            <w:r w:rsidRPr="00520BB4">
              <w:rPr>
                <w:sz w:val="24"/>
                <w:rtl/>
              </w:rPr>
              <w:t>ות</w:t>
            </w:r>
            <w:r w:rsidRPr="00520BB4">
              <w:rPr>
                <w:rFonts w:hint="cs"/>
                <w:sz w:val="24"/>
                <w:rtl/>
              </w:rPr>
              <w:t xml:space="preserve"> והסברה כלכלית</w:t>
            </w:r>
          </w:p>
        </w:tc>
        <w:tc>
          <w:tcPr>
            <w:tcW w:w="2596" w:type="dxa"/>
            <w:tcBorders>
              <w:top w:val="nil"/>
              <w:left w:val="nil"/>
              <w:bottom w:val="nil"/>
              <w:right w:val="nil"/>
            </w:tcBorders>
          </w:tcPr>
          <w:p w:rsidR="00BF350C" w:rsidRDefault="00BF350C" w:rsidP="00BF350C">
            <w:pPr>
              <w:jc w:val="center"/>
            </w:pPr>
            <w:r w:rsidRPr="006858A0">
              <w:rPr>
                <w:noProof/>
                <w:lang w:eastAsia="en-US"/>
              </w:rPr>
              <w:drawing>
                <wp:inline distT="0" distB="0" distL="0" distR="0" wp14:anchorId="0712A932" wp14:editId="71F1A39A">
                  <wp:extent cx="887105" cy="887105"/>
                  <wp:effectExtent l="0" t="0" r="8255" b="8255"/>
                  <wp:docPr id="4" name="תמונה 4"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34r\AppData\Local\Microsoft\Windows\Temporary Internet Files\Content.Word\תמונת לוגו חדש.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100" cy="88710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BF350C" w:rsidRPr="00562BCB" w:rsidRDefault="00BF350C" w:rsidP="00BF350C">
            <w:pPr>
              <w:spacing w:line="480" w:lineRule="auto"/>
              <w:jc w:val="right"/>
              <w:rPr>
                <w:sz w:val="24"/>
                <w:rtl/>
              </w:rPr>
            </w:pPr>
            <w:r w:rsidRPr="00562BCB">
              <w:rPr>
                <w:sz w:val="24"/>
                <w:rtl/>
              </w:rPr>
              <w:t>‏‏ירושלים, כ"</w:t>
            </w:r>
            <w:r>
              <w:rPr>
                <w:rFonts w:hint="cs"/>
                <w:sz w:val="24"/>
                <w:rtl/>
              </w:rPr>
              <w:t>ו</w:t>
            </w:r>
            <w:r w:rsidRPr="00562BCB">
              <w:rPr>
                <w:sz w:val="24"/>
                <w:rtl/>
              </w:rPr>
              <w:t xml:space="preserve"> אלול</w:t>
            </w:r>
            <w:r>
              <w:rPr>
                <w:rFonts w:hint="cs"/>
                <w:sz w:val="24"/>
                <w:rtl/>
              </w:rPr>
              <w:t>,</w:t>
            </w:r>
            <w:r w:rsidRPr="00562BCB">
              <w:rPr>
                <w:rFonts w:hint="cs"/>
                <w:sz w:val="24"/>
                <w:rtl/>
              </w:rPr>
              <w:t xml:space="preserve"> תשפ"ג</w:t>
            </w:r>
            <w:r w:rsidRPr="00562BCB">
              <w:rPr>
                <w:sz w:val="24"/>
                <w:rtl/>
              </w:rPr>
              <w:t xml:space="preserve"> </w:t>
            </w:r>
          </w:p>
          <w:p w:rsidR="00BF350C" w:rsidRPr="00562BCB" w:rsidRDefault="00BF350C" w:rsidP="00BF350C">
            <w:pPr>
              <w:spacing w:line="480" w:lineRule="auto"/>
              <w:jc w:val="right"/>
              <w:rPr>
                <w:sz w:val="24"/>
              </w:rPr>
            </w:pPr>
            <w:r w:rsidRPr="00562BCB">
              <w:rPr>
                <w:rFonts w:hint="cs"/>
                <w:sz w:val="24"/>
                <w:rtl/>
              </w:rPr>
              <w:t>1</w:t>
            </w:r>
            <w:r>
              <w:rPr>
                <w:rFonts w:hint="cs"/>
                <w:sz w:val="24"/>
                <w:rtl/>
              </w:rPr>
              <w:t>2</w:t>
            </w:r>
            <w:r w:rsidRPr="00562BCB">
              <w:rPr>
                <w:rFonts w:hint="cs"/>
                <w:sz w:val="24"/>
                <w:rtl/>
              </w:rPr>
              <w:t xml:space="preserve"> בספטמבר 2023</w:t>
            </w:r>
          </w:p>
        </w:tc>
      </w:tr>
    </w:tbl>
    <w:p w:rsidR="00BF350C" w:rsidRDefault="00BF350C" w:rsidP="00BF350C">
      <w:pPr>
        <w:jc w:val="left"/>
        <w:rPr>
          <w:rtl/>
        </w:rPr>
      </w:pPr>
    </w:p>
    <w:p w:rsidR="00BF350C" w:rsidRDefault="00BF350C" w:rsidP="003A7D93">
      <w:pPr>
        <w:jc w:val="left"/>
        <w:rPr>
          <w:rFonts w:hint="cs"/>
        </w:rPr>
      </w:pPr>
      <w:r>
        <w:rPr>
          <w:rFonts w:hint="cs"/>
          <w:rtl/>
        </w:rPr>
        <w:t>הודעה לעיתונות:</w:t>
      </w:r>
    </w:p>
    <w:p w:rsidR="001728FA" w:rsidRPr="00BF350C" w:rsidRDefault="001728FA" w:rsidP="00BF350C">
      <w:pPr>
        <w:jc w:val="center"/>
        <w:rPr>
          <w:b/>
          <w:bCs/>
          <w:sz w:val="24"/>
          <w:szCs w:val="28"/>
          <w:rtl/>
        </w:rPr>
      </w:pPr>
      <w:r w:rsidRPr="00BF350C">
        <w:rPr>
          <w:rFonts w:hint="cs"/>
          <w:b/>
          <w:bCs/>
          <w:sz w:val="24"/>
          <w:szCs w:val="28"/>
          <w:rtl/>
        </w:rPr>
        <w:t xml:space="preserve">בנק ישראל קיים היום כנס בינלאומי לרגל פרסום הדוח של </w:t>
      </w:r>
      <w:proofErr w:type="spellStart"/>
      <w:r w:rsidRPr="00BF350C">
        <w:rPr>
          <w:rFonts w:hint="cs"/>
          <w:b/>
          <w:bCs/>
          <w:sz w:val="24"/>
          <w:szCs w:val="28"/>
          <w:rtl/>
        </w:rPr>
        <w:t>פרוייקט</w:t>
      </w:r>
      <w:proofErr w:type="spellEnd"/>
      <w:r w:rsidRPr="00BF350C">
        <w:rPr>
          <w:rFonts w:hint="cs"/>
          <w:b/>
          <w:bCs/>
          <w:sz w:val="24"/>
          <w:szCs w:val="28"/>
          <w:rtl/>
        </w:rPr>
        <w:t xml:space="preserve"> "סלע"</w:t>
      </w:r>
      <w:r w:rsidR="003C27DC">
        <w:rPr>
          <w:rFonts w:hint="cs"/>
          <w:b/>
          <w:bCs/>
          <w:sz w:val="24"/>
          <w:szCs w:val="28"/>
          <w:rtl/>
        </w:rPr>
        <w:t xml:space="preserve"> למטבע דיגיטלי</w:t>
      </w:r>
    </w:p>
    <w:p w:rsidR="001728FA" w:rsidRDefault="001728FA" w:rsidP="00FF1F31">
      <w:pPr>
        <w:jc w:val="left"/>
        <w:rPr>
          <w:u w:val="single"/>
          <w:rtl/>
        </w:rPr>
      </w:pPr>
    </w:p>
    <w:p w:rsidR="001728FA" w:rsidRDefault="001728FA" w:rsidP="00FF1F31">
      <w:pPr>
        <w:jc w:val="left"/>
        <w:rPr>
          <w:rtl/>
        </w:rPr>
      </w:pPr>
      <w:r>
        <w:rPr>
          <w:rFonts w:hint="cs"/>
          <w:rtl/>
        </w:rPr>
        <w:t xml:space="preserve">בנק ישראל קיים היום בתל אביב כנס בינלאומי לרגל פרסום הדוח של </w:t>
      </w:r>
      <w:proofErr w:type="spellStart"/>
      <w:r>
        <w:rPr>
          <w:rFonts w:hint="cs"/>
          <w:rtl/>
        </w:rPr>
        <w:t>פרוייקט</w:t>
      </w:r>
      <w:proofErr w:type="spellEnd"/>
      <w:r>
        <w:rPr>
          <w:rFonts w:hint="cs"/>
          <w:rtl/>
        </w:rPr>
        <w:t xml:space="preserve"> "סלע", ניסוי </w:t>
      </w:r>
      <w:r w:rsidR="00DA44FC" w:rsidRPr="00DA44FC">
        <w:rPr>
          <w:rtl/>
        </w:rPr>
        <w:t xml:space="preserve">מיוחד בו </w:t>
      </w:r>
      <w:r w:rsidR="00DA44FC">
        <w:rPr>
          <w:rFonts w:hint="cs"/>
          <w:rtl/>
        </w:rPr>
        <w:t>התבצעה</w:t>
      </w:r>
      <w:r w:rsidR="00DA44FC" w:rsidRPr="00DA44FC">
        <w:rPr>
          <w:rtl/>
        </w:rPr>
        <w:t xml:space="preserve"> בדיקת היתכנות של מטבע דיגיטלי קמעונאי של הבנק המרכזי (</w:t>
      </w:r>
      <w:r w:rsidR="00DA44FC" w:rsidRPr="00DA44FC">
        <w:t>retail CBDC</w:t>
      </w:r>
      <w:r w:rsidR="00DA44FC" w:rsidRPr="00DA44FC">
        <w:rPr>
          <w:rtl/>
        </w:rPr>
        <w:t xml:space="preserve">) </w:t>
      </w:r>
      <w:r w:rsidR="00DA44FC">
        <w:rPr>
          <w:rFonts w:hint="cs"/>
          <w:rtl/>
        </w:rPr>
        <w:t>עם סוג חדש של ספקי שירותי תשלום שאינם מחזיקים בכספם של משתמשי הקצה בשום שלב, תוך מתן דגש על אבטחת הסייבר של המערכת. את הניסוי הוביל מרכז החדשנות של ה-</w:t>
      </w:r>
      <w:r w:rsidR="00DA44FC">
        <w:rPr>
          <w:rFonts w:hint="cs"/>
        </w:rPr>
        <w:t>BIS</w:t>
      </w:r>
      <w:r w:rsidR="00DA44FC">
        <w:rPr>
          <w:rFonts w:hint="cs"/>
          <w:rtl/>
        </w:rPr>
        <w:t>, בשיתוף עם בנק ישראל והרשות המוניטרית של הונג קונג. הדוח המסכם של הפרוייקט התפרסם הבוקר (</w:t>
      </w:r>
      <w:hyperlink r:id="rId8" w:history="1">
        <w:r w:rsidR="00DA44FC" w:rsidRPr="00BF350C">
          <w:rPr>
            <w:rStyle w:val="Hyperlink"/>
            <w:rFonts w:hint="cs"/>
            <w:rtl/>
          </w:rPr>
          <w:t>קישור</w:t>
        </w:r>
      </w:hyperlink>
      <w:r w:rsidR="00DA44FC">
        <w:rPr>
          <w:rFonts w:hint="cs"/>
          <w:rtl/>
        </w:rPr>
        <w:t xml:space="preserve">). </w:t>
      </w:r>
    </w:p>
    <w:p w:rsidR="00DA44FC" w:rsidRDefault="00DA44FC" w:rsidP="00FF1F31">
      <w:pPr>
        <w:jc w:val="left"/>
        <w:rPr>
          <w:rtl/>
        </w:rPr>
      </w:pPr>
    </w:p>
    <w:p w:rsidR="00DA44FC" w:rsidRDefault="00DA44FC" w:rsidP="00FF1F31">
      <w:pPr>
        <w:jc w:val="left"/>
        <w:rPr>
          <w:rtl/>
        </w:rPr>
      </w:pPr>
      <w:r>
        <w:rPr>
          <w:rFonts w:hint="cs"/>
          <w:rtl/>
        </w:rPr>
        <w:t>הכנס התקיים במעמד נגיד בנק ישראל, פרופ' אמיר ירון, המשנה לנגיד בנק ישראל, מר אנדרו אביר, המשנה לנגיד של הרשות המוניטרית של הונג קונג, מר הווארד לי, ומנהלת שלוחת הונג קונג של מרכז החדשנות של ה-</w:t>
      </w:r>
      <w:r>
        <w:rPr>
          <w:rFonts w:hint="cs"/>
        </w:rPr>
        <w:t>BI</w:t>
      </w:r>
      <w:r>
        <w:t>S</w:t>
      </w:r>
      <w:r>
        <w:rPr>
          <w:rFonts w:hint="cs"/>
          <w:rtl/>
        </w:rPr>
        <w:t xml:space="preserve">, גב', </w:t>
      </w:r>
      <w:proofErr w:type="spellStart"/>
      <w:r>
        <w:rPr>
          <w:rFonts w:hint="cs"/>
          <w:rtl/>
        </w:rPr>
        <w:t>בנדיקט</w:t>
      </w:r>
      <w:proofErr w:type="spellEnd"/>
      <w:r>
        <w:rPr>
          <w:rFonts w:hint="cs"/>
          <w:rtl/>
        </w:rPr>
        <w:t xml:space="preserve"> </w:t>
      </w:r>
      <w:proofErr w:type="spellStart"/>
      <w:r>
        <w:rPr>
          <w:rFonts w:hint="cs"/>
          <w:rtl/>
        </w:rPr>
        <w:t>נולנס</w:t>
      </w:r>
      <w:proofErr w:type="spellEnd"/>
      <w:r>
        <w:rPr>
          <w:rFonts w:hint="cs"/>
          <w:rtl/>
        </w:rPr>
        <w:t xml:space="preserve">. בכנס הוצגו הלקחים העיקריים </w:t>
      </w:r>
      <w:proofErr w:type="spellStart"/>
      <w:r>
        <w:rPr>
          <w:rFonts w:hint="cs"/>
          <w:rtl/>
        </w:rPr>
        <w:t>מהפרוייקט</w:t>
      </w:r>
      <w:proofErr w:type="spellEnd"/>
      <w:r>
        <w:rPr>
          <w:rFonts w:hint="cs"/>
          <w:rtl/>
        </w:rPr>
        <w:t>, והתבצעה הדמיה של הפעלות העיקריות שניתן לבצע במערכת ה-</w:t>
      </w:r>
      <w:r>
        <w:rPr>
          <w:rFonts w:hint="cs"/>
        </w:rPr>
        <w:t>CBDC</w:t>
      </w:r>
      <w:r>
        <w:rPr>
          <w:rFonts w:hint="cs"/>
          <w:rtl/>
        </w:rPr>
        <w:t xml:space="preserve"> </w:t>
      </w:r>
      <w:proofErr w:type="spellStart"/>
      <w:r>
        <w:rPr>
          <w:rFonts w:hint="cs"/>
          <w:rtl/>
        </w:rPr>
        <w:t>הנסיונית</w:t>
      </w:r>
      <w:proofErr w:type="spellEnd"/>
      <w:r>
        <w:rPr>
          <w:rFonts w:hint="cs"/>
          <w:rtl/>
        </w:rPr>
        <w:t xml:space="preserve"> </w:t>
      </w:r>
      <w:proofErr w:type="spellStart"/>
      <w:r>
        <w:rPr>
          <w:rFonts w:hint="cs"/>
          <w:rtl/>
        </w:rPr>
        <w:t>שנבניתה</w:t>
      </w:r>
      <w:proofErr w:type="spellEnd"/>
      <w:r>
        <w:rPr>
          <w:rFonts w:hint="cs"/>
          <w:rtl/>
        </w:rPr>
        <w:t xml:space="preserve"> במסגרת </w:t>
      </w:r>
      <w:proofErr w:type="spellStart"/>
      <w:r>
        <w:rPr>
          <w:rFonts w:hint="cs"/>
          <w:rtl/>
        </w:rPr>
        <w:t>הפרוייקט</w:t>
      </w:r>
      <w:proofErr w:type="spellEnd"/>
      <w:r>
        <w:rPr>
          <w:rFonts w:hint="cs"/>
          <w:rtl/>
        </w:rPr>
        <w:t xml:space="preserve">. </w:t>
      </w:r>
    </w:p>
    <w:p w:rsidR="00DA44FC" w:rsidRDefault="00DA44FC" w:rsidP="00FF1F31">
      <w:pPr>
        <w:jc w:val="left"/>
        <w:rPr>
          <w:rtl/>
        </w:rPr>
      </w:pPr>
    </w:p>
    <w:p w:rsidR="00DA44FC" w:rsidRDefault="00DA44FC" w:rsidP="00FF1F31">
      <w:pPr>
        <w:jc w:val="left"/>
        <w:rPr>
          <w:rtl/>
        </w:rPr>
      </w:pPr>
      <w:r>
        <w:rPr>
          <w:rFonts w:hint="cs"/>
          <w:rtl/>
        </w:rPr>
        <w:t>החלק השני של הכנס הוקדש לעשייה של השותפים השונים של הפרוייקט בתחום ה-</w:t>
      </w:r>
      <w:r>
        <w:rPr>
          <w:rFonts w:hint="cs"/>
        </w:rPr>
        <w:t>CBDC</w:t>
      </w:r>
      <w:r>
        <w:rPr>
          <w:rFonts w:hint="cs"/>
          <w:rtl/>
        </w:rPr>
        <w:t xml:space="preserve"> והתשלומים הדיגיטליים. בנק ישראל והרשות המוניטרית של הונג קונג הציגו את ההתקדמות </w:t>
      </w:r>
      <w:proofErr w:type="spellStart"/>
      <w:r>
        <w:rPr>
          <w:rFonts w:hint="cs"/>
          <w:rtl/>
        </w:rPr>
        <w:t>בפרוייקטים</w:t>
      </w:r>
      <w:proofErr w:type="spellEnd"/>
      <w:r>
        <w:rPr>
          <w:rFonts w:hint="cs"/>
          <w:rtl/>
        </w:rPr>
        <w:t xml:space="preserve"> של ה-</w:t>
      </w:r>
      <w:r>
        <w:rPr>
          <w:rFonts w:hint="cs"/>
        </w:rPr>
        <w:t>CBDC</w:t>
      </w:r>
      <w:r>
        <w:rPr>
          <w:rFonts w:hint="cs"/>
          <w:rtl/>
        </w:rPr>
        <w:t xml:space="preserve"> בשתי המדינות  -  </w:t>
      </w:r>
      <w:proofErr w:type="spellStart"/>
      <w:r>
        <w:rPr>
          <w:rFonts w:hint="cs"/>
          <w:rtl/>
        </w:rPr>
        <w:t>פרוייקט</w:t>
      </w:r>
      <w:proofErr w:type="spellEnd"/>
      <w:r>
        <w:rPr>
          <w:rFonts w:hint="cs"/>
          <w:rtl/>
        </w:rPr>
        <w:t xml:space="preserve"> השקל הדיגיטלי בבנק ישראל, </w:t>
      </w:r>
      <w:proofErr w:type="spellStart"/>
      <w:r>
        <w:rPr>
          <w:rFonts w:hint="cs"/>
          <w:rtl/>
        </w:rPr>
        <w:t>ופרוייקט</w:t>
      </w:r>
      <w:proofErr w:type="spellEnd"/>
      <w:r>
        <w:rPr>
          <w:rFonts w:hint="cs"/>
          <w:rtl/>
        </w:rPr>
        <w:t xml:space="preserve"> </w:t>
      </w:r>
      <w:r>
        <w:t>e-HKD</w:t>
      </w:r>
      <w:r>
        <w:rPr>
          <w:rFonts w:hint="cs"/>
          <w:rtl/>
        </w:rPr>
        <w:t xml:space="preserve"> כמו גם </w:t>
      </w:r>
      <w:proofErr w:type="spellStart"/>
      <w:r>
        <w:rPr>
          <w:rFonts w:hint="cs"/>
          <w:rtl/>
        </w:rPr>
        <w:t>פרוייקטים</w:t>
      </w:r>
      <w:proofErr w:type="spellEnd"/>
      <w:r>
        <w:rPr>
          <w:rFonts w:hint="cs"/>
          <w:rtl/>
        </w:rPr>
        <w:t xml:space="preserve"> נוספים של ה-</w:t>
      </w:r>
      <w:r>
        <w:rPr>
          <w:rFonts w:hint="cs"/>
        </w:rPr>
        <w:t>HKMA</w:t>
      </w:r>
      <w:r>
        <w:rPr>
          <w:rFonts w:hint="cs"/>
          <w:rtl/>
        </w:rPr>
        <w:t>. מרכז החדשנות של ה-</w:t>
      </w:r>
      <w:r>
        <w:rPr>
          <w:rFonts w:hint="cs"/>
        </w:rPr>
        <w:t>BIS</w:t>
      </w:r>
      <w:r>
        <w:rPr>
          <w:rFonts w:hint="cs"/>
          <w:rtl/>
        </w:rPr>
        <w:t xml:space="preserve"> הציג את הלקחים העיקריים </w:t>
      </w:r>
      <w:proofErr w:type="spellStart"/>
      <w:r>
        <w:rPr>
          <w:rFonts w:hint="cs"/>
          <w:rtl/>
        </w:rPr>
        <w:t>מפרוייקטים</w:t>
      </w:r>
      <w:proofErr w:type="spellEnd"/>
      <w:r>
        <w:rPr>
          <w:rFonts w:hint="cs"/>
          <w:rtl/>
        </w:rPr>
        <w:t xml:space="preserve"> שונים של </w:t>
      </w:r>
      <w:r>
        <w:rPr>
          <w:rFonts w:hint="cs"/>
        </w:rPr>
        <w:t>CBDC</w:t>
      </w:r>
      <w:r>
        <w:rPr>
          <w:rFonts w:hint="cs"/>
          <w:rtl/>
        </w:rPr>
        <w:t xml:space="preserve"> שה-</w:t>
      </w:r>
      <w:r>
        <w:rPr>
          <w:rFonts w:hint="cs"/>
        </w:rPr>
        <w:t>BIS</w:t>
      </w:r>
      <w:r>
        <w:rPr>
          <w:rFonts w:hint="cs"/>
          <w:rtl/>
        </w:rPr>
        <w:t xml:space="preserve"> ערך בשנים האחרונות. החברות</w:t>
      </w:r>
      <w:r w:rsidR="003C27DC">
        <w:rPr>
          <w:rFonts w:hint="cs"/>
          <w:rtl/>
        </w:rPr>
        <w:t xml:space="preserve"> שהשתתפו בפרוייקט מהמגזר הפרטי </w:t>
      </w:r>
      <w:r>
        <w:rPr>
          <w:rFonts w:hint="cs"/>
          <w:rtl/>
        </w:rPr>
        <w:t xml:space="preserve">הציגו גם הן את עיקר העשייה שלהם בתחום. </w:t>
      </w:r>
    </w:p>
    <w:p w:rsidR="003C27DC" w:rsidRDefault="003C27DC" w:rsidP="00FF1F31">
      <w:pPr>
        <w:jc w:val="left"/>
        <w:rPr>
          <w:rtl/>
        </w:rPr>
      </w:pPr>
    </w:p>
    <w:p w:rsidR="003C27DC" w:rsidRDefault="003C27DC" w:rsidP="00FF1F31">
      <w:pPr>
        <w:jc w:val="left"/>
        <w:rPr>
          <w:rtl/>
        </w:rPr>
      </w:pPr>
      <w:r>
        <w:rPr>
          <w:rFonts w:hint="cs"/>
          <w:rtl/>
        </w:rPr>
        <w:t>את הכנס חתם בנאום נגיד בנק</w:t>
      </w:r>
      <w:r w:rsidR="003A7D93">
        <w:rPr>
          <w:rFonts w:hint="cs"/>
          <w:rtl/>
        </w:rPr>
        <w:t xml:space="preserve"> ישראל, פרופ' אמיר ירון, שעסק בקידום השקל הדיגיטלי ע"י בנק ישראל. מתוך הנאום:</w:t>
      </w:r>
    </w:p>
    <w:p w:rsidR="003A7D93" w:rsidRDefault="003A7D93" w:rsidP="003A7D93">
      <w:pPr>
        <w:bidi w:val="0"/>
        <w:rPr>
          <w:b/>
          <w:bCs/>
        </w:rPr>
      </w:pPr>
      <w:r w:rsidRPr="003A7D93">
        <w:rPr>
          <w:b/>
          <w:bCs/>
        </w:rPr>
        <w:t>"</w:t>
      </w:r>
      <w:r>
        <w:rPr>
          <w:rFonts w:asciiTheme="majorBidi" w:hAnsiTheme="majorBidi" w:cstheme="majorBidi"/>
          <w:b/>
          <w:bCs/>
          <w:szCs w:val="22"/>
        </w:rPr>
        <w:t>W</w:t>
      </w:r>
      <w:r w:rsidRPr="003A7D93">
        <w:rPr>
          <w:rFonts w:asciiTheme="majorBidi" w:hAnsiTheme="majorBidi" w:cstheme="majorBidi"/>
          <w:b/>
          <w:bCs/>
          <w:szCs w:val="22"/>
        </w:rPr>
        <w:t>e remain committed to be at the frontier, and more than that, to support the effort of pushing the frontier, in our CBDC explorations, as well as in our efforts to modernize and advance our payment systems in particular and the financial system in general. As always, we will do this in a sound, careful, and responsible manner</w:t>
      </w:r>
      <w:r w:rsidRPr="003A7D93">
        <w:rPr>
          <w:rFonts w:asciiTheme="majorBidi" w:hAnsiTheme="majorBidi" w:cstheme="majorBidi"/>
          <w:b/>
          <w:bCs/>
          <w:szCs w:val="22"/>
        </w:rPr>
        <w:t>."</w:t>
      </w:r>
    </w:p>
    <w:p w:rsidR="003A7D93" w:rsidRDefault="003A7D93" w:rsidP="003A7D93">
      <w:pPr>
        <w:bidi w:val="0"/>
        <w:rPr>
          <w:b/>
          <w:bCs/>
        </w:rPr>
      </w:pPr>
    </w:p>
    <w:p w:rsidR="003A7D93" w:rsidRPr="003A7D93" w:rsidRDefault="003A7D93" w:rsidP="003A7D93">
      <w:pPr>
        <w:rPr>
          <w:rFonts w:hint="cs"/>
          <w:rtl/>
        </w:rPr>
      </w:pPr>
      <w:r>
        <w:rPr>
          <w:rFonts w:hint="cs"/>
          <w:rtl/>
        </w:rPr>
        <w:t xml:space="preserve">הנאום המלא מצורף </w:t>
      </w:r>
      <w:hyperlink r:id="rId9" w:history="1">
        <w:r w:rsidRPr="003A7D93">
          <w:rPr>
            <w:rStyle w:val="Hyperlink"/>
            <w:rFonts w:hint="cs"/>
            <w:rtl/>
          </w:rPr>
          <w:t>בלינק</w:t>
        </w:r>
      </w:hyperlink>
      <w:r>
        <w:rPr>
          <w:rFonts w:hint="cs"/>
          <w:rtl/>
        </w:rPr>
        <w:t xml:space="preserve"> הזה.</w:t>
      </w:r>
    </w:p>
    <w:p w:rsidR="00C772B2" w:rsidRDefault="00C772B2" w:rsidP="00FF1F31">
      <w:pPr>
        <w:jc w:val="left"/>
        <w:rPr>
          <w:rtl/>
        </w:rPr>
      </w:pPr>
    </w:p>
    <w:p w:rsidR="00BF350C" w:rsidRDefault="00BF350C" w:rsidP="00FF1F31">
      <w:pPr>
        <w:jc w:val="left"/>
        <w:rPr>
          <w:rtl/>
        </w:rPr>
      </w:pPr>
    </w:p>
    <w:p w:rsidR="00DA44FC" w:rsidRDefault="00DA44FC" w:rsidP="00FF1F31">
      <w:pPr>
        <w:jc w:val="left"/>
        <w:rPr>
          <w:rtl/>
        </w:rPr>
      </w:pPr>
      <w:r>
        <w:rPr>
          <w:rFonts w:hint="cs"/>
          <w:rtl/>
        </w:rPr>
        <w:lastRenderedPageBreak/>
        <w:t>מצורפים בזה (כל החומרים באנגלית):</w:t>
      </w:r>
    </w:p>
    <w:p w:rsidR="00DA44FC" w:rsidRDefault="00DA44FC" w:rsidP="00FF1F31">
      <w:pPr>
        <w:jc w:val="left"/>
        <w:rPr>
          <w:rtl/>
        </w:rPr>
      </w:pPr>
    </w:p>
    <w:p w:rsidR="003C27DC" w:rsidRDefault="003C27DC" w:rsidP="003C27DC">
      <w:pPr>
        <w:bidi w:val="0"/>
        <w:jc w:val="left"/>
      </w:pPr>
      <w:r>
        <w:t>Opening Remarks:</w:t>
      </w:r>
    </w:p>
    <w:p w:rsidR="003C27DC" w:rsidRDefault="003C27DC" w:rsidP="003C27DC">
      <w:pPr>
        <w:pStyle w:val="a3"/>
        <w:numPr>
          <w:ilvl w:val="0"/>
          <w:numId w:val="1"/>
        </w:numPr>
        <w:bidi w:val="0"/>
      </w:pPr>
      <w:hyperlink r:id="rId10" w:history="1">
        <w:r w:rsidRPr="003A2464">
          <w:rPr>
            <w:rStyle w:val="Hyperlink"/>
          </w:rPr>
          <w:t xml:space="preserve">Andrew </w:t>
        </w:r>
        <w:proofErr w:type="spellStart"/>
        <w:r w:rsidRPr="003A2464">
          <w:rPr>
            <w:rStyle w:val="Hyperlink"/>
          </w:rPr>
          <w:t>Abir</w:t>
        </w:r>
        <w:proofErr w:type="spellEnd"/>
        <w:r w:rsidRPr="003A2464">
          <w:rPr>
            <w:rStyle w:val="Hyperlink"/>
          </w:rPr>
          <w:t>, Deputy Governor, Bank of Israel</w:t>
        </w:r>
      </w:hyperlink>
    </w:p>
    <w:p w:rsidR="003C27DC" w:rsidRDefault="003C27DC" w:rsidP="003C27DC">
      <w:pPr>
        <w:pStyle w:val="a3"/>
        <w:numPr>
          <w:ilvl w:val="0"/>
          <w:numId w:val="1"/>
        </w:numPr>
        <w:bidi w:val="0"/>
      </w:pPr>
      <w:hyperlink r:id="rId11" w:history="1">
        <w:r w:rsidRPr="003A2464">
          <w:rPr>
            <w:rStyle w:val="Hyperlink"/>
          </w:rPr>
          <w:t>Howard Lee, Deputy Chief Executive, HKMA</w:t>
        </w:r>
      </w:hyperlink>
    </w:p>
    <w:p w:rsidR="003C27DC" w:rsidRDefault="003C27DC" w:rsidP="003C27DC">
      <w:pPr>
        <w:bidi w:val="0"/>
      </w:pPr>
      <w:r>
        <w:t>Closing Remarks:</w:t>
      </w:r>
    </w:p>
    <w:p w:rsidR="003C27DC" w:rsidRDefault="003C27DC" w:rsidP="003C27DC">
      <w:pPr>
        <w:pStyle w:val="a3"/>
        <w:numPr>
          <w:ilvl w:val="0"/>
          <w:numId w:val="3"/>
        </w:numPr>
        <w:bidi w:val="0"/>
        <w:rPr>
          <w:rtl/>
        </w:rPr>
      </w:pPr>
      <w:hyperlink r:id="rId12" w:history="1">
        <w:r w:rsidRPr="003A2464">
          <w:rPr>
            <w:rStyle w:val="Hyperlink"/>
          </w:rPr>
          <w:t xml:space="preserve">Amir </w:t>
        </w:r>
        <w:proofErr w:type="spellStart"/>
        <w:r w:rsidRPr="003A2464">
          <w:rPr>
            <w:rStyle w:val="Hyperlink"/>
          </w:rPr>
          <w:t>Yaron</w:t>
        </w:r>
        <w:proofErr w:type="spellEnd"/>
        <w:r w:rsidRPr="003A2464">
          <w:rPr>
            <w:rStyle w:val="Hyperlink"/>
          </w:rPr>
          <w:t>, Governor, Bank of Israel</w:t>
        </w:r>
      </w:hyperlink>
    </w:p>
    <w:p w:rsidR="003C27DC" w:rsidRDefault="003C27DC" w:rsidP="003C27DC">
      <w:pPr>
        <w:bidi w:val="0"/>
        <w:jc w:val="right"/>
      </w:pPr>
      <w:r>
        <w:rPr>
          <w:rFonts w:hint="cs"/>
          <w:rtl/>
        </w:rPr>
        <w:t>מצגות:</w:t>
      </w:r>
    </w:p>
    <w:p w:rsidR="003C27DC" w:rsidRPr="00FF1F31" w:rsidRDefault="003C27DC" w:rsidP="003C27DC">
      <w:pPr>
        <w:pStyle w:val="a3"/>
        <w:numPr>
          <w:ilvl w:val="0"/>
          <w:numId w:val="1"/>
        </w:numPr>
        <w:bidi w:val="0"/>
      </w:pPr>
      <w:hyperlink r:id="rId13" w:history="1">
        <w:r w:rsidRPr="00A31170">
          <w:rPr>
            <w:rStyle w:val="Hyperlink"/>
          </w:rPr>
          <w:t xml:space="preserve">Opening remarks: </w:t>
        </w:r>
        <w:proofErr w:type="spellStart"/>
        <w:r w:rsidRPr="00A31170">
          <w:rPr>
            <w:rStyle w:val="Hyperlink"/>
          </w:rPr>
          <w:t>Bénédicte</w:t>
        </w:r>
        <w:proofErr w:type="spellEnd"/>
        <w:r w:rsidRPr="00A31170">
          <w:rPr>
            <w:rStyle w:val="Hyperlink"/>
          </w:rPr>
          <w:t xml:space="preserve"> </w:t>
        </w:r>
        <w:proofErr w:type="spellStart"/>
        <w:r w:rsidRPr="00A31170">
          <w:rPr>
            <w:rStyle w:val="Hyperlink"/>
          </w:rPr>
          <w:t>Nolens</w:t>
        </w:r>
        <w:proofErr w:type="spellEnd"/>
        <w:r w:rsidRPr="00A31170">
          <w:rPr>
            <w:rStyle w:val="Hyperlink"/>
          </w:rPr>
          <w:t>, Head of Hong Kong Centre, BIS Innovation Hub</w:t>
        </w:r>
      </w:hyperlink>
    </w:p>
    <w:p w:rsidR="003C27DC" w:rsidRPr="00FF1F31" w:rsidRDefault="003C27DC" w:rsidP="003C27DC">
      <w:pPr>
        <w:pStyle w:val="a3"/>
        <w:numPr>
          <w:ilvl w:val="0"/>
          <w:numId w:val="1"/>
        </w:numPr>
        <w:bidi w:val="0"/>
      </w:pPr>
      <w:r w:rsidRPr="00FF1F31">
        <w:t xml:space="preserve">Spotlight on Project </w:t>
      </w:r>
      <w:proofErr w:type="spellStart"/>
      <w:proofErr w:type="gramStart"/>
      <w:r w:rsidRPr="00FF1F31">
        <w:t>Sela</w:t>
      </w:r>
      <w:proofErr w:type="spellEnd"/>
      <w:r w:rsidRPr="00FF1F31">
        <w:t xml:space="preserve"> :</w:t>
      </w:r>
      <w:proofErr w:type="gramEnd"/>
      <w:r w:rsidRPr="00FF1F31">
        <w:t xml:space="preserve"> Daniel </w:t>
      </w:r>
      <w:proofErr w:type="spellStart"/>
      <w:r w:rsidRPr="00FF1F31">
        <w:t>Eidan</w:t>
      </w:r>
      <w:proofErr w:type="spellEnd"/>
      <w:r w:rsidRPr="00FF1F31">
        <w:t xml:space="preserve">, BISIH, Leanne Zhang, BISIH, Marten Nelson, M10. </w:t>
      </w:r>
    </w:p>
    <w:p w:rsidR="003C27DC" w:rsidRPr="00FF1F31" w:rsidRDefault="003C27DC" w:rsidP="003C27DC">
      <w:pPr>
        <w:pStyle w:val="a3"/>
        <w:numPr>
          <w:ilvl w:val="0"/>
          <w:numId w:val="1"/>
        </w:numPr>
        <w:bidi w:val="0"/>
      </w:pPr>
      <w:hyperlink r:id="rId14" w:history="1">
        <w:r w:rsidRPr="00A31170">
          <w:rPr>
            <w:rStyle w:val="Hyperlink"/>
          </w:rPr>
          <w:t xml:space="preserve">Bank of Israel:  Where we stand with the digital shekel project – </w:t>
        </w:r>
        <w:proofErr w:type="spellStart"/>
        <w:r w:rsidRPr="00A31170">
          <w:rPr>
            <w:rStyle w:val="Hyperlink"/>
          </w:rPr>
          <w:t>Yoav</w:t>
        </w:r>
        <w:proofErr w:type="spellEnd"/>
        <w:r w:rsidRPr="00A31170">
          <w:rPr>
            <w:rStyle w:val="Hyperlink"/>
          </w:rPr>
          <w:t xml:space="preserve"> </w:t>
        </w:r>
        <w:proofErr w:type="spellStart"/>
        <w:r w:rsidRPr="00A31170">
          <w:rPr>
            <w:rStyle w:val="Hyperlink"/>
          </w:rPr>
          <w:t>Soffer</w:t>
        </w:r>
        <w:proofErr w:type="spellEnd"/>
      </w:hyperlink>
    </w:p>
    <w:p w:rsidR="003C27DC" w:rsidRPr="00FF1F31" w:rsidRDefault="003C27DC" w:rsidP="003C27DC">
      <w:pPr>
        <w:pStyle w:val="a3"/>
        <w:numPr>
          <w:ilvl w:val="0"/>
          <w:numId w:val="1"/>
        </w:numPr>
        <w:bidi w:val="0"/>
        <w:rPr>
          <w:color w:val="FF0000"/>
        </w:rPr>
      </w:pPr>
      <w:hyperlink r:id="rId15" w:history="1">
        <w:r w:rsidRPr="00A31170">
          <w:rPr>
            <w:rStyle w:val="Hyperlink"/>
          </w:rPr>
          <w:t>BIS Innovation Hub: Stocktaking from BIS Projects on CBDCs –</w:t>
        </w:r>
        <w:proofErr w:type="spellStart"/>
        <w:r w:rsidRPr="00A31170">
          <w:rPr>
            <w:rStyle w:val="Hyperlink"/>
          </w:rPr>
          <w:t>Bénédicte</w:t>
        </w:r>
        <w:proofErr w:type="spellEnd"/>
        <w:r w:rsidRPr="00A31170">
          <w:rPr>
            <w:rStyle w:val="Hyperlink"/>
          </w:rPr>
          <w:t xml:space="preserve"> </w:t>
        </w:r>
        <w:proofErr w:type="spellStart"/>
        <w:r w:rsidRPr="00A31170">
          <w:rPr>
            <w:rStyle w:val="Hyperlink"/>
          </w:rPr>
          <w:t>Nolens</w:t>
        </w:r>
        <w:proofErr w:type="spellEnd"/>
      </w:hyperlink>
    </w:p>
    <w:p w:rsidR="003C27DC" w:rsidRPr="00FF1F31" w:rsidRDefault="003C27DC" w:rsidP="003C27DC">
      <w:pPr>
        <w:pStyle w:val="a3"/>
        <w:numPr>
          <w:ilvl w:val="0"/>
          <w:numId w:val="1"/>
        </w:numPr>
        <w:bidi w:val="0"/>
      </w:pPr>
      <w:hyperlink r:id="rId16" w:history="1">
        <w:r w:rsidRPr="00A31170">
          <w:rPr>
            <w:rStyle w:val="Hyperlink"/>
          </w:rPr>
          <w:t xml:space="preserve">FIS - Digital Regulated Money– Julia </w:t>
        </w:r>
        <w:proofErr w:type="spellStart"/>
        <w:r w:rsidRPr="00A31170">
          <w:rPr>
            <w:rStyle w:val="Hyperlink"/>
          </w:rPr>
          <w:t>Demidiva</w:t>
        </w:r>
        <w:proofErr w:type="spellEnd"/>
      </w:hyperlink>
    </w:p>
    <w:p w:rsidR="003C27DC" w:rsidRPr="00FF1F31" w:rsidRDefault="003C27DC" w:rsidP="003C27DC">
      <w:pPr>
        <w:pStyle w:val="a3"/>
        <w:numPr>
          <w:ilvl w:val="0"/>
          <w:numId w:val="1"/>
        </w:numPr>
        <w:bidi w:val="0"/>
      </w:pPr>
      <w:hyperlink r:id="rId17" w:history="1">
        <w:r w:rsidRPr="00A31170">
          <w:rPr>
            <w:rStyle w:val="Hyperlink"/>
          </w:rPr>
          <w:t xml:space="preserve">Checkpoint – Guardians of Digital Trust - Dan </w:t>
        </w:r>
        <w:proofErr w:type="spellStart"/>
        <w:r w:rsidRPr="00A31170">
          <w:rPr>
            <w:rStyle w:val="Hyperlink"/>
          </w:rPr>
          <w:t>Karpati</w:t>
        </w:r>
        <w:proofErr w:type="spellEnd"/>
      </w:hyperlink>
      <w:r w:rsidRPr="00FF1F31">
        <w:rPr>
          <w:color w:val="FF0000"/>
        </w:rPr>
        <w:t xml:space="preserve"> </w:t>
      </w:r>
    </w:p>
    <w:p w:rsidR="003C27DC" w:rsidRPr="00FF1F31" w:rsidRDefault="003C27DC" w:rsidP="003C27DC">
      <w:pPr>
        <w:pStyle w:val="a3"/>
        <w:numPr>
          <w:ilvl w:val="0"/>
          <w:numId w:val="1"/>
        </w:numPr>
        <w:bidi w:val="0"/>
      </w:pPr>
      <w:hyperlink r:id="rId18" w:history="1">
        <w:r w:rsidRPr="00A31170">
          <w:rPr>
            <w:rStyle w:val="Hyperlink"/>
          </w:rPr>
          <w:t xml:space="preserve">Clifford Chance - Changes in the payment landscape - a lawyer's perspective – Diego </w:t>
        </w:r>
        <w:proofErr w:type="spellStart"/>
        <w:r w:rsidRPr="00A31170">
          <w:rPr>
            <w:rStyle w:val="Hyperlink"/>
          </w:rPr>
          <w:t>Ballon</w:t>
        </w:r>
        <w:proofErr w:type="spellEnd"/>
        <w:r w:rsidRPr="00A31170">
          <w:rPr>
            <w:rStyle w:val="Hyperlink"/>
          </w:rPr>
          <w:t xml:space="preserve"> </w:t>
        </w:r>
        <w:proofErr w:type="spellStart"/>
        <w:r w:rsidRPr="00A31170">
          <w:rPr>
            <w:rStyle w:val="Hyperlink"/>
          </w:rPr>
          <w:t>Ossio</w:t>
        </w:r>
        <w:proofErr w:type="spellEnd"/>
      </w:hyperlink>
    </w:p>
    <w:p w:rsidR="00B13041" w:rsidRDefault="00B13041" w:rsidP="00A15FC2">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B13041" w:rsidRDefault="00B13041" w:rsidP="00B13041">
      <w:pPr>
        <w:bidi w:val="0"/>
        <w:jc w:val="right"/>
      </w:pPr>
    </w:p>
    <w:p w:rsidR="00A15FC2" w:rsidRDefault="00A15FC2" w:rsidP="00B13041">
      <w:pPr>
        <w:bidi w:val="0"/>
        <w:jc w:val="right"/>
      </w:pPr>
      <w:r>
        <w:rPr>
          <w:rFonts w:hint="cs"/>
          <w:rtl/>
        </w:rPr>
        <w:t>קרדיט: עוז שכטר</w:t>
      </w:r>
      <w:r w:rsidR="00B13041">
        <w:rPr>
          <w:rFonts w:hint="cs"/>
          <w:rtl/>
        </w:rPr>
        <w:t xml:space="preserve"> ודוברות בנק ישראל.</w:t>
      </w:r>
      <w:bookmarkStart w:id="0" w:name="_GoBack"/>
      <w:bookmarkEnd w:id="0"/>
    </w:p>
    <w:p w:rsidR="00B13041" w:rsidRDefault="00B13041" w:rsidP="00B13041">
      <w:pPr>
        <w:bidi w:val="0"/>
        <w:jc w:val="right"/>
      </w:pPr>
    </w:p>
    <w:p w:rsidR="00B13041" w:rsidRDefault="00B13041" w:rsidP="00B13041">
      <w:pPr>
        <w:bidi w:val="0"/>
        <w:jc w:val="right"/>
        <w:rPr>
          <w:rFonts w:hint="cs"/>
          <w:rtl/>
        </w:rPr>
      </w:pPr>
    </w:p>
    <w:p w:rsidR="00A15FC2" w:rsidRDefault="00B13041" w:rsidP="00A15FC2">
      <w:pPr>
        <w:bidi w:val="0"/>
        <w:jc w:val="right"/>
      </w:pPr>
      <w:r>
        <w:rPr>
          <w:rFonts w:eastAsia="Times New Roman"/>
          <w:noProof/>
          <w:lang w:eastAsia="en-US"/>
        </w:rPr>
        <w:drawing>
          <wp:anchor distT="0" distB="0" distL="114300" distR="114300" simplePos="0" relativeHeight="251662336" behindDoc="0" locked="0" layoutInCell="1" allowOverlap="1" wp14:anchorId="26E8DAAF" wp14:editId="4E1A2199">
            <wp:simplePos x="0" y="0"/>
            <wp:positionH relativeFrom="margin">
              <wp:posOffset>2508479</wp:posOffset>
            </wp:positionH>
            <wp:positionV relativeFrom="paragraph">
              <wp:posOffset>245151</wp:posOffset>
            </wp:positionV>
            <wp:extent cx="3623517" cy="2412459"/>
            <wp:effectExtent l="0" t="0" r="0" b="6985"/>
            <wp:wrapNone/>
            <wp:docPr id="1" name="תמונה 1" descr="PHOTO-2023-09-12-10-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9C8E00-311A-4A2C-8C85-DA1DF7FA2A4D" descr="PHOTO-2023-09-12-10-15-11.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623517" cy="24124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lang w:eastAsia="en-US"/>
        </w:rPr>
        <w:drawing>
          <wp:anchor distT="0" distB="0" distL="114300" distR="114300" simplePos="0" relativeHeight="251660288" behindDoc="0" locked="0" layoutInCell="1" allowOverlap="1" wp14:anchorId="22225DF8" wp14:editId="1B7BBC00">
            <wp:simplePos x="0" y="0"/>
            <wp:positionH relativeFrom="margin">
              <wp:posOffset>-723873</wp:posOffset>
            </wp:positionH>
            <wp:positionV relativeFrom="paragraph">
              <wp:posOffset>321229</wp:posOffset>
            </wp:positionV>
            <wp:extent cx="3025302" cy="4544007"/>
            <wp:effectExtent l="0" t="0" r="3810" b="9525"/>
            <wp:wrapNone/>
            <wp:docPr id="2" name="תמונה 2" descr="PHOTO-2023-09-12-10-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4D55D8-7CAF-4C5D-95CE-915A5B0CB4F7" descr="PHOTO-2023-09-12-10-15-12.jp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025302" cy="45440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1F31" w:rsidRPr="00FF1F31" w:rsidRDefault="00B13041" w:rsidP="00A15FC2">
      <w:pPr>
        <w:bidi w:val="0"/>
        <w:jc w:val="center"/>
      </w:pPr>
      <w:r>
        <w:rPr>
          <w:rFonts w:eastAsia="Times New Roman"/>
          <w:noProof/>
          <w:lang w:eastAsia="en-US"/>
        </w:rPr>
        <w:drawing>
          <wp:anchor distT="0" distB="0" distL="114300" distR="114300" simplePos="0" relativeHeight="251663360" behindDoc="0" locked="0" layoutInCell="1" allowOverlap="1">
            <wp:simplePos x="0" y="0"/>
            <wp:positionH relativeFrom="column">
              <wp:posOffset>2679970</wp:posOffset>
            </wp:positionH>
            <wp:positionV relativeFrom="paragraph">
              <wp:posOffset>2893317</wp:posOffset>
            </wp:positionV>
            <wp:extent cx="2782111" cy="4743207"/>
            <wp:effectExtent l="0" t="0" r="0" b="635"/>
            <wp:wrapNone/>
            <wp:docPr id="3" name="תמונה 3" descr="PHOTO-2023-09-12-11-4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3A7DA3-A639-449E-B564-6A3A6FD00C1D" descr="PHOTO-2023-09-12-11-47-22.jpg"/>
                    <pic:cNvPicPr>
                      <a:picLocks noChangeAspect="1" noChangeArrowheads="1"/>
                    </pic:cNvPicPr>
                  </pic:nvPicPr>
                  <pic:blipFill rotWithShape="1">
                    <a:blip r:embed="rId23" r:link="rId24">
                      <a:extLst>
                        <a:ext uri="{28A0092B-C50C-407E-A947-70E740481C1C}">
                          <a14:useLocalDpi xmlns:a14="http://schemas.microsoft.com/office/drawing/2010/main" val="0"/>
                        </a:ext>
                      </a:extLst>
                    </a:blip>
                    <a:srcRect t="21308"/>
                    <a:stretch/>
                  </pic:blipFill>
                  <pic:spPr bwMode="auto">
                    <a:xfrm>
                      <a:off x="0" y="0"/>
                      <a:ext cx="2785804" cy="47495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A15FC2">
        <w:t>n</w:t>
      </w:r>
      <w:proofErr w:type="gramEnd"/>
      <w:r w:rsidRPr="00B13041">
        <w:rPr>
          <w:rFonts w:eastAsia="Times New Roman"/>
        </w:rPr>
        <w:t xml:space="preserve"> </w:t>
      </w:r>
    </w:p>
    <w:sectPr w:rsidR="00FF1F31" w:rsidRPr="00FF1F31" w:rsidSect="00A320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A3" w:rsidRDefault="005549A3" w:rsidP="005549A3">
      <w:pPr>
        <w:spacing w:line="240" w:lineRule="auto"/>
      </w:pPr>
      <w:r>
        <w:separator/>
      </w:r>
    </w:p>
  </w:endnote>
  <w:endnote w:type="continuationSeparator" w:id="0">
    <w:p w:rsidR="005549A3" w:rsidRDefault="005549A3" w:rsidP="00554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A3" w:rsidRDefault="005549A3" w:rsidP="005549A3">
      <w:pPr>
        <w:spacing w:line="240" w:lineRule="auto"/>
      </w:pPr>
      <w:r>
        <w:separator/>
      </w:r>
    </w:p>
  </w:footnote>
  <w:footnote w:type="continuationSeparator" w:id="0">
    <w:p w:rsidR="005549A3" w:rsidRDefault="005549A3" w:rsidP="005549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74859"/>
    <w:multiLevelType w:val="hybridMultilevel"/>
    <w:tmpl w:val="9700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90141"/>
    <w:multiLevelType w:val="hybridMultilevel"/>
    <w:tmpl w:val="87A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33F98"/>
    <w:multiLevelType w:val="hybridMultilevel"/>
    <w:tmpl w:val="E0BC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FA"/>
    <w:rsid w:val="000700EB"/>
    <w:rsid w:val="000B0764"/>
    <w:rsid w:val="001728FA"/>
    <w:rsid w:val="001860D2"/>
    <w:rsid w:val="00233E54"/>
    <w:rsid w:val="002973B4"/>
    <w:rsid w:val="002A4613"/>
    <w:rsid w:val="003A7D93"/>
    <w:rsid w:val="003B4FB5"/>
    <w:rsid w:val="003C27DC"/>
    <w:rsid w:val="0042046B"/>
    <w:rsid w:val="004638A1"/>
    <w:rsid w:val="004A5965"/>
    <w:rsid w:val="004E3DD5"/>
    <w:rsid w:val="00503696"/>
    <w:rsid w:val="005549A3"/>
    <w:rsid w:val="0063130F"/>
    <w:rsid w:val="006662C9"/>
    <w:rsid w:val="006B0B77"/>
    <w:rsid w:val="00822619"/>
    <w:rsid w:val="00A15FC2"/>
    <w:rsid w:val="00A3206E"/>
    <w:rsid w:val="00B13041"/>
    <w:rsid w:val="00BF350C"/>
    <w:rsid w:val="00C33F14"/>
    <w:rsid w:val="00C772B2"/>
    <w:rsid w:val="00DA44FC"/>
    <w:rsid w:val="00F67DFC"/>
    <w:rsid w:val="00FF1F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D5D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0D2"/>
    <w:pPr>
      <w:bidi/>
      <w:spacing w:after="0" w:line="360" w:lineRule="auto"/>
      <w:jc w:val="both"/>
    </w:pPr>
    <w:rPr>
      <w:rFonts w:ascii="Times New Roman" w:hAnsi="Times New Roman" w:cs="David"/>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פיסקת bullets,פיסקת רשימה1,List Paragraph,List Paragraph1,פיסקת רשימה11,פיסקת רשימה12,פיסקת רשימה121"/>
    <w:basedOn w:val="a"/>
    <w:link w:val="a4"/>
    <w:uiPriority w:val="34"/>
    <w:qFormat/>
    <w:rsid w:val="001860D2"/>
    <w:pPr>
      <w:spacing w:after="200" w:line="276" w:lineRule="auto"/>
      <w:ind w:left="720"/>
      <w:contextualSpacing/>
      <w:jc w:val="left"/>
    </w:pPr>
    <w:rPr>
      <w:rFonts w:ascii="Calibri" w:hAnsi="Calibri" w:cs="Calibri"/>
      <w:szCs w:val="22"/>
      <w:lang w:eastAsia="en-US"/>
    </w:rPr>
  </w:style>
  <w:style w:type="character" w:customStyle="1" w:styleId="a4">
    <w:name w:val="פיסקת רשימה תו"/>
    <w:aliases w:val="פיסקת bullets תו,פיסקת רשימה1 תו,List Paragraph תו,List Paragraph1 תו,פיסקת רשימה11 תו,פיסקת רשימה12 תו,פיסקת רשימה121 תו"/>
    <w:link w:val="a3"/>
    <w:uiPriority w:val="34"/>
    <w:locked/>
    <w:rsid w:val="001860D2"/>
    <w:rPr>
      <w:rFonts w:ascii="Calibri" w:hAnsi="Calibri" w:cs="Calibri"/>
    </w:rPr>
  </w:style>
  <w:style w:type="character" w:styleId="Hyperlink">
    <w:name w:val="Hyperlink"/>
    <w:basedOn w:val="a0"/>
    <w:uiPriority w:val="99"/>
    <w:unhideWhenUsed/>
    <w:rsid w:val="00BF350C"/>
    <w:rPr>
      <w:color w:val="0000FF" w:themeColor="hyperlink"/>
      <w:u w:val="single"/>
    </w:rPr>
  </w:style>
  <w:style w:type="paragraph" w:styleId="a5">
    <w:name w:val="header"/>
    <w:basedOn w:val="a"/>
    <w:link w:val="a6"/>
    <w:uiPriority w:val="99"/>
    <w:unhideWhenUsed/>
    <w:rsid w:val="005549A3"/>
    <w:pPr>
      <w:tabs>
        <w:tab w:val="center" w:pos="4153"/>
        <w:tab w:val="right" w:pos="8306"/>
      </w:tabs>
      <w:spacing w:line="240" w:lineRule="auto"/>
    </w:pPr>
  </w:style>
  <w:style w:type="character" w:customStyle="1" w:styleId="a6">
    <w:name w:val="כותרת עליונה תו"/>
    <w:basedOn w:val="a0"/>
    <w:link w:val="a5"/>
    <w:uiPriority w:val="99"/>
    <w:rsid w:val="005549A3"/>
    <w:rPr>
      <w:rFonts w:ascii="Times New Roman" w:hAnsi="Times New Roman" w:cs="David"/>
      <w:szCs w:val="24"/>
      <w:lang w:eastAsia="he-IL"/>
    </w:rPr>
  </w:style>
  <w:style w:type="paragraph" w:styleId="a7">
    <w:name w:val="footer"/>
    <w:basedOn w:val="a"/>
    <w:link w:val="a8"/>
    <w:uiPriority w:val="99"/>
    <w:unhideWhenUsed/>
    <w:rsid w:val="005549A3"/>
    <w:pPr>
      <w:tabs>
        <w:tab w:val="center" w:pos="4153"/>
        <w:tab w:val="right" w:pos="8306"/>
      </w:tabs>
      <w:spacing w:line="240" w:lineRule="auto"/>
    </w:pPr>
  </w:style>
  <w:style w:type="character" w:customStyle="1" w:styleId="a8">
    <w:name w:val="כותרת תחתונה תו"/>
    <w:basedOn w:val="a0"/>
    <w:link w:val="a7"/>
    <w:uiPriority w:val="99"/>
    <w:rsid w:val="005549A3"/>
    <w:rPr>
      <w:rFonts w:ascii="Times New Roman" w:hAnsi="Times New Roman" w:cs="David"/>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A02\AppData\Local\Microsoft\Windows\INetCache\Content.Outlook\V8OKL19P\Project%20Sela%202023_110923_v5.pdf" TargetMode="External"/><Relationship Id="rId13" Type="http://schemas.openxmlformats.org/officeDocument/2006/relationships/hyperlink" Target="23%2009%20Sela%20BISIH%20Intro%20-%20Benedicte%20(002).pptx" TargetMode="External"/><Relationship Id="rId18" Type="http://schemas.openxmlformats.org/officeDocument/2006/relationships/hyperlink" Target="Diego%20-%20Project%20Sela%20-%20CC%20presentation%20-%20Changes%20in%20the%20payment%20landscape%20-%20a%20lawyers%20perspective.ppt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Closing%20remarks%20by%20Governor%20Yaron%20CBDC.docx" TargetMode="External"/><Relationship Id="rId17" Type="http://schemas.openxmlformats.org/officeDocument/2006/relationships/hyperlink" Target="005%20%20Project%20Sela%20-%20TLV%20Conference%20Sep%2012%20(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ulia%20-%2012092023-Digital-Regulated-Money-Julia-Demidova.pdf" TargetMode="External"/><Relationship Id="rId20" Type="http://schemas.openxmlformats.org/officeDocument/2006/relationships/image" Target="cid:C19C8E00-311A-4A2C-8C85-DA1DF7FA2A4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pening%20remarks%20Howard%20Lee.docx" TargetMode="External"/><Relationship Id="rId24" Type="http://schemas.openxmlformats.org/officeDocument/2006/relationships/image" Target="cid:1D3A7DA3-A639-449E-B564-6A3A6FD00C1D" TargetMode="External"/><Relationship Id="rId5" Type="http://schemas.openxmlformats.org/officeDocument/2006/relationships/footnotes" Target="footnotes.xml"/><Relationship Id="rId15" Type="http://schemas.openxmlformats.org/officeDocument/2006/relationships/hyperlink" Target="Benedicte%202%20-%2023%2009%20Sela%20BISIH%20Intro%202.pptx" TargetMode="External"/><Relationship Id="rId23" Type="http://schemas.openxmlformats.org/officeDocument/2006/relationships/image" Target="media/image4.jpeg"/><Relationship Id="rId10" Type="http://schemas.openxmlformats.org/officeDocument/2006/relationships/hyperlink" Target="Opening%20remarks%20Deputy%20Governor%20Abir.docx"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losing%20remarks%20by%20Governor%20Yaron%20CBDC.docx" TargetMode="External"/><Relationship Id="rId14" Type="http://schemas.openxmlformats.org/officeDocument/2006/relationships/hyperlink" Target="Yoav%20-%20Project%20Sela%20Confrence.pptx" TargetMode="External"/><Relationship Id="rId22" Type="http://schemas.openxmlformats.org/officeDocument/2006/relationships/image" Target="cid:0D4D55D8-7CAF-4C5D-95CE-915A5B0CB4F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2986</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2023-09-12T07:27:00Z</dcterms:created>
  <dcterms:modified xsi:type="dcterms:W3CDTF">2023-09-12T10:09:00Z</dcterms:modified>
</cp:coreProperties>
</file>