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XSpec="center" w:tblpY="-540"/>
        <w:bidiVisual/>
        <w:tblW w:w="8520" w:type="dxa"/>
        <w:tblLayout w:type="fixed"/>
        <w:tblLook w:val="04A0" w:firstRow="1" w:lastRow="0" w:firstColumn="1" w:lastColumn="0" w:noHBand="0" w:noVBand="1"/>
      </w:tblPr>
      <w:tblGrid>
        <w:gridCol w:w="2840"/>
        <w:gridCol w:w="2596"/>
        <w:gridCol w:w="3084"/>
      </w:tblGrid>
      <w:tr w:rsidR="00A6008A" w:rsidRPr="001D5E80" w14:paraId="3C3BBC49" w14:textId="77777777" w:rsidTr="00C0519A">
        <w:tc>
          <w:tcPr>
            <w:tcW w:w="2840" w:type="dxa"/>
            <w:vAlign w:val="center"/>
            <w:hideMark/>
          </w:tcPr>
          <w:p w14:paraId="6C75FDD6" w14:textId="77777777" w:rsidR="00A6008A" w:rsidRPr="001E6319" w:rsidRDefault="00A6008A" w:rsidP="00A6008A">
            <w:pPr>
              <w:bidi/>
              <w:spacing w:before="240" w:after="0" w:line="360" w:lineRule="auto"/>
              <w:rPr>
                <w:rFonts w:ascii="David" w:eastAsia="Times New Roman" w:hAnsi="David" w:cs="David"/>
                <w:b/>
                <w:bCs/>
                <w:sz w:val="24"/>
                <w:szCs w:val="24"/>
                <w:lang w:eastAsia="he-IL"/>
              </w:rPr>
            </w:pPr>
            <w:r w:rsidRPr="001E6319">
              <w:rPr>
                <w:rFonts w:ascii="David" w:eastAsia="Times New Roman" w:hAnsi="David" w:cs="David"/>
                <w:b/>
                <w:bCs/>
                <w:sz w:val="24"/>
                <w:szCs w:val="24"/>
                <w:rtl/>
                <w:lang w:eastAsia="he-IL"/>
              </w:rPr>
              <w:t>בנק ישראל</w:t>
            </w:r>
          </w:p>
          <w:p w14:paraId="0597E36C" w14:textId="77777777" w:rsidR="00A6008A" w:rsidRPr="001E6319" w:rsidRDefault="00A6008A" w:rsidP="00A6008A">
            <w:pPr>
              <w:bidi/>
              <w:spacing w:before="240" w:after="0" w:line="360" w:lineRule="auto"/>
              <w:ind w:right="-101"/>
              <w:jc w:val="both"/>
              <w:rPr>
                <w:rFonts w:ascii="David" w:eastAsia="Times New Roman" w:hAnsi="David" w:cs="David"/>
                <w:sz w:val="24"/>
                <w:szCs w:val="24"/>
                <w:lang w:eastAsia="he-IL"/>
              </w:rPr>
            </w:pPr>
            <w:r w:rsidRPr="001E6319">
              <w:rPr>
                <w:rFonts w:ascii="David" w:eastAsia="Times New Roman" w:hAnsi="David" w:cs="David"/>
                <w:sz w:val="24"/>
                <w:szCs w:val="24"/>
                <w:rtl/>
                <w:lang w:eastAsia="he-IL"/>
              </w:rPr>
              <w:t>דוברות והסברה כלכלית</w:t>
            </w:r>
          </w:p>
        </w:tc>
        <w:tc>
          <w:tcPr>
            <w:tcW w:w="2596" w:type="dxa"/>
            <w:hideMark/>
          </w:tcPr>
          <w:p w14:paraId="2EFC5045" w14:textId="77777777" w:rsidR="00A6008A" w:rsidRPr="001E6319" w:rsidRDefault="00A6008A" w:rsidP="00A6008A">
            <w:pPr>
              <w:tabs>
                <w:tab w:val="right" w:pos="2380"/>
              </w:tabs>
              <w:bidi/>
              <w:spacing w:before="240" w:after="0" w:line="360" w:lineRule="auto"/>
              <w:jc w:val="both"/>
              <w:rPr>
                <w:rFonts w:ascii="David" w:eastAsia="Times New Roman" w:hAnsi="David" w:cs="David"/>
                <w:sz w:val="24"/>
                <w:szCs w:val="24"/>
                <w:lang w:eastAsia="he-IL"/>
              </w:rPr>
            </w:pPr>
            <w:r w:rsidRPr="001E6319">
              <w:rPr>
                <w:rFonts w:ascii="David" w:eastAsia="Calibri" w:hAnsi="David" w:cs="David"/>
                <w:noProof/>
                <w:sz w:val="24"/>
                <w:szCs w:val="24"/>
              </w:rPr>
              <w:drawing>
                <wp:anchor distT="0" distB="0" distL="114300" distR="114300" simplePos="0" relativeHeight="251659264" behindDoc="0" locked="0" layoutInCell="1" allowOverlap="1" wp14:anchorId="1520CB08" wp14:editId="2619A9CE">
                  <wp:simplePos x="0" y="0"/>
                  <wp:positionH relativeFrom="column">
                    <wp:align>center</wp:align>
                  </wp:positionH>
                  <wp:positionV relativeFrom="paragraph">
                    <wp:posOffset>154940</wp:posOffset>
                  </wp:positionV>
                  <wp:extent cx="1050925" cy="1050925"/>
                  <wp:effectExtent l="0" t="0" r="0" b="0"/>
                  <wp:wrapSquare wrapText="bothSides"/>
                  <wp:docPr id="5" name="תמונה 5"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r w:rsidRPr="001E6319">
              <w:rPr>
                <w:rFonts w:ascii="David" w:eastAsia="Times New Roman" w:hAnsi="David" w:cs="David"/>
                <w:sz w:val="24"/>
                <w:szCs w:val="24"/>
                <w:lang w:eastAsia="he-IL"/>
              </w:rPr>
              <w:tab/>
            </w:r>
          </w:p>
        </w:tc>
        <w:tc>
          <w:tcPr>
            <w:tcW w:w="3084" w:type="dxa"/>
            <w:vAlign w:val="center"/>
            <w:hideMark/>
          </w:tcPr>
          <w:tbl>
            <w:tblPr>
              <w:bidiVisual/>
              <w:tblW w:w="0" w:type="auto"/>
              <w:jc w:val="center"/>
              <w:tblLayout w:type="fixed"/>
              <w:tblLook w:val="04A0" w:firstRow="1" w:lastRow="0" w:firstColumn="1" w:lastColumn="0" w:noHBand="0" w:noVBand="1"/>
            </w:tblPr>
            <w:tblGrid>
              <w:gridCol w:w="3084"/>
            </w:tblGrid>
            <w:tr w:rsidR="00A6008A" w:rsidRPr="001D5E80" w14:paraId="40A3B29B" w14:textId="77777777" w:rsidTr="00C0519A">
              <w:trPr>
                <w:jc w:val="center"/>
              </w:trPr>
              <w:tc>
                <w:tcPr>
                  <w:tcW w:w="3084" w:type="dxa"/>
                  <w:vAlign w:val="center"/>
                  <w:hideMark/>
                </w:tcPr>
                <w:p w14:paraId="20A03D16" w14:textId="0991EEF1" w:rsidR="00A6008A" w:rsidRPr="001D5E80" w:rsidRDefault="00A6008A" w:rsidP="00786F48">
                  <w:pPr>
                    <w:framePr w:hSpace="180" w:wrap="around" w:hAnchor="margin" w:xAlign="center" w:y="-540"/>
                    <w:bidi/>
                    <w:spacing w:before="240" w:after="0" w:line="360" w:lineRule="auto"/>
                    <w:jc w:val="right"/>
                    <w:rPr>
                      <w:rFonts w:ascii="David" w:eastAsia="Times New Roman" w:hAnsi="David" w:cs="David"/>
                      <w:sz w:val="24"/>
                      <w:szCs w:val="24"/>
                      <w:rtl/>
                      <w:lang w:eastAsia="he-IL"/>
                    </w:rPr>
                  </w:pPr>
                  <w:r w:rsidRPr="001D5E80">
                    <w:rPr>
                      <w:rFonts w:ascii="David" w:eastAsia="Times New Roman" w:hAnsi="David" w:cs="David"/>
                      <w:sz w:val="24"/>
                      <w:szCs w:val="24"/>
                      <w:rtl/>
                      <w:lang w:eastAsia="he-IL"/>
                    </w:rPr>
                    <w:t>‏</w:t>
                  </w:r>
                  <w:r w:rsidR="001D5E80" w:rsidRPr="001D5E80">
                    <w:rPr>
                      <w:rFonts w:ascii="David" w:eastAsia="Times New Roman" w:hAnsi="David" w:cs="David" w:hint="cs"/>
                      <w:sz w:val="24"/>
                      <w:szCs w:val="24"/>
                      <w:rtl/>
                      <w:lang w:eastAsia="he-IL"/>
                    </w:rPr>
                    <w:t>ט' בתמוז תשפ"ג</w:t>
                  </w:r>
                </w:p>
                <w:p w14:paraId="3E543C8D" w14:textId="40040042" w:rsidR="00A6008A" w:rsidRPr="001D5E80" w:rsidRDefault="00A6008A" w:rsidP="00786F48">
                  <w:pPr>
                    <w:framePr w:hSpace="180" w:wrap="around" w:hAnchor="margin" w:xAlign="center" w:y="-540"/>
                    <w:bidi/>
                    <w:spacing w:before="240" w:after="160" w:line="360" w:lineRule="auto"/>
                    <w:jc w:val="right"/>
                    <w:rPr>
                      <w:rFonts w:ascii="David" w:eastAsia="Times New Roman" w:hAnsi="David" w:cs="David"/>
                      <w:sz w:val="24"/>
                      <w:szCs w:val="24"/>
                      <w:lang w:eastAsia="he-IL"/>
                    </w:rPr>
                  </w:pPr>
                  <w:r w:rsidRPr="001D5E80">
                    <w:rPr>
                      <w:rFonts w:ascii="David" w:eastAsia="Times New Roman" w:hAnsi="David" w:cs="David"/>
                      <w:sz w:val="24"/>
                      <w:szCs w:val="24"/>
                      <w:rtl/>
                      <w:lang w:eastAsia="he-IL"/>
                    </w:rPr>
                    <w:t>‏</w:t>
                  </w:r>
                  <w:r w:rsidR="00786F48">
                    <w:rPr>
                      <w:rFonts w:ascii="David" w:eastAsia="Times New Roman" w:hAnsi="David" w:cs="David" w:hint="cs"/>
                      <w:sz w:val="24"/>
                      <w:szCs w:val="24"/>
                      <w:rtl/>
                      <w:lang w:eastAsia="he-IL"/>
                    </w:rPr>
                    <w:t>28</w:t>
                  </w:r>
                  <w:r w:rsidR="001D5E80" w:rsidRPr="001D5E80">
                    <w:rPr>
                      <w:rFonts w:ascii="David" w:eastAsia="Times New Roman" w:hAnsi="David" w:cs="David" w:hint="cs"/>
                      <w:sz w:val="24"/>
                      <w:szCs w:val="24"/>
                      <w:rtl/>
                      <w:lang w:eastAsia="he-IL"/>
                    </w:rPr>
                    <w:t xml:space="preserve"> ביו</w:t>
                  </w:r>
                  <w:r w:rsidR="00786F48">
                    <w:rPr>
                      <w:rFonts w:ascii="David" w:eastAsia="Times New Roman" w:hAnsi="David" w:cs="David" w:hint="cs"/>
                      <w:sz w:val="24"/>
                      <w:szCs w:val="24"/>
                      <w:rtl/>
                      <w:lang w:eastAsia="he-IL"/>
                    </w:rPr>
                    <w:t>נ</w:t>
                  </w:r>
                  <w:r w:rsidR="001D5E80" w:rsidRPr="001D5E80">
                    <w:rPr>
                      <w:rFonts w:ascii="David" w:eastAsia="Times New Roman" w:hAnsi="David" w:cs="David" w:hint="cs"/>
                      <w:sz w:val="24"/>
                      <w:szCs w:val="24"/>
                      <w:rtl/>
                      <w:lang w:eastAsia="he-IL"/>
                    </w:rPr>
                    <w:t>י 2023</w:t>
                  </w:r>
                </w:p>
              </w:tc>
            </w:tr>
          </w:tbl>
          <w:p w14:paraId="6307C5CA" w14:textId="77777777" w:rsidR="00A6008A" w:rsidRPr="001D5E80" w:rsidRDefault="00A6008A" w:rsidP="00A6008A">
            <w:pPr>
              <w:bidi/>
              <w:spacing w:after="0" w:line="360" w:lineRule="auto"/>
              <w:jc w:val="center"/>
              <w:rPr>
                <w:rFonts w:ascii="David" w:eastAsia="Calibri" w:hAnsi="David" w:cs="David"/>
                <w:sz w:val="24"/>
                <w:szCs w:val="24"/>
                <w:rtl/>
              </w:rPr>
            </w:pPr>
          </w:p>
        </w:tc>
      </w:tr>
    </w:tbl>
    <w:p w14:paraId="5AB3178E" w14:textId="77777777" w:rsidR="00A6008A" w:rsidRPr="001E6319" w:rsidRDefault="00A6008A" w:rsidP="00A6008A">
      <w:pPr>
        <w:bidi/>
        <w:spacing w:line="360" w:lineRule="auto"/>
        <w:jc w:val="both"/>
        <w:rPr>
          <w:rFonts w:ascii="David" w:eastAsia="Calibri" w:hAnsi="David" w:cs="David"/>
          <w:sz w:val="24"/>
          <w:szCs w:val="24"/>
          <w:rtl/>
        </w:rPr>
      </w:pPr>
      <w:r w:rsidRPr="001E6319">
        <w:rPr>
          <w:rFonts w:ascii="David" w:eastAsia="Calibri" w:hAnsi="David" w:cs="David"/>
          <w:sz w:val="24"/>
          <w:szCs w:val="24"/>
          <w:rtl/>
        </w:rPr>
        <w:t xml:space="preserve">הודעה לעיתונות:  </w:t>
      </w:r>
      <w:r w:rsidRPr="001E6319">
        <w:rPr>
          <w:rFonts w:ascii="David" w:eastAsia="Calibri" w:hAnsi="David" w:cs="David"/>
          <w:sz w:val="24"/>
          <w:szCs w:val="24"/>
          <w:rtl/>
        </w:rPr>
        <w:tab/>
      </w:r>
      <w:r w:rsidRPr="001E6319">
        <w:rPr>
          <w:rFonts w:ascii="David" w:eastAsia="Calibri" w:hAnsi="David" w:cs="David"/>
          <w:sz w:val="24"/>
          <w:szCs w:val="24"/>
          <w:rtl/>
        </w:rPr>
        <w:tab/>
      </w:r>
    </w:p>
    <w:p w14:paraId="239B9707" w14:textId="77777777" w:rsidR="0032733F" w:rsidRPr="001E6319" w:rsidRDefault="0032733F" w:rsidP="00D951EA">
      <w:pPr>
        <w:pStyle w:val="1"/>
        <w:bidi/>
        <w:spacing w:before="320" w:beforeAutospacing="0" w:after="0" w:afterAutospacing="0" w:line="360" w:lineRule="auto"/>
        <w:jc w:val="center"/>
        <w:rPr>
          <w:rFonts w:ascii="David" w:eastAsiaTheme="minorHAnsi" w:hAnsi="David" w:cs="David"/>
          <w:sz w:val="24"/>
          <w:szCs w:val="24"/>
          <w:rtl/>
        </w:rPr>
      </w:pPr>
      <w:bookmarkStart w:id="0" w:name="_GoBack"/>
      <w:r w:rsidRPr="00786F48">
        <w:rPr>
          <w:rFonts w:ascii="David" w:hAnsi="David" w:cs="David"/>
          <w:sz w:val="28"/>
          <w:szCs w:val="28"/>
          <w:rtl/>
        </w:rPr>
        <w:t>מחקר</w:t>
      </w:r>
      <w:r w:rsidR="00343DD9" w:rsidRPr="00786F48">
        <w:rPr>
          <w:rFonts w:ascii="David" w:hAnsi="David" w:cs="David"/>
          <w:sz w:val="28"/>
          <w:szCs w:val="28"/>
          <w:rtl/>
        </w:rPr>
        <w:t xml:space="preserve"> </w:t>
      </w:r>
      <w:r w:rsidR="00A454B7" w:rsidRPr="00786F48">
        <w:rPr>
          <w:rFonts w:ascii="David" w:hAnsi="David" w:cs="David"/>
          <w:sz w:val="28"/>
          <w:szCs w:val="28"/>
          <w:rtl/>
        </w:rPr>
        <w:t xml:space="preserve">חדש: </w:t>
      </w:r>
      <w:r w:rsidR="00D951EA" w:rsidRPr="00786F48">
        <w:rPr>
          <w:rFonts w:ascii="David" w:eastAsiaTheme="minorHAnsi" w:hAnsi="David" w:cs="David"/>
          <w:sz w:val="28"/>
          <w:szCs w:val="28"/>
          <w:rtl/>
        </w:rPr>
        <w:t>הגורמים הקובעים את פרמיית הנגישות לתחבורה ציבורית</w:t>
      </w:r>
      <w:bookmarkEnd w:id="0"/>
    </w:p>
    <w:p w14:paraId="053BFAD9" w14:textId="58EF7D36" w:rsidR="00B1339A" w:rsidRPr="00A02AE1" w:rsidRDefault="00974D5A" w:rsidP="00A02AE1">
      <w:pPr>
        <w:pStyle w:val="a3"/>
        <w:numPr>
          <w:ilvl w:val="0"/>
          <w:numId w:val="1"/>
        </w:numPr>
        <w:bidi/>
        <w:spacing w:after="0" w:line="360" w:lineRule="auto"/>
        <w:jc w:val="both"/>
        <w:rPr>
          <w:rFonts w:ascii="David" w:hAnsi="David" w:cs="David"/>
          <w:sz w:val="24"/>
          <w:szCs w:val="24"/>
        </w:rPr>
      </w:pPr>
      <w:r w:rsidRPr="00974D5A">
        <w:rPr>
          <w:rFonts w:ascii="David" w:hAnsi="David" w:cs="David" w:hint="cs"/>
          <w:sz w:val="24"/>
          <w:szCs w:val="24"/>
          <w:rtl/>
        </w:rPr>
        <w:t>לתוספת שירותי תחבורה ציבורית</w:t>
      </w:r>
      <w:r>
        <w:rPr>
          <w:rFonts w:ascii="David" w:hAnsi="David" w:cs="David" w:hint="cs"/>
          <w:sz w:val="24"/>
          <w:szCs w:val="24"/>
          <w:rtl/>
        </w:rPr>
        <w:t xml:space="preserve"> באזור </w:t>
      </w:r>
      <w:r w:rsidR="00A02AE1">
        <w:rPr>
          <w:rFonts w:ascii="David" w:hAnsi="David" w:cs="David" w:hint="cs"/>
          <w:sz w:val="24"/>
          <w:szCs w:val="24"/>
          <w:rtl/>
        </w:rPr>
        <w:t>מסוים</w:t>
      </w:r>
      <w:r w:rsidRPr="00974D5A">
        <w:rPr>
          <w:rFonts w:ascii="David" w:hAnsi="David" w:cs="David" w:hint="cs"/>
          <w:sz w:val="24"/>
          <w:szCs w:val="24"/>
          <w:rtl/>
        </w:rPr>
        <w:t xml:space="preserve"> יש</w:t>
      </w:r>
      <w:r>
        <w:rPr>
          <w:rFonts w:ascii="David" w:hAnsi="David" w:cs="David" w:hint="cs"/>
          <w:sz w:val="24"/>
          <w:szCs w:val="24"/>
          <w:rtl/>
        </w:rPr>
        <w:t>, בממוצע,</w:t>
      </w:r>
      <w:r w:rsidRPr="00974D5A">
        <w:rPr>
          <w:rFonts w:ascii="David" w:hAnsi="David" w:cs="David" w:hint="cs"/>
          <w:sz w:val="24"/>
          <w:szCs w:val="24"/>
          <w:rtl/>
        </w:rPr>
        <w:t xml:space="preserve"> השפעה קטנה בלבד על מחירי השכירות ב</w:t>
      </w:r>
      <w:r>
        <w:rPr>
          <w:rFonts w:ascii="David" w:hAnsi="David" w:cs="David" w:hint="cs"/>
          <w:sz w:val="24"/>
          <w:szCs w:val="24"/>
          <w:rtl/>
        </w:rPr>
        <w:t xml:space="preserve">אותו </w:t>
      </w:r>
      <w:r w:rsidRPr="00974D5A">
        <w:rPr>
          <w:rFonts w:ascii="David" w:hAnsi="David" w:cs="David" w:hint="cs"/>
          <w:sz w:val="24"/>
          <w:szCs w:val="24"/>
          <w:rtl/>
        </w:rPr>
        <w:t>אזור.</w:t>
      </w:r>
      <w:r>
        <w:rPr>
          <w:rFonts w:ascii="David" w:hAnsi="David" w:cs="David" w:hint="cs"/>
          <w:sz w:val="24"/>
          <w:szCs w:val="24"/>
          <w:rtl/>
        </w:rPr>
        <w:t xml:space="preserve"> כלומר, </w:t>
      </w:r>
      <w:r w:rsidR="00A02AE1">
        <w:rPr>
          <w:rFonts w:ascii="David" w:hAnsi="David" w:cs="David" w:hint="cs"/>
          <w:sz w:val="24"/>
          <w:szCs w:val="24"/>
          <w:rtl/>
        </w:rPr>
        <w:t xml:space="preserve">"פרמיית הנגישות" שהיא </w:t>
      </w:r>
      <w:r w:rsidRPr="00974D5A">
        <w:rPr>
          <w:rFonts w:ascii="David" w:hAnsi="David" w:cs="David"/>
          <w:sz w:val="24"/>
          <w:szCs w:val="24"/>
          <w:rtl/>
        </w:rPr>
        <w:t>ה</w:t>
      </w:r>
      <w:r w:rsidRPr="00974D5A">
        <w:rPr>
          <w:rFonts w:ascii="David" w:hAnsi="David" w:cs="David" w:hint="cs"/>
          <w:sz w:val="24"/>
          <w:szCs w:val="24"/>
          <w:rtl/>
        </w:rPr>
        <w:t xml:space="preserve">ערך </w:t>
      </w:r>
      <w:r w:rsidRPr="00974D5A">
        <w:rPr>
          <w:rFonts w:ascii="David" w:hAnsi="David" w:cs="David"/>
          <w:sz w:val="24"/>
          <w:szCs w:val="24"/>
          <w:rtl/>
        </w:rPr>
        <w:t>ש</w:t>
      </w:r>
      <w:r>
        <w:rPr>
          <w:rFonts w:ascii="David" w:hAnsi="David" w:cs="David" w:hint="cs"/>
          <w:sz w:val="24"/>
          <w:szCs w:val="24"/>
          <w:rtl/>
        </w:rPr>
        <w:t>שוכרי הדירות</w:t>
      </w:r>
      <w:r w:rsidRPr="00974D5A">
        <w:rPr>
          <w:rFonts w:ascii="David" w:hAnsi="David" w:cs="David"/>
          <w:sz w:val="24"/>
          <w:szCs w:val="24"/>
          <w:rtl/>
        </w:rPr>
        <w:t xml:space="preserve"> </w:t>
      </w:r>
      <w:r>
        <w:rPr>
          <w:rFonts w:ascii="David" w:hAnsi="David" w:cs="David" w:hint="cs"/>
          <w:sz w:val="24"/>
          <w:szCs w:val="24"/>
          <w:rtl/>
        </w:rPr>
        <w:t>ב</w:t>
      </w:r>
      <w:r w:rsidRPr="00974D5A">
        <w:rPr>
          <w:rFonts w:ascii="David" w:hAnsi="David" w:cs="David"/>
          <w:sz w:val="24"/>
          <w:szCs w:val="24"/>
          <w:rtl/>
        </w:rPr>
        <w:t>אזור מייחסים ל</w:t>
      </w:r>
      <w:r w:rsidRPr="00974D5A">
        <w:rPr>
          <w:rFonts w:ascii="David" w:hAnsi="David" w:cs="David" w:hint="cs"/>
          <w:sz w:val="24"/>
          <w:szCs w:val="24"/>
          <w:rtl/>
        </w:rPr>
        <w:t xml:space="preserve">נגישות באמצעות </w:t>
      </w:r>
      <w:r w:rsidRPr="00974D5A">
        <w:rPr>
          <w:rFonts w:ascii="David" w:hAnsi="David" w:cs="David"/>
          <w:sz w:val="24"/>
          <w:szCs w:val="24"/>
          <w:rtl/>
        </w:rPr>
        <w:t>תחבורה ציבורית</w:t>
      </w:r>
      <w:r>
        <w:rPr>
          <w:rFonts w:ascii="David" w:hAnsi="David" w:cs="David" w:hint="cs"/>
          <w:sz w:val="24"/>
          <w:szCs w:val="24"/>
          <w:rtl/>
        </w:rPr>
        <w:t xml:space="preserve"> אינו גבוה</w:t>
      </w:r>
      <w:r w:rsidRPr="00974D5A">
        <w:rPr>
          <w:rFonts w:ascii="David" w:hAnsi="David" w:cs="David"/>
          <w:sz w:val="24"/>
          <w:szCs w:val="24"/>
          <w:rtl/>
        </w:rPr>
        <w:t>.</w:t>
      </w:r>
    </w:p>
    <w:p w14:paraId="0236AE18" w14:textId="2B215FB0" w:rsidR="00974D5A" w:rsidRPr="00B1339A" w:rsidRDefault="00974D5A" w:rsidP="00A02AE1">
      <w:pPr>
        <w:pStyle w:val="a3"/>
        <w:numPr>
          <w:ilvl w:val="0"/>
          <w:numId w:val="1"/>
        </w:numPr>
        <w:bidi/>
        <w:spacing w:after="0" w:line="360" w:lineRule="auto"/>
        <w:jc w:val="both"/>
        <w:rPr>
          <w:rFonts w:ascii="David" w:hAnsi="David" w:cs="David"/>
          <w:sz w:val="24"/>
          <w:szCs w:val="24"/>
        </w:rPr>
      </w:pPr>
      <w:r w:rsidRPr="00974D5A">
        <w:rPr>
          <w:rFonts w:ascii="David" w:hAnsi="David" w:cs="David"/>
          <w:sz w:val="24"/>
          <w:szCs w:val="24"/>
          <w:rtl/>
        </w:rPr>
        <w:t xml:space="preserve">הפרמיה </w:t>
      </w:r>
      <w:r>
        <w:rPr>
          <w:rFonts w:ascii="David" w:hAnsi="David" w:cs="David" w:hint="cs"/>
          <w:sz w:val="24"/>
          <w:szCs w:val="24"/>
          <w:rtl/>
        </w:rPr>
        <w:t xml:space="preserve">לתוספת שירותי תחבורה ציבורית </w:t>
      </w:r>
      <w:r w:rsidRPr="00974D5A">
        <w:rPr>
          <w:rFonts w:ascii="David" w:hAnsi="David" w:cs="David"/>
          <w:sz w:val="24"/>
          <w:szCs w:val="24"/>
          <w:rtl/>
        </w:rPr>
        <w:t xml:space="preserve">גבוהה במיוחד באזורים בהם </w:t>
      </w:r>
      <w:r w:rsidRPr="00974D5A">
        <w:rPr>
          <w:rFonts w:ascii="David" w:hAnsi="David" w:cs="David" w:hint="cs"/>
          <w:sz w:val="24"/>
          <w:szCs w:val="24"/>
          <w:rtl/>
        </w:rPr>
        <w:t>טיב</w:t>
      </w:r>
      <w:r w:rsidRPr="00974D5A">
        <w:rPr>
          <w:rFonts w:ascii="David" w:hAnsi="David" w:cs="David"/>
          <w:sz w:val="24"/>
          <w:szCs w:val="24"/>
          <w:rtl/>
        </w:rPr>
        <w:t xml:space="preserve"> שירות</w:t>
      </w:r>
      <w:r w:rsidRPr="00974D5A">
        <w:rPr>
          <w:rFonts w:ascii="David" w:hAnsi="David" w:cs="David" w:hint="cs"/>
          <w:sz w:val="24"/>
          <w:szCs w:val="24"/>
          <w:rtl/>
        </w:rPr>
        <w:t>י התחבורה הציבורית</w:t>
      </w:r>
      <w:r w:rsidRPr="00974D5A">
        <w:rPr>
          <w:rFonts w:ascii="David" w:hAnsi="David" w:cs="David"/>
          <w:sz w:val="24"/>
          <w:szCs w:val="24"/>
          <w:rtl/>
        </w:rPr>
        <w:t xml:space="preserve"> נמו</w:t>
      </w:r>
      <w:r w:rsidRPr="00974D5A">
        <w:rPr>
          <w:rFonts w:ascii="David" w:hAnsi="David" w:cs="David" w:hint="cs"/>
          <w:sz w:val="24"/>
          <w:szCs w:val="24"/>
          <w:rtl/>
        </w:rPr>
        <w:t>ך</w:t>
      </w:r>
      <w:r w:rsidRPr="00974D5A">
        <w:rPr>
          <w:rFonts w:ascii="David" w:hAnsi="David" w:cs="David"/>
          <w:sz w:val="24"/>
          <w:szCs w:val="24"/>
          <w:rtl/>
        </w:rPr>
        <w:t xml:space="preserve"> </w:t>
      </w:r>
      <w:r w:rsidRPr="00974D5A">
        <w:rPr>
          <w:rFonts w:ascii="David" w:hAnsi="David" w:cs="David" w:hint="cs"/>
          <w:sz w:val="24"/>
          <w:szCs w:val="24"/>
          <w:rtl/>
        </w:rPr>
        <w:t>מהצפוי לפי מאפייני האזור</w:t>
      </w:r>
      <w:r w:rsidRPr="00974D5A">
        <w:rPr>
          <w:rFonts w:ascii="David" w:hAnsi="David" w:cs="David"/>
          <w:sz w:val="24"/>
          <w:szCs w:val="24"/>
          <w:rtl/>
        </w:rPr>
        <w:t xml:space="preserve">. </w:t>
      </w:r>
      <w:r w:rsidR="00707981">
        <w:rPr>
          <w:rFonts w:ascii="David" w:hAnsi="David" w:cs="David" w:hint="cs"/>
          <w:sz w:val="24"/>
          <w:szCs w:val="24"/>
          <w:rtl/>
        </w:rPr>
        <w:t>הפרמיה פוחתת ככל שרמת השירות עולה</w:t>
      </w:r>
      <w:r w:rsidRPr="00974D5A">
        <w:rPr>
          <w:rFonts w:ascii="David" w:hAnsi="David" w:cs="David"/>
          <w:sz w:val="24"/>
          <w:szCs w:val="24"/>
          <w:rtl/>
        </w:rPr>
        <w:t xml:space="preserve"> </w:t>
      </w:r>
      <w:r w:rsidRPr="00974D5A">
        <w:rPr>
          <w:rFonts w:ascii="David" w:hAnsi="David" w:cs="David" w:hint="cs"/>
          <w:sz w:val="24"/>
          <w:szCs w:val="24"/>
          <w:rtl/>
        </w:rPr>
        <w:t>בהשוואה לרמה הצפויה</w:t>
      </w:r>
      <w:r w:rsidR="00707981">
        <w:rPr>
          <w:rFonts w:ascii="David" w:hAnsi="David" w:cs="David" w:hint="cs"/>
          <w:sz w:val="24"/>
          <w:szCs w:val="24"/>
          <w:rtl/>
        </w:rPr>
        <w:t>,</w:t>
      </w:r>
      <w:r w:rsidRPr="00974D5A">
        <w:rPr>
          <w:rFonts w:ascii="David" w:hAnsi="David" w:cs="David" w:hint="cs"/>
          <w:sz w:val="24"/>
          <w:szCs w:val="24"/>
          <w:rtl/>
        </w:rPr>
        <w:t xml:space="preserve"> </w:t>
      </w:r>
      <w:r w:rsidR="00707981">
        <w:rPr>
          <w:rFonts w:ascii="David" w:hAnsi="David" w:cs="David" w:hint="cs"/>
          <w:sz w:val="24"/>
          <w:szCs w:val="24"/>
          <w:rtl/>
        </w:rPr>
        <w:t xml:space="preserve">ומעבר לרף </w:t>
      </w:r>
      <w:r w:rsidR="00A02AE1">
        <w:rPr>
          <w:rFonts w:ascii="David" w:hAnsi="David" w:cs="David" w:hint="cs"/>
          <w:sz w:val="24"/>
          <w:szCs w:val="24"/>
          <w:rtl/>
        </w:rPr>
        <w:t>מסוים</w:t>
      </w:r>
      <w:r w:rsidRPr="00974D5A">
        <w:rPr>
          <w:rFonts w:ascii="David" w:hAnsi="David" w:cs="David"/>
          <w:sz w:val="24"/>
          <w:szCs w:val="24"/>
          <w:rtl/>
        </w:rPr>
        <w:t xml:space="preserve"> </w:t>
      </w:r>
      <w:r w:rsidR="00707981">
        <w:rPr>
          <w:rFonts w:ascii="David" w:hAnsi="David" w:cs="David" w:hint="cs"/>
          <w:sz w:val="24"/>
          <w:szCs w:val="24"/>
          <w:rtl/>
        </w:rPr>
        <w:t>אינה</w:t>
      </w:r>
      <w:r w:rsidRPr="00974D5A">
        <w:rPr>
          <w:rFonts w:ascii="David" w:hAnsi="David" w:cs="David"/>
          <w:sz w:val="24"/>
          <w:szCs w:val="24"/>
          <w:rtl/>
        </w:rPr>
        <w:t xml:space="preserve"> תורמת, ויכולה אף לפגוע במחירי השכירות באזור. תוצאה זו נובעת כנראה ממפגעי רעש </w:t>
      </w:r>
      <w:r w:rsidRPr="00974D5A">
        <w:rPr>
          <w:rFonts w:ascii="David" w:hAnsi="David" w:cs="David" w:hint="cs"/>
          <w:sz w:val="24"/>
          <w:szCs w:val="24"/>
          <w:rtl/>
        </w:rPr>
        <w:t>ו</w:t>
      </w:r>
      <w:r w:rsidRPr="00974D5A">
        <w:rPr>
          <w:rFonts w:ascii="David" w:hAnsi="David" w:cs="David"/>
          <w:sz w:val="24"/>
          <w:szCs w:val="24"/>
          <w:rtl/>
        </w:rPr>
        <w:t xml:space="preserve">זיהום </w:t>
      </w:r>
      <w:r w:rsidRPr="00974D5A">
        <w:rPr>
          <w:rFonts w:ascii="David" w:hAnsi="David" w:cs="David" w:hint="cs"/>
          <w:sz w:val="24"/>
          <w:szCs w:val="24"/>
          <w:rtl/>
        </w:rPr>
        <w:t>בסמוך למרכזי תחבורה גדולים.</w:t>
      </w:r>
    </w:p>
    <w:p w14:paraId="3E1609B6" w14:textId="37D4C9E9" w:rsidR="00343DD9" w:rsidRPr="00D102CD" w:rsidRDefault="001B7E56" w:rsidP="00B1339A">
      <w:pPr>
        <w:pStyle w:val="a3"/>
        <w:numPr>
          <w:ilvl w:val="0"/>
          <w:numId w:val="1"/>
        </w:numPr>
        <w:bidi/>
        <w:spacing w:after="0" w:line="360" w:lineRule="auto"/>
        <w:jc w:val="both"/>
        <w:rPr>
          <w:rFonts w:ascii="David" w:hAnsi="David" w:cs="David"/>
          <w:sz w:val="24"/>
          <w:szCs w:val="24"/>
        </w:rPr>
      </w:pPr>
      <w:r>
        <w:rPr>
          <w:rFonts w:ascii="David" w:hAnsi="David" w:cs="David" w:hint="cs"/>
          <w:sz w:val="24"/>
          <w:szCs w:val="24"/>
          <w:rtl/>
        </w:rPr>
        <w:t>אזור צפוף ב</w:t>
      </w:r>
      <w:r w:rsidR="001E6319" w:rsidRPr="00D102CD">
        <w:rPr>
          <w:rFonts w:ascii="David" w:hAnsi="David" w:cs="David" w:hint="cs"/>
          <w:sz w:val="24"/>
          <w:szCs w:val="24"/>
          <w:rtl/>
        </w:rPr>
        <w:t>נוסעים פוטנציאליים</w:t>
      </w:r>
      <w:r w:rsidR="00D951EA" w:rsidRPr="00D102CD">
        <w:rPr>
          <w:rFonts w:ascii="David" w:hAnsi="David" w:cs="David"/>
          <w:sz w:val="24"/>
          <w:szCs w:val="24"/>
          <w:rtl/>
        </w:rPr>
        <w:t xml:space="preserve">, </w:t>
      </w:r>
      <w:r>
        <w:rPr>
          <w:rFonts w:ascii="David" w:hAnsi="David" w:cs="David" w:hint="cs"/>
          <w:sz w:val="24"/>
          <w:szCs w:val="24"/>
          <w:rtl/>
        </w:rPr>
        <w:t>אזורים המשמשים הן למגורים והן לתעסוקה ("</w:t>
      </w:r>
      <w:r w:rsidR="00D951EA" w:rsidRPr="00D102CD">
        <w:rPr>
          <w:rFonts w:ascii="David" w:hAnsi="David" w:cs="David"/>
          <w:sz w:val="24"/>
          <w:szCs w:val="24"/>
          <w:rtl/>
        </w:rPr>
        <w:t>עירוב שימושים</w:t>
      </w:r>
      <w:r>
        <w:rPr>
          <w:rFonts w:ascii="David" w:hAnsi="David" w:cs="David" w:hint="cs"/>
          <w:sz w:val="24"/>
          <w:szCs w:val="24"/>
          <w:rtl/>
        </w:rPr>
        <w:t>")</w:t>
      </w:r>
      <w:r w:rsidR="00D951EA" w:rsidRPr="00D102CD">
        <w:rPr>
          <w:rFonts w:ascii="David" w:hAnsi="David" w:cs="David"/>
          <w:sz w:val="24"/>
          <w:szCs w:val="24"/>
          <w:rtl/>
        </w:rPr>
        <w:t>,</w:t>
      </w:r>
      <w:r w:rsidR="00A76B91" w:rsidRPr="00D102CD">
        <w:rPr>
          <w:rFonts w:ascii="David" w:hAnsi="David" w:cs="David"/>
          <w:sz w:val="24"/>
          <w:szCs w:val="24"/>
          <w:rtl/>
        </w:rPr>
        <w:t xml:space="preserve"> </w:t>
      </w:r>
      <w:r w:rsidR="001E6319" w:rsidRPr="00D102CD">
        <w:rPr>
          <w:rFonts w:ascii="David" w:hAnsi="David" w:cs="David" w:hint="cs"/>
          <w:sz w:val="24"/>
          <w:szCs w:val="24"/>
          <w:rtl/>
        </w:rPr>
        <w:t>ו</w:t>
      </w:r>
      <w:r w:rsidR="00A76B91" w:rsidRPr="00D102CD">
        <w:rPr>
          <w:rFonts w:ascii="David" w:hAnsi="David" w:cs="David"/>
          <w:sz w:val="24"/>
          <w:szCs w:val="24"/>
          <w:rtl/>
        </w:rPr>
        <w:t>קרבה לתחנות רכבת (ובפרט בקרבת תחנות חדשות של רכבת ישראל שנחנכו במהלך תקופת המחקר והרכבת הקלה בירושלים)</w:t>
      </w:r>
      <w:r w:rsidR="001E6319" w:rsidRPr="00D102CD">
        <w:rPr>
          <w:rFonts w:ascii="David" w:hAnsi="David" w:cs="David" w:hint="cs"/>
          <w:sz w:val="24"/>
          <w:szCs w:val="24"/>
          <w:rtl/>
        </w:rPr>
        <w:t xml:space="preserve"> </w:t>
      </w:r>
      <w:r>
        <w:rPr>
          <w:rFonts w:ascii="David" w:hAnsi="David" w:cs="David" w:hint="cs"/>
          <w:sz w:val="24"/>
          <w:szCs w:val="24"/>
          <w:rtl/>
        </w:rPr>
        <w:t>מעלים את</w:t>
      </w:r>
      <w:r w:rsidR="001E6319" w:rsidRPr="00D102CD">
        <w:rPr>
          <w:rFonts w:ascii="David" w:hAnsi="David" w:cs="David" w:hint="cs"/>
          <w:sz w:val="24"/>
          <w:szCs w:val="24"/>
          <w:rtl/>
        </w:rPr>
        <w:t xml:space="preserve"> פרמיית הנגישות לתחבורה ציבורית</w:t>
      </w:r>
      <w:r w:rsidR="00A76B91" w:rsidRPr="00D102CD">
        <w:rPr>
          <w:rFonts w:ascii="David" w:hAnsi="David" w:cs="David"/>
          <w:sz w:val="24"/>
          <w:szCs w:val="24"/>
          <w:rtl/>
        </w:rPr>
        <w:t xml:space="preserve">. </w:t>
      </w:r>
    </w:p>
    <w:p w14:paraId="1FECF6B6" w14:textId="77777777" w:rsidR="00D102CD" w:rsidRPr="00D102CD" w:rsidRDefault="00D102CD" w:rsidP="00D102CD">
      <w:pPr>
        <w:bidi/>
        <w:spacing w:after="0" w:line="360" w:lineRule="auto"/>
        <w:ind w:left="360"/>
        <w:jc w:val="both"/>
        <w:rPr>
          <w:rFonts w:ascii="David" w:hAnsi="David" w:cs="David"/>
          <w:sz w:val="24"/>
          <w:szCs w:val="24"/>
          <w:rtl/>
        </w:rPr>
      </w:pPr>
    </w:p>
    <w:p w14:paraId="38A9CF86" w14:textId="77777777" w:rsidR="00707981" w:rsidRPr="00707981" w:rsidRDefault="00707981" w:rsidP="00707981">
      <w:pPr>
        <w:bidi/>
        <w:spacing w:after="120" w:line="360" w:lineRule="auto"/>
        <w:jc w:val="both"/>
        <w:rPr>
          <w:rFonts w:ascii="David" w:hAnsi="David" w:cs="David"/>
          <w:sz w:val="24"/>
          <w:szCs w:val="24"/>
          <w:rtl/>
        </w:rPr>
      </w:pPr>
      <w:r w:rsidRPr="00707981">
        <w:rPr>
          <w:rFonts w:ascii="David" w:hAnsi="David" w:cs="David" w:hint="cs"/>
          <w:sz w:val="24"/>
          <w:szCs w:val="24"/>
          <w:rtl/>
        </w:rPr>
        <w:t>מחקר חדש שנערך על ידי גל עמדי מחטיבת המחקר בבנק ישראל,</w:t>
      </w:r>
      <w:r w:rsidRPr="00707981">
        <w:rPr>
          <w:rFonts w:ascii="David" w:hAnsi="David" w:cs="David"/>
          <w:sz w:val="24"/>
          <w:szCs w:val="24"/>
          <w:rtl/>
        </w:rPr>
        <w:t xml:space="preserve"> מיישם הן שיטות </w:t>
      </w:r>
      <w:proofErr w:type="spellStart"/>
      <w:r w:rsidRPr="00707981">
        <w:rPr>
          <w:rFonts w:ascii="David" w:hAnsi="David" w:cs="David"/>
          <w:sz w:val="24"/>
          <w:szCs w:val="24"/>
          <w:rtl/>
        </w:rPr>
        <w:t>אקונומטריות</w:t>
      </w:r>
      <w:proofErr w:type="spellEnd"/>
      <w:r w:rsidRPr="00707981">
        <w:rPr>
          <w:rFonts w:ascii="David" w:hAnsi="David" w:cs="David"/>
          <w:sz w:val="24"/>
          <w:szCs w:val="24"/>
          <w:rtl/>
        </w:rPr>
        <w:t xml:space="preserve"> סטנדרטיות והן שיטות חדשות מתחום למידת המכונה על מנת לבחון מה הגורמים הקובעים את גובה הפרמיה לנגישות לתחבורה ציבורית, וכך להסביר את</w:t>
      </w:r>
      <w:r w:rsidRPr="00707981">
        <w:rPr>
          <w:rFonts w:ascii="David" w:hAnsi="David" w:cs="David" w:hint="cs"/>
          <w:sz w:val="24"/>
          <w:szCs w:val="24"/>
          <w:rtl/>
        </w:rPr>
        <w:t xml:space="preserve"> השונות בפרמיה הנאמדת בספרות</w:t>
      </w:r>
      <w:r w:rsidRPr="00707981">
        <w:rPr>
          <w:rFonts w:ascii="David" w:hAnsi="David" w:cs="David"/>
          <w:sz w:val="24"/>
          <w:szCs w:val="24"/>
          <w:rtl/>
        </w:rPr>
        <w:t xml:space="preserve">. </w:t>
      </w:r>
      <w:r w:rsidRPr="00707981">
        <w:rPr>
          <w:rFonts w:ascii="David" w:hAnsi="David" w:cs="David" w:hint="cs"/>
          <w:sz w:val="24"/>
          <w:szCs w:val="24"/>
          <w:rtl/>
        </w:rPr>
        <w:t xml:space="preserve">המחקר נשען על מערך נתונים ייחודי, רב </w:t>
      </w:r>
      <w:proofErr w:type="spellStart"/>
      <w:r w:rsidRPr="00707981">
        <w:rPr>
          <w:rFonts w:ascii="David" w:hAnsi="David" w:cs="David" w:hint="cs"/>
          <w:sz w:val="24"/>
          <w:szCs w:val="24"/>
          <w:rtl/>
        </w:rPr>
        <w:t>מימדי</w:t>
      </w:r>
      <w:proofErr w:type="spellEnd"/>
      <w:r w:rsidRPr="00707981">
        <w:rPr>
          <w:rFonts w:ascii="David" w:hAnsi="David" w:cs="David" w:hint="cs"/>
          <w:sz w:val="24"/>
          <w:szCs w:val="24"/>
          <w:rtl/>
        </w:rPr>
        <w:t xml:space="preserve"> ועתיר מידע לגבי כלל רשת התחבורה הציבורית, רשת הכבישים, מודעות שכירות ונתונים דמוגרפיים וכלכליים-חברתיים מהשנים 2013-2019. כמו כן נעשה שימוש במטריצת נסיעות המבוססת על הסקר הסלולרי שנערך על ידי משרד התחבורה בשנים 2018-2019 שמצביעה באיזו מידה פרטים נוסעים בין זוגות יישובים או שכונות בשעות שונות ביום. </w:t>
      </w:r>
    </w:p>
    <w:p w14:paraId="61159921" w14:textId="32A4595B" w:rsidR="00D951EA" w:rsidRPr="001E6319" w:rsidRDefault="00D951EA" w:rsidP="00707981">
      <w:pPr>
        <w:bidi/>
        <w:spacing w:after="120" w:line="360" w:lineRule="auto"/>
        <w:jc w:val="both"/>
        <w:rPr>
          <w:rFonts w:ascii="David" w:hAnsi="David" w:cs="David"/>
          <w:sz w:val="24"/>
          <w:szCs w:val="24"/>
        </w:rPr>
      </w:pPr>
      <w:r w:rsidRPr="001E6319">
        <w:rPr>
          <w:rFonts w:ascii="David" w:hAnsi="David" w:cs="David"/>
          <w:sz w:val="24"/>
          <w:szCs w:val="24"/>
          <w:rtl/>
        </w:rPr>
        <w:t xml:space="preserve">נגישות תחבורתית היא אחד הגורמים החשובים ביותר המשפיעים על התועלת ממגורים באזורים שונים. מודלים של כלכלה עירונית צופים שהתועלת אותה מייחסים דיירים פוטנציאליים לנגישות תחבורתית </w:t>
      </w:r>
      <w:r w:rsidR="00272FDC">
        <w:rPr>
          <w:rFonts w:ascii="David" w:hAnsi="David" w:cs="David" w:hint="cs"/>
          <w:sz w:val="24"/>
          <w:szCs w:val="24"/>
          <w:rtl/>
        </w:rPr>
        <w:t xml:space="preserve">תופנם </w:t>
      </w:r>
      <w:r w:rsidR="00FD234E">
        <w:rPr>
          <w:rFonts w:ascii="David" w:hAnsi="David" w:cs="David" w:hint="cs"/>
          <w:sz w:val="24"/>
          <w:szCs w:val="24"/>
          <w:rtl/>
        </w:rPr>
        <w:t>על ידי השוק במחירי הדיור</w:t>
      </w:r>
      <w:r w:rsidRPr="001E6319">
        <w:rPr>
          <w:rFonts w:ascii="David" w:hAnsi="David" w:cs="David"/>
          <w:sz w:val="24"/>
          <w:szCs w:val="24"/>
          <w:rtl/>
        </w:rPr>
        <w:t xml:space="preserve"> כך שתיווצר 'פרמיית נגישות תחבורתית' שגובהה כגובה תועלת זו. מכאן</w:t>
      </w:r>
      <w:r w:rsidR="00272FDC">
        <w:rPr>
          <w:rFonts w:ascii="David" w:hAnsi="David" w:cs="David" w:hint="cs"/>
          <w:sz w:val="24"/>
          <w:szCs w:val="24"/>
          <w:rtl/>
        </w:rPr>
        <w:t>,</w:t>
      </w:r>
      <w:r w:rsidRPr="001E6319">
        <w:rPr>
          <w:rFonts w:ascii="David" w:hAnsi="David" w:cs="David"/>
          <w:sz w:val="24"/>
          <w:szCs w:val="24"/>
          <w:rtl/>
        </w:rPr>
        <w:t xml:space="preserve"> אמידת ההשפעה הסיבתית של נגישות תחבורתית על מחירי השכירות יכולה לחשוף את הערך אותו מייחסים תושבי אזור </w:t>
      </w:r>
      <w:proofErr w:type="spellStart"/>
      <w:r w:rsidRPr="001E6319">
        <w:rPr>
          <w:rFonts w:ascii="David" w:hAnsi="David" w:cs="David"/>
          <w:sz w:val="24"/>
          <w:szCs w:val="24"/>
          <w:rtl/>
        </w:rPr>
        <w:t>מסויים</w:t>
      </w:r>
      <w:proofErr w:type="spellEnd"/>
      <w:r w:rsidRPr="001E6319">
        <w:rPr>
          <w:rFonts w:ascii="David" w:hAnsi="David" w:cs="David"/>
          <w:sz w:val="24"/>
          <w:szCs w:val="24"/>
          <w:rtl/>
        </w:rPr>
        <w:t xml:space="preserve"> לנגישות התחבורתית בו. </w:t>
      </w:r>
      <w:r w:rsidR="00FD234E">
        <w:rPr>
          <w:rFonts w:ascii="David" w:hAnsi="David" w:cs="David" w:hint="cs"/>
          <w:sz w:val="24"/>
          <w:szCs w:val="24"/>
          <w:rtl/>
        </w:rPr>
        <w:t>תובנות אלו הובילו</w:t>
      </w:r>
      <w:r w:rsidRPr="001E6319">
        <w:rPr>
          <w:rFonts w:ascii="David" w:hAnsi="David" w:cs="David"/>
          <w:sz w:val="24"/>
          <w:szCs w:val="24"/>
          <w:rtl/>
        </w:rPr>
        <w:t xml:space="preserve"> לספרות נרחבת הבוחנת את גובה 'פרמיית הנגישות לתחבורה ציבורית' - השפעת </w:t>
      </w:r>
      <w:r w:rsidR="006F5C88">
        <w:rPr>
          <w:rFonts w:ascii="David" w:hAnsi="David" w:cs="David" w:hint="cs"/>
          <w:sz w:val="24"/>
          <w:szCs w:val="24"/>
          <w:rtl/>
        </w:rPr>
        <w:t xml:space="preserve">טיב </w:t>
      </w:r>
      <w:r w:rsidRPr="001E6319">
        <w:rPr>
          <w:rFonts w:ascii="David" w:hAnsi="David" w:cs="David"/>
          <w:sz w:val="24"/>
          <w:szCs w:val="24"/>
          <w:rtl/>
        </w:rPr>
        <w:t xml:space="preserve">שירותי </w:t>
      </w:r>
      <w:r w:rsidR="006F5C88">
        <w:rPr>
          <w:rFonts w:ascii="David" w:hAnsi="David" w:cs="David" w:hint="cs"/>
          <w:sz w:val="24"/>
          <w:szCs w:val="24"/>
          <w:rtl/>
        </w:rPr>
        <w:t>ה</w:t>
      </w:r>
      <w:r w:rsidRPr="001E6319">
        <w:rPr>
          <w:rFonts w:ascii="David" w:hAnsi="David" w:cs="David"/>
          <w:sz w:val="24"/>
          <w:szCs w:val="24"/>
          <w:rtl/>
        </w:rPr>
        <w:t xml:space="preserve">תחבורה </w:t>
      </w:r>
      <w:r w:rsidR="006F5C88">
        <w:rPr>
          <w:rFonts w:ascii="David" w:hAnsi="David" w:cs="David" w:hint="cs"/>
          <w:sz w:val="24"/>
          <w:szCs w:val="24"/>
          <w:rtl/>
        </w:rPr>
        <w:lastRenderedPageBreak/>
        <w:t>ה</w:t>
      </w:r>
      <w:r w:rsidRPr="001E6319">
        <w:rPr>
          <w:rFonts w:ascii="David" w:hAnsi="David" w:cs="David"/>
          <w:sz w:val="24"/>
          <w:szCs w:val="24"/>
          <w:rtl/>
        </w:rPr>
        <w:t xml:space="preserve">ציבורית באזור </w:t>
      </w:r>
      <w:proofErr w:type="spellStart"/>
      <w:r w:rsidRPr="001E6319">
        <w:rPr>
          <w:rFonts w:ascii="David" w:hAnsi="David" w:cs="David"/>
          <w:sz w:val="24"/>
          <w:szCs w:val="24"/>
          <w:rtl/>
        </w:rPr>
        <w:t>מסויים</w:t>
      </w:r>
      <w:proofErr w:type="spellEnd"/>
      <w:r w:rsidRPr="001E6319">
        <w:rPr>
          <w:rFonts w:ascii="David" w:hAnsi="David" w:cs="David"/>
          <w:sz w:val="24"/>
          <w:szCs w:val="24"/>
          <w:rtl/>
        </w:rPr>
        <w:t xml:space="preserve"> על מחירי הדיור בו. הממצא המרכזי מספרות זו הוא שונות משמעותית ולא מוסברת בגובה הפרמיה בהקשרים אמפיריים שונים. </w:t>
      </w:r>
    </w:p>
    <w:p w14:paraId="34804725" w14:textId="5EBE6EF5" w:rsidR="009A4E2A" w:rsidRDefault="009A4E2A" w:rsidP="00FD234E">
      <w:pPr>
        <w:pStyle w:val="gmail-msolistparagraph"/>
        <w:bidi/>
        <w:spacing w:before="0" w:beforeAutospacing="0" w:after="120" w:afterAutospacing="0" w:line="360" w:lineRule="auto"/>
        <w:jc w:val="both"/>
        <w:rPr>
          <w:rFonts w:ascii="David" w:hAnsi="David" w:cs="David"/>
          <w:rtl/>
        </w:rPr>
      </w:pPr>
      <w:r>
        <w:rPr>
          <w:rFonts w:ascii="David" w:hAnsi="David" w:cs="David" w:hint="cs"/>
          <w:rtl/>
        </w:rPr>
        <w:t>המחקר מצא ש</w:t>
      </w:r>
      <w:r w:rsidRPr="001E6319">
        <w:rPr>
          <w:rFonts w:ascii="David" w:hAnsi="David" w:cs="David"/>
          <w:rtl/>
        </w:rPr>
        <w:t xml:space="preserve">ברוב מוחלט של ההקשרים האמפיריים שנבחנו הפרמיה </w:t>
      </w:r>
      <w:r>
        <w:rPr>
          <w:rFonts w:ascii="David" w:hAnsi="David" w:cs="David" w:hint="cs"/>
          <w:rtl/>
        </w:rPr>
        <w:t xml:space="preserve">הנאמדת </w:t>
      </w:r>
      <w:r w:rsidRPr="001E6319">
        <w:rPr>
          <w:rFonts w:ascii="David" w:hAnsi="David" w:cs="David"/>
          <w:rtl/>
        </w:rPr>
        <w:t>קטנה.</w:t>
      </w:r>
      <w:r w:rsidR="00CB278C">
        <w:rPr>
          <w:rFonts w:ascii="David" w:hAnsi="David" w:cs="David" w:hint="cs"/>
          <w:rtl/>
        </w:rPr>
        <w:t xml:space="preserve"> </w:t>
      </w:r>
      <w:r>
        <w:rPr>
          <w:rFonts w:ascii="David" w:hAnsi="David" w:cs="David" w:hint="cs"/>
          <w:rtl/>
        </w:rPr>
        <w:t xml:space="preserve">משמע, לתוספת שירותי תחבורה ציבורית יש השפעה קטנה בלבד על מחירי השכירות באזור. השפעה קטנה זו יכולה להיות מוסברת על ידי העלייה המתמשכת בשימוש ברכב הפרטי, והירידה בהסתמכות על תחבורה ציבורית </w:t>
      </w:r>
      <w:r w:rsidR="000A6199">
        <w:rPr>
          <w:rFonts w:ascii="David" w:hAnsi="David" w:cs="David" w:hint="cs"/>
          <w:rtl/>
        </w:rPr>
        <w:t xml:space="preserve">כאמצעי מרכזי לניידות, בפרט </w:t>
      </w:r>
      <w:r>
        <w:rPr>
          <w:rFonts w:ascii="David" w:hAnsi="David" w:cs="David" w:hint="cs"/>
          <w:rtl/>
        </w:rPr>
        <w:t xml:space="preserve">למטרות יוממות (איור </w:t>
      </w:r>
      <w:r w:rsidR="00AB2568">
        <w:rPr>
          <w:rFonts w:ascii="David" w:hAnsi="David" w:cs="David" w:hint="cs"/>
          <w:rtl/>
        </w:rPr>
        <w:t>1</w:t>
      </w:r>
      <w:r>
        <w:rPr>
          <w:rFonts w:ascii="David" w:hAnsi="David" w:cs="David" w:hint="cs"/>
          <w:rtl/>
        </w:rPr>
        <w:t xml:space="preserve">).  </w:t>
      </w:r>
    </w:p>
    <w:p w14:paraId="43515DEB" w14:textId="0C0F906F" w:rsidR="00134F27" w:rsidRDefault="009A4E2A" w:rsidP="00FD234E">
      <w:pPr>
        <w:pStyle w:val="gmail-msolistparagraph"/>
        <w:bidi/>
        <w:spacing w:before="0" w:beforeAutospacing="0" w:after="120" w:afterAutospacing="0" w:line="360" w:lineRule="auto"/>
        <w:jc w:val="both"/>
        <w:rPr>
          <w:rFonts w:ascii="David" w:hAnsi="David" w:cs="David"/>
          <w:rtl/>
        </w:rPr>
      </w:pPr>
      <w:r>
        <w:rPr>
          <w:rFonts w:ascii="David" w:hAnsi="David" w:cs="David" w:hint="cs"/>
          <w:rtl/>
        </w:rPr>
        <w:t xml:space="preserve">עם זאת, במחקר נמצאו </w:t>
      </w:r>
      <w:r w:rsidR="00CB278C">
        <w:rPr>
          <w:rFonts w:ascii="David" w:hAnsi="David" w:cs="David" w:hint="cs"/>
          <w:rtl/>
        </w:rPr>
        <w:t xml:space="preserve">מספר גורמים אשר </w:t>
      </w:r>
      <w:r>
        <w:rPr>
          <w:rFonts w:ascii="David" w:hAnsi="David" w:cs="David" w:hint="cs"/>
          <w:rtl/>
        </w:rPr>
        <w:t xml:space="preserve">משפיעים באופן משמעותי על גודל </w:t>
      </w:r>
      <w:r w:rsidR="00CB278C">
        <w:rPr>
          <w:rFonts w:ascii="David" w:hAnsi="David" w:cs="David" w:hint="cs"/>
          <w:rtl/>
        </w:rPr>
        <w:t>פרמיית הנגישות</w:t>
      </w:r>
      <w:r w:rsidR="002016E8">
        <w:rPr>
          <w:rFonts w:ascii="David" w:hAnsi="David" w:cs="David" w:hint="cs"/>
          <w:rtl/>
        </w:rPr>
        <w:t xml:space="preserve"> (איור 2)</w:t>
      </w:r>
      <w:r w:rsidR="00CB278C">
        <w:rPr>
          <w:rFonts w:ascii="David" w:hAnsi="David" w:cs="David" w:hint="cs"/>
          <w:rtl/>
        </w:rPr>
        <w:t xml:space="preserve">. </w:t>
      </w:r>
      <w:r w:rsidR="00207E66">
        <w:rPr>
          <w:rFonts w:ascii="David" w:hAnsi="David" w:cs="David" w:hint="cs"/>
          <w:rtl/>
        </w:rPr>
        <w:t>ראשית</w:t>
      </w:r>
      <w:r>
        <w:rPr>
          <w:rFonts w:ascii="David" w:hAnsi="David" w:cs="David" w:hint="cs"/>
          <w:rtl/>
        </w:rPr>
        <w:t>,</w:t>
      </w:r>
      <w:r w:rsidR="00207E66">
        <w:rPr>
          <w:rFonts w:ascii="David" w:hAnsi="David" w:cs="David" w:hint="cs"/>
          <w:rtl/>
        </w:rPr>
        <w:t xml:space="preserve"> </w:t>
      </w:r>
      <w:r w:rsidR="00D951EA" w:rsidRPr="001E6319">
        <w:rPr>
          <w:rFonts w:ascii="David" w:hAnsi="David" w:cs="David"/>
          <w:rtl/>
        </w:rPr>
        <w:t>צפיפות</w:t>
      </w:r>
      <w:r>
        <w:rPr>
          <w:rFonts w:ascii="David" w:hAnsi="David" w:cs="David" w:hint="cs"/>
          <w:rtl/>
        </w:rPr>
        <w:t xml:space="preserve"> מגורים גבוהה</w:t>
      </w:r>
      <w:r w:rsidR="00D951EA" w:rsidRPr="001E6319">
        <w:rPr>
          <w:rFonts w:ascii="David" w:hAnsi="David" w:cs="David"/>
          <w:rtl/>
        </w:rPr>
        <w:t xml:space="preserve">, ובפרט ריכוז גבוה של נוסעים פוטנציאליים באזור </w:t>
      </w:r>
      <w:r w:rsidR="00406D40" w:rsidRPr="001E6319">
        <w:rPr>
          <w:rFonts w:ascii="David" w:hAnsi="David" w:cs="David" w:hint="cs"/>
          <w:rtl/>
        </w:rPr>
        <w:t>מסוים</w:t>
      </w:r>
      <w:r w:rsidR="00D951EA" w:rsidRPr="001E6319">
        <w:rPr>
          <w:rFonts w:ascii="David" w:hAnsi="David" w:cs="David"/>
          <w:rtl/>
        </w:rPr>
        <w:t xml:space="preserve"> מעלה את גודל הפרמיה.</w:t>
      </w:r>
      <w:r>
        <w:rPr>
          <w:rFonts w:ascii="David" w:hAnsi="David" w:cs="David" w:hint="cs"/>
          <w:rtl/>
        </w:rPr>
        <w:t xml:space="preserve"> </w:t>
      </w:r>
      <w:r w:rsidR="000A6199">
        <w:rPr>
          <w:rFonts w:ascii="David" w:hAnsi="David" w:cs="David" w:hint="cs"/>
          <w:rtl/>
        </w:rPr>
        <w:t>בדומה, הפרמיה הנאמדת גבוהה יותר ב</w:t>
      </w:r>
      <w:r w:rsidR="00D951EA" w:rsidRPr="001E6319">
        <w:rPr>
          <w:rFonts w:ascii="David" w:hAnsi="David" w:cs="David"/>
          <w:rtl/>
        </w:rPr>
        <w:t xml:space="preserve">אזורים המשמשים </w:t>
      </w:r>
      <w:r w:rsidR="00E91FDA">
        <w:rPr>
          <w:rFonts w:ascii="David" w:hAnsi="David" w:cs="David" w:hint="cs"/>
          <w:rtl/>
        </w:rPr>
        <w:t xml:space="preserve">הן </w:t>
      </w:r>
      <w:r w:rsidR="00D951EA" w:rsidRPr="001E6319">
        <w:rPr>
          <w:rFonts w:ascii="David" w:hAnsi="David" w:cs="David"/>
          <w:rtl/>
        </w:rPr>
        <w:t xml:space="preserve">למגורים </w:t>
      </w:r>
      <w:r w:rsidR="00E91FDA">
        <w:rPr>
          <w:rFonts w:ascii="David" w:hAnsi="David" w:cs="David" w:hint="cs"/>
          <w:rtl/>
        </w:rPr>
        <w:t>והן</w:t>
      </w:r>
      <w:r w:rsidR="00E91FDA" w:rsidRPr="001E6319">
        <w:rPr>
          <w:rFonts w:ascii="David" w:hAnsi="David" w:cs="David"/>
          <w:rtl/>
        </w:rPr>
        <w:t xml:space="preserve"> </w:t>
      </w:r>
      <w:r w:rsidR="00E91FDA">
        <w:rPr>
          <w:rFonts w:ascii="David" w:hAnsi="David" w:cs="David" w:hint="cs"/>
          <w:rtl/>
        </w:rPr>
        <w:t>ל</w:t>
      </w:r>
      <w:r w:rsidR="00D951EA" w:rsidRPr="001E6319">
        <w:rPr>
          <w:rFonts w:ascii="David" w:hAnsi="David" w:cs="David"/>
          <w:rtl/>
        </w:rPr>
        <w:t xml:space="preserve">תעסוקה </w:t>
      </w:r>
      <w:r w:rsidR="00E91FDA">
        <w:rPr>
          <w:rFonts w:ascii="David" w:hAnsi="David" w:cs="David" w:hint="cs"/>
          <w:rtl/>
        </w:rPr>
        <w:t>(אזורי "עירוב שימ</w:t>
      </w:r>
      <w:r w:rsidR="00207E66">
        <w:rPr>
          <w:rFonts w:ascii="David" w:hAnsi="David" w:cs="David" w:hint="cs"/>
          <w:rtl/>
        </w:rPr>
        <w:t>ו</w:t>
      </w:r>
      <w:r w:rsidR="00E91FDA">
        <w:rPr>
          <w:rFonts w:ascii="David" w:hAnsi="David" w:cs="David" w:hint="cs"/>
          <w:rtl/>
        </w:rPr>
        <w:t>שים")</w:t>
      </w:r>
      <w:r w:rsidR="000A6199">
        <w:rPr>
          <w:rFonts w:ascii="David" w:hAnsi="David" w:cs="David" w:hint="cs"/>
          <w:rtl/>
        </w:rPr>
        <w:t xml:space="preserve"> ו</w:t>
      </w:r>
      <w:r w:rsidR="00D951EA" w:rsidRPr="001E6319">
        <w:rPr>
          <w:rFonts w:ascii="David" w:hAnsi="David" w:cs="David"/>
          <w:rtl/>
        </w:rPr>
        <w:t>באזורים הנמצאים בקרבת מערכות תחבורה מסילתיות</w:t>
      </w:r>
      <w:r w:rsidR="000A6199">
        <w:rPr>
          <w:rFonts w:ascii="David" w:hAnsi="David" w:cs="David" w:hint="cs"/>
          <w:rtl/>
        </w:rPr>
        <w:t xml:space="preserve"> - </w:t>
      </w:r>
      <w:r w:rsidR="00D951EA" w:rsidRPr="001E6319">
        <w:rPr>
          <w:rFonts w:ascii="David" w:hAnsi="David" w:cs="David"/>
          <w:rtl/>
        </w:rPr>
        <w:t xml:space="preserve">בפרט בקרבת </w:t>
      </w:r>
      <w:r w:rsidR="00E91E35" w:rsidRPr="001E6319">
        <w:rPr>
          <w:rFonts w:ascii="David" w:hAnsi="David" w:cs="David"/>
          <w:rtl/>
        </w:rPr>
        <w:t>הרכבת הקלה בירושלים</w:t>
      </w:r>
      <w:r w:rsidR="00E91E35">
        <w:rPr>
          <w:rFonts w:ascii="David" w:hAnsi="David" w:cs="David" w:hint="cs"/>
          <w:rtl/>
        </w:rPr>
        <w:t xml:space="preserve"> ובקרבת </w:t>
      </w:r>
      <w:r w:rsidR="00D951EA" w:rsidRPr="001E6319">
        <w:rPr>
          <w:rFonts w:ascii="David" w:hAnsi="David" w:cs="David"/>
          <w:rtl/>
        </w:rPr>
        <w:t>תחנות חדשות של רכבת ישראל שנחנכו במהלך תקופת המחקר</w:t>
      </w:r>
      <w:r w:rsidR="00E91E35">
        <w:rPr>
          <w:rFonts w:ascii="David" w:hAnsi="David" w:cs="David" w:hint="cs"/>
          <w:rtl/>
        </w:rPr>
        <w:t>.</w:t>
      </w:r>
      <w:r w:rsidR="000A6199">
        <w:rPr>
          <w:rFonts w:ascii="David" w:hAnsi="David" w:cs="David" w:hint="cs"/>
          <w:rtl/>
        </w:rPr>
        <w:t xml:space="preserve"> </w:t>
      </w:r>
      <w:r w:rsidR="00D951EA" w:rsidRPr="001E6319">
        <w:rPr>
          <w:rFonts w:ascii="David" w:hAnsi="David" w:cs="David"/>
          <w:rtl/>
        </w:rPr>
        <w:t xml:space="preserve">הפרמיה גבוהה במיוחד באזורים בהם </w:t>
      </w:r>
      <w:r w:rsidR="00207E66">
        <w:rPr>
          <w:rFonts w:ascii="David" w:hAnsi="David" w:cs="David" w:hint="cs"/>
          <w:rtl/>
        </w:rPr>
        <w:t>טיב</w:t>
      </w:r>
      <w:r w:rsidR="00207E66" w:rsidRPr="001E6319">
        <w:rPr>
          <w:rFonts w:ascii="David" w:hAnsi="David" w:cs="David"/>
          <w:rtl/>
        </w:rPr>
        <w:t xml:space="preserve"> </w:t>
      </w:r>
      <w:r w:rsidR="00D951EA" w:rsidRPr="001E6319">
        <w:rPr>
          <w:rFonts w:ascii="David" w:hAnsi="David" w:cs="David"/>
          <w:rtl/>
        </w:rPr>
        <w:t>שירות</w:t>
      </w:r>
      <w:r w:rsidR="00207E66">
        <w:rPr>
          <w:rFonts w:ascii="David" w:hAnsi="David" w:cs="David" w:hint="cs"/>
          <w:rtl/>
        </w:rPr>
        <w:t>י התחבורה הציבורית</w:t>
      </w:r>
      <w:r w:rsidR="00D951EA" w:rsidRPr="001E6319">
        <w:rPr>
          <w:rFonts w:ascii="David" w:hAnsi="David" w:cs="David"/>
          <w:rtl/>
        </w:rPr>
        <w:t xml:space="preserve"> נמו</w:t>
      </w:r>
      <w:r w:rsidR="00207E66">
        <w:rPr>
          <w:rFonts w:ascii="David" w:hAnsi="David" w:cs="David" w:hint="cs"/>
          <w:rtl/>
        </w:rPr>
        <w:t>ך</w:t>
      </w:r>
      <w:r w:rsidR="00D951EA" w:rsidRPr="001E6319">
        <w:rPr>
          <w:rFonts w:ascii="David" w:hAnsi="David" w:cs="David"/>
          <w:rtl/>
        </w:rPr>
        <w:t xml:space="preserve"> </w:t>
      </w:r>
      <w:r w:rsidR="00207E66">
        <w:rPr>
          <w:rFonts w:ascii="David" w:hAnsi="David" w:cs="David" w:hint="cs"/>
          <w:rtl/>
        </w:rPr>
        <w:t>מהצפוי לפי מאפייני האזור</w:t>
      </w:r>
      <w:r w:rsidR="00D951EA" w:rsidRPr="001E6319">
        <w:rPr>
          <w:rFonts w:ascii="David" w:hAnsi="David" w:cs="David"/>
          <w:rtl/>
        </w:rPr>
        <w:t>. משמע, הפרמיה היא בעיקר</w:t>
      </w:r>
      <w:r w:rsidR="006F5C88">
        <w:rPr>
          <w:rFonts w:ascii="David" w:hAnsi="David" w:cs="David" w:hint="cs"/>
          <w:rtl/>
        </w:rPr>
        <w:t>ה</w:t>
      </w:r>
      <w:r w:rsidR="00D951EA" w:rsidRPr="001E6319">
        <w:rPr>
          <w:rFonts w:ascii="David" w:hAnsi="David" w:cs="David"/>
          <w:rtl/>
        </w:rPr>
        <w:t xml:space="preserve"> 'קנס' </w:t>
      </w:r>
      <w:r w:rsidR="00AB2568">
        <w:rPr>
          <w:rFonts w:ascii="David" w:hAnsi="David" w:cs="David" w:hint="cs"/>
          <w:rtl/>
        </w:rPr>
        <w:t xml:space="preserve">(השפעה שלילית על </w:t>
      </w:r>
      <w:r w:rsidR="000A6199">
        <w:rPr>
          <w:rFonts w:ascii="David" w:hAnsi="David" w:cs="David" w:hint="cs"/>
          <w:rtl/>
        </w:rPr>
        <w:t>מחיר</w:t>
      </w:r>
      <w:r w:rsidR="00AB2568">
        <w:rPr>
          <w:rFonts w:ascii="David" w:hAnsi="David" w:cs="David" w:hint="cs"/>
          <w:rtl/>
        </w:rPr>
        <w:t xml:space="preserve"> השכירות</w:t>
      </w:r>
      <w:r w:rsidR="000A6199">
        <w:rPr>
          <w:rFonts w:ascii="David" w:hAnsi="David" w:cs="David" w:hint="cs"/>
          <w:rtl/>
        </w:rPr>
        <w:t xml:space="preserve">) באזורים בהם </w:t>
      </w:r>
      <w:r w:rsidR="00D951EA" w:rsidRPr="001E6319">
        <w:rPr>
          <w:rFonts w:ascii="David" w:hAnsi="David" w:cs="David"/>
          <w:rtl/>
        </w:rPr>
        <w:t xml:space="preserve">רמת </w:t>
      </w:r>
      <w:r w:rsidR="000A6199">
        <w:rPr>
          <w:rFonts w:ascii="David" w:hAnsi="David" w:cs="David" w:hint="cs"/>
          <w:rtl/>
        </w:rPr>
        <w:t>ה</w:t>
      </w:r>
      <w:r w:rsidR="00D951EA" w:rsidRPr="001E6319">
        <w:rPr>
          <w:rFonts w:ascii="David" w:hAnsi="David" w:cs="David"/>
          <w:rtl/>
        </w:rPr>
        <w:t>שירות נמוכה</w:t>
      </w:r>
      <w:r w:rsidR="00AB2568">
        <w:rPr>
          <w:rFonts w:ascii="David" w:hAnsi="David" w:cs="David" w:hint="cs"/>
          <w:rtl/>
        </w:rPr>
        <w:t xml:space="preserve"> מהצפוי לפי מאפייני האזור</w:t>
      </w:r>
      <w:r w:rsidR="00D951EA" w:rsidRPr="001E6319">
        <w:rPr>
          <w:rFonts w:ascii="David" w:hAnsi="David" w:cs="David"/>
          <w:rtl/>
        </w:rPr>
        <w:t xml:space="preserve">, ובמידה פחותה תוספת תשלום על </w:t>
      </w:r>
      <w:r w:rsidR="00AE35D4">
        <w:rPr>
          <w:rFonts w:ascii="David" w:hAnsi="David" w:cs="David" w:hint="cs"/>
          <w:rtl/>
        </w:rPr>
        <w:t xml:space="preserve">רמת </w:t>
      </w:r>
      <w:r w:rsidR="00D951EA" w:rsidRPr="001E6319">
        <w:rPr>
          <w:rFonts w:ascii="David" w:hAnsi="David" w:cs="David"/>
          <w:rtl/>
        </w:rPr>
        <w:t>שירותים יוצא</w:t>
      </w:r>
      <w:r w:rsidR="00AE35D4">
        <w:rPr>
          <w:rFonts w:ascii="David" w:hAnsi="David" w:cs="David" w:hint="cs"/>
          <w:rtl/>
        </w:rPr>
        <w:t>ת</w:t>
      </w:r>
      <w:r w:rsidR="00D951EA" w:rsidRPr="001E6319">
        <w:rPr>
          <w:rFonts w:ascii="David" w:hAnsi="David" w:cs="David"/>
          <w:rtl/>
        </w:rPr>
        <w:t xml:space="preserve"> מהכלל </w:t>
      </w:r>
      <w:r w:rsidR="000A6199">
        <w:rPr>
          <w:rFonts w:ascii="David" w:hAnsi="David" w:cs="David" w:hint="cs"/>
          <w:rtl/>
        </w:rPr>
        <w:t>בהשוואה ל</w:t>
      </w:r>
      <w:r w:rsidR="00AB2568">
        <w:rPr>
          <w:rFonts w:ascii="David" w:hAnsi="David" w:cs="David" w:hint="cs"/>
          <w:rtl/>
        </w:rPr>
        <w:t>רמה ה</w:t>
      </w:r>
      <w:r w:rsidR="000A6199">
        <w:rPr>
          <w:rFonts w:ascii="David" w:hAnsi="David" w:cs="David" w:hint="cs"/>
          <w:rtl/>
        </w:rPr>
        <w:t>צפוי</w:t>
      </w:r>
      <w:r w:rsidR="00AB2568">
        <w:rPr>
          <w:rFonts w:ascii="David" w:hAnsi="David" w:cs="David" w:hint="cs"/>
          <w:rtl/>
        </w:rPr>
        <w:t>ה</w:t>
      </w:r>
      <w:r w:rsidR="00D951EA" w:rsidRPr="001E6319">
        <w:rPr>
          <w:rFonts w:ascii="David" w:hAnsi="David" w:cs="David"/>
          <w:rtl/>
        </w:rPr>
        <w:t>.</w:t>
      </w:r>
      <w:r w:rsidR="000A6199">
        <w:rPr>
          <w:rFonts w:ascii="David" w:hAnsi="David" w:cs="David" w:hint="cs"/>
          <w:rtl/>
        </w:rPr>
        <w:t xml:space="preserve"> לבסוף, </w:t>
      </w:r>
      <w:r w:rsidR="00D951EA" w:rsidRPr="001E6319">
        <w:rPr>
          <w:rFonts w:ascii="David" w:hAnsi="David" w:cs="David"/>
          <w:rtl/>
        </w:rPr>
        <w:t xml:space="preserve">יש רף עליון אבסולוטי לרמת השירות שעדיין משפיעה באופן חיובי על מחירי השכירות. רמת שירות גבוהה מרף זה לא תורמת, ויכולה אף לפגוע במחירי השכירות באזור. תוצאה זו נובעת כנראה ממפגעי רעש </w:t>
      </w:r>
      <w:r w:rsidR="00AE35D4">
        <w:rPr>
          <w:rFonts w:ascii="David" w:hAnsi="David" w:cs="David" w:hint="cs"/>
          <w:rtl/>
        </w:rPr>
        <w:t>ו</w:t>
      </w:r>
      <w:r w:rsidR="00D951EA" w:rsidRPr="001E6319">
        <w:rPr>
          <w:rFonts w:ascii="David" w:hAnsi="David" w:cs="David"/>
          <w:rtl/>
        </w:rPr>
        <w:t xml:space="preserve">זיהום </w:t>
      </w:r>
      <w:r w:rsidR="00AE35D4">
        <w:rPr>
          <w:rFonts w:ascii="David" w:hAnsi="David" w:cs="David" w:hint="cs"/>
          <w:rtl/>
        </w:rPr>
        <w:t>בסמוך למרכזי תחבורה גדולים.</w:t>
      </w:r>
    </w:p>
    <w:p w14:paraId="6B20D7DE" w14:textId="7AE04336" w:rsidR="00134F27" w:rsidRDefault="00E91E35" w:rsidP="005A6053">
      <w:pPr>
        <w:pStyle w:val="gmail-msolistparagraph"/>
        <w:bidi/>
        <w:spacing w:before="0" w:beforeAutospacing="0" w:after="120" w:afterAutospacing="0" w:line="360" w:lineRule="auto"/>
        <w:jc w:val="both"/>
        <w:rPr>
          <w:rFonts w:ascii="David" w:hAnsi="David" w:cs="David"/>
          <w:rtl/>
        </w:rPr>
      </w:pPr>
      <w:r w:rsidRPr="001E6319">
        <w:rPr>
          <w:rFonts w:ascii="David" w:hAnsi="David" w:cs="David"/>
          <w:rtl/>
        </w:rPr>
        <w:t xml:space="preserve">מכיוון שפרמיה גבוהה משקפת ערך גבוה יותר שהתושבים מייחסים לתחבורה ציבורית במקום מגוריהם, אפשר לפרש </w:t>
      </w:r>
      <w:r>
        <w:rPr>
          <w:rFonts w:ascii="David" w:hAnsi="David" w:cs="David" w:hint="cs"/>
          <w:rtl/>
        </w:rPr>
        <w:t>את המאפיינים</w:t>
      </w:r>
      <w:r w:rsidRPr="001E6319">
        <w:rPr>
          <w:rFonts w:ascii="David" w:hAnsi="David" w:cs="David"/>
          <w:rtl/>
        </w:rPr>
        <w:t xml:space="preserve"> </w:t>
      </w:r>
      <w:r>
        <w:rPr>
          <w:rFonts w:ascii="David" w:hAnsi="David" w:cs="David" w:hint="cs"/>
          <w:rtl/>
        </w:rPr>
        <w:t>שנמצאו כ</w:t>
      </w:r>
      <w:r w:rsidRPr="001E6319">
        <w:rPr>
          <w:rFonts w:ascii="David" w:hAnsi="David" w:cs="David"/>
          <w:rtl/>
        </w:rPr>
        <w:t>תורמים לגובה הפרמיה</w:t>
      </w:r>
      <w:r>
        <w:rPr>
          <w:rFonts w:ascii="David" w:hAnsi="David" w:cs="David" w:hint="cs"/>
          <w:rtl/>
        </w:rPr>
        <w:t>,</w:t>
      </w:r>
      <w:r w:rsidRPr="001E6319">
        <w:rPr>
          <w:rFonts w:ascii="David" w:hAnsi="David" w:cs="David"/>
          <w:rtl/>
        </w:rPr>
        <w:t xml:space="preserve"> </w:t>
      </w:r>
      <w:r>
        <w:rPr>
          <w:rFonts w:ascii="David" w:hAnsi="David" w:cs="David" w:hint="cs"/>
          <w:rtl/>
        </w:rPr>
        <w:t xml:space="preserve">כמאפיינים המאפשרים </w:t>
      </w:r>
      <w:r w:rsidRPr="001E6319">
        <w:rPr>
          <w:rFonts w:ascii="David" w:hAnsi="David" w:cs="David"/>
          <w:rtl/>
        </w:rPr>
        <w:t>לקיים שירותי תחבורה ציבורית אפקטיביים</w:t>
      </w:r>
      <w:r>
        <w:rPr>
          <w:rFonts w:ascii="David" w:hAnsi="David" w:cs="David" w:hint="cs"/>
          <w:rtl/>
        </w:rPr>
        <w:t xml:space="preserve"> ואטרקטיביים באותו הקשר עירוני</w:t>
      </w:r>
      <w:r w:rsidRPr="001E6319">
        <w:rPr>
          <w:rFonts w:ascii="David" w:hAnsi="David" w:cs="David"/>
          <w:rtl/>
        </w:rPr>
        <w:t>.</w:t>
      </w:r>
      <w:r w:rsidR="00562754">
        <w:rPr>
          <w:rFonts w:ascii="David" w:hAnsi="David" w:cs="David" w:hint="cs"/>
          <w:rtl/>
        </w:rPr>
        <w:t xml:space="preserve"> המחקר </w:t>
      </w:r>
      <w:r w:rsidR="005A6053">
        <w:rPr>
          <w:rFonts w:ascii="David" w:hAnsi="David" w:cs="David" w:hint="cs"/>
          <w:rtl/>
        </w:rPr>
        <w:t xml:space="preserve">מצביע על </w:t>
      </w:r>
      <w:r w:rsidR="00562754">
        <w:rPr>
          <w:rFonts w:ascii="David" w:hAnsi="David" w:cs="David" w:hint="cs"/>
          <w:rtl/>
        </w:rPr>
        <w:t>צורך בסביבה אורבנית צפופה</w:t>
      </w:r>
      <w:r w:rsidR="004A1958">
        <w:rPr>
          <w:rFonts w:ascii="David" w:hAnsi="David" w:cs="David" w:hint="cs"/>
          <w:rtl/>
        </w:rPr>
        <w:t xml:space="preserve"> </w:t>
      </w:r>
      <w:r w:rsidR="00562754">
        <w:rPr>
          <w:rFonts w:ascii="David" w:hAnsi="David" w:cs="David" w:hint="cs"/>
          <w:rtl/>
        </w:rPr>
        <w:t>עם עירוב שימושים</w:t>
      </w:r>
      <w:r w:rsidR="004A1958">
        <w:rPr>
          <w:rFonts w:ascii="David" w:hAnsi="David" w:cs="David" w:hint="cs"/>
          <w:rtl/>
        </w:rPr>
        <w:t xml:space="preserve"> ומערכות הסעת המונים על מנת לקיים תחבורה ציבורית אפקטיבית. ספרות נרחבת קודמת מצאה שהשפעות הרכב הפרטי על ערים הן הפוכות</w:t>
      </w:r>
      <w:r w:rsidR="005A6053">
        <w:rPr>
          <w:rFonts w:ascii="David" w:hAnsi="David" w:cs="David"/>
        </w:rPr>
        <w:t>;</w:t>
      </w:r>
      <w:r w:rsidR="004A1958">
        <w:rPr>
          <w:rFonts w:ascii="David" w:hAnsi="David" w:cs="David" w:hint="cs"/>
          <w:rtl/>
        </w:rPr>
        <w:t xml:space="preserve"> הרכב הפרטי גורם לירידה בצפיפות, </w:t>
      </w:r>
      <w:proofErr w:type="spellStart"/>
      <w:r w:rsidR="00AB2568">
        <w:rPr>
          <w:rFonts w:ascii="David" w:hAnsi="David" w:cs="David" w:hint="cs"/>
          <w:rtl/>
        </w:rPr>
        <w:t>ל</w:t>
      </w:r>
      <w:r w:rsidR="004A1958">
        <w:rPr>
          <w:rFonts w:ascii="David" w:hAnsi="David" w:cs="David" w:hint="cs"/>
          <w:rtl/>
        </w:rPr>
        <w:t>פרבור</w:t>
      </w:r>
      <w:proofErr w:type="spellEnd"/>
      <w:r w:rsidR="004A1958">
        <w:rPr>
          <w:rFonts w:ascii="David" w:hAnsi="David" w:cs="David" w:hint="cs"/>
          <w:rtl/>
        </w:rPr>
        <w:t xml:space="preserve"> ו</w:t>
      </w:r>
      <w:r w:rsidR="00AB2568">
        <w:rPr>
          <w:rFonts w:ascii="David" w:hAnsi="David" w:cs="David" w:hint="cs"/>
          <w:rtl/>
        </w:rPr>
        <w:t>ל</w:t>
      </w:r>
      <w:r w:rsidR="004A1958">
        <w:rPr>
          <w:rFonts w:ascii="David" w:hAnsi="David" w:cs="David" w:hint="cs"/>
          <w:rtl/>
        </w:rPr>
        <w:t>הפרדת שימושים</w:t>
      </w:r>
      <w:r w:rsidR="005A6053">
        <w:rPr>
          <w:rFonts w:ascii="David" w:hAnsi="David" w:cs="David" w:hint="cs"/>
          <w:rtl/>
        </w:rPr>
        <w:t>.</w:t>
      </w:r>
      <w:r w:rsidR="004A1958">
        <w:rPr>
          <w:rFonts w:ascii="David" w:hAnsi="David" w:cs="David" w:hint="cs"/>
          <w:rtl/>
        </w:rPr>
        <w:t xml:space="preserve"> </w:t>
      </w:r>
      <w:r w:rsidR="005A6053">
        <w:rPr>
          <w:rFonts w:ascii="David" w:hAnsi="David" w:cs="David" w:hint="cs"/>
          <w:rtl/>
        </w:rPr>
        <w:t xml:space="preserve">לכן, תוצאות </w:t>
      </w:r>
      <w:r w:rsidR="004A1958">
        <w:rPr>
          <w:rFonts w:ascii="David" w:hAnsi="David" w:cs="David" w:hint="cs"/>
          <w:rtl/>
        </w:rPr>
        <w:t>מחקר זה מצביע</w:t>
      </w:r>
      <w:r w:rsidR="005A6053">
        <w:rPr>
          <w:rFonts w:ascii="David" w:hAnsi="David" w:cs="David" w:hint="cs"/>
          <w:rtl/>
        </w:rPr>
        <w:t>ות</w:t>
      </w:r>
      <w:r w:rsidR="004A1958">
        <w:rPr>
          <w:rFonts w:ascii="David" w:hAnsi="David" w:cs="David" w:hint="cs"/>
          <w:rtl/>
        </w:rPr>
        <w:t xml:space="preserve"> על קושי לקיים מערכת תחבורה ציבורית אפקטיבית </w:t>
      </w:r>
      <w:r w:rsidR="005A6053">
        <w:rPr>
          <w:rFonts w:ascii="David" w:hAnsi="David" w:cs="David" w:hint="cs"/>
          <w:rtl/>
        </w:rPr>
        <w:t xml:space="preserve">באותו אזור </w:t>
      </w:r>
      <w:r w:rsidR="004A1958">
        <w:rPr>
          <w:rFonts w:ascii="David" w:hAnsi="David" w:cs="David" w:hint="cs"/>
          <w:rtl/>
        </w:rPr>
        <w:t>יחד עם תשתיות רכב פרטי מפותחות</w:t>
      </w:r>
      <w:r w:rsidR="002016E8">
        <w:rPr>
          <w:rFonts w:ascii="David" w:hAnsi="David" w:cs="David" w:hint="cs"/>
          <w:rtl/>
        </w:rPr>
        <w:t>,</w:t>
      </w:r>
      <w:r w:rsidR="00C44445">
        <w:rPr>
          <w:rFonts w:ascii="David" w:hAnsi="David" w:cs="David" w:hint="cs"/>
          <w:rtl/>
        </w:rPr>
        <w:t xml:space="preserve"> ועל הצורך בקיום סביבה עירונית מוכוונת תחבורה ציבורית על מנת לאפשר שימוש נרחב בה.</w:t>
      </w:r>
    </w:p>
    <w:p w14:paraId="36D2BD2A" w14:textId="5A583358" w:rsidR="00AB2568" w:rsidRDefault="008C7A57" w:rsidP="00D84404">
      <w:pPr>
        <w:pStyle w:val="gmail-msolistparagraph"/>
        <w:bidi/>
        <w:spacing w:before="0" w:beforeAutospacing="0" w:after="120" w:afterAutospacing="0" w:line="360" w:lineRule="auto"/>
        <w:jc w:val="center"/>
        <w:rPr>
          <w:rFonts w:ascii="David" w:hAnsi="David" w:cs="David"/>
          <w:rtl/>
        </w:rPr>
      </w:pPr>
      <w:r>
        <w:rPr>
          <w:noProof/>
        </w:rPr>
        <w:lastRenderedPageBreak/>
        <w:drawing>
          <wp:inline distT="0" distB="0" distL="0" distR="0" wp14:anchorId="04B6AF3C" wp14:editId="6F6D325D">
            <wp:extent cx="4371975" cy="3562351"/>
            <wp:effectExtent l="0" t="0" r="9525" b="0"/>
            <wp:docPr id="1" name="תרשים 1">
              <a:extLst xmlns:a="http://schemas.openxmlformats.org/drawingml/2006/main">
                <a:ext uri="{FF2B5EF4-FFF2-40B4-BE49-F238E27FC236}">
                  <a16:creationId xmlns:a16="http://schemas.microsoft.com/office/drawing/2014/main" id="{352A1AEB-5EA9-4514-B503-E4D1AE035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423CA1" w14:textId="462AD0A9" w:rsidR="00830E46" w:rsidRPr="001E6319" w:rsidRDefault="008C7A57" w:rsidP="00D84404">
      <w:pPr>
        <w:bidi/>
        <w:spacing w:line="360" w:lineRule="auto"/>
        <w:rPr>
          <w:rFonts w:ascii="David" w:hAnsi="David" w:cs="David"/>
          <w:sz w:val="24"/>
          <w:szCs w:val="24"/>
          <w:rtl/>
        </w:rPr>
      </w:pPr>
      <w:r>
        <w:rPr>
          <w:noProof/>
        </w:rPr>
        <w:drawing>
          <wp:inline distT="0" distB="0" distL="0" distR="0" wp14:anchorId="7393ADCC" wp14:editId="037F531D">
            <wp:extent cx="5120640" cy="3303270"/>
            <wp:effectExtent l="0" t="0" r="3810" b="11430"/>
            <wp:docPr id="2" name="תרשים 2">
              <a:extLst xmlns:a="http://schemas.openxmlformats.org/drawingml/2006/main">
                <a:ext uri="{FF2B5EF4-FFF2-40B4-BE49-F238E27FC236}">
                  <a16:creationId xmlns:a16="http://schemas.microsoft.com/office/drawing/2014/main" id="{14FD3D75-DC73-454F-9CD2-3BAAB2C186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F6E66" w:rsidDel="009F6E66">
        <w:rPr>
          <w:rFonts w:ascii="David" w:hAnsi="David" w:cs="David"/>
          <w:sz w:val="24"/>
          <w:szCs w:val="24"/>
          <w:rtl/>
        </w:rPr>
        <w:t xml:space="preserve"> </w:t>
      </w:r>
    </w:p>
    <w:sectPr w:rsidR="00830E46" w:rsidRPr="001E631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90D5" w14:textId="77777777" w:rsidR="00AC6149" w:rsidRDefault="00AC6149" w:rsidP="0032733F">
      <w:pPr>
        <w:spacing w:after="0" w:line="240" w:lineRule="auto"/>
      </w:pPr>
      <w:r>
        <w:separator/>
      </w:r>
    </w:p>
  </w:endnote>
  <w:endnote w:type="continuationSeparator" w:id="0">
    <w:p w14:paraId="0E834F77" w14:textId="77777777" w:rsidR="00AC6149" w:rsidRDefault="00AC6149" w:rsidP="0032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E8C6" w14:textId="77777777" w:rsidR="007A4714" w:rsidRDefault="007A471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7726" w14:textId="77777777" w:rsidR="007A4714" w:rsidRDefault="007A471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D43B" w14:textId="77777777" w:rsidR="007A4714" w:rsidRDefault="007A471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BA997" w14:textId="77777777" w:rsidR="00AC6149" w:rsidRDefault="00AC6149" w:rsidP="0032733F">
      <w:pPr>
        <w:spacing w:after="0" w:line="240" w:lineRule="auto"/>
      </w:pPr>
      <w:r>
        <w:separator/>
      </w:r>
    </w:p>
  </w:footnote>
  <w:footnote w:type="continuationSeparator" w:id="0">
    <w:p w14:paraId="1C68062F" w14:textId="77777777" w:rsidR="00AC6149" w:rsidRDefault="00AC6149" w:rsidP="0032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753D" w14:textId="77777777" w:rsidR="007A4714" w:rsidRDefault="007A471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51E7" w14:textId="77777777" w:rsidR="007A4714" w:rsidRDefault="007A471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EFC8" w14:textId="77777777" w:rsidR="007A4714" w:rsidRDefault="007A471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E348D"/>
    <w:multiLevelType w:val="hybridMultilevel"/>
    <w:tmpl w:val="6CD8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3F"/>
    <w:rsid w:val="00000B74"/>
    <w:rsid w:val="00006CEF"/>
    <w:rsid w:val="000109C7"/>
    <w:rsid w:val="000139DE"/>
    <w:rsid w:val="00013CB5"/>
    <w:rsid w:val="00015F1A"/>
    <w:rsid w:val="000200B6"/>
    <w:rsid w:val="00041026"/>
    <w:rsid w:val="00045CE5"/>
    <w:rsid w:val="00046528"/>
    <w:rsid w:val="00062CF5"/>
    <w:rsid w:val="000721BB"/>
    <w:rsid w:val="000723B7"/>
    <w:rsid w:val="00085A08"/>
    <w:rsid w:val="000861D8"/>
    <w:rsid w:val="0009500E"/>
    <w:rsid w:val="000A0124"/>
    <w:rsid w:val="000A6199"/>
    <w:rsid w:val="000A6942"/>
    <w:rsid w:val="000A7F9B"/>
    <w:rsid w:val="000B7144"/>
    <w:rsid w:val="000C051E"/>
    <w:rsid w:val="000C62D7"/>
    <w:rsid w:val="000D0578"/>
    <w:rsid w:val="000D43C7"/>
    <w:rsid w:val="000E058C"/>
    <w:rsid w:val="000F39CD"/>
    <w:rsid w:val="00112AAB"/>
    <w:rsid w:val="00134F27"/>
    <w:rsid w:val="001479F0"/>
    <w:rsid w:val="00163739"/>
    <w:rsid w:val="00186542"/>
    <w:rsid w:val="00194C50"/>
    <w:rsid w:val="001977DA"/>
    <w:rsid w:val="001B42B0"/>
    <w:rsid w:val="001B458B"/>
    <w:rsid w:val="001B6941"/>
    <w:rsid w:val="001B7E56"/>
    <w:rsid w:val="001C27C3"/>
    <w:rsid w:val="001C793B"/>
    <w:rsid w:val="001D5E80"/>
    <w:rsid w:val="001E6319"/>
    <w:rsid w:val="001F25AA"/>
    <w:rsid w:val="001F45AA"/>
    <w:rsid w:val="002016E8"/>
    <w:rsid w:val="00204C6F"/>
    <w:rsid w:val="00207E66"/>
    <w:rsid w:val="002138E1"/>
    <w:rsid w:val="002243E8"/>
    <w:rsid w:val="0022461B"/>
    <w:rsid w:val="00227812"/>
    <w:rsid w:val="00236673"/>
    <w:rsid w:val="002441DC"/>
    <w:rsid w:val="00244F62"/>
    <w:rsid w:val="00247BCF"/>
    <w:rsid w:val="00250DF3"/>
    <w:rsid w:val="00251F70"/>
    <w:rsid w:val="002556CB"/>
    <w:rsid w:val="00263AE8"/>
    <w:rsid w:val="00272D19"/>
    <w:rsid w:val="00272FDC"/>
    <w:rsid w:val="002732D4"/>
    <w:rsid w:val="002811F7"/>
    <w:rsid w:val="0028454D"/>
    <w:rsid w:val="00290684"/>
    <w:rsid w:val="00295960"/>
    <w:rsid w:val="00295D72"/>
    <w:rsid w:val="002B37F8"/>
    <w:rsid w:val="002B3B21"/>
    <w:rsid w:val="002D1E4F"/>
    <w:rsid w:val="002E6D28"/>
    <w:rsid w:val="002F0EE4"/>
    <w:rsid w:val="002F7707"/>
    <w:rsid w:val="00301FC2"/>
    <w:rsid w:val="00305205"/>
    <w:rsid w:val="0031512E"/>
    <w:rsid w:val="00316A33"/>
    <w:rsid w:val="003174FA"/>
    <w:rsid w:val="00324F7E"/>
    <w:rsid w:val="0032733F"/>
    <w:rsid w:val="003321FD"/>
    <w:rsid w:val="00336B0E"/>
    <w:rsid w:val="00336B2B"/>
    <w:rsid w:val="003408E1"/>
    <w:rsid w:val="003427A7"/>
    <w:rsid w:val="00343DD9"/>
    <w:rsid w:val="0034457D"/>
    <w:rsid w:val="00347872"/>
    <w:rsid w:val="0035620F"/>
    <w:rsid w:val="00357E62"/>
    <w:rsid w:val="0037329C"/>
    <w:rsid w:val="00383F01"/>
    <w:rsid w:val="00383F60"/>
    <w:rsid w:val="003A0A0E"/>
    <w:rsid w:val="003A0AB3"/>
    <w:rsid w:val="003A0F4C"/>
    <w:rsid w:val="003A6011"/>
    <w:rsid w:val="003A7D48"/>
    <w:rsid w:val="003B1499"/>
    <w:rsid w:val="003B37D7"/>
    <w:rsid w:val="003C2E10"/>
    <w:rsid w:val="003D22CC"/>
    <w:rsid w:val="003D5F23"/>
    <w:rsid w:val="003D6881"/>
    <w:rsid w:val="003D71E6"/>
    <w:rsid w:val="003F10D3"/>
    <w:rsid w:val="003F2159"/>
    <w:rsid w:val="00406D40"/>
    <w:rsid w:val="004077C2"/>
    <w:rsid w:val="00407D54"/>
    <w:rsid w:val="004135D1"/>
    <w:rsid w:val="0041471F"/>
    <w:rsid w:val="004249FA"/>
    <w:rsid w:val="00430B91"/>
    <w:rsid w:val="00431472"/>
    <w:rsid w:val="004374C6"/>
    <w:rsid w:val="004436D1"/>
    <w:rsid w:val="0045585C"/>
    <w:rsid w:val="00466C80"/>
    <w:rsid w:val="0047152C"/>
    <w:rsid w:val="00473B8D"/>
    <w:rsid w:val="00474EE0"/>
    <w:rsid w:val="00476584"/>
    <w:rsid w:val="004766B7"/>
    <w:rsid w:val="004A1958"/>
    <w:rsid w:val="004A1F76"/>
    <w:rsid w:val="004A327D"/>
    <w:rsid w:val="004A6B2A"/>
    <w:rsid w:val="004C0201"/>
    <w:rsid w:val="004D0305"/>
    <w:rsid w:val="004D08A1"/>
    <w:rsid w:val="004D0DAF"/>
    <w:rsid w:val="004D38A3"/>
    <w:rsid w:val="004E130C"/>
    <w:rsid w:val="004E1D3D"/>
    <w:rsid w:val="004F17FD"/>
    <w:rsid w:val="005004E3"/>
    <w:rsid w:val="00506807"/>
    <w:rsid w:val="0052168D"/>
    <w:rsid w:val="005314CD"/>
    <w:rsid w:val="00545D81"/>
    <w:rsid w:val="005502F3"/>
    <w:rsid w:val="0055175E"/>
    <w:rsid w:val="00551868"/>
    <w:rsid w:val="00554CC1"/>
    <w:rsid w:val="00562754"/>
    <w:rsid w:val="0056518D"/>
    <w:rsid w:val="00576450"/>
    <w:rsid w:val="005842E1"/>
    <w:rsid w:val="00590564"/>
    <w:rsid w:val="00596E7A"/>
    <w:rsid w:val="00597D48"/>
    <w:rsid w:val="005A367F"/>
    <w:rsid w:val="005A6053"/>
    <w:rsid w:val="005B0FFD"/>
    <w:rsid w:val="005C4AF7"/>
    <w:rsid w:val="005C6713"/>
    <w:rsid w:val="005D1E7C"/>
    <w:rsid w:val="005E4C6E"/>
    <w:rsid w:val="005E62AA"/>
    <w:rsid w:val="00602406"/>
    <w:rsid w:val="006030A3"/>
    <w:rsid w:val="00603BEB"/>
    <w:rsid w:val="00604DC1"/>
    <w:rsid w:val="00605D61"/>
    <w:rsid w:val="00616418"/>
    <w:rsid w:val="00635CDE"/>
    <w:rsid w:val="00635E67"/>
    <w:rsid w:val="006424E1"/>
    <w:rsid w:val="00644125"/>
    <w:rsid w:val="006503C9"/>
    <w:rsid w:val="006616F4"/>
    <w:rsid w:val="00666027"/>
    <w:rsid w:val="006666DA"/>
    <w:rsid w:val="006768A7"/>
    <w:rsid w:val="006C1651"/>
    <w:rsid w:val="006C1971"/>
    <w:rsid w:val="006C7F69"/>
    <w:rsid w:val="006D082A"/>
    <w:rsid w:val="006D3C66"/>
    <w:rsid w:val="006E24E8"/>
    <w:rsid w:val="006E25C1"/>
    <w:rsid w:val="006E3BFE"/>
    <w:rsid w:val="006E3FF5"/>
    <w:rsid w:val="006F0844"/>
    <w:rsid w:val="006F5C88"/>
    <w:rsid w:val="00701988"/>
    <w:rsid w:val="00704E68"/>
    <w:rsid w:val="007055F9"/>
    <w:rsid w:val="00707981"/>
    <w:rsid w:val="007129DA"/>
    <w:rsid w:val="00713B3F"/>
    <w:rsid w:val="00727915"/>
    <w:rsid w:val="0073021D"/>
    <w:rsid w:val="0073751A"/>
    <w:rsid w:val="00747BED"/>
    <w:rsid w:val="00754518"/>
    <w:rsid w:val="00761D04"/>
    <w:rsid w:val="00762BFA"/>
    <w:rsid w:val="00771CB0"/>
    <w:rsid w:val="00775CB6"/>
    <w:rsid w:val="00786F48"/>
    <w:rsid w:val="00796494"/>
    <w:rsid w:val="007A4714"/>
    <w:rsid w:val="007E103F"/>
    <w:rsid w:val="007E21B4"/>
    <w:rsid w:val="007E271F"/>
    <w:rsid w:val="007E7659"/>
    <w:rsid w:val="007F098C"/>
    <w:rsid w:val="007F0EFD"/>
    <w:rsid w:val="007F1246"/>
    <w:rsid w:val="00804491"/>
    <w:rsid w:val="008045D2"/>
    <w:rsid w:val="0080680F"/>
    <w:rsid w:val="00806DBD"/>
    <w:rsid w:val="008102A6"/>
    <w:rsid w:val="00811835"/>
    <w:rsid w:val="00811D62"/>
    <w:rsid w:val="00816F02"/>
    <w:rsid w:val="00825C9F"/>
    <w:rsid w:val="00830E46"/>
    <w:rsid w:val="00852060"/>
    <w:rsid w:val="008622F6"/>
    <w:rsid w:val="00866C1C"/>
    <w:rsid w:val="00872E54"/>
    <w:rsid w:val="0088222C"/>
    <w:rsid w:val="0088522B"/>
    <w:rsid w:val="008A198C"/>
    <w:rsid w:val="008A50A9"/>
    <w:rsid w:val="008A550D"/>
    <w:rsid w:val="008B03F8"/>
    <w:rsid w:val="008C1FF9"/>
    <w:rsid w:val="008C7A57"/>
    <w:rsid w:val="008D000A"/>
    <w:rsid w:val="008D6BFE"/>
    <w:rsid w:val="008E1252"/>
    <w:rsid w:val="008E28C9"/>
    <w:rsid w:val="008F13C2"/>
    <w:rsid w:val="008F5C2F"/>
    <w:rsid w:val="009054EB"/>
    <w:rsid w:val="009138A7"/>
    <w:rsid w:val="0091490C"/>
    <w:rsid w:val="009161DB"/>
    <w:rsid w:val="0091620F"/>
    <w:rsid w:val="009206C3"/>
    <w:rsid w:val="009409A1"/>
    <w:rsid w:val="00947710"/>
    <w:rsid w:val="00947829"/>
    <w:rsid w:val="009479C5"/>
    <w:rsid w:val="00974D5A"/>
    <w:rsid w:val="00981DF1"/>
    <w:rsid w:val="00981E7B"/>
    <w:rsid w:val="00985D5D"/>
    <w:rsid w:val="009860AB"/>
    <w:rsid w:val="00991E94"/>
    <w:rsid w:val="009A1CD5"/>
    <w:rsid w:val="009A4E2A"/>
    <w:rsid w:val="009B17C1"/>
    <w:rsid w:val="009B3390"/>
    <w:rsid w:val="009B4080"/>
    <w:rsid w:val="009C341F"/>
    <w:rsid w:val="009C6D85"/>
    <w:rsid w:val="009D4732"/>
    <w:rsid w:val="009E2A59"/>
    <w:rsid w:val="009E6078"/>
    <w:rsid w:val="009F2066"/>
    <w:rsid w:val="009F6E66"/>
    <w:rsid w:val="00A02AE1"/>
    <w:rsid w:val="00A07278"/>
    <w:rsid w:val="00A153A0"/>
    <w:rsid w:val="00A16107"/>
    <w:rsid w:val="00A2068E"/>
    <w:rsid w:val="00A20CBA"/>
    <w:rsid w:val="00A24D2F"/>
    <w:rsid w:val="00A454B7"/>
    <w:rsid w:val="00A6008A"/>
    <w:rsid w:val="00A62E21"/>
    <w:rsid w:val="00A63D52"/>
    <w:rsid w:val="00A641CA"/>
    <w:rsid w:val="00A70E6E"/>
    <w:rsid w:val="00A73E62"/>
    <w:rsid w:val="00A76B91"/>
    <w:rsid w:val="00AA2520"/>
    <w:rsid w:val="00AA67C8"/>
    <w:rsid w:val="00AB2568"/>
    <w:rsid w:val="00AC295B"/>
    <w:rsid w:val="00AC6149"/>
    <w:rsid w:val="00AC7FCA"/>
    <w:rsid w:val="00AD12FA"/>
    <w:rsid w:val="00AD4745"/>
    <w:rsid w:val="00AD4CD4"/>
    <w:rsid w:val="00AE35D4"/>
    <w:rsid w:val="00AF0D00"/>
    <w:rsid w:val="00AF2D5B"/>
    <w:rsid w:val="00B056EC"/>
    <w:rsid w:val="00B06EF5"/>
    <w:rsid w:val="00B1184C"/>
    <w:rsid w:val="00B1339A"/>
    <w:rsid w:val="00B21F3E"/>
    <w:rsid w:val="00B2529B"/>
    <w:rsid w:val="00B628AF"/>
    <w:rsid w:val="00B67DCA"/>
    <w:rsid w:val="00B7093E"/>
    <w:rsid w:val="00B84B9A"/>
    <w:rsid w:val="00B91488"/>
    <w:rsid w:val="00B95AC5"/>
    <w:rsid w:val="00B9623D"/>
    <w:rsid w:val="00BA0C70"/>
    <w:rsid w:val="00BB1C66"/>
    <w:rsid w:val="00BB73CE"/>
    <w:rsid w:val="00BB76D0"/>
    <w:rsid w:val="00BC4EF7"/>
    <w:rsid w:val="00BC55E9"/>
    <w:rsid w:val="00BD06CE"/>
    <w:rsid w:val="00BE2F6F"/>
    <w:rsid w:val="00BE3E56"/>
    <w:rsid w:val="00BE5B57"/>
    <w:rsid w:val="00BF3160"/>
    <w:rsid w:val="00C01EF6"/>
    <w:rsid w:val="00C02174"/>
    <w:rsid w:val="00C14A4A"/>
    <w:rsid w:val="00C15D46"/>
    <w:rsid w:val="00C23115"/>
    <w:rsid w:val="00C26AD3"/>
    <w:rsid w:val="00C44445"/>
    <w:rsid w:val="00C4572B"/>
    <w:rsid w:val="00C514BA"/>
    <w:rsid w:val="00C567A4"/>
    <w:rsid w:val="00C612CB"/>
    <w:rsid w:val="00C63253"/>
    <w:rsid w:val="00C75012"/>
    <w:rsid w:val="00C76151"/>
    <w:rsid w:val="00C842A2"/>
    <w:rsid w:val="00C84F3B"/>
    <w:rsid w:val="00C9297A"/>
    <w:rsid w:val="00C94B5D"/>
    <w:rsid w:val="00CA00DD"/>
    <w:rsid w:val="00CB278C"/>
    <w:rsid w:val="00CC6E5B"/>
    <w:rsid w:val="00CE01CB"/>
    <w:rsid w:val="00CE1188"/>
    <w:rsid w:val="00CE3EBE"/>
    <w:rsid w:val="00CE5374"/>
    <w:rsid w:val="00CF145E"/>
    <w:rsid w:val="00CF428E"/>
    <w:rsid w:val="00D03A22"/>
    <w:rsid w:val="00D047FE"/>
    <w:rsid w:val="00D0559A"/>
    <w:rsid w:val="00D102CD"/>
    <w:rsid w:val="00D20A99"/>
    <w:rsid w:val="00D24672"/>
    <w:rsid w:val="00D36DB0"/>
    <w:rsid w:val="00D40376"/>
    <w:rsid w:val="00D42A1B"/>
    <w:rsid w:val="00D431B4"/>
    <w:rsid w:val="00D44A02"/>
    <w:rsid w:val="00D46DD5"/>
    <w:rsid w:val="00D562D2"/>
    <w:rsid w:val="00D56911"/>
    <w:rsid w:val="00D6790B"/>
    <w:rsid w:val="00D84404"/>
    <w:rsid w:val="00D90224"/>
    <w:rsid w:val="00D951EA"/>
    <w:rsid w:val="00D95C29"/>
    <w:rsid w:val="00D97985"/>
    <w:rsid w:val="00DA2FB8"/>
    <w:rsid w:val="00DA5066"/>
    <w:rsid w:val="00DC15A8"/>
    <w:rsid w:val="00DE1D81"/>
    <w:rsid w:val="00DE6AC6"/>
    <w:rsid w:val="00DF0003"/>
    <w:rsid w:val="00E006A7"/>
    <w:rsid w:val="00E03465"/>
    <w:rsid w:val="00E05022"/>
    <w:rsid w:val="00E0509B"/>
    <w:rsid w:val="00E10A96"/>
    <w:rsid w:val="00E2392A"/>
    <w:rsid w:val="00E24B3A"/>
    <w:rsid w:val="00E32CF7"/>
    <w:rsid w:val="00E513DE"/>
    <w:rsid w:val="00E6010E"/>
    <w:rsid w:val="00E63606"/>
    <w:rsid w:val="00E73262"/>
    <w:rsid w:val="00E73BCF"/>
    <w:rsid w:val="00E80634"/>
    <w:rsid w:val="00E821F6"/>
    <w:rsid w:val="00E86FFE"/>
    <w:rsid w:val="00E91E35"/>
    <w:rsid w:val="00E91FDA"/>
    <w:rsid w:val="00E928F1"/>
    <w:rsid w:val="00E95236"/>
    <w:rsid w:val="00EA7F90"/>
    <w:rsid w:val="00ED404A"/>
    <w:rsid w:val="00ED5E3E"/>
    <w:rsid w:val="00EE2BFE"/>
    <w:rsid w:val="00EE54A4"/>
    <w:rsid w:val="00EF4249"/>
    <w:rsid w:val="00EF74DD"/>
    <w:rsid w:val="00F01E3E"/>
    <w:rsid w:val="00F02CC8"/>
    <w:rsid w:val="00F03882"/>
    <w:rsid w:val="00F077FA"/>
    <w:rsid w:val="00F13973"/>
    <w:rsid w:val="00F22F9B"/>
    <w:rsid w:val="00F24FB7"/>
    <w:rsid w:val="00F30A01"/>
    <w:rsid w:val="00F369D6"/>
    <w:rsid w:val="00F5236A"/>
    <w:rsid w:val="00F52A42"/>
    <w:rsid w:val="00F54519"/>
    <w:rsid w:val="00F55AA5"/>
    <w:rsid w:val="00F62FCC"/>
    <w:rsid w:val="00F636D9"/>
    <w:rsid w:val="00F73F5E"/>
    <w:rsid w:val="00F83E19"/>
    <w:rsid w:val="00FC1722"/>
    <w:rsid w:val="00FC5EA2"/>
    <w:rsid w:val="00FD234E"/>
    <w:rsid w:val="00FD288B"/>
    <w:rsid w:val="00FD50CE"/>
    <w:rsid w:val="00FF30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0C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5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733F"/>
    <w:pPr>
      <w:ind w:left="720"/>
      <w:contextualSpacing/>
    </w:pPr>
  </w:style>
  <w:style w:type="character" w:customStyle="1" w:styleId="a4">
    <w:name w:val="פיסקת רשימה תו"/>
    <w:basedOn w:val="a0"/>
    <w:link w:val="a3"/>
    <w:uiPriority w:val="99"/>
    <w:rsid w:val="0032733F"/>
  </w:style>
  <w:style w:type="paragraph" w:styleId="a5">
    <w:name w:val="footnote text"/>
    <w:basedOn w:val="a"/>
    <w:link w:val="a6"/>
    <w:uiPriority w:val="99"/>
    <w:unhideWhenUsed/>
    <w:qFormat/>
    <w:rsid w:val="0032733F"/>
    <w:pPr>
      <w:spacing w:after="0" w:line="240" w:lineRule="auto"/>
    </w:pPr>
    <w:rPr>
      <w:rFonts w:ascii="Calibri" w:eastAsia="Calibri" w:hAnsi="Calibri" w:cs="Calibri"/>
      <w:sz w:val="20"/>
      <w:szCs w:val="20"/>
    </w:rPr>
  </w:style>
  <w:style w:type="character" w:customStyle="1" w:styleId="a6">
    <w:name w:val="טקסט הערת שוליים תו"/>
    <w:basedOn w:val="a0"/>
    <w:link w:val="a5"/>
    <w:uiPriority w:val="99"/>
    <w:rsid w:val="0032733F"/>
    <w:rPr>
      <w:rFonts w:ascii="Calibri" w:eastAsia="Calibri" w:hAnsi="Calibri" w:cs="Calibri"/>
      <w:sz w:val="20"/>
      <w:szCs w:val="20"/>
    </w:rPr>
  </w:style>
  <w:style w:type="character" w:styleId="a7">
    <w:name w:val="footnote reference"/>
    <w:basedOn w:val="a0"/>
    <w:uiPriority w:val="99"/>
    <w:semiHidden/>
    <w:unhideWhenUsed/>
    <w:rsid w:val="0032733F"/>
    <w:rPr>
      <w:vertAlign w:val="superscript"/>
    </w:rPr>
  </w:style>
  <w:style w:type="paragraph" w:styleId="a8">
    <w:name w:val="caption"/>
    <w:basedOn w:val="a"/>
    <w:next w:val="a"/>
    <w:uiPriority w:val="35"/>
    <w:unhideWhenUsed/>
    <w:qFormat/>
    <w:rsid w:val="00635E67"/>
    <w:pPr>
      <w:spacing w:line="240" w:lineRule="auto"/>
    </w:pPr>
    <w:rPr>
      <w:i/>
      <w:iCs/>
      <w:color w:val="1F497D" w:themeColor="text2"/>
      <w:sz w:val="18"/>
      <w:szCs w:val="18"/>
    </w:rPr>
  </w:style>
  <w:style w:type="paragraph" w:styleId="a9">
    <w:name w:val="Balloon Text"/>
    <w:basedOn w:val="a"/>
    <w:link w:val="aa"/>
    <w:uiPriority w:val="99"/>
    <w:semiHidden/>
    <w:unhideWhenUsed/>
    <w:rsid w:val="00C26AD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C26AD3"/>
    <w:rPr>
      <w:rFonts w:ascii="Tahoma" w:hAnsi="Tahoma" w:cs="Tahoma"/>
      <w:sz w:val="18"/>
      <w:szCs w:val="18"/>
    </w:rPr>
  </w:style>
  <w:style w:type="character" w:styleId="ab">
    <w:name w:val="annotation reference"/>
    <w:basedOn w:val="a0"/>
    <w:uiPriority w:val="99"/>
    <w:semiHidden/>
    <w:unhideWhenUsed/>
    <w:rsid w:val="00C26AD3"/>
    <w:rPr>
      <w:sz w:val="16"/>
      <w:szCs w:val="16"/>
    </w:rPr>
  </w:style>
  <w:style w:type="paragraph" w:styleId="ac">
    <w:name w:val="annotation text"/>
    <w:basedOn w:val="a"/>
    <w:link w:val="ad"/>
    <w:uiPriority w:val="99"/>
    <w:semiHidden/>
    <w:unhideWhenUsed/>
    <w:rsid w:val="00C26AD3"/>
    <w:pPr>
      <w:spacing w:line="240" w:lineRule="auto"/>
    </w:pPr>
    <w:rPr>
      <w:sz w:val="20"/>
      <w:szCs w:val="20"/>
    </w:rPr>
  </w:style>
  <w:style w:type="character" w:customStyle="1" w:styleId="ad">
    <w:name w:val="טקסט הערה תו"/>
    <w:basedOn w:val="a0"/>
    <w:link w:val="ac"/>
    <w:uiPriority w:val="99"/>
    <w:semiHidden/>
    <w:rsid w:val="00C26AD3"/>
    <w:rPr>
      <w:sz w:val="20"/>
      <w:szCs w:val="20"/>
    </w:rPr>
  </w:style>
  <w:style w:type="paragraph" w:styleId="ae">
    <w:name w:val="annotation subject"/>
    <w:basedOn w:val="ac"/>
    <w:next w:val="ac"/>
    <w:link w:val="af"/>
    <w:uiPriority w:val="99"/>
    <w:semiHidden/>
    <w:unhideWhenUsed/>
    <w:rsid w:val="00C26AD3"/>
    <w:rPr>
      <w:b/>
      <w:bCs/>
    </w:rPr>
  </w:style>
  <w:style w:type="character" w:customStyle="1" w:styleId="af">
    <w:name w:val="נושא הערה תו"/>
    <w:basedOn w:val="ad"/>
    <w:link w:val="ae"/>
    <w:uiPriority w:val="99"/>
    <w:semiHidden/>
    <w:rsid w:val="00C26AD3"/>
    <w:rPr>
      <w:b/>
      <w:bCs/>
      <w:sz w:val="20"/>
      <w:szCs w:val="20"/>
    </w:rPr>
  </w:style>
  <w:style w:type="paragraph" w:styleId="af0">
    <w:name w:val="header"/>
    <w:basedOn w:val="a"/>
    <w:link w:val="af1"/>
    <w:uiPriority w:val="99"/>
    <w:unhideWhenUsed/>
    <w:rsid w:val="007A4714"/>
    <w:pPr>
      <w:tabs>
        <w:tab w:val="center" w:pos="4153"/>
        <w:tab w:val="right" w:pos="8306"/>
      </w:tabs>
      <w:spacing w:after="0" w:line="240" w:lineRule="auto"/>
    </w:pPr>
  </w:style>
  <w:style w:type="character" w:customStyle="1" w:styleId="af1">
    <w:name w:val="כותרת עליונה תו"/>
    <w:basedOn w:val="a0"/>
    <w:link w:val="af0"/>
    <w:uiPriority w:val="99"/>
    <w:rsid w:val="007A4714"/>
  </w:style>
  <w:style w:type="paragraph" w:styleId="af2">
    <w:name w:val="footer"/>
    <w:basedOn w:val="a"/>
    <w:link w:val="af3"/>
    <w:uiPriority w:val="99"/>
    <w:unhideWhenUsed/>
    <w:rsid w:val="007A4714"/>
    <w:pPr>
      <w:tabs>
        <w:tab w:val="center" w:pos="4153"/>
        <w:tab w:val="right" w:pos="8306"/>
      </w:tabs>
      <w:spacing w:after="0" w:line="240" w:lineRule="auto"/>
    </w:pPr>
  </w:style>
  <w:style w:type="character" w:customStyle="1" w:styleId="af3">
    <w:name w:val="כותרת תחתונה תו"/>
    <w:basedOn w:val="a0"/>
    <w:link w:val="af2"/>
    <w:uiPriority w:val="99"/>
    <w:rsid w:val="007A4714"/>
  </w:style>
  <w:style w:type="paragraph" w:styleId="af4">
    <w:name w:val="Revision"/>
    <w:hidden/>
    <w:uiPriority w:val="99"/>
    <w:semiHidden/>
    <w:rsid w:val="004249FA"/>
    <w:pPr>
      <w:spacing w:after="0" w:line="240" w:lineRule="auto"/>
    </w:pPr>
  </w:style>
  <w:style w:type="character" w:customStyle="1" w:styleId="10">
    <w:name w:val="כותרת 1 תו"/>
    <w:basedOn w:val="a0"/>
    <w:link w:val="1"/>
    <w:uiPriority w:val="9"/>
    <w:rsid w:val="00D951EA"/>
    <w:rPr>
      <w:rFonts w:ascii="Times New Roman" w:eastAsia="Times New Roman" w:hAnsi="Times New Roman" w:cs="Times New Roman"/>
      <w:b/>
      <w:bCs/>
      <w:kern w:val="36"/>
      <w:sz w:val="48"/>
      <w:szCs w:val="48"/>
    </w:rPr>
  </w:style>
  <w:style w:type="paragraph" w:customStyle="1" w:styleId="gmail-msolistparagraph">
    <w:name w:val="gmail-msolistparagraph"/>
    <w:basedOn w:val="a"/>
    <w:rsid w:val="00D951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vsrvyhmm\Vyhmm\MEHKARJR\MacroActivityUnit\Gal\effects_of_pt_on_rents\&#1492;&#1493;&#1491;&#1506;&#1492;%20&#1500;&#1506;&#1497;&#1514;&#1493;&#1504;&#1493;&#1514;%20-%20&#1488;&#1497;&#1493;&#1512;&#1497;&#150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mvsrvyhmm\Vyhmm\MEHKARJR\MacroActivityUnit\Gal\effects_of_pt_on_rents\&#1492;&#1493;&#1491;&#1506;&#1492;%20&#1500;&#1506;&#1497;&#1514;&#1493;&#1504;&#1493;&#1514;%20-%20&#1488;&#1497;&#1493;&#1512;&#1497;&#1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e-IL" sz="1400"/>
              <a:t>איור 1</a:t>
            </a:r>
            <a:endParaRPr lang="en-US" sz="1400"/>
          </a:p>
          <a:p>
            <a:pPr>
              <a:defRPr/>
            </a:pPr>
            <a:r>
              <a:rPr lang="he-IL" sz="1400"/>
              <a:t>אמצעי ההגעה לעבודה בישראל, 1972-2021</a:t>
            </a:r>
            <a:endParaRPr lang="en-US" sz="1400"/>
          </a:p>
        </c:rich>
      </c:tx>
      <c:layout>
        <c:manualLayout>
          <c:xMode val="edge"/>
          <c:yMode val="edge"/>
          <c:x val="0.18755673002544188"/>
          <c:y val="1.2360935421087757E-2"/>
        </c:manualLayout>
      </c:layout>
      <c:overlay val="0"/>
    </c:title>
    <c:autoTitleDeleted val="0"/>
    <c:plotArea>
      <c:layout>
        <c:manualLayout>
          <c:layoutTarget val="inner"/>
          <c:xMode val="edge"/>
          <c:yMode val="edge"/>
          <c:x val="0.11473376333277489"/>
          <c:y val="0.13429383730113043"/>
          <c:w val="0.8521983954133393"/>
          <c:h val="0.39015866439675345"/>
        </c:manualLayout>
      </c:layout>
      <c:lineChart>
        <c:grouping val="standard"/>
        <c:varyColors val="0"/>
        <c:ser>
          <c:idx val="0"/>
          <c:order val="0"/>
          <c:tx>
            <c:strRef>
              <c:f>'[הודעה לעיתונות - איורים.xlsx]איור1'!$B$1</c:f>
              <c:strCache>
                <c:ptCount val="1"/>
                <c:pt idx="0">
                  <c:v>רכב פרטי</c:v>
                </c:pt>
              </c:strCache>
            </c:strRef>
          </c:tx>
          <c:spPr>
            <a:ln w="19050">
              <a:solidFill>
                <a:srgbClr val="FF0000">
                  <a:alpha val="95000"/>
                </a:srgbClr>
              </a:solidFill>
            </a:ln>
          </c:spPr>
          <c:marker>
            <c:symbol val="diamond"/>
            <c:size val="5"/>
            <c:spPr>
              <a:solidFill>
                <a:srgbClr val="FF0000"/>
              </a:solidFill>
              <a:ln>
                <a:solidFill>
                  <a:srgbClr val="FF0000"/>
                </a:solidFill>
              </a:ln>
            </c:spPr>
          </c:marker>
          <c:cat>
            <c:numRef>
              <c:f>'[הודעה לעיתונות - איורים.xlsx]איור1'!$A$2:$A$13</c:f>
              <c:numCache>
                <c:formatCode>General</c:formatCode>
                <c:ptCount val="12"/>
                <c:pt idx="0">
                  <c:v>1972</c:v>
                </c:pt>
                <c:pt idx="1">
                  <c:v>1983</c:v>
                </c:pt>
                <c:pt idx="2">
                  <c:v>1995</c:v>
                </c:pt>
                <c:pt idx="3">
                  <c:v>2008</c:v>
                </c:pt>
                <c:pt idx="4">
                  <c:v>2014</c:v>
                </c:pt>
                <c:pt idx="5">
                  <c:v>2015</c:v>
                </c:pt>
                <c:pt idx="6">
                  <c:v>2016</c:v>
                </c:pt>
                <c:pt idx="7">
                  <c:v>2017</c:v>
                </c:pt>
                <c:pt idx="8">
                  <c:v>2018</c:v>
                </c:pt>
                <c:pt idx="9">
                  <c:v>2019</c:v>
                </c:pt>
                <c:pt idx="10">
                  <c:v>2020</c:v>
                </c:pt>
                <c:pt idx="11">
                  <c:v>2021</c:v>
                </c:pt>
              </c:numCache>
            </c:numRef>
          </c:cat>
          <c:val>
            <c:numRef>
              <c:f>'[הודעה לעיתונות - איורים.xlsx]איור1'!$B$2:$B$13</c:f>
              <c:numCache>
                <c:formatCode>0.0</c:formatCode>
                <c:ptCount val="12"/>
                <c:pt idx="0">
                  <c:v>23.777824006656957</c:v>
                </c:pt>
                <c:pt idx="1">
                  <c:v>32.097114345969857</c:v>
                </c:pt>
                <c:pt idx="2">
                  <c:v>46.848845416960778</c:v>
                </c:pt>
                <c:pt idx="3">
                  <c:v>58.829465186680132</c:v>
                </c:pt>
                <c:pt idx="4">
                  <c:v>59.774530430817265</c:v>
                </c:pt>
                <c:pt idx="5">
                  <c:v>60.135212003998753</c:v>
                </c:pt>
                <c:pt idx="6">
                  <c:v>61.457922390252278</c:v>
                </c:pt>
                <c:pt idx="7">
                  <c:v>63.332583770818388</c:v>
                </c:pt>
                <c:pt idx="8">
                  <c:v>64.816195355222291</c:v>
                </c:pt>
                <c:pt idx="9">
                  <c:v>66.023119103121601</c:v>
                </c:pt>
                <c:pt idx="10">
                  <c:v>67.668512299809905</c:v>
                </c:pt>
                <c:pt idx="11">
                  <c:v>66.920087436814569</c:v>
                </c:pt>
              </c:numCache>
            </c:numRef>
          </c:val>
          <c:smooth val="0"/>
          <c:extLst>
            <c:ext xmlns:c16="http://schemas.microsoft.com/office/drawing/2014/chart" uri="{C3380CC4-5D6E-409C-BE32-E72D297353CC}">
              <c16:uniqueId val="{00000000-0082-45DC-9CE8-F3087F507517}"/>
            </c:ext>
          </c:extLst>
        </c:ser>
        <c:ser>
          <c:idx val="1"/>
          <c:order val="1"/>
          <c:tx>
            <c:strRef>
              <c:f>'[הודעה לעיתונות - איורים.xlsx]איור1'!$C$1</c:f>
              <c:strCache>
                <c:ptCount val="1"/>
                <c:pt idx="0">
                  <c:v>אוטובוס</c:v>
                </c:pt>
              </c:strCache>
            </c:strRef>
          </c:tx>
          <c:spPr>
            <a:ln w="19050">
              <a:solidFill>
                <a:srgbClr val="002060"/>
              </a:solidFill>
            </a:ln>
          </c:spPr>
          <c:marker>
            <c:symbol val="diamond"/>
            <c:size val="5"/>
            <c:spPr>
              <a:solidFill>
                <a:srgbClr val="002060"/>
              </a:solidFill>
              <a:ln>
                <a:solidFill>
                  <a:srgbClr val="002060"/>
                </a:solidFill>
              </a:ln>
            </c:spPr>
          </c:marker>
          <c:cat>
            <c:numRef>
              <c:f>'[הודעה לעיתונות - איורים.xlsx]איור1'!$A$2:$A$13</c:f>
              <c:numCache>
                <c:formatCode>General</c:formatCode>
                <c:ptCount val="12"/>
                <c:pt idx="0">
                  <c:v>1972</c:v>
                </c:pt>
                <c:pt idx="1">
                  <c:v>1983</c:v>
                </c:pt>
                <c:pt idx="2">
                  <c:v>1995</c:v>
                </c:pt>
                <c:pt idx="3">
                  <c:v>2008</c:v>
                </c:pt>
                <c:pt idx="4">
                  <c:v>2014</c:v>
                </c:pt>
                <c:pt idx="5">
                  <c:v>2015</c:v>
                </c:pt>
                <c:pt idx="6">
                  <c:v>2016</c:v>
                </c:pt>
                <c:pt idx="7">
                  <c:v>2017</c:v>
                </c:pt>
                <c:pt idx="8">
                  <c:v>2018</c:v>
                </c:pt>
                <c:pt idx="9">
                  <c:v>2019</c:v>
                </c:pt>
                <c:pt idx="10">
                  <c:v>2020</c:v>
                </c:pt>
                <c:pt idx="11">
                  <c:v>2021</c:v>
                </c:pt>
              </c:numCache>
            </c:numRef>
          </c:cat>
          <c:val>
            <c:numRef>
              <c:f>'[הודעה לעיתונות - איורים.xlsx]איור1'!$C$2:$C$13</c:f>
              <c:numCache>
                <c:formatCode>0.0</c:formatCode>
                <c:ptCount val="12"/>
                <c:pt idx="0">
                  <c:v>34.768260436609467</c:v>
                </c:pt>
                <c:pt idx="1">
                  <c:v>33.640244843372258</c:v>
                </c:pt>
                <c:pt idx="2">
                  <c:v>26.368861550872239</c:v>
                </c:pt>
                <c:pt idx="3">
                  <c:v>19.172552976791124</c:v>
                </c:pt>
                <c:pt idx="4">
                  <c:v>18.393600908455213</c:v>
                </c:pt>
                <c:pt idx="5">
                  <c:v>18.556976150306561</c:v>
                </c:pt>
                <c:pt idx="6">
                  <c:v>17.857083622104145</c:v>
                </c:pt>
                <c:pt idx="7">
                  <c:v>16.397746699762738</c:v>
                </c:pt>
                <c:pt idx="8">
                  <c:v>16.478892126424501</c:v>
                </c:pt>
                <c:pt idx="9">
                  <c:v>15.872913412256807</c:v>
                </c:pt>
                <c:pt idx="10">
                  <c:v>14.569769369806965</c:v>
                </c:pt>
                <c:pt idx="11">
                  <c:v>14.602830775359477</c:v>
                </c:pt>
              </c:numCache>
            </c:numRef>
          </c:val>
          <c:smooth val="0"/>
          <c:extLst>
            <c:ext xmlns:c16="http://schemas.microsoft.com/office/drawing/2014/chart" uri="{C3380CC4-5D6E-409C-BE32-E72D297353CC}">
              <c16:uniqueId val="{00000001-0082-45DC-9CE8-F3087F507517}"/>
            </c:ext>
          </c:extLst>
        </c:ser>
        <c:ser>
          <c:idx val="2"/>
          <c:order val="2"/>
          <c:tx>
            <c:strRef>
              <c:f>'[הודעה לעיתונות - איורים.xlsx]איור1'!$D$1</c:f>
              <c:strCache>
                <c:ptCount val="1"/>
                <c:pt idx="0">
                  <c:v>רכבת</c:v>
                </c:pt>
              </c:strCache>
            </c:strRef>
          </c:tx>
          <c:spPr>
            <a:ln w="19050">
              <a:solidFill>
                <a:srgbClr val="00B050"/>
              </a:solidFill>
            </a:ln>
          </c:spPr>
          <c:marker>
            <c:symbol val="diamond"/>
            <c:size val="5"/>
            <c:spPr>
              <a:solidFill>
                <a:srgbClr val="00B050"/>
              </a:solidFill>
              <a:ln>
                <a:solidFill>
                  <a:srgbClr val="00B050"/>
                </a:solidFill>
              </a:ln>
            </c:spPr>
          </c:marker>
          <c:cat>
            <c:numRef>
              <c:f>'[הודעה לעיתונות - איורים.xlsx]איור1'!$A$2:$A$13</c:f>
              <c:numCache>
                <c:formatCode>General</c:formatCode>
                <c:ptCount val="12"/>
                <c:pt idx="0">
                  <c:v>1972</c:v>
                </c:pt>
                <c:pt idx="1">
                  <c:v>1983</c:v>
                </c:pt>
                <c:pt idx="2">
                  <c:v>1995</c:v>
                </c:pt>
                <c:pt idx="3">
                  <c:v>2008</c:v>
                </c:pt>
                <c:pt idx="4">
                  <c:v>2014</c:v>
                </c:pt>
                <c:pt idx="5">
                  <c:v>2015</c:v>
                </c:pt>
                <c:pt idx="6">
                  <c:v>2016</c:v>
                </c:pt>
                <c:pt idx="7">
                  <c:v>2017</c:v>
                </c:pt>
                <c:pt idx="8">
                  <c:v>2018</c:v>
                </c:pt>
                <c:pt idx="9">
                  <c:v>2019</c:v>
                </c:pt>
                <c:pt idx="10">
                  <c:v>2020</c:v>
                </c:pt>
                <c:pt idx="11">
                  <c:v>2021</c:v>
                </c:pt>
              </c:numCache>
            </c:numRef>
          </c:cat>
          <c:val>
            <c:numRef>
              <c:f>'[הודעה לעיתונות - איורים.xlsx]איור1'!$D$2:$D$13</c:f>
              <c:numCache>
                <c:formatCode>0.0</c:formatCode>
                <c:ptCount val="12"/>
                <c:pt idx="0">
                  <c:v>0.14562096941959643</c:v>
                </c:pt>
                <c:pt idx="1">
                  <c:v>0.18003189136361297</c:v>
                </c:pt>
                <c:pt idx="2">
                  <c:v>0.21175758798023595</c:v>
                </c:pt>
                <c:pt idx="3">
                  <c:v>0.60544904137235123</c:v>
                </c:pt>
                <c:pt idx="4">
                  <c:v>2.3185252628697564</c:v>
                </c:pt>
                <c:pt idx="5">
                  <c:v>2.1572559660541866</c:v>
                </c:pt>
                <c:pt idx="6">
                  <c:v>3.4578453847019586</c:v>
                </c:pt>
                <c:pt idx="7">
                  <c:v>3.0676422511092092</c:v>
                </c:pt>
                <c:pt idx="8">
                  <c:v>2.9294930655623688</c:v>
                </c:pt>
                <c:pt idx="9">
                  <c:v>2.7831273431049359</c:v>
                </c:pt>
                <c:pt idx="10">
                  <c:v>2.001375467635643</c:v>
                </c:pt>
                <c:pt idx="11">
                  <c:v>1.9706669065916564</c:v>
                </c:pt>
              </c:numCache>
            </c:numRef>
          </c:val>
          <c:smooth val="0"/>
          <c:extLst>
            <c:ext xmlns:c16="http://schemas.microsoft.com/office/drawing/2014/chart" uri="{C3380CC4-5D6E-409C-BE32-E72D297353CC}">
              <c16:uniqueId val="{00000002-0082-45DC-9CE8-F3087F507517}"/>
            </c:ext>
          </c:extLst>
        </c:ser>
        <c:ser>
          <c:idx val="3"/>
          <c:order val="3"/>
          <c:tx>
            <c:strRef>
              <c:f>'[הודעה לעיתונות - איורים.xlsx]איור1'!$E$1</c:f>
              <c:strCache>
                <c:ptCount val="1"/>
                <c:pt idx="0">
                  <c:v>הסעות מעסיקים</c:v>
                </c:pt>
              </c:strCache>
            </c:strRef>
          </c:tx>
          <c:spPr>
            <a:ln w="19050"/>
          </c:spPr>
          <c:marker>
            <c:symbol val="diamond"/>
            <c:size val="5"/>
          </c:marker>
          <c:cat>
            <c:numRef>
              <c:f>'[הודעה לעיתונות - איורים.xlsx]איור1'!$A$2:$A$13</c:f>
              <c:numCache>
                <c:formatCode>General</c:formatCode>
                <c:ptCount val="12"/>
                <c:pt idx="0">
                  <c:v>1972</c:v>
                </c:pt>
                <c:pt idx="1">
                  <c:v>1983</c:v>
                </c:pt>
                <c:pt idx="2">
                  <c:v>1995</c:v>
                </c:pt>
                <c:pt idx="3">
                  <c:v>2008</c:v>
                </c:pt>
                <c:pt idx="4">
                  <c:v>2014</c:v>
                </c:pt>
                <c:pt idx="5">
                  <c:v>2015</c:v>
                </c:pt>
                <c:pt idx="6">
                  <c:v>2016</c:v>
                </c:pt>
                <c:pt idx="7">
                  <c:v>2017</c:v>
                </c:pt>
                <c:pt idx="8">
                  <c:v>2018</c:v>
                </c:pt>
                <c:pt idx="9">
                  <c:v>2019</c:v>
                </c:pt>
                <c:pt idx="10">
                  <c:v>2020</c:v>
                </c:pt>
                <c:pt idx="11">
                  <c:v>2021</c:v>
                </c:pt>
              </c:numCache>
            </c:numRef>
          </c:cat>
          <c:val>
            <c:numRef>
              <c:f>'[הודעה לעיתונות - איורים.xlsx]איור1'!$E$2:$E$13</c:f>
              <c:numCache>
                <c:formatCode>0.0</c:formatCode>
                <c:ptCount val="12"/>
                <c:pt idx="0">
                  <c:v>15.502178506598348</c:v>
                </c:pt>
                <c:pt idx="1">
                  <c:v>14.999228434751299</c:v>
                </c:pt>
                <c:pt idx="2">
                  <c:v>11.21306846828678</c:v>
                </c:pt>
                <c:pt idx="3">
                  <c:v>9.182643794147328</c:v>
                </c:pt>
                <c:pt idx="4">
                  <c:v>9.0470488291599818</c:v>
                </c:pt>
                <c:pt idx="5">
                  <c:v>8.8308373413631074</c:v>
                </c:pt>
                <c:pt idx="6">
                  <c:v>7.8102287064844589</c:v>
                </c:pt>
                <c:pt idx="7">
                  <c:v>7.2250619109808039</c:v>
                </c:pt>
                <c:pt idx="8">
                  <c:v>7.0728536426821336</c:v>
                </c:pt>
                <c:pt idx="9">
                  <c:v>5.4359753855756514</c:v>
                </c:pt>
                <c:pt idx="10">
                  <c:v>6.1173864713767276</c:v>
                </c:pt>
                <c:pt idx="11">
                  <c:v>6.6758562464527609</c:v>
                </c:pt>
              </c:numCache>
            </c:numRef>
          </c:val>
          <c:smooth val="0"/>
          <c:extLst>
            <c:ext xmlns:c16="http://schemas.microsoft.com/office/drawing/2014/chart" uri="{C3380CC4-5D6E-409C-BE32-E72D297353CC}">
              <c16:uniqueId val="{00000003-0082-45DC-9CE8-F3087F507517}"/>
            </c:ext>
          </c:extLst>
        </c:ser>
        <c:ser>
          <c:idx val="4"/>
          <c:order val="4"/>
          <c:tx>
            <c:strRef>
              <c:f>'[הודעה לעיתונות - איורים.xlsx]איור1'!$F$1</c:f>
              <c:strCache>
                <c:ptCount val="1"/>
                <c:pt idx="0">
                  <c:v>הליכה או רכיבה על אופניים</c:v>
                </c:pt>
              </c:strCache>
            </c:strRef>
          </c:tx>
          <c:spPr>
            <a:ln w="19050"/>
          </c:spPr>
          <c:marker>
            <c:symbol val="diamond"/>
            <c:size val="5"/>
          </c:marker>
          <c:cat>
            <c:numRef>
              <c:f>'[הודעה לעיתונות - איורים.xlsx]איור1'!$A$2:$A$13</c:f>
              <c:numCache>
                <c:formatCode>General</c:formatCode>
                <c:ptCount val="12"/>
                <c:pt idx="0">
                  <c:v>1972</c:v>
                </c:pt>
                <c:pt idx="1">
                  <c:v>1983</c:v>
                </c:pt>
                <c:pt idx="2">
                  <c:v>1995</c:v>
                </c:pt>
                <c:pt idx="3">
                  <c:v>2008</c:v>
                </c:pt>
                <c:pt idx="4">
                  <c:v>2014</c:v>
                </c:pt>
                <c:pt idx="5">
                  <c:v>2015</c:v>
                </c:pt>
                <c:pt idx="6">
                  <c:v>2016</c:v>
                </c:pt>
                <c:pt idx="7">
                  <c:v>2017</c:v>
                </c:pt>
                <c:pt idx="8">
                  <c:v>2018</c:v>
                </c:pt>
                <c:pt idx="9">
                  <c:v>2019</c:v>
                </c:pt>
                <c:pt idx="10">
                  <c:v>2020</c:v>
                </c:pt>
                <c:pt idx="11">
                  <c:v>2021</c:v>
                </c:pt>
              </c:numCache>
            </c:numRef>
          </c:cat>
          <c:val>
            <c:numRef>
              <c:f>'[הודעה לעיתונות - איורים.xlsx]איור1'!$F$2:$F$13</c:f>
              <c:numCache>
                <c:formatCode>0.0</c:formatCode>
                <c:ptCount val="12"/>
                <c:pt idx="0">
                  <c:v>25.806116080715626</c:v>
                </c:pt>
                <c:pt idx="1">
                  <c:v>19.083380484542978</c:v>
                </c:pt>
                <c:pt idx="2">
                  <c:v>15.357466975899971</c:v>
                </c:pt>
                <c:pt idx="3">
                  <c:v>12.209889001009083</c:v>
                </c:pt>
                <c:pt idx="4">
                  <c:v>10.466294568697768</c:v>
                </c:pt>
                <c:pt idx="5">
                  <c:v>10.319718538277389</c:v>
                </c:pt>
                <c:pt idx="6">
                  <c:v>9.4169198964571521</c:v>
                </c:pt>
                <c:pt idx="7">
                  <c:v>9.9769653673288783</c:v>
                </c:pt>
                <c:pt idx="8">
                  <c:v>8.7025658101086858</c:v>
                </c:pt>
                <c:pt idx="9">
                  <c:v>9.8848647559410114</c:v>
                </c:pt>
                <c:pt idx="10">
                  <c:v>9.642956391370749</c:v>
                </c:pt>
                <c:pt idx="11">
                  <c:v>9.830558634781541</c:v>
                </c:pt>
              </c:numCache>
            </c:numRef>
          </c:val>
          <c:smooth val="0"/>
          <c:extLst>
            <c:ext xmlns:c16="http://schemas.microsoft.com/office/drawing/2014/chart" uri="{C3380CC4-5D6E-409C-BE32-E72D297353CC}">
              <c16:uniqueId val="{00000004-0082-45DC-9CE8-F3087F507517}"/>
            </c:ext>
          </c:extLst>
        </c:ser>
        <c:dLbls>
          <c:showLegendKey val="0"/>
          <c:showVal val="0"/>
          <c:showCatName val="0"/>
          <c:showSerName val="0"/>
          <c:showPercent val="0"/>
          <c:showBubbleSize val="0"/>
        </c:dLbls>
        <c:marker val="1"/>
        <c:smooth val="0"/>
        <c:axId val="440575584"/>
        <c:axId val="1"/>
      </c:lineChart>
      <c:dateAx>
        <c:axId val="44057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a:pPr>
            <a:endParaRPr lang="he-IL"/>
          </a:p>
        </c:txPr>
        <c:crossAx val="1"/>
        <c:crosses val="autoZero"/>
        <c:auto val="0"/>
        <c:lblOffset val="100"/>
        <c:baseTimeUnit val="days"/>
        <c:majorUnit val="5"/>
        <c:majorTimeUnit val="days"/>
      </c:dateAx>
      <c:valAx>
        <c:axId val="1"/>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e-IL"/>
                  <a:t>שיעור מסך העובדים</a:t>
                </a:r>
              </a:p>
            </c:rich>
          </c:tx>
          <c:layout>
            <c:manualLayout>
              <c:xMode val="edge"/>
              <c:yMode val="edge"/>
              <c:x val="7.26950354609929E-3"/>
              <c:y val="0.20360504778140379"/>
            </c:manualLayout>
          </c:layout>
          <c:overlay val="0"/>
        </c:title>
        <c:numFmt formatCode="0" sourceLinked="0"/>
        <c:majorTickMark val="none"/>
        <c:minorTickMark val="none"/>
        <c:tickLblPos val="nextTo"/>
        <c:spPr>
          <a:ln>
            <a:noFill/>
          </a:ln>
        </c:spPr>
        <c:txPr>
          <a:bodyPr rot="-60000000" vert="horz"/>
          <a:lstStyle/>
          <a:p>
            <a:pPr>
              <a:defRPr/>
            </a:pPr>
            <a:endParaRPr lang="he-IL"/>
          </a:p>
        </c:txPr>
        <c:crossAx val="440575584"/>
        <c:crosses val="autoZero"/>
        <c:crossBetween val="between"/>
      </c:valAx>
      <c:spPr>
        <a:noFill/>
        <a:ln w="25400">
          <a:noFill/>
        </a:ln>
      </c:spPr>
    </c:plotArea>
    <c:legend>
      <c:legendPos val="r"/>
      <c:layout>
        <c:manualLayout>
          <c:xMode val="edge"/>
          <c:yMode val="edge"/>
          <c:x val="1.5080694700396495E-2"/>
          <c:y val="0.62713486546457686"/>
          <c:w val="0.97351198786321913"/>
          <c:h val="0.1087754771009686"/>
        </c:manualLayout>
      </c:layout>
      <c:overlay val="0"/>
    </c:legend>
    <c:plotVisOnly val="1"/>
    <c:dispBlanksAs val="gap"/>
    <c:showDLblsOverMax val="0"/>
  </c:chart>
  <c:spPr>
    <a:solidFill>
      <a:schemeClr val="bg1"/>
    </a:solidFill>
    <a:ln w="9525" cap="flat" cmpd="sng" algn="ctr">
      <a:noFill/>
      <a:round/>
    </a:ln>
    <a:effectLst/>
  </c:spPr>
  <c:txPr>
    <a:bodyPr/>
    <a:lstStyle/>
    <a:p>
      <a:pPr>
        <a:defRPr baseline="0">
          <a:solidFill>
            <a:sysClr val="windowText" lastClr="000000"/>
          </a:solidFill>
          <a:latin typeface="David" panose="020E0502060401010101" pitchFamily="34" charset="-79"/>
          <a:cs typeface="David" panose="020E0502060401010101" pitchFamily="34" charset="-79"/>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t>איור</a:t>
            </a:r>
            <a:r>
              <a:rPr lang="he-IL" b="1" baseline="0"/>
              <a:t> 2</a:t>
            </a:r>
            <a:endParaRPr lang="he-IL" b="1"/>
          </a:p>
          <a:p>
            <a:pPr>
              <a:defRPr/>
            </a:pPr>
            <a:r>
              <a:rPr lang="he-IL" b="1"/>
              <a:t>הגורמים המשפיעים על פרמיית הנגישות</a:t>
            </a:r>
            <a:r>
              <a:rPr lang="he-IL" b="1" baseline="0"/>
              <a:t> לתחבורה ציבורית</a:t>
            </a:r>
          </a:p>
          <a:p>
            <a:pPr>
              <a:defRPr/>
            </a:pPr>
            <a:r>
              <a:rPr lang="he-IL" sz="1000" b="0" baseline="0"/>
              <a:t>(מקדמים נבחרים)</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0.34086104666151068"/>
          <c:y val="0.22421247438588135"/>
          <c:w val="0.62507099605588745"/>
          <c:h val="0.56991437963458458"/>
        </c:manualLayout>
      </c:layout>
      <c:barChart>
        <c:barDir val="bar"/>
        <c:grouping val="clustered"/>
        <c:varyColors val="0"/>
        <c:ser>
          <c:idx val="0"/>
          <c:order val="0"/>
          <c:tx>
            <c:strRef>
              <c:f>איור2!$B$1</c:f>
              <c:strCache>
                <c:ptCount val="1"/>
                <c:pt idx="0">
                  <c:v>השפעה</c:v>
                </c:pt>
              </c:strCache>
            </c:strRef>
          </c:tx>
          <c:spPr>
            <a:solidFill>
              <a:srgbClr val="FF0000"/>
            </a:solidFill>
            <a:ln>
              <a:noFill/>
            </a:ln>
            <a:effectLst/>
          </c:spPr>
          <c:invertIfNegative val="0"/>
          <c:cat>
            <c:strRef>
              <c:f>איור2!$A$2:$A$16</c:f>
              <c:strCache>
                <c:ptCount val="10"/>
                <c:pt idx="0">
                  <c:v>רמת שירותי התחבורה הציבורית</c:v>
                </c:pt>
                <c:pt idx="1">
                  <c:v>שיעור התושבים בגילאי 40-59</c:v>
                </c:pt>
                <c:pt idx="2">
                  <c:v>שיעור הגברים באוכלוסייה</c:v>
                </c:pt>
                <c:pt idx="3">
                  <c:v>שיעור התושבים עד גיל 19</c:v>
                </c:pt>
                <c:pt idx="4">
                  <c:v>שיעור החרדים באוכלוסייה</c:v>
                </c:pt>
                <c:pt idx="5">
                  <c:v>צפיפות מועסקים (אומדן)</c:v>
                </c:pt>
                <c:pt idx="6">
                  <c:v>רמת הנגישות ברכב פרטי</c:v>
                </c:pt>
                <c:pt idx="7">
                  <c:v>קרבה לרכבת הקלה</c:v>
                </c:pt>
                <c:pt idx="8">
                  <c:v>שיעור התושבים בגילאי 20-39</c:v>
                </c:pt>
                <c:pt idx="9">
                  <c:v>צפיפות תושבים (אומדן)</c:v>
                </c:pt>
              </c:strCache>
            </c:strRef>
          </c:cat>
          <c:val>
            <c:numRef>
              <c:f>איור2!$B$2:$B$16</c:f>
              <c:numCache>
                <c:formatCode>0.000</c:formatCode>
                <c:ptCount val="10"/>
                <c:pt idx="0">
                  <c:v>-11.011840694874401</c:v>
                </c:pt>
                <c:pt idx="1">
                  <c:v>-3.7954279415084398</c:v>
                </c:pt>
                <c:pt idx="2">
                  <c:v>-3.0108399107197199</c:v>
                </c:pt>
                <c:pt idx="3">
                  <c:v>-1.77056121391779</c:v>
                </c:pt>
                <c:pt idx="4">
                  <c:v>1.0475387224317301</c:v>
                </c:pt>
                <c:pt idx="5">
                  <c:v>1.4253654885637601</c:v>
                </c:pt>
                <c:pt idx="6">
                  <c:v>1.5095972972801601</c:v>
                </c:pt>
                <c:pt idx="7">
                  <c:v>1.8001549522501201</c:v>
                </c:pt>
                <c:pt idx="8">
                  <c:v>2.039759801552</c:v>
                </c:pt>
                <c:pt idx="9">
                  <c:v>6.9559381098310409</c:v>
                </c:pt>
              </c:numCache>
            </c:numRef>
          </c:val>
          <c:extLst>
            <c:ext xmlns:c16="http://schemas.microsoft.com/office/drawing/2014/chart" uri="{C3380CC4-5D6E-409C-BE32-E72D297353CC}">
              <c16:uniqueId val="{00000000-6EF8-4217-8F2A-F0AC5E49BF7A}"/>
            </c:ext>
          </c:extLst>
        </c:ser>
        <c:dLbls>
          <c:showLegendKey val="0"/>
          <c:showVal val="0"/>
          <c:showCatName val="0"/>
          <c:showSerName val="0"/>
          <c:showPercent val="0"/>
          <c:showBubbleSize val="0"/>
        </c:dLbls>
        <c:gapWidth val="100"/>
        <c:axId val="1033993743"/>
        <c:axId val="1033998063"/>
      </c:barChart>
      <c:catAx>
        <c:axId val="1033993743"/>
        <c:scaling>
          <c:orientation val="minMax"/>
        </c:scaling>
        <c:delete val="0"/>
        <c:axPos val="l"/>
        <c:numFmt formatCode="General" sourceLinked="1"/>
        <c:majorTickMark val="none"/>
        <c:minorTickMark val="none"/>
        <c:tickLblPos val="low"/>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1033998063"/>
        <c:crosses val="autoZero"/>
        <c:auto val="1"/>
        <c:lblAlgn val="ctr"/>
        <c:lblOffset val="100"/>
        <c:noMultiLvlLbl val="0"/>
      </c:catAx>
      <c:valAx>
        <c:axId val="1033998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a:t>השפעת</a:t>
                </a:r>
                <a:r>
                  <a:rPr lang="he-IL" baseline="0"/>
                  <a:t> עלייה של סטיית תקן אחת על הפרמיה הנאמדת</a:t>
                </a:r>
                <a:endParaRPr lang="he-IL"/>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1033993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0.7337</cdr:y>
    </cdr:from>
    <cdr:to>
      <cdr:x>1</cdr:x>
      <cdr:y>1</cdr:y>
    </cdr:to>
    <cdr:sp macro="" textlink="">
      <cdr:nvSpPr>
        <cdr:cNvPr id="2" name="תיבת טקסט 1"/>
        <cdr:cNvSpPr txBox="1"/>
      </cdr:nvSpPr>
      <cdr:spPr>
        <a:xfrm xmlns:a="http://schemas.openxmlformats.org/drawingml/2006/main">
          <a:off x="0" y="2529840"/>
          <a:ext cx="4297680" cy="91821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r"/>
          <a:r>
            <a:rPr lang="he-IL" sz="1000" b="1">
              <a:latin typeface="David" panose="020E0502060401010101" pitchFamily="34" charset="-79"/>
              <a:cs typeface="David" panose="020E0502060401010101" pitchFamily="34" charset="-79"/>
            </a:rPr>
            <a:t>הערה:</a:t>
          </a:r>
          <a:r>
            <a:rPr lang="he-IL" sz="1000" b="1" baseline="0">
              <a:latin typeface="David" panose="020E0502060401010101" pitchFamily="34" charset="-79"/>
              <a:cs typeface="David" panose="020E0502060401010101" pitchFamily="34" charset="-79"/>
            </a:rPr>
            <a:t> </a:t>
          </a:r>
          <a:r>
            <a:rPr lang="he-IL" sz="1000" b="0" baseline="0">
              <a:latin typeface="David" panose="020E0502060401010101" pitchFamily="34" charset="-79"/>
              <a:cs typeface="David" panose="020E0502060401010101" pitchFamily="34" charset="-79"/>
            </a:rPr>
            <a:t>במפקד 1972 לא הייתה הפרדה בין הסעות מעסיקים וקווי אוטובוס רגילים. חילקתי את הקטגוריה המאוחדת בהתבסס על היחס היציב ביניהם בשנים מאוחרות יותר. במפקד 1982 לא הייתה קטגוריה נפרדת לנסיעה ברכבת, הנחתי התקדמות לינארית בין נתוני מפקדים 1972 ו-1995.</a:t>
          </a:r>
          <a:r>
            <a:rPr lang="en-US" sz="1000" b="0" baseline="0">
              <a:latin typeface="David" panose="020E0502060401010101" pitchFamily="34" charset="-79"/>
              <a:cs typeface="David" panose="020E0502060401010101" pitchFamily="34" charset="-79"/>
            </a:rPr>
            <a:t/>
          </a:r>
          <a:br>
            <a:rPr lang="en-US" sz="1000" b="0" baseline="0">
              <a:latin typeface="David" panose="020E0502060401010101" pitchFamily="34" charset="-79"/>
              <a:cs typeface="David" panose="020E0502060401010101" pitchFamily="34" charset="-79"/>
            </a:rPr>
          </a:br>
          <a:r>
            <a:rPr lang="en-US" sz="1000" b="0" baseline="0">
              <a:latin typeface="David" panose="020E0502060401010101" pitchFamily="34" charset="-79"/>
              <a:cs typeface="David" panose="020E0502060401010101" pitchFamily="34" charset="-79"/>
            </a:rPr>
            <a:t/>
          </a:r>
          <a:br>
            <a:rPr lang="en-US" sz="1000" b="0" baseline="0">
              <a:latin typeface="David" panose="020E0502060401010101" pitchFamily="34" charset="-79"/>
              <a:cs typeface="David" panose="020E0502060401010101" pitchFamily="34" charset="-79"/>
            </a:rPr>
          </a:br>
          <a:r>
            <a:rPr lang="he-IL" sz="1000" b="1" baseline="0">
              <a:latin typeface="David" panose="020E0502060401010101" pitchFamily="34" charset="-79"/>
              <a:cs typeface="David" panose="020E0502060401010101" pitchFamily="34" charset="-79"/>
            </a:rPr>
            <a:t>מקור:</a:t>
          </a:r>
          <a:r>
            <a:rPr lang="he-IL" sz="1000" b="0" baseline="0">
              <a:latin typeface="David" panose="020E0502060401010101" pitchFamily="34" charset="-79"/>
              <a:cs typeface="David" panose="020E0502060401010101" pitchFamily="34" charset="-79"/>
            </a:rPr>
            <a:t> הלשכה המרכזית לסטטיסטיקה ועיבודי החוקר</a:t>
          </a:r>
          <a:endParaRPr lang="he-IL" sz="1000">
            <a:latin typeface="David" panose="020E0502060401010101" pitchFamily="34" charset="-79"/>
            <a:cs typeface="David" panose="020E0502060401010101" pitchFamily="34"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0.06876</cdr:x>
      <cdr:y>0.93447</cdr:y>
    </cdr:from>
    <cdr:to>
      <cdr:x>1</cdr:x>
      <cdr:y>1</cdr:y>
    </cdr:to>
    <cdr:sp macro="" textlink="">
      <cdr:nvSpPr>
        <cdr:cNvPr id="2" name="תיבת טקסט 1">
          <a:extLst xmlns:a="http://schemas.openxmlformats.org/drawingml/2006/main">
            <a:ext uri="{FF2B5EF4-FFF2-40B4-BE49-F238E27FC236}">
              <a16:creationId xmlns:a16="http://schemas.microsoft.com/office/drawing/2014/main" id="{97C5BA49-E548-2D8B-2C28-B957F7EC1CB8}"/>
            </a:ext>
          </a:extLst>
        </cdr:cNvPr>
        <cdr:cNvSpPr txBox="1"/>
      </cdr:nvSpPr>
      <cdr:spPr>
        <a:xfrm xmlns:a="http://schemas.openxmlformats.org/drawingml/2006/main">
          <a:off x="350520" y="2933700"/>
          <a:ext cx="4747260" cy="20574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r"/>
          <a:r>
            <a:rPr lang="he-IL" sz="1000" b="1">
              <a:latin typeface="David" panose="020E0502060401010101" pitchFamily="34" charset="-79"/>
              <a:cs typeface="David" panose="020E0502060401010101" pitchFamily="34" charset="-79"/>
            </a:rPr>
            <a:t>מקור:</a:t>
          </a:r>
          <a:r>
            <a:rPr lang="he-IL" sz="1000" baseline="0">
              <a:latin typeface="David" panose="020E0502060401010101" pitchFamily="34" charset="-79"/>
              <a:cs typeface="David" panose="020E0502060401010101" pitchFamily="34" charset="-79"/>
            </a:rPr>
            <a:t> עיבודי החוקר, לפירוט ראו לוח 6 במאמר המלא</a:t>
          </a:r>
          <a:endParaRPr lang="he-IL" sz="1000">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3228-455C-48F8-89D9-D4F61AF8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3346</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2023-06-28T07:48:00Z</dcterms:created>
  <dcterms:modified xsi:type="dcterms:W3CDTF">2023-06-28T07:48:00Z</dcterms:modified>
</cp:coreProperties>
</file>