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49A" w:rsidRDefault="0080449A" w:rsidP="00936203">
      <w:pPr>
        <w:keepNext/>
        <w:keepLines/>
        <w:spacing w:after="0"/>
        <w:ind w:left="432" w:hanging="432"/>
        <w:jc w:val="center"/>
        <w:outlineLvl w:val="0"/>
        <w:rPr>
          <w:rFonts w:asciiTheme="majorHAnsi" w:eastAsiaTheme="majorEastAsia" w:hAnsiTheme="majorHAnsi" w:cs="David" w:hint="cs"/>
          <w:b/>
          <w:bCs/>
          <w:caps/>
          <w:color w:val="1F497D" w:themeColor="text2"/>
          <w:spacing w:val="15"/>
          <w:sz w:val="24"/>
          <w:szCs w:val="24"/>
          <w:rtl/>
        </w:rPr>
      </w:pPr>
      <w:bookmarkStart w:id="0" w:name="_Toc46160323"/>
      <w:bookmarkStart w:id="1" w:name="_Toc46160677"/>
    </w:p>
    <w:tbl>
      <w:tblPr>
        <w:bidiVisual/>
        <w:tblW w:w="0" w:type="auto"/>
        <w:jc w:val="center"/>
        <w:tblLayout w:type="fixed"/>
        <w:tblLook w:val="0000" w:firstRow="0" w:lastRow="0" w:firstColumn="0" w:lastColumn="0" w:noHBand="0" w:noVBand="0"/>
      </w:tblPr>
      <w:tblGrid>
        <w:gridCol w:w="2840"/>
        <w:gridCol w:w="2596"/>
        <w:gridCol w:w="3084"/>
      </w:tblGrid>
      <w:tr w:rsidR="0080449A" w:rsidRPr="0080449A" w:rsidTr="00020A65">
        <w:trPr>
          <w:jc w:val="center"/>
        </w:trPr>
        <w:tc>
          <w:tcPr>
            <w:tcW w:w="2840" w:type="dxa"/>
            <w:tcBorders>
              <w:top w:val="nil"/>
              <w:left w:val="nil"/>
              <w:bottom w:val="nil"/>
              <w:right w:val="nil"/>
            </w:tcBorders>
            <w:vAlign w:val="center"/>
          </w:tcPr>
          <w:p w:rsidR="0080449A" w:rsidRPr="0080449A" w:rsidRDefault="0080449A" w:rsidP="0080449A">
            <w:pPr>
              <w:spacing w:line="360" w:lineRule="auto"/>
              <w:jc w:val="center"/>
              <w:rPr>
                <w:rFonts w:cs="David"/>
                <w:b/>
                <w:bCs/>
                <w:sz w:val="28"/>
                <w:szCs w:val="28"/>
              </w:rPr>
            </w:pPr>
            <w:r w:rsidRPr="0080449A">
              <w:rPr>
                <w:rFonts w:cs="David"/>
                <w:b/>
                <w:bCs/>
                <w:sz w:val="28"/>
                <w:szCs w:val="28"/>
                <w:rtl/>
              </w:rPr>
              <w:t>בנ</w:t>
            </w:r>
            <w:r w:rsidRPr="0080449A">
              <w:rPr>
                <w:rFonts w:cs="David" w:hint="cs"/>
                <w:b/>
                <w:bCs/>
                <w:sz w:val="28"/>
                <w:szCs w:val="28"/>
                <w:rtl/>
              </w:rPr>
              <w:t xml:space="preserve">ק </w:t>
            </w:r>
            <w:r w:rsidRPr="0080449A">
              <w:rPr>
                <w:rFonts w:cs="David"/>
                <w:b/>
                <w:bCs/>
                <w:sz w:val="28"/>
                <w:szCs w:val="28"/>
                <w:rtl/>
              </w:rPr>
              <w:t>יש</w:t>
            </w:r>
            <w:r w:rsidRPr="0080449A">
              <w:rPr>
                <w:rFonts w:cs="David" w:hint="cs"/>
                <w:b/>
                <w:bCs/>
                <w:sz w:val="28"/>
                <w:szCs w:val="28"/>
                <w:rtl/>
              </w:rPr>
              <w:t>ראל</w:t>
            </w:r>
          </w:p>
          <w:p w:rsidR="0080449A" w:rsidRPr="0080449A" w:rsidRDefault="0080449A" w:rsidP="0080449A">
            <w:pPr>
              <w:spacing w:line="360" w:lineRule="auto"/>
              <w:ind w:right="-101"/>
              <w:jc w:val="center"/>
              <w:rPr>
                <w:sz w:val="24"/>
                <w:szCs w:val="24"/>
                <w:rtl/>
              </w:rPr>
            </w:pPr>
            <w:r w:rsidRPr="0080449A">
              <w:rPr>
                <w:rFonts w:cs="David"/>
                <w:sz w:val="24"/>
                <w:szCs w:val="24"/>
                <w:rtl/>
              </w:rPr>
              <w:t>דו</w:t>
            </w:r>
            <w:r w:rsidRPr="0080449A">
              <w:rPr>
                <w:rFonts w:cs="David" w:hint="cs"/>
                <w:sz w:val="24"/>
                <w:szCs w:val="24"/>
                <w:rtl/>
              </w:rPr>
              <w:t>בר</w:t>
            </w:r>
            <w:r w:rsidRPr="0080449A">
              <w:rPr>
                <w:rFonts w:cs="David"/>
                <w:sz w:val="24"/>
                <w:szCs w:val="24"/>
                <w:rtl/>
              </w:rPr>
              <w:t>ות</w:t>
            </w:r>
            <w:r w:rsidRPr="0080449A">
              <w:rPr>
                <w:rFonts w:cs="David" w:hint="cs"/>
                <w:sz w:val="24"/>
                <w:szCs w:val="24"/>
                <w:rtl/>
              </w:rPr>
              <w:t xml:space="preserve"> והסברה כלכלית</w:t>
            </w:r>
          </w:p>
          <w:p w:rsidR="0080449A" w:rsidRPr="0080449A" w:rsidRDefault="0080449A" w:rsidP="0080449A">
            <w:pPr>
              <w:spacing w:line="360" w:lineRule="auto"/>
              <w:ind w:right="-101"/>
              <w:jc w:val="center"/>
              <w:rPr>
                <w:sz w:val="24"/>
                <w:szCs w:val="24"/>
              </w:rPr>
            </w:pPr>
          </w:p>
        </w:tc>
        <w:tc>
          <w:tcPr>
            <w:tcW w:w="2596" w:type="dxa"/>
            <w:tcBorders>
              <w:top w:val="nil"/>
              <w:left w:val="nil"/>
              <w:bottom w:val="nil"/>
              <w:right w:val="nil"/>
            </w:tcBorders>
          </w:tcPr>
          <w:p w:rsidR="0080449A" w:rsidRPr="0080449A" w:rsidRDefault="0080449A" w:rsidP="0080449A">
            <w:pPr>
              <w:jc w:val="center"/>
              <w:rPr>
                <w:rtl/>
              </w:rPr>
            </w:pPr>
            <w:r w:rsidRPr="0080449A">
              <w:rPr>
                <w:noProof/>
              </w:rPr>
              <w:drawing>
                <wp:inline distT="0" distB="0" distL="0" distR="0" wp14:anchorId="6EE83611" wp14:editId="5D6F2DE6">
                  <wp:extent cx="777875" cy="702945"/>
                  <wp:effectExtent l="0" t="0" r="3175" b="190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875" cy="70294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80449A" w:rsidRPr="0080449A" w:rsidRDefault="0080449A" w:rsidP="0080449A">
            <w:pPr>
              <w:tabs>
                <w:tab w:val="left" w:pos="567"/>
                <w:tab w:val="left" w:pos="1134"/>
                <w:tab w:val="left" w:pos="1814"/>
                <w:tab w:val="left" w:pos="2665"/>
              </w:tabs>
              <w:spacing w:after="0" w:line="480" w:lineRule="auto"/>
              <w:jc w:val="both"/>
              <w:rPr>
                <w:rFonts w:ascii="Times New Roman" w:eastAsia="Times New Roman" w:hAnsi="Times New Roman" w:cs="David"/>
                <w:sz w:val="24"/>
                <w:szCs w:val="24"/>
              </w:rPr>
            </w:pPr>
            <w:r w:rsidRPr="0080449A">
              <w:rPr>
                <w:rFonts w:ascii="Times New Roman" w:eastAsia="Times New Roman" w:hAnsi="Times New Roman" w:cs="David" w:hint="cs"/>
                <w:sz w:val="24"/>
                <w:szCs w:val="24"/>
                <w:rtl/>
              </w:rPr>
              <w:t xml:space="preserve">                ירושלים, </w:t>
            </w:r>
            <w:r>
              <w:rPr>
                <w:rFonts w:ascii="Times New Roman" w:eastAsia="Times New Roman" w:hAnsi="Times New Roman" w:cs="David" w:hint="cs"/>
                <w:sz w:val="24"/>
                <w:szCs w:val="24"/>
                <w:rtl/>
              </w:rPr>
              <w:t>ח'</w:t>
            </w:r>
            <w:r w:rsidRPr="0080449A">
              <w:rPr>
                <w:rFonts w:ascii="Times New Roman" w:eastAsia="Times New Roman" w:hAnsi="Times New Roman" w:cs="David" w:hint="cs"/>
                <w:sz w:val="24"/>
                <w:szCs w:val="24"/>
                <w:rtl/>
              </w:rPr>
              <w:t xml:space="preserve"> באב, תש"פ</w:t>
            </w:r>
          </w:p>
          <w:p w:rsidR="0080449A" w:rsidRPr="0080449A" w:rsidRDefault="0080449A" w:rsidP="0080449A">
            <w:pPr>
              <w:tabs>
                <w:tab w:val="left" w:pos="567"/>
                <w:tab w:val="left" w:pos="1134"/>
                <w:tab w:val="left" w:pos="1814"/>
                <w:tab w:val="left" w:pos="2665"/>
              </w:tabs>
              <w:spacing w:after="0" w:line="480" w:lineRule="auto"/>
              <w:jc w:val="right"/>
              <w:rPr>
                <w:rFonts w:ascii="Times New Roman" w:eastAsia="Times New Roman" w:hAnsi="Times New Roman" w:cs="David"/>
                <w:sz w:val="24"/>
                <w:szCs w:val="24"/>
                <w:rtl/>
              </w:rPr>
            </w:pPr>
            <w:r w:rsidRPr="0080449A">
              <w:rPr>
                <w:rFonts w:ascii="Times New Roman" w:eastAsia="Times New Roman" w:hAnsi="Times New Roman" w:cs="David" w:hint="eastAsia"/>
                <w:sz w:val="24"/>
                <w:szCs w:val="24"/>
                <w:rtl/>
              </w:rPr>
              <w:t>‏‏</w:t>
            </w:r>
            <w:r>
              <w:rPr>
                <w:rFonts w:ascii="Times New Roman" w:eastAsia="Times New Roman" w:hAnsi="Times New Roman" w:cs="David" w:hint="cs"/>
                <w:sz w:val="24"/>
                <w:szCs w:val="24"/>
                <w:rtl/>
              </w:rPr>
              <w:t>29</w:t>
            </w:r>
            <w:r w:rsidRPr="0080449A">
              <w:rPr>
                <w:rFonts w:ascii="Times New Roman" w:eastAsia="Times New Roman" w:hAnsi="Times New Roman" w:cs="David"/>
                <w:sz w:val="24"/>
                <w:szCs w:val="24"/>
              </w:rPr>
              <w:t xml:space="preserve"> </w:t>
            </w:r>
            <w:r w:rsidRPr="0080449A">
              <w:rPr>
                <w:rFonts w:ascii="Times New Roman" w:eastAsia="Times New Roman" w:hAnsi="Times New Roman" w:cs="David" w:hint="cs"/>
                <w:sz w:val="24"/>
                <w:szCs w:val="24"/>
                <w:rtl/>
              </w:rPr>
              <w:t xml:space="preserve"> ביולי 2020       </w:t>
            </w:r>
          </w:p>
          <w:p w:rsidR="0080449A" w:rsidRPr="0080449A" w:rsidRDefault="0080449A" w:rsidP="0080449A">
            <w:pPr>
              <w:spacing w:line="480" w:lineRule="auto"/>
              <w:rPr>
                <w:rFonts w:cs="David"/>
                <w:sz w:val="24"/>
                <w:szCs w:val="24"/>
              </w:rPr>
            </w:pPr>
          </w:p>
        </w:tc>
      </w:tr>
    </w:tbl>
    <w:p w:rsidR="0080449A" w:rsidRPr="0080449A" w:rsidRDefault="0080449A" w:rsidP="0080449A">
      <w:pPr>
        <w:spacing w:line="360" w:lineRule="auto"/>
        <w:ind w:right="-101"/>
        <w:rPr>
          <w:rFonts w:cs="David"/>
          <w:sz w:val="24"/>
          <w:szCs w:val="24"/>
          <w:rtl/>
        </w:rPr>
      </w:pPr>
      <w:r w:rsidRPr="0080449A">
        <w:rPr>
          <w:rFonts w:cs="David" w:hint="cs"/>
          <w:sz w:val="24"/>
          <w:szCs w:val="24"/>
          <w:rtl/>
        </w:rPr>
        <w:t xml:space="preserve">הודעה לעיתונות: </w:t>
      </w:r>
    </w:p>
    <w:p w:rsidR="0080449A" w:rsidRPr="0080449A" w:rsidRDefault="0080449A" w:rsidP="00936203">
      <w:pPr>
        <w:keepNext/>
        <w:keepLines/>
        <w:spacing w:after="0"/>
        <w:ind w:left="432" w:hanging="432"/>
        <w:jc w:val="center"/>
        <w:outlineLvl w:val="0"/>
        <w:rPr>
          <w:rFonts w:asciiTheme="majorHAnsi" w:eastAsiaTheme="majorEastAsia" w:hAnsiTheme="majorHAnsi" w:cs="David"/>
          <w:b/>
          <w:bCs/>
          <w:caps/>
          <w:spacing w:val="15"/>
          <w:sz w:val="28"/>
          <w:szCs w:val="28"/>
          <w:rtl/>
        </w:rPr>
      </w:pPr>
    </w:p>
    <w:p w:rsidR="0080449A" w:rsidRPr="0080449A" w:rsidRDefault="0080449A" w:rsidP="00936203">
      <w:pPr>
        <w:keepNext/>
        <w:keepLines/>
        <w:spacing w:after="0"/>
        <w:ind w:left="432" w:hanging="432"/>
        <w:jc w:val="center"/>
        <w:outlineLvl w:val="0"/>
        <w:rPr>
          <w:rFonts w:asciiTheme="majorHAnsi" w:eastAsiaTheme="majorEastAsia" w:hAnsiTheme="majorHAnsi" w:cs="David"/>
          <w:b/>
          <w:bCs/>
          <w:caps/>
          <w:spacing w:val="15"/>
          <w:sz w:val="28"/>
          <w:szCs w:val="28"/>
          <w:rtl/>
        </w:rPr>
      </w:pPr>
      <w:bookmarkStart w:id="2" w:name="_GoBack"/>
    </w:p>
    <w:p w:rsidR="00246C2A" w:rsidRDefault="00C26B0F" w:rsidP="00936203">
      <w:pPr>
        <w:keepNext/>
        <w:keepLines/>
        <w:spacing w:after="0"/>
        <w:ind w:left="432" w:hanging="432"/>
        <w:jc w:val="center"/>
        <w:outlineLvl w:val="0"/>
        <w:rPr>
          <w:rFonts w:ascii="David" w:eastAsiaTheme="majorEastAsia" w:hAnsi="David" w:cs="David"/>
          <w:b/>
          <w:bCs/>
          <w:caps/>
          <w:spacing w:val="15"/>
          <w:sz w:val="28"/>
          <w:szCs w:val="28"/>
          <w:rtl/>
        </w:rPr>
      </w:pPr>
      <w:r w:rsidRPr="0080449A">
        <w:rPr>
          <w:rFonts w:asciiTheme="majorHAnsi" w:eastAsiaTheme="majorEastAsia" w:hAnsiTheme="majorHAnsi" w:cs="David" w:hint="cs"/>
          <w:b/>
          <w:bCs/>
          <w:caps/>
          <w:spacing w:val="15"/>
          <w:sz w:val="28"/>
          <w:szCs w:val="28"/>
          <w:rtl/>
        </w:rPr>
        <w:t xml:space="preserve">ניתוח מתוך דו"ח היציבות הפיננסית למחצית הראשונה של 2020: </w:t>
      </w:r>
      <w:r w:rsidRPr="0080449A">
        <w:rPr>
          <w:rFonts w:asciiTheme="majorHAnsi" w:eastAsiaTheme="majorEastAsia" w:hAnsiTheme="majorHAnsi" w:cs="David"/>
          <w:b/>
          <w:bCs/>
          <w:caps/>
          <w:spacing w:val="15"/>
          <w:sz w:val="28"/>
          <w:szCs w:val="28"/>
          <w:rtl/>
        </w:rPr>
        <w:br/>
      </w:r>
      <w:r w:rsidR="00246C2A" w:rsidRPr="0080449A">
        <w:rPr>
          <w:rFonts w:asciiTheme="majorHAnsi" w:eastAsiaTheme="majorEastAsia" w:hAnsiTheme="majorHAnsi" w:cs="David" w:hint="cs"/>
          <w:b/>
          <w:bCs/>
          <w:caps/>
          <w:spacing w:val="15"/>
          <w:sz w:val="28"/>
          <w:szCs w:val="28"/>
          <w:rtl/>
        </w:rPr>
        <w:t>השפעת משבר הקורונה על מצב משקי הבית</w:t>
      </w:r>
      <w:bookmarkEnd w:id="0"/>
      <w:bookmarkEnd w:id="1"/>
    </w:p>
    <w:bookmarkEnd w:id="2"/>
    <w:p w:rsidR="0080449A" w:rsidRPr="0080449A" w:rsidRDefault="0080449A" w:rsidP="00936203">
      <w:pPr>
        <w:keepNext/>
        <w:keepLines/>
        <w:spacing w:after="0"/>
        <w:ind w:left="432" w:hanging="432"/>
        <w:jc w:val="center"/>
        <w:outlineLvl w:val="0"/>
        <w:rPr>
          <w:rFonts w:ascii="David" w:eastAsiaTheme="majorEastAsia" w:hAnsi="David" w:cs="David"/>
          <w:b/>
          <w:bCs/>
          <w:caps/>
          <w:spacing w:val="15"/>
          <w:sz w:val="28"/>
          <w:szCs w:val="28"/>
          <w:rtl/>
        </w:rPr>
      </w:pPr>
    </w:p>
    <w:p w:rsidR="00936203" w:rsidRDefault="00936203" w:rsidP="00936203">
      <w:pPr>
        <w:keepNext/>
        <w:keepLines/>
        <w:spacing w:after="0"/>
        <w:ind w:left="432" w:hanging="432"/>
        <w:jc w:val="center"/>
        <w:outlineLvl w:val="0"/>
        <w:rPr>
          <w:rFonts w:ascii="David" w:eastAsiaTheme="majorEastAsia" w:hAnsi="David" w:cs="David"/>
          <w:b/>
          <w:bCs/>
          <w:caps/>
          <w:color w:val="1F497D" w:themeColor="text2"/>
          <w:spacing w:val="15"/>
          <w:sz w:val="24"/>
          <w:szCs w:val="24"/>
          <w:rtl/>
        </w:rPr>
      </w:pPr>
    </w:p>
    <w:p w:rsidR="00246C2A" w:rsidRPr="00246C2A" w:rsidRDefault="00246C2A" w:rsidP="00936203">
      <w:pPr>
        <w:numPr>
          <w:ilvl w:val="0"/>
          <w:numId w:val="1"/>
        </w:numPr>
        <w:spacing w:after="120" w:line="360" w:lineRule="auto"/>
        <w:contextualSpacing/>
        <w:jc w:val="both"/>
        <w:rPr>
          <w:rFonts w:ascii="David" w:eastAsiaTheme="minorEastAsia" w:hAnsi="David" w:cs="David"/>
          <w:sz w:val="24"/>
          <w:szCs w:val="24"/>
        </w:rPr>
      </w:pPr>
      <w:r w:rsidRPr="00246C2A">
        <w:rPr>
          <w:rFonts w:ascii="David" w:eastAsiaTheme="minorEastAsia" w:hAnsi="David" w:cs="David"/>
          <w:sz w:val="24"/>
          <w:szCs w:val="24"/>
          <w:rtl/>
        </w:rPr>
        <w:t>ערב משבר הקורונה מצבו הכלכלי של מגזר משקי הבית היה טוב בזכות השיפור הניכר והמתמשך בשוק העבודה מאז המשבר הפיננסי. למרות הגידול של היקף האשראי בשנים האחרונות איכות תיקי האשראי של המלווים הייתה טובה, במיוחד איכות האשראי הבנקאי. במקביל החזיקו משקי בית רבים מספיק נכסים נזילים כדי לעבור בשלום את תחילת המשבר.</w:t>
      </w:r>
    </w:p>
    <w:p w:rsidR="00246C2A" w:rsidRPr="00246C2A" w:rsidRDefault="00246C2A" w:rsidP="00B767B9">
      <w:pPr>
        <w:numPr>
          <w:ilvl w:val="0"/>
          <w:numId w:val="1"/>
        </w:numPr>
        <w:spacing w:after="120" w:line="360" w:lineRule="auto"/>
        <w:contextualSpacing/>
        <w:jc w:val="both"/>
        <w:rPr>
          <w:rFonts w:ascii="David" w:eastAsiaTheme="minorEastAsia" w:hAnsi="David" w:cs="David"/>
          <w:sz w:val="24"/>
          <w:szCs w:val="24"/>
        </w:rPr>
      </w:pPr>
      <w:r w:rsidRPr="00246C2A">
        <w:rPr>
          <w:rFonts w:ascii="David" w:eastAsiaTheme="minorEastAsia" w:hAnsi="David" w:cs="David"/>
          <w:sz w:val="24"/>
          <w:szCs w:val="24"/>
          <w:rtl/>
        </w:rPr>
        <w:t xml:space="preserve">המשבר פגע קשות בתעסוקה ובשכר של </w:t>
      </w:r>
      <w:r w:rsidR="00B767B9">
        <w:rPr>
          <w:rFonts w:ascii="David" w:eastAsiaTheme="minorEastAsia" w:hAnsi="David" w:cs="David" w:hint="cs"/>
          <w:sz w:val="24"/>
          <w:szCs w:val="24"/>
          <w:rtl/>
        </w:rPr>
        <w:t>עצמאים ושכירים</w:t>
      </w:r>
      <w:r w:rsidRPr="00246C2A">
        <w:rPr>
          <w:rFonts w:ascii="David" w:eastAsiaTheme="minorEastAsia" w:hAnsi="David" w:cs="David"/>
          <w:sz w:val="24"/>
          <w:szCs w:val="24"/>
          <w:rtl/>
        </w:rPr>
        <w:t xml:space="preserve"> רבים, אך בעיקר של האוכלוסיות החלשות ביותר בשוק העבודה: עובדים לא אקדמאים ולא מיומנים, מבוגרים, צעירים, חרדים ונשים. הפגיעה בכושר ההשתכרות של משקי בית כה רבים עלולה לסכן את חוסנם ו</w:t>
      </w:r>
      <w:r w:rsidR="00D6349A">
        <w:rPr>
          <w:rFonts w:ascii="David" w:eastAsiaTheme="minorEastAsia" w:hAnsi="David" w:cs="David" w:hint="cs"/>
          <w:sz w:val="24"/>
          <w:szCs w:val="24"/>
          <w:rtl/>
        </w:rPr>
        <w:t>לאתגר</w:t>
      </w:r>
      <w:r w:rsidRPr="00246C2A">
        <w:rPr>
          <w:rFonts w:ascii="David" w:eastAsiaTheme="minorEastAsia" w:hAnsi="David" w:cs="David"/>
          <w:sz w:val="24"/>
          <w:szCs w:val="24"/>
          <w:rtl/>
        </w:rPr>
        <w:t xml:space="preserve"> את המערכת הפיננסית.</w:t>
      </w:r>
    </w:p>
    <w:p w:rsidR="00871B4C" w:rsidRDefault="00246C2A" w:rsidP="00997680">
      <w:pPr>
        <w:numPr>
          <w:ilvl w:val="0"/>
          <w:numId w:val="1"/>
        </w:numPr>
        <w:spacing w:after="0" w:line="360" w:lineRule="auto"/>
        <w:contextualSpacing/>
        <w:jc w:val="both"/>
        <w:rPr>
          <w:rFonts w:ascii="David" w:eastAsiaTheme="minorEastAsia" w:hAnsi="David" w:cs="David"/>
          <w:sz w:val="24"/>
          <w:szCs w:val="24"/>
        </w:rPr>
      </w:pPr>
      <w:r w:rsidRPr="00997680">
        <w:rPr>
          <w:rFonts w:ascii="David" w:eastAsiaTheme="minorEastAsia" w:hAnsi="David" w:cs="David"/>
          <w:sz w:val="24"/>
          <w:szCs w:val="24"/>
          <w:rtl/>
        </w:rPr>
        <w:t xml:space="preserve">הסיכון הפיננסי העיקרי הוא באשראי לדיור, בשל גובה יתרתו. הירידה בהכנסות משקי הבית </w:t>
      </w:r>
      <w:r w:rsidR="00B767B9" w:rsidRPr="00997680">
        <w:rPr>
          <w:rFonts w:ascii="David" w:eastAsiaTheme="minorEastAsia" w:hAnsi="David" w:cs="David" w:hint="cs"/>
          <w:sz w:val="24"/>
          <w:szCs w:val="24"/>
          <w:rtl/>
        </w:rPr>
        <w:t>צפויה</w:t>
      </w:r>
      <w:r w:rsidR="00B767B9" w:rsidRPr="00997680">
        <w:rPr>
          <w:rFonts w:ascii="David" w:eastAsiaTheme="minorEastAsia" w:hAnsi="David" w:cs="David"/>
          <w:sz w:val="24"/>
          <w:szCs w:val="24"/>
          <w:rtl/>
        </w:rPr>
        <w:t xml:space="preserve"> </w:t>
      </w:r>
      <w:r w:rsidRPr="00997680">
        <w:rPr>
          <w:rFonts w:ascii="David" w:eastAsiaTheme="minorEastAsia" w:hAnsi="David" w:cs="David"/>
          <w:sz w:val="24"/>
          <w:szCs w:val="24"/>
          <w:rtl/>
        </w:rPr>
        <w:t>להגדיל את שיעור ההחזר החודשי מההכנסה ולהקשות על</w:t>
      </w:r>
      <w:r w:rsidR="008C2E39" w:rsidRPr="00997680">
        <w:rPr>
          <w:rFonts w:ascii="David" w:eastAsiaTheme="minorEastAsia" w:hAnsi="David" w:cs="David" w:hint="cs"/>
          <w:sz w:val="24"/>
          <w:szCs w:val="24"/>
          <w:rtl/>
        </w:rPr>
        <w:t xml:space="preserve"> חלק</w:t>
      </w:r>
      <w:r w:rsidRPr="00997680">
        <w:rPr>
          <w:rFonts w:ascii="David" w:eastAsiaTheme="minorEastAsia" w:hAnsi="David" w:cs="David"/>
          <w:sz w:val="24"/>
          <w:szCs w:val="24"/>
          <w:rtl/>
        </w:rPr>
        <w:t xml:space="preserve"> </w:t>
      </w:r>
      <w:r w:rsidR="008C2E39" w:rsidRPr="00997680">
        <w:rPr>
          <w:rFonts w:ascii="David" w:eastAsiaTheme="minorEastAsia" w:hAnsi="David" w:cs="David" w:hint="cs"/>
          <w:sz w:val="24"/>
          <w:szCs w:val="24"/>
          <w:rtl/>
        </w:rPr>
        <w:t>מ</w:t>
      </w:r>
      <w:r w:rsidRPr="00997680">
        <w:rPr>
          <w:rFonts w:ascii="David" w:eastAsiaTheme="minorEastAsia" w:hAnsi="David" w:cs="David"/>
          <w:sz w:val="24"/>
          <w:szCs w:val="24"/>
          <w:rtl/>
        </w:rPr>
        <w:t xml:space="preserve">נוטלי המשכנתאות לשרת את החוב. </w:t>
      </w:r>
    </w:p>
    <w:p w:rsidR="00246C2A" w:rsidRPr="00871B4C" w:rsidRDefault="00B75C82" w:rsidP="00997680">
      <w:pPr>
        <w:numPr>
          <w:ilvl w:val="0"/>
          <w:numId w:val="1"/>
        </w:numPr>
        <w:spacing w:after="0" w:line="360" w:lineRule="auto"/>
        <w:contextualSpacing/>
        <w:jc w:val="both"/>
        <w:rPr>
          <w:rFonts w:ascii="David" w:eastAsiaTheme="minorEastAsia" w:hAnsi="David" w:cs="David"/>
          <w:sz w:val="24"/>
          <w:szCs w:val="24"/>
        </w:rPr>
      </w:pPr>
      <w:r w:rsidRPr="00997680">
        <w:rPr>
          <w:rFonts w:ascii="David" w:eastAsiaTheme="minorEastAsia" w:hAnsi="David" w:cs="David"/>
          <w:sz w:val="24"/>
          <w:szCs w:val="24"/>
          <w:rtl/>
        </w:rPr>
        <w:t>שיעור ההחזר החודשי מההכנסה</w:t>
      </w:r>
      <w:r w:rsidR="00997680" w:rsidRPr="00997680">
        <w:rPr>
          <w:rFonts w:ascii="David" w:eastAsiaTheme="minorEastAsia" w:hAnsi="David" w:cs="David" w:hint="cs"/>
          <w:sz w:val="24"/>
          <w:szCs w:val="24"/>
          <w:rtl/>
        </w:rPr>
        <w:t xml:space="preserve"> בכ</w:t>
      </w:r>
      <w:r w:rsidR="00997680" w:rsidRPr="00997680">
        <w:rPr>
          <w:rFonts w:ascii="David" w:eastAsiaTheme="minorEastAsia" w:hAnsi="David" w:cs="David"/>
          <w:sz w:val="24"/>
          <w:szCs w:val="24"/>
          <w:rtl/>
        </w:rPr>
        <w:t xml:space="preserve">-60% מהמשכנתאות </w:t>
      </w:r>
      <w:r w:rsidR="00997680" w:rsidRPr="00997680">
        <w:rPr>
          <w:rFonts w:ascii="David" w:eastAsiaTheme="minorEastAsia" w:hAnsi="David" w:cs="David" w:hint="cs"/>
          <w:sz w:val="24"/>
          <w:szCs w:val="24"/>
          <w:rtl/>
        </w:rPr>
        <w:t>ה</w:t>
      </w:r>
      <w:r w:rsidR="00997680" w:rsidRPr="00997680">
        <w:rPr>
          <w:rFonts w:ascii="David" w:eastAsiaTheme="minorEastAsia" w:hAnsi="David" w:cs="David"/>
          <w:sz w:val="24"/>
          <w:szCs w:val="24"/>
          <w:rtl/>
        </w:rPr>
        <w:t>ניתנות כיום נמוך מ-30%</w:t>
      </w:r>
      <w:r w:rsidR="00997680" w:rsidRPr="00997680">
        <w:rPr>
          <w:rFonts w:ascii="David" w:eastAsiaTheme="minorEastAsia" w:hAnsi="David" w:cs="David" w:hint="cs"/>
          <w:sz w:val="24"/>
          <w:szCs w:val="24"/>
          <w:rtl/>
        </w:rPr>
        <w:t>, כך ש</w:t>
      </w:r>
      <w:r w:rsidR="00997680" w:rsidRPr="00997680">
        <w:rPr>
          <w:rFonts w:ascii="David" w:eastAsiaTheme="minorEastAsia" w:hAnsi="David" w:cs="David"/>
          <w:sz w:val="24"/>
          <w:szCs w:val="24"/>
          <w:rtl/>
        </w:rPr>
        <w:t>גם אם הכנס</w:t>
      </w:r>
      <w:r w:rsidR="00997680" w:rsidRPr="00997680">
        <w:rPr>
          <w:rFonts w:ascii="David" w:eastAsiaTheme="minorEastAsia" w:hAnsi="David" w:cs="David" w:hint="cs"/>
          <w:sz w:val="24"/>
          <w:szCs w:val="24"/>
          <w:rtl/>
        </w:rPr>
        <w:t>תו של משק בית</w:t>
      </w:r>
      <w:r w:rsidR="00997680" w:rsidRPr="00997680">
        <w:rPr>
          <w:rFonts w:ascii="David" w:eastAsiaTheme="minorEastAsia" w:hAnsi="David" w:cs="David"/>
          <w:sz w:val="24"/>
          <w:szCs w:val="24"/>
          <w:rtl/>
        </w:rPr>
        <w:t xml:space="preserve"> תרד ב-20%, שיעור ההחזר הממוצע לא אמור לחרוג מהשיעור המקסימלי שנקבע בהוראת הפיקוח על הבנקים</w:t>
      </w:r>
      <w:r w:rsidR="00997680" w:rsidRPr="00871B4C">
        <w:rPr>
          <w:rFonts w:ascii="David" w:eastAsiaTheme="minorEastAsia" w:hAnsi="David" w:cs="David"/>
          <w:sz w:val="24"/>
          <w:szCs w:val="24"/>
          <w:rtl/>
        </w:rPr>
        <w:t xml:space="preserve"> אשר מסמן רמת סיכון גבוהה. </w:t>
      </w:r>
    </w:p>
    <w:p w:rsidR="003E2F23" w:rsidRPr="003B37A9" w:rsidRDefault="003E2F23" w:rsidP="003B37A9">
      <w:pPr>
        <w:numPr>
          <w:ilvl w:val="0"/>
          <w:numId w:val="1"/>
        </w:numPr>
        <w:spacing w:after="120" w:line="360" w:lineRule="auto"/>
        <w:contextualSpacing/>
        <w:jc w:val="both"/>
        <w:rPr>
          <w:rFonts w:ascii="David" w:eastAsiaTheme="minorEastAsia" w:hAnsi="David" w:cs="David"/>
          <w:sz w:val="24"/>
          <w:szCs w:val="24"/>
        </w:rPr>
      </w:pPr>
      <w:r w:rsidRPr="003B37A9">
        <w:rPr>
          <w:rFonts w:ascii="David" w:eastAsiaTheme="minorEastAsia" w:hAnsi="David" w:cs="David" w:hint="eastAsia"/>
          <w:sz w:val="24"/>
          <w:szCs w:val="24"/>
          <w:rtl/>
        </w:rPr>
        <w:t>הקשיים</w:t>
      </w:r>
      <w:r w:rsidRPr="003B37A9">
        <w:rPr>
          <w:rFonts w:ascii="David" w:eastAsiaTheme="minorEastAsia" w:hAnsi="David" w:cs="David"/>
          <w:sz w:val="24"/>
          <w:szCs w:val="24"/>
          <w:rtl/>
        </w:rPr>
        <w:t xml:space="preserve"> למשקי הבית הובילו ליישום מתווה </w:t>
      </w:r>
      <w:r w:rsidRPr="003B37A9">
        <w:rPr>
          <w:rFonts w:ascii="David" w:eastAsiaTheme="minorEastAsia" w:hAnsi="David" w:cs="David" w:hint="eastAsia"/>
          <w:sz w:val="24"/>
          <w:szCs w:val="24"/>
          <w:rtl/>
        </w:rPr>
        <w:t>להקפאת</w:t>
      </w:r>
      <w:r w:rsidRPr="003B37A9">
        <w:rPr>
          <w:rFonts w:ascii="David" w:eastAsiaTheme="minorEastAsia" w:hAnsi="David" w:cs="David"/>
          <w:sz w:val="24"/>
          <w:szCs w:val="24"/>
          <w:rtl/>
        </w:rPr>
        <w:t xml:space="preserve"> משכנתאות </w:t>
      </w:r>
      <w:r w:rsidRPr="003B37A9">
        <w:rPr>
          <w:rFonts w:ascii="David" w:eastAsiaTheme="minorEastAsia" w:hAnsi="David" w:cs="David" w:hint="eastAsia"/>
          <w:sz w:val="24"/>
          <w:szCs w:val="24"/>
          <w:rtl/>
        </w:rPr>
        <w:t>שנועד</w:t>
      </w:r>
      <w:r w:rsidRPr="003B37A9">
        <w:rPr>
          <w:rFonts w:ascii="David" w:eastAsiaTheme="minorEastAsia" w:hAnsi="David" w:cs="David"/>
          <w:sz w:val="24"/>
          <w:szCs w:val="24"/>
          <w:rtl/>
        </w:rPr>
        <w:t xml:space="preserve"> להקל על</w:t>
      </w:r>
      <w:r w:rsidR="003B37A9">
        <w:rPr>
          <w:rFonts w:ascii="David" w:eastAsiaTheme="minorEastAsia" w:hAnsi="David" w:cs="David" w:hint="cs"/>
          <w:sz w:val="24"/>
          <w:szCs w:val="24"/>
          <w:rtl/>
        </w:rPr>
        <w:t>יהם</w:t>
      </w:r>
      <w:r w:rsidRPr="003B37A9">
        <w:rPr>
          <w:rFonts w:ascii="David" w:eastAsiaTheme="minorEastAsia" w:hAnsi="David" w:cs="David"/>
          <w:sz w:val="24"/>
          <w:szCs w:val="24"/>
          <w:rtl/>
        </w:rPr>
        <w:t xml:space="preserve"> </w:t>
      </w:r>
      <w:r w:rsidRPr="003B37A9">
        <w:rPr>
          <w:rFonts w:ascii="David" w:eastAsiaTheme="minorEastAsia" w:hAnsi="David" w:cs="David" w:hint="eastAsia"/>
          <w:sz w:val="24"/>
          <w:szCs w:val="24"/>
          <w:rtl/>
        </w:rPr>
        <w:t>לצלוח</w:t>
      </w:r>
      <w:r w:rsidRPr="003B37A9">
        <w:rPr>
          <w:rFonts w:ascii="David" w:eastAsiaTheme="minorEastAsia" w:hAnsi="David" w:cs="David"/>
          <w:sz w:val="24"/>
          <w:szCs w:val="24"/>
          <w:rtl/>
        </w:rPr>
        <w:t xml:space="preserve"> את המשבר. יחד עם זאת, עם סיום המתווה </w:t>
      </w:r>
      <w:r w:rsidR="006B53BE" w:rsidRPr="003B37A9">
        <w:rPr>
          <w:rFonts w:ascii="David" w:eastAsiaTheme="minorEastAsia" w:hAnsi="David" w:cs="David" w:hint="eastAsia"/>
          <w:sz w:val="24"/>
          <w:szCs w:val="24"/>
          <w:rtl/>
        </w:rPr>
        <w:t>צפויים</w:t>
      </w:r>
      <w:r w:rsidR="006B53BE" w:rsidRPr="003B37A9">
        <w:rPr>
          <w:rFonts w:ascii="David" w:eastAsiaTheme="minorEastAsia" w:hAnsi="David" w:cs="David"/>
          <w:sz w:val="24"/>
          <w:szCs w:val="24"/>
          <w:rtl/>
        </w:rPr>
        <w:t xml:space="preserve"> </w:t>
      </w:r>
      <w:r w:rsidR="00B03386">
        <w:rPr>
          <w:rFonts w:ascii="David" w:eastAsiaTheme="minorEastAsia" w:hAnsi="David" w:cs="David" w:hint="cs"/>
          <w:sz w:val="24"/>
          <w:szCs w:val="24"/>
          <w:rtl/>
        </w:rPr>
        <w:t>חלק מ</w:t>
      </w:r>
      <w:r w:rsidR="006B53BE" w:rsidRPr="003B37A9">
        <w:rPr>
          <w:rFonts w:ascii="David" w:eastAsiaTheme="minorEastAsia" w:hAnsi="David" w:cs="David" w:hint="eastAsia"/>
          <w:sz w:val="24"/>
          <w:szCs w:val="24"/>
          <w:rtl/>
        </w:rPr>
        <w:t>משקי</w:t>
      </w:r>
      <w:r w:rsidR="006B53BE" w:rsidRPr="003B37A9">
        <w:rPr>
          <w:rFonts w:ascii="David" w:eastAsiaTheme="minorEastAsia" w:hAnsi="David" w:cs="David"/>
          <w:sz w:val="24"/>
          <w:szCs w:val="24"/>
          <w:rtl/>
        </w:rPr>
        <w:t xml:space="preserve"> </w:t>
      </w:r>
      <w:r w:rsidR="006B53BE" w:rsidRPr="003B37A9">
        <w:rPr>
          <w:rFonts w:ascii="David" w:eastAsiaTheme="minorEastAsia" w:hAnsi="David" w:cs="David" w:hint="eastAsia"/>
          <w:sz w:val="24"/>
          <w:szCs w:val="24"/>
          <w:rtl/>
        </w:rPr>
        <w:t>הבית</w:t>
      </w:r>
      <w:r w:rsidR="006B53BE" w:rsidRPr="003B37A9">
        <w:rPr>
          <w:rFonts w:ascii="David" w:eastAsiaTheme="minorEastAsia" w:hAnsi="David" w:cs="David"/>
          <w:sz w:val="24"/>
          <w:szCs w:val="24"/>
          <w:rtl/>
        </w:rPr>
        <w:t xml:space="preserve"> </w:t>
      </w:r>
      <w:r w:rsidR="006B53BE" w:rsidRPr="003B37A9">
        <w:rPr>
          <w:rFonts w:ascii="David" w:eastAsiaTheme="minorEastAsia" w:hAnsi="David" w:cs="David" w:hint="eastAsia"/>
          <w:sz w:val="24"/>
          <w:szCs w:val="24"/>
          <w:rtl/>
        </w:rPr>
        <w:t>להתמודד</w:t>
      </w:r>
      <w:r w:rsidR="006B53BE" w:rsidRPr="003B37A9">
        <w:rPr>
          <w:rFonts w:ascii="David" w:eastAsiaTheme="minorEastAsia" w:hAnsi="David" w:cs="David"/>
          <w:sz w:val="24"/>
          <w:szCs w:val="24"/>
          <w:rtl/>
        </w:rPr>
        <w:t xml:space="preserve"> </w:t>
      </w:r>
      <w:r w:rsidR="006B53BE" w:rsidRPr="003B37A9">
        <w:rPr>
          <w:rFonts w:ascii="David" w:eastAsiaTheme="minorEastAsia" w:hAnsi="David" w:cs="David" w:hint="eastAsia"/>
          <w:sz w:val="24"/>
          <w:szCs w:val="24"/>
          <w:rtl/>
        </w:rPr>
        <w:t>עם</w:t>
      </w:r>
      <w:r w:rsidR="006B53BE" w:rsidRPr="003B37A9">
        <w:rPr>
          <w:rFonts w:ascii="David" w:eastAsiaTheme="minorEastAsia" w:hAnsi="David" w:cs="David"/>
          <w:sz w:val="24"/>
          <w:szCs w:val="24"/>
          <w:rtl/>
        </w:rPr>
        <w:t xml:space="preserve"> </w:t>
      </w:r>
      <w:r w:rsidR="006B53BE" w:rsidRPr="003B37A9">
        <w:rPr>
          <w:rFonts w:ascii="David" w:eastAsiaTheme="minorEastAsia" w:hAnsi="David" w:cs="David" w:hint="eastAsia"/>
          <w:sz w:val="24"/>
          <w:szCs w:val="24"/>
          <w:rtl/>
        </w:rPr>
        <w:t>עליה</w:t>
      </w:r>
      <w:r w:rsidR="006B53BE" w:rsidRPr="003B37A9">
        <w:rPr>
          <w:rFonts w:ascii="David" w:eastAsiaTheme="minorEastAsia" w:hAnsi="David" w:cs="David"/>
          <w:sz w:val="24"/>
          <w:szCs w:val="24"/>
          <w:rtl/>
        </w:rPr>
        <w:t xml:space="preserve"> </w:t>
      </w:r>
      <w:r w:rsidR="006B53BE" w:rsidRPr="003B37A9">
        <w:rPr>
          <w:rFonts w:ascii="David" w:eastAsiaTheme="minorEastAsia" w:hAnsi="David" w:cs="David" w:hint="eastAsia"/>
          <w:sz w:val="24"/>
          <w:szCs w:val="24"/>
          <w:rtl/>
        </w:rPr>
        <w:t>בהחזרים</w:t>
      </w:r>
      <w:r w:rsidR="006B53BE" w:rsidRPr="003B37A9">
        <w:rPr>
          <w:rFonts w:ascii="David" w:eastAsiaTheme="minorEastAsia" w:hAnsi="David" w:cs="David"/>
          <w:sz w:val="24"/>
          <w:szCs w:val="24"/>
          <w:rtl/>
        </w:rPr>
        <w:t xml:space="preserve"> </w:t>
      </w:r>
      <w:r w:rsidR="006B53BE" w:rsidRPr="003B37A9">
        <w:rPr>
          <w:rFonts w:ascii="David" w:eastAsiaTheme="minorEastAsia" w:hAnsi="David" w:cs="David" w:hint="eastAsia"/>
          <w:sz w:val="24"/>
          <w:szCs w:val="24"/>
          <w:rtl/>
        </w:rPr>
        <w:t>או</w:t>
      </w:r>
      <w:r w:rsidR="006B53BE" w:rsidRPr="003B37A9">
        <w:rPr>
          <w:rFonts w:ascii="David" w:eastAsiaTheme="minorEastAsia" w:hAnsi="David" w:cs="David"/>
          <w:sz w:val="24"/>
          <w:szCs w:val="24"/>
          <w:rtl/>
        </w:rPr>
        <w:t xml:space="preserve"> </w:t>
      </w:r>
      <w:r w:rsidR="006B53BE" w:rsidRPr="003B37A9">
        <w:rPr>
          <w:rFonts w:ascii="David" w:eastAsiaTheme="minorEastAsia" w:hAnsi="David" w:cs="David" w:hint="eastAsia"/>
          <w:sz w:val="24"/>
          <w:szCs w:val="24"/>
          <w:rtl/>
        </w:rPr>
        <w:t>בפריסה</w:t>
      </w:r>
      <w:r w:rsidR="006B53BE" w:rsidRPr="003B37A9">
        <w:rPr>
          <w:rFonts w:ascii="David" w:eastAsiaTheme="minorEastAsia" w:hAnsi="David" w:cs="David"/>
          <w:sz w:val="24"/>
          <w:szCs w:val="24"/>
          <w:rtl/>
        </w:rPr>
        <w:t xml:space="preserve"> </w:t>
      </w:r>
      <w:r w:rsidR="006B53BE" w:rsidRPr="003B37A9">
        <w:rPr>
          <w:rFonts w:ascii="David" w:eastAsiaTheme="minorEastAsia" w:hAnsi="David" w:cs="David" w:hint="eastAsia"/>
          <w:sz w:val="24"/>
          <w:szCs w:val="24"/>
          <w:rtl/>
        </w:rPr>
        <w:t>מחדש</w:t>
      </w:r>
      <w:r w:rsidR="006B53BE" w:rsidRPr="003B37A9">
        <w:rPr>
          <w:rFonts w:ascii="David" w:eastAsiaTheme="minorEastAsia" w:hAnsi="David" w:cs="David"/>
          <w:sz w:val="24"/>
          <w:szCs w:val="24"/>
          <w:rtl/>
        </w:rPr>
        <w:t xml:space="preserve"> </w:t>
      </w:r>
      <w:r w:rsidR="006B53BE" w:rsidRPr="003B37A9">
        <w:rPr>
          <w:rFonts w:ascii="David" w:eastAsiaTheme="minorEastAsia" w:hAnsi="David" w:cs="David" w:hint="eastAsia"/>
          <w:sz w:val="24"/>
          <w:szCs w:val="24"/>
          <w:rtl/>
        </w:rPr>
        <w:t>של</w:t>
      </w:r>
      <w:r w:rsidR="006B53BE" w:rsidRPr="003B37A9">
        <w:rPr>
          <w:rFonts w:ascii="David" w:eastAsiaTheme="minorEastAsia" w:hAnsi="David" w:cs="David"/>
          <w:sz w:val="24"/>
          <w:szCs w:val="24"/>
          <w:rtl/>
        </w:rPr>
        <w:t xml:space="preserve"> </w:t>
      </w:r>
      <w:r w:rsidR="006B53BE" w:rsidRPr="003B37A9">
        <w:rPr>
          <w:rFonts w:ascii="David" w:eastAsiaTheme="minorEastAsia" w:hAnsi="David" w:cs="David" w:hint="eastAsia"/>
          <w:sz w:val="24"/>
          <w:szCs w:val="24"/>
          <w:rtl/>
        </w:rPr>
        <w:t>יתרת</w:t>
      </w:r>
      <w:r w:rsidR="006B53BE" w:rsidRPr="003B37A9">
        <w:rPr>
          <w:rFonts w:ascii="David" w:eastAsiaTheme="minorEastAsia" w:hAnsi="David" w:cs="David"/>
          <w:sz w:val="24"/>
          <w:szCs w:val="24"/>
          <w:rtl/>
        </w:rPr>
        <w:t xml:space="preserve"> </w:t>
      </w:r>
      <w:r w:rsidR="006B53BE" w:rsidRPr="003B37A9">
        <w:rPr>
          <w:rFonts w:ascii="David" w:eastAsiaTheme="minorEastAsia" w:hAnsi="David" w:cs="David" w:hint="eastAsia"/>
          <w:sz w:val="24"/>
          <w:szCs w:val="24"/>
          <w:rtl/>
        </w:rPr>
        <w:t>ההלוואות</w:t>
      </w:r>
      <w:r w:rsidR="006B53BE" w:rsidRPr="003B37A9">
        <w:rPr>
          <w:rFonts w:ascii="David" w:eastAsiaTheme="minorEastAsia" w:hAnsi="David" w:cs="David"/>
          <w:sz w:val="24"/>
          <w:szCs w:val="24"/>
          <w:rtl/>
        </w:rPr>
        <w:t xml:space="preserve"> שמשמעותה הארכת חיי ההלוואות. </w:t>
      </w:r>
    </w:p>
    <w:p w:rsidR="00B03386" w:rsidRPr="003B37A9" w:rsidRDefault="006B53BE" w:rsidP="003B37A9">
      <w:pPr>
        <w:numPr>
          <w:ilvl w:val="0"/>
          <w:numId w:val="1"/>
        </w:numPr>
        <w:spacing w:after="120" w:line="360" w:lineRule="auto"/>
        <w:contextualSpacing/>
        <w:jc w:val="both"/>
        <w:rPr>
          <w:rFonts w:ascii="David" w:eastAsiaTheme="minorEastAsia" w:hAnsi="David" w:cs="David"/>
          <w:sz w:val="24"/>
          <w:szCs w:val="24"/>
        </w:rPr>
      </w:pPr>
      <w:r w:rsidRPr="00246C2A">
        <w:rPr>
          <w:rFonts w:ascii="David" w:eastAsiaTheme="minorEastAsia" w:hAnsi="David" w:cs="David"/>
          <w:sz w:val="24"/>
          <w:szCs w:val="24"/>
          <w:rtl/>
        </w:rPr>
        <w:t xml:space="preserve">הענפים שספגו את הפגיעה הקשה ביותר – קמעונאות, תיירות, מסעדנות וכד' – הם כאלה שמעסיקים עובדים בעלי השכלה נמוכה יותר ובעלי פריון נמוך יחסית, שעלולים להישאר מובטלים לאורך זמן, וככל שמובטלים נשארים זמן רב יותר מחוץ לתעסוקה הסיכוי שלהם לחזור למעגל העבודה יורד. </w:t>
      </w:r>
    </w:p>
    <w:p w:rsidR="00B767B9" w:rsidRPr="00246C2A" w:rsidRDefault="00B767B9" w:rsidP="00B767B9">
      <w:pPr>
        <w:spacing w:after="0" w:line="360" w:lineRule="auto"/>
        <w:ind w:left="720"/>
        <w:contextualSpacing/>
        <w:jc w:val="both"/>
        <w:rPr>
          <w:rFonts w:ascii="David" w:eastAsiaTheme="minorEastAsia" w:hAnsi="David" w:cs="David"/>
          <w:sz w:val="24"/>
          <w:szCs w:val="24"/>
        </w:rPr>
      </w:pPr>
    </w:p>
    <w:p w:rsidR="00246C2A" w:rsidRPr="00936203" w:rsidRDefault="00246C2A" w:rsidP="00936203">
      <w:pPr>
        <w:pStyle w:val="a8"/>
        <w:keepNext/>
        <w:keepLines/>
        <w:numPr>
          <w:ilvl w:val="0"/>
          <w:numId w:val="4"/>
        </w:numPr>
        <w:spacing w:before="200" w:after="0" w:line="360" w:lineRule="auto"/>
        <w:jc w:val="both"/>
        <w:outlineLvl w:val="1"/>
        <w:rPr>
          <w:rFonts w:asciiTheme="majorHAnsi" w:eastAsiaTheme="majorEastAsia" w:hAnsiTheme="majorHAnsi" w:cs="David"/>
          <w:b/>
          <w:bCs/>
          <w:caps/>
          <w:spacing w:val="15"/>
          <w:sz w:val="24"/>
          <w:szCs w:val="24"/>
          <w:rtl/>
        </w:rPr>
      </w:pPr>
      <w:bookmarkStart w:id="3" w:name="_Toc45016672"/>
      <w:bookmarkStart w:id="4" w:name="_Toc42773244"/>
      <w:bookmarkStart w:id="5" w:name="_Toc43999449"/>
      <w:bookmarkStart w:id="6" w:name="_Toc46064909"/>
      <w:bookmarkStart w:id="7" w:name="_Toc46160324"/>
      <w:bookmarkStart w:id="8" w:name="_Toc46160678"/>
      <w:r w:rsidRPr="00936203">
        <w:rPr>
          <w:rFonts w:asciiTheme="majorHAnsi" w:eastAsiaTheme="majorEastAsia" w:hAnsiTheme="majorHAnsi" w:cs="David"/>
          <w:b/>
          <w:bCs/>
          <w:caps/>
          <w:spacing w:val="15"/>
          <w:sz w:val="24"/>
          <w:szCs w:val="24"/>
          <w:rtl/>
        </w:rPr>
        <w:lastRenderedPageBreak/>
        <w:t>המצב ערב המשבר</w:t>
      </w:r>
      <w:bookmarkEnd w:id="3"/>
      <w:bookmarkEnd w:id="4"/>
      <w:bookmarkEnd w:id="5"/>
      <w:bookmarkEnd w:id="6"/>
      <w:bookmarkEnd w:id="7"/>
      <w:bookmarkEnd w:id="8"/>
    </w:p>
    <w:p w:rsidR="00246C2A" w:rsidRPr="00246C2A" w:rsidRDefault="00246C2A" w:rsidP="00936203">
      <w:pPr>
        <w:spacing w:after="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 xml:space="preserve">משבר הקורונה פקד את מגזר משקי הבית במצב כלכלי טוב. מאז המשבר הפיננסי של 2008–2009, ירד שיעור האבטלה של בני 25–64 בהתמדה מ-8.3% ל-3.2% בפברואר 2020; השכר הריאלי למשרת שכיר עלה בכ-19%, וההכנסה הריאלית הממוצעת נטו של משקי הבית עלתה בכ-30%. </w:t>
      </w:r>
    </w:p>
    <w:p w:rsidR="00246C2A" w:rsidRDefault="00246C2A" w:rsidP="00C87EC5">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 xml:space="preserve">בשנת 2018 עמדה מצבת הנכסים של מגזר משקי הבית על למעלה מ-7 טריליון </w:t>
      </w:r>
      <w:r w:rsidR="00C87EC5">
        <w:rPr>
          <w:rFonts w:ascii="David" w:eastAsiaTheme="minorEastAsia" w:hAnsi="David" w:cs="David" w:hint="cs"/>
          <w:sz w:val="24"/>
          <w:szCs w:val="24"/>
          <w:rtl/>
        </w:rPr>
        <w:t>ש"ח (לוח1)</w:t>
      </w:r>
      <w:r w:rsidRPr="00246C2A">
        <w:rPr>
          <w:rFonts w:ascii="David" w:eastAsiaTheme="minorEastAsia" w:hAnsi="David" w:cs="David"/>
          <w:sz w:val="24"/>
          <w:szCs w:val="24"/>
          <w:rtl/>
        </w:rPr>
        <w:t xml:space="preserve">. למעלה ממחצית מסכום זה הוא ערך נכסי הנדל"ן, ו-46% ממנו הוא ערכם של הנכסים הפיננסיים, כולל חסכונות לטווח ארוך בקרנות הפנסיה. האטה בעליית מחירי הדירות מיתנה את עליית ערך נכסי הנדל"ן המוחזקים בידי משקי הבית, בעוד שערכם של הנכסים הפיננסיים כמעט לא עלה בהשוואה לשנת 2017 בגלל ההפסדים שנבעו מהחזקות בניירות ערך. מהצד האחר, היקף האשראי למשקי הבית המשיך להתרחב בקצב גבוה, בעיקר בעקבות העלייה המהירה באשראי לדיור.  </w:t>
      </w:r>
    </w:p>
    <w:p w:rsidR="003B37A9" w:rsidRPr="00246C2A" w:rsidRDefault="003B37A9" w:rsidP="00C87EC5">
      <w:pPr>
        <w:spacing w:after="120" w:line="360" w:lineRule="auto"/>
        <w:jc w:val="both"/>
        <w:rPr>
          <w:rFonts w:ascii="David" w:eastAsiaTheme="minorEastAsia" w:hAnsi="David" w:cs="David"/>
          <w:sz w:val="24"/>
          <w:szCs w:val="24"/>
          <w:rtl/>
        </w:rPr>
      </w:pPr>
      <w:r w:rsidRPr="003B37A9">
        <w:rPr>
          <w:rFonts w:ascii="David" w:eastAsiaTheme="minorEastAsia" w:hAnsi="David" w:cs="David"/>
          <w:noProof/>
          <w:sz w:val="24"/>
          <w:szCs w:val="24"/>
          <w:rtl/>
        </w:rPr>
        <w:drawing>
          <wp:inline distT="0" distB="0" distL="0" distR="0" wp14:anchorId="37A3366C" wp14:editId="0B6B95BB">
            <wp:extent cx="5274310" cy="4104309"/>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4104309"/>
                    </a:xfrm>
                    <a:prstGeom prst="rect">
                      <a:avLst/>
                    </a:prstGeom>
                    <a:noFill/>
                    <a:ln>
                      <a:noFill/>
                    </a:ln>
                  </pic:spPr>
                </pic:pic>
              </a:graphicData>
            </a:graphic>
          </wp:inline>
        </w:drawing>
      </w:r>
    </w:p>
    <w:p w:rsidR="00246C2A" w:rsidRDefault="00246C2A" w:rsidP="00C87EC5">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 xml:space="preserve">אין בידינו נתונים עדכניים לגבי ערך מצבת הנכסים הפיננסיים של משקי הבית, אך לגבי שאר סעיפי המאזן ניתן להציג את הנתונים לשנת 2019 </w:t>
      </w:r>
      <w:r w:rsidR="00C87EC5">
        <w:rPr>
          <w:rFonts w:ascii="David" w:eastAsiaTheme="minorEastAsia" w:hAnsi="David" w:cs="David" w:hint="cs"/>
          <w:sz w:val="24"/>
          <w:szCs w:val="24"/>
          <w:rtl/>
        </w:rPr>
        <w:t xml:space="preserve"> (לוח 2).</w:t>
      </w:r>
    </w:p>
    <w:p w:rsidR="00F428F8" w:rsidRDefault="00F428F8" w:rsidP="00F428F8">
      <w:pPr>
        <w:spacing w:after="120" w:line="360" w:lineRule="auto"/>
        <w:jc w:val="center"/>
        <w:rPr>
          <w:rFonts w:ascii="David" w:eastAsiaTheme="minorEastAsia" w:hAnsi="David" w:cs="David"/>
          <w:sz w:val="24"/>
          <w:szCs w:val="24"/>
          <w:rtl/>
        </w:rPr>
      </w:pPr>
      <w:r w:rsidRPr="00F428F8">
        <w:rPr>
          <w:rFonts w:ascii="David" w:eastAsiaTheme="minorEastAsia" w:hAnsi="David" w:cs="David"/>
          <w:noProof/>
          <w:sz w:val="24"/>
          <w:szCs w:val="24"/>
          <w:rtl/>
        </w:rPr>
        <w:drawing>
          <wp:inline distT="0" distB="0" distL="0" distR="0" wp14:anchorId="395BE37A" wp14:editId="1532902C">
            <wp:extent cx="3265166" cy="1707903"/>
            <wp:effectExtent l="0" t="0" r="0" b="6985"/>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7283" cy="1719472"/>
                    </a:xfrm>
                    <a:prstGeom prst="rect">
                      <a:avLst/>
                    </a:prstGeom>
                    <a:noFill/>
                    <a:ln>
                      <a:noFill/>
                    </a:ln>
                  </pic:spPr>
                </pic:pic>
              </a:graphicData>
            </a:graphic>
          </wp:inline>
        </w:drawing>
      </w:r>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lastRenderedPageBreak/>
        <w:t>שיעור תעסוקה גבוה, שיעור אבטלה נמוך וצמיחת השכר בשנים האחרונות על רקע שיעורי ריבית נמוכים היסטורית אפשרו למשקי הבית להגדיל את האשראי לדיור והאשראי הצרכני. איכות תיק האשראי הבנקאי לדיור על כל מדדיה</w:t>
      </w:r>
      <w:r w:rsidRPr="00246C2A">
        <w:rPr>
          <w:rFonts w:ascii="David" w:eastAsiaTheme="minorEastAsia" w:hAnsi="David" w:cs="David"/>
          <w:sz w:val="24"/>
          <w:szCs w:val="24"/>
          <w:vertAlign w:val="superscript"/>
          <w:rtl/>
        </w:rPr>
        <w:footnoteReference w:id="1"/>
      </w:r>
      <w:r w:rsidRPr="00246C2A">
        <w:rPr>
          <w:rFonts w:ascii="David" w:eastAsiaTheme="minorEastAsia" w:hAnsi="David" w:cs="David"/>
          <w:sz w:val="24"/>
          <w:szCs w:val="24"/>
          <w:rtl/>
        </w:rPr>
        <w:t xml:space="preserve"> הייתה טובה, דבר שהשתקף גם במספרים נמוכים של פינויי חייבים מהנכסים הממושכנים ומכירתם לשם החזרת החוב</w:t>
      </w:r>
      <w:r w:rsidRPr="00246C2A">
        <w:rPr>
          <w:rFonts w:ascii="David" w:eastAsiaTheme="minorEastAsia" w:hAnsi="David" w:cs="David"/>
          <w:sz w:val="24"/>
          <w:szCs w:val="24"/>
          <w:vertAlign w:val="superscript"/>
          <w:rtl/>
        </w:rPr>
        <w:footnoteReference w:id="2"/>
      </w:r>
      <w:r w:rsidRPr="00246C2A">
        <w:rPr>
          <w:rFonts w:ascii="David" w:eastAsiaTheme="minorEastAsia" w:hAnsi="David" w:cs="David"/>
          <w:sz w:val="24"/>
          <w:szCs w:val="24"/>
          <w:rtl/>
        </w:rPr>
        <w:t>. על פי בדיקה שנערכה ברשות האכיפה והגבייה</w:t>
      </w:r>
      <w:r w:rsidRPr="00246C2A">
        <w:rPr>
          <w:rFonts w:ascii="David" w:eastAsiaTheme="minorEastAsia" w:hAnsi="David" w:cs="David"/>
          <w:sz w:val="24"/>
          <w:szCs w:val="24"/>
          <w:vertAlign w:val="superscript"/>
          <w:rtl/>
        </w:rPr>
        <w:footnoteReference w:id="3"/>
      </w:r>
      <w:r w:rsidRPr="00246C2A">
        <w:rPr>
          <w:rFonts w:ascii="David" w:eastAsiaTheme="minorEastAsia" w:hAnsi="David" w:cs="David"/>
          <w:sz w:val="24"/>
          <w:szCs w:val="24"/>
          <w:rtl/>
        </w:rPr>
        <w:t xml:space="preserve"> נפתחו בשנים 2009–2018 707 אלף תיקים בגין מתן אשראי, מהם 63% בגין אשראי בנקאי, 19% בגין אשראי חוץ-בנקאי ו-18% בגין אשראי מחברות כרטיסי האשראי</w:t>
      </w:r>
      <w:r w:rsidRPr="00246C2A">
        <w:rPr>
          <w:rFonts w:ascii="David" w:eastAsiaTheme="minorEastAsia" w:hAnsi="David" w:cs="David"/>
          <w:sz w:val="24"/>
          <w:szCs w:val="24"/>
          <w:vertAlign w:val="superscript"/>
          <w:rtl/>
        </w:rPr>
        <w:footnoteReference w:id="4"/>
      </w:r>
      <w:r w:rsidRPr="00246C2A">
        <w:rPr>
          <w:rFonts w:ascii="David" w:eastAsiaTheme="minorEastAsia" w:hAnsi="David" w:cs="David"/>
          <w:sz w:val="24"/>
          <w:szCs w:val="24"/>
          <w:rtl/>
        </w:rPr>
        <w:t xml:space="preserve">. בשנים 2018–2019 גדל מספר התיקים שנפתחו בהוצאה לפועל אף שבשנים אלה שוק העבודה היה בתעסוקה מלאה. התרחבות האשראי החוץ-בנקאי ומחברות כרטיסי האשראי לוותה בעלייה של חלקם בתיקים שבהוצאה לפועל, ושיעורם בתיקים אלה גבוה ביחס לשיעורם בחוב של משקי הבית, דבר המעיד על איכות חוב נמוכה מזו של האשראי הבנקאי. כך עמד שיעור התיקים בגין אשראי חוץ-בנקאי בשנת 2018 על 23% מסך התיקים שנפתחו, ושיעור התיקים בגין אשראי מחברות כרטיסי האשראי עמד על 20%, בעוד שחלקיהם בסך האשראי שלא לדיור למשקי הבית היו כ-10% וכ-12%, בהתאמה. </w:t>
      </w:r>
    </w:p>
    <w:p w:rsidR="00246C2A" w:rsidRDefault="00246C2A" w:rsidP="00AB736F">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כפי שעולה ממאזן משקי הבית, כספים רבים מוחזקים בצורה נזילה – מזומן ופיקדונות. על פי תוצאות סקר של המכון הישראלי לדמוקרטיה שנערך בתחילת הסגר</w:t>
      </w:r>
      <w:r w:rsidRPr="00246C2A">
        <w:rPr>
          <w:rFonts w:ascii="David" w:eastAsiaTheme="minorEastAsia" w:hAnsi="David" w:cs="David"/>
          <w:sz w:val="24"/>
          <w:szCs w:val="24"/>
          <w:vertAlign w:val="superscript"/>
          <w:rtl/>
        </w:rPr>
        <w:footnoteReference w:id="5"/>
      </w:r>
      <w:r w:rsidRPr="00246C2A">
        <w:rPr>
          <w:rFonts w:ascii="David" w:eastAsiaTheme="minorEastAsia" w:hAnsi="David" w:cs="David"/>
          <w:sz w:val="24"/>
          <w:szCs w:val="24"/>
          <w:rtl/>
        </w:rPr>
        <w:t>, רק כרבע מכלל הנשאלים ציינו כי אין ברשותם כסף נזיל להתקיים ממנו בלי לפתוח חסכונות; זאת לעומת 66% של הנשאלים שציינו שיש להם כסף נזיל שיספיק לתקופה מסוימת. התפלגות דומה הייתה בקרב העצמאיים והשכירים</w:t>
      </w:r>
      <w:r w:rsidRPr="00246C2A">
        <w:rPr>
          <w:rFonts w:ascii="David" w:eastAsiaTheme="minorEastAsia" w:hAnsi="David" w:cs="David"/>
          <w:sz w:val="24"/>
          <w:szCs w:val="24"/>
          <w:vertAlign w:val="superscript"/>
          <w:rtl/>
        </w:rPr>
        <w:footnoteReference w:id="6"/>
      </w:r>
      <w:r w:rsidRPr="00246C2A">
        <w:rPr>
          <w:rFonts w:ascii="David" w:eastAsiaTheme="minorEastAsia" w:hAnsi="David" w:cs="David"/>
          <w:sz w:val="24"/>
          <w:szCs w:val="24"/>
          <w:rtl/>
        </w:rPr>
        <w:t>. עם זאת, למרבית משקי הבית שהיה בידיהם כסף נזיל הוא היה אמור להספיק לחודש-חודשיים בלבד (59% מהעצמאיים ו-46% מהשכירים,</w:t>
      </w:r>
      <w:r w:rsidR="00AB736F">
        <w:rPr>
          <w:rFonts w:ascii="David" w:eastAsiaTheme="minorEastAsia" w:hAnsi="David" w:cs="David" w:hint="cs"/>
          <w:sz w:val="24"/>
          <w:szCs w:val="24"/>
          <w:rtl/>
        </w:rPr>
        <w:t xml:space="preserve"> איור 1).</w:t>
      </w:r>
    </w:p>
    <w:p w:rsidR="00F428F8" w:rsidRPr="00246C2A" w:rsidRDefault="00F428F8" w:rsidP="00F428F8">
      <w:pPr>
        <w:spacing w:after="120" w:line="360" w:lineRule="auto"/>
        <w:jc w:val="center"/>
        <w:rPr>
          <w:rFonts w:ascii="David" w:eastAsiaTheme="minorEastAsia" w:hAnsi="David" w:cs="David"/>
          <w:sz w:val="24"/>
          <w:szCs w:val="24"/>
        </w:rPr>
      </w:pPr>
      <w:r w:rsidRPr="00F428F8">
        <w:rPr>
          <w:rFonts w:ascii="David" w:eastAsiaTheme="minorEastAsia" w:hAnsi="David" w:cs="David"/>
          <w:noProof/>
          <w:sz w:val="24"/>
          <w:szCs w:val="24"/>
          <w:rtl/>
        </w:rPr>
        <w:lastRenderedPageBreak/>
        <w:drawing>
          <wp:inline distT="0" distB="0" distL="0" distR="0" wp14:anchorId="4FD19B16" wp14:editId="37377030">
            <wp:extent cx="4015299" cy="2661557"/>
            <wp:effectExtent l="0" t="0" r="4445" b="571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6251" cy="2668817"/>
                    </a:xfrm>
                    <a:prstGeom prst="rect">
                      <a:avLst/>
                    </a:prstGeom>
                    <a:noFill/>
                    <a:ln>
                      <a:noFill/>
                    </a:ln>
                  </pic:spPr>
                </pic:pic>
              </a:graphicData>
            </a:graphic>
          </wp:inline>
        </w:drawing>
      </w:r>
    </w:p>
    <w:p w:rsidR="00A95E20" w:rsidRDefault="00A95E20" w:rsidP="008C3DB7">
      <w:pPr>
        <w:jc w:val="center"/>
        <w:rPr>
          <w:rtl/>
        </w:rPr>
      </w:pPr>
    </w:p>
    <w:p w:rsidR="00246C2A" w:rsidRPr="008C3DB7" w:rsidRDefault="00246C2A" w:rsidP="008C3DB7">
      <w:pPr>
        <w:pStyle w:val="a8"/>
        <w:keepNext/>
        <w:keepLines/>
        <w:numPr>
          <w:ilvl w:val="0"/>
          <w:numId w:val="4"/>
        </w:numPr>
        <w:spacing w:before="200" w:after="0" w:line="360" w:lineRule="auto"/>
        <w:jc w:val="both"/>
        <w:outlineLvl w:val="1"/>
        <w:rPr>
          <w:rFonts w:asciiTheme="majorHAnsi" w:eastAsiaTheme="majorEastAsia" w:hAnsiTheme="majorHAnsi" w:cs="David"/>
          <w:b/>
          <w:bCs/>
          <w:caps/>
          <w:spacing w:val="15"/>
          <w:sz w:val="24"/>
          <w:szCs w:val="24"/>
          <w:rtl/>
        </w:rPr>
      </w:pPr>
      <w:bookmarkStart w:id="9" w:name="_Toc45016673"/>
      <w:bookmarkStart w:id="10" w:name="_Toc42773245"/>
      <w:bookmarkStart w:id="11" w:name="_Toc43999450"/>
      <w:bookmarkStart w:id="12" w:name="_Toc46064910"/>
      <w:bookmarkStart w:id="13" w:name="_Toc46160325"/>
      <w:bookmarkStart w:id="14" w:name="_Toc46160679"/>
      <w:r w:rsidRPr="008C3DB7">
        <w:rPr>
          <w:rFonts w:asciiTheme="majorHAnsi" w:eastAsiaTheme="majorEastAsia" w:hAnsiTheme="majorHAnsi" w:cs="David"/>
          <w:b/>
          <w:bCs/>
          <w:caps/>
          <w:spacing w:val="15"/>
          <w:sz w:val="24"/>
          <w:szCs w:val="24"/>
          <w:rtl/>
        </w:rPr>
        <w:t>ההשפעה המיידית של המשבר</w:t>
      </w:r>
      <w:bookmarkEnd w:id="9"/>
      <w:bookmarkEnd w:id="10"/>
      <w:bookmarkEnd w:id="11"/>
      <w:bookmarkEnd w:id="12"/>
      <w:bookmarkEnd w:id="13"/>
      <w:bookmarkEnd w:id="14"/>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 xml:space="preserve">בעקבות הטלת מגבלות חמורות על הפעילות הכלכלית ועל היקף העובדים שיכולים להגיע למקומות העבודה הוצאו למעלה ממיליון עובדים לחל"ת או פוטרו החל מאמצע מרץ 2020. כמחצית מכל העובדים המושבתים הגיעו מ-6 ענפים בלבד: חינוך, שירותי מזון ומשקאות, שירותים של משקי בית, קמעונאות, תעשייה ומסחר סיטוני. הענפים המושבתים הם הענפים שבהם השכר נמוך יחסית. התעסוקה בענפים שבהם השכר גבוה יחסית נפגעה פחות, או בזכות היותם חיוניים, כגון חשמל, מים ותשתיות חיוניות אחרות, או בזכות יכולתם של המועסקים בהם לעבוד מהבית (תעשיית הייטק, מידע ותקשורת, שירותים פיננסיים). יש לציין כי גם בתוך כל ענף שכרם של העובדים המושבתים נמוך ביחס לשכר הממוצע בו. </w:t>
      </w:r>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השכר החודשי הממוצע של המושבתים עמד ב-2017 על 7,577 ש"ח בלבד, לעומת שכר ממוצע של 12,136 ש"ח לאלה שלא הושבתו</w:t>
      </w:r>
      <w:r w:rsidRPr="00246C2A">
        <w:rPr>
          <w:rFonts w:ascii="David" w:eastAsiaTheme="minorEastAsia" w:hAnsi="David" w:cs="David"/>
          <w:sz w:val="24"/>
          <w:szCs w:val="24"/>
          <w:vertAlign w:val="superscript"/>
          <w:rtl/>
        </w:rPr>
        <w:footnoteReference w:id="7"/>
      </w:r>
      <w:r w:rsidRPr="00246C2A">
        <w:rPr>
          <w:rFonts w:ascii="David" w:eastAsiaTheme="minorEastAsia" w:hAnsi="David" w:cs="David"/>
          <w:sz w:val="24"/>
          <w:szCs w:val="24"/>
          <w:rtl/>
        </w:rPr>
        <w:t>. הפרש זה מוסבר במשקל גבוה יחסית של עובדים חרדים, נשים, צעירים ולא אקדמאים מבין המושבתים – אוכלוסיות ששכרן נמוך ביחס לממוצע המועסקים. כך למשל הושבתו 27% מהמועסקים החרדים שעבדו בשנת 2017, לעומת 18% מהמועסקים היהודים הלא חרדים, ו-21% מהנשים ביחס ל-16% מהגברים. מתוך כל המושבתים, 16% היו בגילים 15–24 ו-30% בגילים 25–34. 89% מהמושבתים שעבדו ב-2017 אינם מחזיקים בתואר אקדמי. על פי נתוני שירות התעסוקה, בחודש אפריל תבעו דמי אבטלה כ-1,013 אלף דורשי עבודה לא-אקדמאים לעומת כ-47.4 אלף אקדמאים בלבד</w:t>
      </w:r>
      <w:r w:rsidRPr="00246C2A">
        <w:rPr>
          <w:rFonts w:ascii="David" w:eastAsiaTheme="minorEastAsia" w:hAnsi="David" w:cs="David"/>
          <w:sz w:val="24"/>
          <w:szCs w:val="24"/>
          <w:vertAlign w:val="superscript"/>
          <w:rtl/>
        </w:rPr>
        <w:footnoteReference w:id="8"/>
      </w:r>
      <w:r w:rsidRPr="00246C2A">
        <w:rPr>
          <w:rFonts w:ascii="David" w:eastAsiaTheme="minorEastAsia" w:hAnsi="David" w:cs="David"/>
          <w:sz w:val="24"/>
          <w:szCs w:val="24"/>
          <w:rtl/>
        </w:rPr>
        <w:t>. כן העלה הניתוח של משרד האוצר ששיעור משקי הבית שבהם שני המפרנסים הושבתו גבוה יותר במשקי בית שרמות הכנסתם נמוכות.</w:t>
      </w:r>
    </w:p>
    <w:p w:rsidR="00246C2A" w:rsidRPr="00246C2A" w:rsidRDefault="00246C2A" w:rsidP="003B37A9">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ההשפעה הראשונה והעיקרית של המשבר היא על הכנסותיהם של משקי הבית. מאז תחילת המשבר, בחודשים מרץ-מאי 2020 נרשמו בשירות התעסוקה כ-977 אלף דורשי עבודה חדשים</w:t>
      </w:r>
      <w:r w:rsidRPr="00246C2A">
        <w:rPr>
          <w:rFonts w:ascii="David" w:eastAsiaTheme="minorEastAsia" w:hAnsi="David" w:cs="David"/>
          <w:sz w:val="24"/>
          <w:szCs w:val="24"/>
          <w:vertAlign w:val="superscript"/>
          <w:rtl/>
        </w:rPr>
        <w:footnoteReference w:id="9"/>
      </w:r>
      <w:r w:rsidRPr="00246C2A">
        <w:rPr>
          <w:rFonts w:ascii="David" w:eastAsiaTheme="minorEastAsia" w:hAnsi="David" w:cs="David"/>
          <w:sz w:val="24"/>
          <w:szCs w:val="24"/>
          <w:rtl/>
        </w:rPr>
        <w:t xml:space="preserve">. דמי </w:t>
      </w:r>
      <w:r w:rsidRPr="00246C2A">
        <w:rPr>
          <w:rFonts w:ascii="David" w:eastAsiaTheme="minorEastAsia" w:hAnsi="David" w:cs="David"/>
          <w:sz w:val="24"/>
          <w:szCs w:val="24"/>
          <w:rtl/>
        </w:rPr>
        <w:lastRenderedPageBreak/>
        <w:t>האבטלה לא רק מוגבלים בזמן (בהתאם לגיל) אלא גם נותנים פיצוי חלקי בלבד לשכר שהעובד השתכר לפני המשבר (דמי האבטלה מחושבים באחוזים מהשכר היומי הממוצע של המובטל בשיעורים ההולכים וקטנים ככל ששכרו גבוה יותר וגם מוגבלים לסכום המרבי של 10,551 ש"ח לחודש). העצמאיים שנאלצו לסגור את עסקיהם או לצמצם את פעילותם אינם זכאים כלל לדמי אבטלה, אך הובטחו להם מענקים במספר פעימות ובהיקף שתלוי בהיקף אובדן ההכנסות של העסק</w:t>
      </w:r>
      <w:r w:rsidRPr="00246C2A">
        <w:rPr>
          <w:rFonts w:ascii="David" w:eastAsiaTheme="minorEastAsia" w:hAnsi="David" w:cs="David"/>
          <w:sz w:val="24"/>
          <w:szCs w:val="24"/>
          <w:vertAlign w:val="superscript"/>
          <w:rtl/>
        </w:rPr>
        <w:footnoteReference w:id="10"/>
      </w:r>
      <w:r w:rsidRPr="00246C2A">
        <w:rPr>
          <w:rFonts w:ascii="David" w:eastAsiaTheme="minorEastAsia" w:hAnsi="David" w:cs="David"/>
          <w:sz w:val="24"/>
          <w:szCs w:val="24"/>
          <w:rtl/>
        </w:rPr>
        <w:t>. מבין העובדים שנשארו מועסקים בזמן המשבר לא כולם הצליחו לשמור על רמת השכר, בעיקר בגלל הירידה בהיקף המשרה וביטול שעות נוספות, בונוסים, תורנויות וכד'</w:t>
      </w:r>
      <w:r w:rsidRPr="00246C2A">
        <w:rPr>
          <w:rFonts w:ascii="David" w:eastAsiaTheme="minorEastAsia" w:hAnsi="David" w:cs="David"/>
          <w:sz w:val="24"/>
          <w:szCs w:val="24"/>
          <w:vertAlign w:val="superscript"/>
          <w:rtl/>
        </w:rPr>
        <w:footnoteReference w:id="11"/>
      </w:r>
      <w:r w:rsidRPr="00246C2A">
        <w:rPr>
          <w:rFonts w:ascii="David" w:eastAsiaTheme="minorEastAsia" w:hAnsi="David" w:cs="David"/>
          <w:sz w:val="24"/>
          <w:szCs w:val="24"/>
          <w:rtl/>
        </w:rPr>
        <w:t>. נפגעה</w:t>
      </w:r>
      <w:r w:rsidR="003B37A9">
        <w:rPr>
          <w:rFonts w:ascii="David" w:eastAsiaTheme="minorEastAsia" w:hAnsi="David" w:cs="David" w:hint="cs"/>
          <w:sz w:val="24"/>
          <w:szCs w:val="24"/>
          <w:rtl/>
        </w:rPr>
        <w:t>, אם כי בצורה פחותה,</w:t>
      </w:r>
      <w:r w:rsidR="003B37A9" w:rsidRPr="00246C2A">
        <w:rPr>
          <w:rFonts w:ascii="David" w:eastAsiaTheme="minorEastAsia" w:hAnsi="David" w:cs="David"/>
          <w:sz w:val="24"/>
          <w:szCs w:val="24"/>
          <w:rtl/>
        </w:rPr>
        <w:t xml:space="preserve"> </w:t>
      </w:r>
      <w:r w:rsidRPr="00246C2A">
        <w:rPr>
          <w:rFonts w:ascii="David" w:eastAsiaTheme="minorEastAsia" w:hAnsi="David" w:cs="David"/>
          <w:sz w:val="24"/>
          <w:szCs w:val="24"/>
          <w:rtl/>
        </w:rPr>
        <w:t xml:space="preserve">גם הכנסתם של </w:t>
      </w:r>
      <w:r w:rsidR="003B37A9">
        <w:rPr>
          <w:rFonts w:ascii="David" w:eastAsiaTheme="minorEastAsia" w:hAnsi="David" w:cs="David" w:hint="cs"/>
          <w:sz w:val="24"/>
          <w:szCs w:val="24"/>
          <w:rtl/>
        </w:rPr>
        <w:t>חלק מ</w:t>
      </w:r>
      <w:r w:rsidRPr="00246C2A">
        <w:rPr>
          <w:rFonts w:ascii="David" w:eastAsiaTheme="minorEastAsia" w:hAnsi="David" w:cs="David"/>
          <w:sz w:val="24"/>
          <w:szCs w:val="24"/>
          <w:rtl/>
        </w:rPr>
        <w:t>עובדי המגזר הציבורי</w:t>
      </w:r>
      <w:r w:rsidR="003B37A9">
        <w:rPr>
          <w:rFonts w:ascii="David" w:eastAsiaTheme="minorEastAsia" w:hAnsi="David" w:cs="David" w:hint="cs"/>
          <w:sz w:val="24"/>
          <w:szCs w:val="24"/>
          <w:rtl/>
        </w:rPr>
        <w:t xml:space="preserve"> </w:t>
      </w:r>
      <w:r w:rsidRPr="00246C2A">
        <w:rPr>
          <w:rFonts w:ascii="David" w:eastAsiaTheme="minorEastAsia" w:hAnsi="David" w:cs="David"/>
          <w:sz w:val="24"/>
          <w:szCs w:val="24"/>
          <w:rtl/>
        </w:rPr>
        <w:t>שהוצאו לחופשה כפויה על חשבון ימי חופשה צבורים, וזאת בגלל העדר שעות נוספות וכד'. על פי סקר הלמ"ס של מצב העסקים בעת התפשטות הקורונה, המתייחס ל-34% מסך השכירים במשק ערב המשבר, שכרם של 19.3% מהשכירים באוכלוסיית הסקר נפגע בעקבות הפחתה יזומה של המעסיק. שיעור זה שונה מענף לענף, ונע בין 8.8% בענף השירותים הפיננסיים ושירותי הביטוח ל-30.9% בענף המזון והמשקאות ובענף ההיי טק</w:t>
      </w:r>
      <w:r w:rsidRPr="00246C2A">
        <w:rPr>
          <w:rFonts w:ascii="David" w:eastAsiaTheme="minorEastAsia" w:hAnsi="David" w:cs="David"/>
          <w:sz w:val="24"/>
          <w:szCs w:val="24"/>
          <w:vertAlign w:val="superscript"/>
          <w:rtl/>
        </w:rPr>
        <w:footnoteReference w:id="12"/>
      </w:r>
      <w:r w:rsidRPr="00246C2A">
        <w:rPr>
          <w:rFonts w:ascii="David" w:eastAsiaTheme="minorEastAsia" w:hAnsi="David" w:cs="David"/>
          <w:sz w:val="24"/>
          <w:szCs w:val="24"/>
          <w:rtl/>
        </w:rPr>
        <w:t xml:space="preserve">.  </w:t>
      </w:r>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פגיעה בתעסוקה ובהכנסה של משקי הבית משפיעה על יכולתם לשרת את החוב. פגיעה זו יכולה להיות זמנית, אם המשק יצליח לחזור לפעילות מלאה בתוך זמן קצר יחסית, או ממושכת, אם המשק יתקשה לחזור לשגרה, עסקים יפשטו רגל, ורמת האבטלה תישאר גבוהה לאורך זמן. סקר החוסן האזרחי בתקופת משבר הקורונה מגלה כי בסוף אפריל מחצית מהאוכלוסייה של בני 21 ומעלה חששו מקושי בכיסוי ההוצאות, בעוד שלקראת אמצע מאי שיעור זה ירד מעט, ל-46.5%</w:t>
      </w:r>
      <w:r w:rsidRPr="00246C2A">
        <w:rPr>
          <w:rFonts w:ascii="David" w:eastAsiaTheme="minorEastAsia" w:hAnsi="David" w:cs="David"/>
          <w:sz w:val="24"/>
          <w:szCs w:val="24"/>
          <w:vertAlign w:val="superscript"/>
          <w:rtl/>
        </w:rPr>
        <w:footnoteReference w:id="13"/>
      </w:r>
      <w:r w:rsidRPr="00246C2A">
        <w:rPr>
          <w:rFonts w:ascii="David" w:eastAsiaTheme="minorEastAsia" w:hAnsi="David" w:cs="David"/>
          <w:sz w:val="24"/>
          <w:szCs w:val="24"/>
          <w:rtl/>
        </w:rPr>
        <w:t xml:space="preserve">. עוד עולה מהסקר כי מצבה הכלכלי של כ-46% מהאוכלוסייה החמיר בעקבות משבר הקורונה. מידת האופטימיות של הציבור עלתה בין שני גלי הסקר: בגל הראשון 27.3% מהמשתתפים צפו החמרה במצבם הכלכלי ב-12 החודשים הבאים, ואילו בגל השני – 18.3%; כן עלה שיעור הצופים שיפור במצבם הכלכלי – מ-20.6% ל-26.7%. החששות לעתיד השתקפו עוד בתחילת המשבר בתוצאות הסקר של המכון הישראלי לדמוקרטיה: רק 63% מהשכירים שלא עבדו היו בטוחים שיחזרו למקום עבודתם, בעוד ש-37% לא היו בטוחים או לא ידעו; שיעור של אלה שהיו בטוחים כי יחזרו למקום עבודתם עלה עם ההכנסה. </w:t>
      </w:r>
    </w:p>
    <w:p w:rsidR="00246C2A" w:rsidRPr="00246C2A" w:rsidRDefault="00246C2A" w:rsidP="00246C2A">
      <w:pPr>
        <w:spacing w:after="120" w:line="360" w:lineRule="auto"/>
        <w:jc w:val="both"/>
        <w:rPr>
          <w:rFonts w:ascii="David" w:eastAsiaTheme="minorEastAsia" w:hAnsi="David" w:cs="David"/>
          <w:sz w:val="24"/>
          <w:szCs w:val="24"/>
        </w:rPr>
      </w:pPr>
      <w:r w:rsidRPr="00246C2A">
        <w:rPr>
          <w:rFonts w:ascii="David" w:eastAsiaTheme="minorEastAsia" w:hAnsi="David" w:cs="David"/>
          <w:sz w:val="24"/>
          <w:szCs w:val="24"/>
          <w:rtl/>
        </w:rPr>
        <w:t>המערכת הבנקאית נתנה פתרון לטווח קצר למשקי הבית הסובלים מקשיי תזרים</w:t>
      </w:r>
      <w:r w:rsidRPr="00246C2A">
        <w:rPr>
          <w:rFonts w:ascii="David" w:eastAsiaTheme="minorEastAsia" w:hAnsi="David" w:cs="David" w:hint="cs"/>
          <w:sz w:val="24"/>
          <w:szCs w:val="24"/>
          <w:rtl/>
        </w:rPr>
        <w:t>, וזאת</w:t>
      </w:r>
      <w:r w:rsidRPr="00246C2A">
        <w:rPr>
          <w:rFonts w:ascii="David" w:eastAsiaTheme="minorEastAsia" w:hAnsi="David" w:cs="David"/>
          <w:sz w:val="24"/>
          <w:szCs w:val="24"/>
          <w:rtl/>
        </w:rPr>
        <w:t xml:space="preserve"> בדרך של דחיית תשלומי ההלוואות על פי מתווה שגובש בפיקוח על הבנקים. במשכנתאות ניתנה אפשרות להקפיא את התשלומים לתקופה של 6 חודשים, ללא מגבלה על יתרת סכום ההלוואה, ובהלוואות צרכניות – לתקופה של 3 חודשים להלוואות שהיתרה לתשלום בהן פחותה מ-100 אלף ש"ח וניתנה אופציה (על פי שיקול הדעת של הבנק) לדחייה נוספת של 3 חודשים להלוואות הצרכניות</w:t>
      </w:r>
      <w:r w:rsidRPr="00246C2A">
        <w:rPr>
          <w:rFonts w:ascii="David" w:eastAsiaTheme="minorEastAsia" w:hAnsi="David" w:cs="David"/>
          <w:sz w:val="24"/>
          <w:szCs w:val="24"/>
          <w:vertAlign w:val="superscript"/>
          <w:rtl/>
        </w:rPr>
        <w:footnoteReference w:id="14"/>
      </w:r>
      <w:r w:rsidRPr="00246C2A">
        <w:rPr>
          <w:rFonts w:ascii="David" w:eastAsiaTheme="minorEastAsia" w:hAnsi="David" w:cs="David"/>
          <w:sz w:val="24"/>
          <w:szCs w:val="24"/>
          <w:rtl/>
        </w:rPr>
        <w:t>. לאחרונה הוצג מתווה חדש</w:t>
      </w:r>
      <w:r w:rsidRPr="00246C2A">
        <w:rPr>
          <w:rFonts w:ascii="David" w:eastAsiaTheme="minorEastAsia" w:hAnsi="David" w:cs="David" w:hint="cs"/>
          <w:sz w:val="24"/>
          <w:szCs w:val="24"/>
          <w:rtl/>
        </w:rPr>
        <w:t>,</w:t>
      </w:r>
      <w:r w:rsidRPr="00246C2A">
        <w:rPr>
          <w:rFonts w:ascii="David" w:eastAsiaTheme="minorEastAsia" w:hAnsi="David" w:cs="David"/>
          <w:sz w:val="24"/>
          <w:szCs w:val="24"/>
          <w:rtl/>
        </w:rPr>
        <w:t xml:space="preserve"> </w:t>
      </w:r>
      <w:r w:rsidRPr="00246C2A">
        <w:rPr>
          <w:rFonts w:ascii="David" w:eastAsiaTheme="minorEastAsia" w:hAnsi="David" w:cs="David" w:hint="cs"/>
          <w:sz w:val="24"/>
          <w:szCs w:val="24"/>
          <w:rtl/>
        </w:rPr>
        <w:t>ש</w:t>
      </w:r>
      <w:r w:rsidRPr="00246C2A">
        <w:rPr>
          <w:rFonts w:ascii="David" w:eastAsiaTheme="minorEastAsia" w:hAnsi="David" w:cs="David"/>
          <w:sz w:val="24"/>
          <w:szCs w:val="24"/>
          <w:rtl/>
        </w:rPr>
        <w:t xml:space="preserve">על פיו לקוחות </w:t>
      </w:r>
      <w:r w:rsidRPr="00246C2A">
        <w:rPr>
          <w:rFonts w:ascii="David" w:eastAsiaTheme="minorEastAsia" w:hAnsi="David" w:cs="David" w:hint="cs"/>
          <w:sz w:val="24"/>
          <w:szCs w:val="24"/>
          <w:rtl/>
        </w:rPr>
        <w:t xml:space="preserve">אשר </w:t>
      </w:r>
      <w:r w:rsidRPr="00246C2A">
        <w:rPr>
          <w:rFonts w:ascii="David" w:eastAsiaTheme="minorEastAsia" w:hAnsi="David" w:cs="David"/>
          <w:sz w:val="24"/>
          <w:szCs w:val="24"/>
          <w:rtl/>
        </w:rPr>
        <w:t xml:space="preserve">ביקשו הקפאת תשלומי המשכנתאות יוכלו לקבל דחייה נוספת עד סוף שנת 2020 ולקוחות אשר טרם דחו את התשלומים יוכלו לעשות זאת עד סוף </w:t>
      </w:r>
      <w:r w:rsidRPr="00246C2A">
        <w:rPr>
          <w:rFonts w:ascii="David" w:eastAsiaTheme="minorEastAsia" w:hAnsi="David" w:cs="David"/>
          <w:sz w:val="24"/>
          <w:szCs w:val="24"/>
          <w:rtl/>
        </w:rPr>
        <w:lastRenderedPageBreak/>
        <w:t xml:space="preserve">חודש אוקטובר, לתקופה של עד חצי שנה. לגבי הלוואות צרכניות הוארכה </w:t>
      </w:r>
      <w:r w:rsidRPr="00246C2A">
        <w:rPr>
          <w:rFonts w:ascii="David" w:eastAsiaTheme="minorEastAsia" w:hAnsi="David" w:cs="David" w:hint="cs"/>
          <w:sz w:val="24"/>
          <w:szCs w:val="24"/>
          <w:rtl/>
        </w:rPr>
        <w:t>ה</w:t>
      </w:r>
      <w:r w:rsidRPr="00246C2A">
        <w:rPr>
          <w:rFonts w:ascii="David" w:eastAsiaTheme="minorEastAsia" w:hAnsi="David" w:cs="David"/>
          <w:sz w:val="24"/>
          <w:szCs w:val="24"/>
          <w:rtl/>
        </w:rPr>
        <w:t>תקופ</w:t>
      </w:r>
      <w:r w:rsidRPr="00246C2A">
        <w:rPr>
          <w:rFonts w:ascii="David" w:eastAsiaTheme="minorEastAsia" w:hAnsi="David" w:cs="David" w:hint="cs"/>
          <w:sz w:val="24"/>
          <w:szCs w:val="24"/>
          <w:rtl/>
        </w:rPr>
        <w:t>ה של</w:t>
      </w:r>
      <w:r w:rsidRPr="00246C2A">
        <w:rPr>
          <w:rFonts w:ascii="David" w:eastAsiaTheme="minorEastAsia" w:hAnsi="David" w:cs="David"/>
          <w:sz w:val="24"/>
          <w:szCs w:val="24"/>
          <w:rtl/>
        </w:rPr>
        <w:t xml:space="preserve"> דחיית התשלומים בשלושה חודשים נוספים (ללא שיקול דעת הבנק). על פי נתוני הפיקוח על הבנקים, נכון לסוף יוני, נדחו תשלומי משכנתאות לכ-144.6 אלף לקוחות (כ-16% מהמשכנתאות הפעילות), שהם בגין כרבע מסך יתרת המשכנתאות</w:t>
      </w:r>
      <w:r w:rsidRPr="00246C2A">
        <w:rPr>
          <w:rFonts w:ascii="David" w:eastAsiaTheme="minorEastAsia" w:hAnsi="David" w:cs="David"/>
          <w:sz w:val="24"/>
          <w:szCs w:val="24"/>
          <w:vertAlign w:val="superscript"/>
          <w:rtl/>
        </w:rPr>
        <w:footnoteReference w:id="15"/>
      </w:r>
      <w:r w:rsidRPr="00246C2A">
        <w:rPr>
          <w:rFonts w:ascii="David" w:eastAsiaTheme="minorEastAsia" w:hAnsi="David" w:cs="David"/>
          <w:sz w:val="24"/>
          <w:szCs w:val="24"/>
          <w:rtl/>
        </w:rPr>
        <w:t>. כמו כן נדחו תשלומים בכ-277.6 אלף הלוואות צרכניות, בגין 8.8% מסך יתרת ההלוואות האלה</w:t>
      </w:r>
      <w:r w:rsidRPr="00246C2A">
        <w:rPr>
          <w:rFonts w:ascii="David" w:eastAsiaTheme="minorEastAsia" w:hAnsi="David" w:cs="David"/>
          <w:sz w:val="24"/>
          <w:szCs w:val="24"/>
          <w:vertAlign w:val="superscript"/>
          <w:rtl/>
        </w:rPr>
        <w:footnoteReference w:id="16"/>
      </w:r>
      <w:r w:rsidRPr="00246C2A">
        <w:rPr>
          <w:rFonts w:ascii="David" w:eastAsiaTheme="minorEastAsia" w:hAnsi="David" w:cs="David"/>
          <w:sz w:val="24"/>
          <w:szCs w:val="24"/>
          <w:rtl/>
        </w:rPr>
        <w:t xml:space="preserve">. </w:t>
      </w:r>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הפיקוח על הבנקים נקט שני צעדים נוספים במטרה לסייע לציבור ולתת מענה לצורכי האשראי של משקי הבית. ההוראה מה-15/03/2020 מאפשרת לתאגיד בנקאי להעניק הלוואה לכל מטרה במשכון דירה בשיעור מימון עד 70% (טרם ההקלה הוגבל שיעור המימון ל-50% בלבד), בכפיפות להצהרת הלווה כי מטרת ההלוואה אינה רכישת דירה להשקעה). עם זאת לא נראה שהציבור ניצל הזדמנות זו: היקף ההלוואות מסוג זה אמנם עלה מ-375 מילוני ש"ח בפברואר ל-468 מיליוני ש"ח במרץ, אך כבר באפריל הוא ירד ל-275 מיליוני ש"ח בלבד (כלומר בממוצע מרץ ואפריל דמו לפברואר).</w:t>
      </w:r>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 xml:space="preserve">צעד נוסף נועד בעיקר למי שהיו בהליכים לרכישת דירה וחתימה על הסכם משכנתה, אבל נאלצו לצאת לחל"ת. ההוראה מה-27/04/2020 מאפשרת לתאגיד בנקאי להתחשב בסכום הממוצע של הכנסת הלווה בשלושת החודשים שקדמו ליציאתו לחל"ת או לירידתו למשרה חלקית בשל משבר הקורונה באמידת ההכנסה לשם חישוב שיעור ההחזר החודשי מהכנסה. זאת אם, להערכת הבנק, הלווה צפוי לחזור לעבודתו בחלוף משבר הקורונה ברמת ההכנסה שהייתה לו טרם היציאה לחל"ת, ובתנאי שלאחר היציאה לחל"ת שיעור ההחזר מהכנסתו לא יעלה על 70%. </w:t>
      </w:r>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 xml:space="preserve">עצירת הפעילות במשק השפיעה גם על צד ההוצאות של משקי הבית. על פי נתוני החשבונאות הלאומית של הלמ"ס הצריכה הפרטית נפגעה קשה מאוד מהמשבר: ברבעון הראשון היא ירדה ב-20.8% (בחישוב שנתי), וירידות חדות במיוחד היו בצריכת מוצרים בני קיימא ושירותים ובצריכת ישראלים בחו"ל. </w:t>
      </w:r>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 xml:space="preserve">נתונים על הפעילות בכרטיסי אשראי לפי ענפים, שמתקבלים מחברת שב"א (שירותי בנק אוטומטיים), משקפים הן את הירידה בהוצאות משקי הבית והן את מידת הפגיעה בפעילות של ענפי המשק. על פי נתונים אלה סך ההוצאה היומית הממוצעת בכרטיסי אשראי ירדה ב-30% בתקופת הסגר (16/3 עד 19/4) בהשוואה לתקופה מתחילת השנה. הסרה הדרגתית של המגבלות מסוף חופשת הפסח עד סוף חודש אפריל לוותה בהגדלה של ההוצאה היומית, כך שהירידה ביחס להוצאה הממוצעת לפני הסגר הצטמצמה ל-15% בתחילת מאי. הפגיעה הקשה ביותר נרשמה בענפי התיירות, המסעדות והפנאי והחינוך, ופגיעה מצומצמת יותר נרשמה בהוצאות על דלק, תחבורה וחשמל וביגוד וריהוט. ניתוח של חטיבת המחקר מלמד כי רמת סך הרכישות בכרטיסי אשראי בסוף מאי ותחילת יוני הייתה, בממוצע, קרובה לערך שהיה צפוי על פי המגמה ששררה לפני המשבר. הרכישות בתחומי המסעדות, החינוך והפנאי </w:t>
      </w:r>
      <w:r w:rsidRPr="00246C2A">
        <w:rPr>
          <w:rFonts w:ascii="David" w:eastAsiaTheme="minorEastAsia" w:hAnsi="David" w:cs="David" w:hint="cs"/>
          <w:sz w:val="24"/>
          <w:szCs w:val="24"/>
          <w:rtl/>
        </w:rPr>
        <w:t>היו</w:t>
      </w:r>
      <w:r w:rsidRPr="00246C2A">
        <w:rPr>
          <w:rFonts w:ascii="David" w:eastAsiaTheme="minorEastAsia" w:hAnsi="David" w:cs="David"/>
          <w:sz w:val="24"/>
          <w:szCs w:val="24"/>
          <w:rtl/>
        </w:rPr>
        <w:t xml:space="preserve"> ברמה של 60%–70% מהערך הצפוי, אך תחום התיירות עדיין לא </w:t>
      </w:r>
      <w:r w:rsidRPr="00246C2A">
        <w:rPr>
          <w:rFonts w:ascii="David" w:eastAsiaTheme="minorEastAsia" w:hAnsi="David" w:cs="David" w:hint="cs"/>
          <w:sz w:val="24"/>
          <w:szCs w:val="24"/>
          <w:rtl/>
        </w:rPr>
        <w:t>ה</w:t>
      </w:r>
      <w:r w:rsidRPr="00246C2A">
        <w:rPr>
          <w:rFonts w:ascii="David" w:eastAsiaTheme="minorEastAsia" w:hAnsi="David" w:cs="David"/>
          <w:sz w:val="24"/>
          <w:szCs w:val="24"/>
          <w:rtl/>
        </w:rPr>
        <w:t xml:space="preserve">תאושש, ורמת הרכישות בו </w:t>
      </w:r>
      <w:r w:rsidRPr="00246C2A">
        <w:rPr>
          <w:rFonts w:ascii="David" w:eastAsiaTheme="minorEastAsia" w:hAnsi="David" w:cs="David" w:hint="cs"/>
          <w:sz w:val="24"/>
          <w:szCs w:val="24"/>
          <w:rtl/>
        </w:rPr>
        <w:t>הייתה</w:t>
      </w:r>
      <w:r w:rsidRPr="00246C2A">
        <w:rPr>
          <w:rFonts w:ascii="David" w:eastAsiaTheme="minorEastAsia" w:hAnsi="David" w:cs="David"/>
          <w:sz w:val="24"/>
          <w:szCs w:val="24"/>
          <w:rtl/>
        </w:rPr>
        <w:t xml:space="preserve"> 30% בלבד מזו </w:t>
      </w:r>
      <w:r w:rsidRPr="00246C2A">
        <w:rPr>
          <w:rFonts w:ascii="David" w:eastAsiaTheme="minorEastAsia" w:hAnsi="David" w:cs="David" w:hint="cs"/>
          <w:sz w:val="24"/>
          <w:szCs w:val="24"/>
          <w:rtl/>
        </w:rPr>
        <w:t>ה</w:t>
      </w:r>
      <w:r w:rsidRPr="00246C2A">
        <w:rPr>
          <w:rFonts w:ascii="David" w:eastAsiaTheme="minorEastAsia" w:hAnsi="David" w:cs="David"/>
          <w:sz w:val="24"/>
          <w:szCs w:val="24"/>
          <w:rtl/>
        </w:rPr>
        <w:t xml:space="preserve">צפויה ללא המשבר. </w:t>
      </w:r>
    </w:p>
    <w:p w:rsidR="00246C2A" w:rsidRDefault="00246C2A" w:rsidP="003E1171">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lastRenderedPageBreak/>
        <w:t xml:space="preserve">לפי הסקר של המכון הישראלי לדמוקרטיה, כ-88% מכלל המשיבים היו סבורים שהוצאותיהם על תרבות, תיירות, בילוי בארץ ובחו"ל, ספורט וכד' יירדו בתקופה הקרובה. כ-28% העריכו את הירידה בהוצאות בפחות מאלף ש"ח; 34% – בטווח שבין אלף לאלפיים ש"ח; כ-19% – בטווח בין אלפיים ל-4 אלפי ש"ח, וכ-8% העריכו שיצמצמו את ההוצאות ביותר מ-4 אלפי ש"ח. </w:t>
      </w:r>
      <w:r w:rsidR="003E1171">
        <w:rPr>
          <w:rFonts w:ascii="David" w:eastAsiaTheme="minorEastAsia" w:hAnsi="David" w:cs="David" w:hint="cs"/>
          <w:sz w:val="24"/>
          <w:szCs w:val="24"/>
          <w:rtl/>
        </w:rPr>
        <w:t xml:space="preserve">לוח 3 </w:t>
      </w:r>
      <w:r w:rsidRPr="00246C2A">
        <w:rPr>
          <w:rFonts w:ascii="David" w:eastAsiaTheme="minorEastAsia" w:hAnsi="David" w:cs="David"/>
          <w:sz w:val="24"/>
          <w:szCs w:val="24"/>
          <w:rtl/>
        </w:rPr>
        <w:t>מציג "חיסכון" אפשרי בהוצאות בחודש של הסגר לפי חמישוני ההכנסה של משקי הבית ואת ה"חיסכון" שיכול לנבוע מהוויתור על הנסיעות לחו"ל בשנת 2020.</w:t>
      </w:r>
    </w:p>
    <w:p w:rsidR="003B37A9" w:rsidRPr="00246C2A" w:rsidRDefault="003B37A9" w:rsidP="003B37A9">
      <w:pPr>
        <w:spacing w:after="120" w:line="360" w:lineRule="auto"/>
        <w:jc w:val="center"/>
        <w:rPr>
          <w:rFonts w:ascii="David" w:eastAsiaTheme="minorEastAsia" w:hAnsi="David" w:cs="David"/>
          <w:sz w:val="24"/>
          <w:szCs w:val="24"/>
          <w:rtl/>
        </w:rPr>
      </w:pPr>
      <w:r w:rsidRPr="003B37A9">
        <w:rPr>
          <w:rFonts w:ascii="David" w:eastAsiaTheme="minorEastAsia" w:hAnsi="David" w:cs="David"/>
          <w:noProof/>
          <w:sz w:val="24"/>
          <w:szCs w:val="24"/>
          <w:rtl/>
        </w:rPr>
        <w:drawing>
          <wp:inline distT="0" distB="0" distL="0" distR="0" wp14:anchorId="64D7A911" wp14:editId="407DE3E4">
            <wp:extent cx="4568321" cy="3075214"/>
            <wp:effectExtent l="0" t="0" r="381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2435" cy="3084715"/>
                    </a:xfrm>
                    <a:prstGeom prst="rect">
                      <a:avLst/>
                    </a:prstGeom>
                    <a:noFill/>
                    <a:ln>
                      <a:noFill/>
                    </a:ln>
                  </pic:spPr>
                </pic:pic>
              </a:graphicData>
            </a:graphic>
          </wp:inline>
        </w:drawing>
      </w:r>
    </w:p>
    <w:p w:rsidR="00246C2A" w:rsidRPr="00246C2A" w:rsidRDefault="00246C2A" w:rsidP="0075651E">
      <w:pPr>
        <w:spacing w:after="120" w:line="360" w:lineRule="auto"/>
        <w:jc w:val="center"/>
        <w:rPr>
          <w:rFonts w:ascii="David" w:eastAsiaTheme="minorEastAsia" w:hAnsi="David" w:cs="David"/>
          <w:sz w:val="24"/>
          <w:szCs w:val="24"/>
          <w:rtl/>
        </w:rPr>
      </w:pPr>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משקי בית שספגו ירידה בהכנסה עשויים לצמצם את ההוצאות לרכישת מוצרים בני קיימא גם בהמשך. אחד הרכיבים במדד אמון הצרכנים של הלמ"ס עוקב אחר הכוונה לרכישות גדולות השנה ביחס לשנה שעברה; רכיב זה ירד בחדות מ-(9-) בפברואר 2020 ל-(21-) במרץ; באפריל העמיקה הירידה לערך (37-), רמה שלא נראתה מאז תחילת פרסום המדד במרץ 2011; במאי נרשם שיפור קל והמדד עלה ל-(32-)</w:t>
      </w:r>
      <w:r w:rsidRPr="00246C2A">
        <w:rPr>
          <w:rFonts w:ascii="David" w:eastAsiaTheme="minorEastAsia" w:hAnsi="David" w:cs="David" w:hint="cs"/>
          <w:sz w:val="24"/>
          <w:szCs w:val="24"/>
          <w:rtl/>
        </w:rPr>
        <w:t xml:space="preserve"> וביוני שיפור נוסף ל-(28-)</w:t>
      </w:r>
      <w:r w:rsidRPr="00246C2A">
        <w:rPr>
          <w:rFonts w:ascii="David" w:eastAsiaTheme="minorEastAsia" w:hAnsi="David" w:cs="David"/>
          <w:sz w:val="24"/>
          <w:szCs w:val="24"/>
          <w:rtl/>
        </w:rPr>
        <w:t>. מובן שהיקף הפגיעה בצריכה יושפע מקצב ההתאוששות של הכלכלה ומקצב חזרתם של העובדים המושבתים לעבודה.</w:t>
      </w:r>
    </w:p>
    <w:p w:rsidR="00246C2A" w:rsidRPr="00246C2A" w:rsidRDefault="00246C2A" w:rsidP="00246C2A">
      <w:pPr>
        <w:spacing w:after="120" w:line="360" w:lineRule="auto"/>
        <w:jc w:val="both"/>
        <w:rPr>
          <w:rFonts w:ascii="David" w:eastAsiaTheme="minorEastAsia" w:hAnsi="David" w:cs="David"/>
          <w:sz w:val="24"/>
          <w:szCs w:val="24"/>
          <w:u w:val="single"/>
        </w:rPr>
      </w:pPr>
    </w:p>
    <w:p w:rsidR="00246C2A" w:rsidRPr="0075651E" w:rsidRDefault="00246C2A" w:rsidP="0075651E">
      <w:pPr>
        <w:pStyle w:val="a8"/>
        <w:keepNext/>
        <w:keepLines/>
        <w:numPr>
          <w:ilvl w:val="0"/>
          <w:numId w:val="4"/>
        </w:numPr>
        <w:spacing w:before="200" w:after="0" w:line="360" w:lineRule="auto"/>
        <w:jc w:val="both"/>
        <w:outlineLvl w:val="1"/>
        <w:rPr>
          <w:rFonts w:asciiTheme="majorHAnsi" w:eastAsiaTheme="majorEastAsia" w:hAnsiTheme="majorHAnsi" w:cs="David"/>
          <w:b/>
          <w:bCs/>
          <w:caps/>
          <w:spacing w:val="15"/>
          <w:sz w:val="24"/>
          <w:szCs w:val="24"/>
          <w:rtl/>
        </w:rPr>
      </w:pPr>
      <w:bookmarkStart w:id="15" w:name="_Toc45016674"/>
      <w:bookmarkStart w:id="16" w:name="_Toc42773246"/>
      <w:bookmarkStart w:id="17" w:name="_Toc43999451"/>
      <w:bookmarkStart w:id="18" w:name="_Toc46064911"/>
      <w:bookmarkStart w:id="19" w:name="_Toc46160326"/>
      <w:bookmarkStart w:id="20" w:name="_Toc46160680"/>
      <w:r w:rsidRPr="0075651E">
        <w:rPr>
          <w:rFonts w:asciiTheme="majorHAnsi" w:eastAsiaTheme="majorEastAsia" w:hAnsiTheme="majorHAnsi" w:cs="David"/>
          <w:b/>
          <w:bCs/>
          <w:caps/>
          <w:spacing w:val="15"/>
          <w:sz w:val="24"/>
          <w:szCs w:val="24"/>
          <w:rtl/>
        </w:rPr>
        <w:t>הסיכונים באשראי כתוצאה ממשבר הקורונה</w:t>
      </w:r>
      <w:bookmarkEnd w:id="15"/>
      <w:bookmarkEnd w:id="16"/>
      <w:bookmarkEnd w:id="17"/>
      <w:bookmarkEnd w:id="18"/>
      <w:bookmarkEnd w:id="19"/>
      <w:bookmarkEnd w:id="20"/>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 xml:space="preserve">אובדן תעסוקה או ירידה בשכר עלולים לסכן את החוסן של משקי הבית ואת היציבות הפיננסית של המערכת הבנקאית. משקי בית שיש להם התחייבויות גדולות ביחס להכנסה עלולים להגיע לחדלות פירעון. דחיית תשלומי המשכנתאות וההלוואות הצרכניות מאפשרת למשקי הבית תקופת התארגנות – חיפוש עבודה חדשה ושינוי מבנה ההוצאות כדי להתאים את רמתן להכנסה שהצטמקה. יש לציין כי מי שדחה את תשלומי המשכנתה התחייב לתשלומים גבוהים יותר בעתיד, שכן הסכומים שנדחו ייפרסו לאורך המקורי של חיי המשכנתה. </w:t>
      </w:r>
    </w:p>
    <w:p w:rsidR="00246C2A" w:rsidRDefault="00246C2A" w:rsidP="00D6349A">
      <w:pPr>
        <w:spacing w:after="120" w:line="360" w:lineRule="auto"/>
        <w:jc w:val="both"/>
        <w:rPr>
          <w:rFonts w:ascii="David" w:eastAsiaTheme="minorEastAsia" w:hAnsi="David" w:cs="David"/>
          <w:sz w:val="24"/>
          <w:szCs w:val="24"/>
          <w:rtl/>
        </w:rPr>
      </w:pPr>
      <w:r w:rsidRPr="00246C2A">
        <w:rPr>
          <w:rFonts w:ascii="David" w:eastAsiaTheme="minorEastAsia" w:hAnsi="David" w:cs="David"/>
          <w:b/>
          <w:bCs/>
          <w:sz w:val="24"/>
          <w:szCs w:val="24"/>
          <w:rtl/>
        </w:rPr>
        <w:t>הסיכונים במשכנתאות.</w:t>
      </w:r>
      <w:r w:rsidRPr="00246C2A">
        <w:rPr>
          <w:rFonts w:ascii="David" w:eastAsiaTheme="minorEastAsia" w:hAnsi="David" w:cs="David"/>
          <w:sz w:val="24"/>
          <w:szCs w:val="24"/>
          <w:rtl/>
        </w:rPr>
        <w:t xml:space="preserve"> ירידה בהכנסת משק הבית עלולה להגדיל את שיעור ההחזר החודשי מההכנסה (</w:t>
      </w:r>
      <w:r w:rsidRPr="00246C2A">
        <w:rPr>
          <w:rFonts w:ascii="David" w:eastAsiaTheme="minorEastAsia" w:hAnsi="David" w:cs="David"/>
          <w:sz w:val="24"/>
          <w:szCs w:val="24"/>
        </w:rPr>
        <w:t>PTI</w:t>
      </w:r>
      <w:r w:rsidRPr="00246C2A">
        <w:rPr>
          <w:rFonts w:ascii="David" w:eastAsiaTheme="minorEastAsia" w:hAnsi="David" w:cs="David"/>
          <w:sz w:val="24"/>
          <w:szCs w:val="24"/>
          <w:rtl/>
        </w:rPr>
        <w:t xml:space="preserve">), שהוא משתנה מרכזי בהערכת ההסתברות של לווה לחדלות פירעון. באוגוסט </w:t>
      </w:r>
      <w:r w:rsidRPr="00246C2A">
        <w:rPr>
          <w:rFonts w:ascii="David" w:eastAsiaTheme="minorEastAsia" w:hAnsi="David" w:cs="David"/>
          <w:sz w:val="24"/>
          <w:szCs w:val="24"/>
          <w:rtl/>
        </w:rPr>
        <w:lastRenderedPageBreak/>
        <w:t>2013 הגביל הפיקוח על הבנקים את יחס ה-</w:t>
      </w:r>
      <w:r w:rsidRPr="00246C2A">
        <w:rPr>
          <w:rFonts w:ascii="David" w:eastAsiaTheme="minorEastAsia" w:hAnsi="David" w:cs="David"/>
          <w:sz w:val="24"/>
          <w:szCs w:val="24"/>
        </w:rPr>
        <w:t>PTI</w:t>
      </w:r>
      <w:r w:rsidRPr="00246C2A">
        <w:rPr>
          <w:rFonts w:ascii="David" w:eastAsiaTheme="minorEastAsia" w:hAnsi="David" w:cs="David"/>
          <w:sz w:val="24"/>
          <w:szCs w:val="24"/>
          <w:rtl/>
        </w:rPr>
        <w:t xml:space="preserve"> בהלוואות לדיור ל-50% ודרש הקצאת הון נוספת עבור המשכנתאות שבהן יחס ה-</w:t>
      </w:r>
      <w:r w:rsidRPr="00246C2A">
        <w:rPr>
          <w:rFonts w:ascii="David" w:eastAsiaTheme="minorEastAsia" w:hAnsi="David" w:cs="David"/>
          <w:sz w:val="24"/>
          <w:szCs w:val="24"/>
        </w:rPr>
        <w:t>PTI</w:t>
      </w:r>
      <w:r w:rsidRPr="00246C2A">
        <w:rPr>
          <w:rFonts w:ascii="David" w:eastAsiaTheme="minorEastAsia" w:hAnsi="David" w:cs="David"/>
          <w:sz w:val="24"/>
          <w:szCs w:val="24"/>
          <w:rtl/>
        </w:rPr>
        <w:t xml:space="preserve"> גבוה מ-40%, דבר שגרם להתייקרותן, כך שבפועל מאז שהוחלה ההוראה הבנקים כמעט לא מעניקים משכנתאות שבהן יחס ה-</w:t>
      </w:r>
      <w:r w:rsidRPr="00246C2A">
        <w:rPr>
          <w:rFonts w:ascii="David" w:eastAsiaTheme="minorEastAsia" w:hAnsi="David" w:cs="David"/>
          <w:sz w:val="24"/>
          <w:szCs w:val="24"/>
        </w:rPr>
        <w:t>PTI</w:t>
      </w:r>
      <w:r w:rsidRPr="00246C2A">
        <w:rPr>
          <w:rFonts w:ascii="David" w:eastAsiaTheme="minorEastAsia" w:hAnsi="David" w:cs="David"/>
          <w:sz w:val="24"/>
          <w:szCs w:val="24"/>
          <w:rtl/>
        </w:rPr>
        <w:t xml:space="preserve"> גבוה מ-40% (</w:t>
      </w:r>
      <w:r w:rsidR="00D6349A">
        <w:rPr>
          <w:rFonts w:ascii="David" w:eastAsiaTheme="minorEastAsia" w:hAnsi="David" w:cs="David" w:hint="cs"/>
          <w:sz w:val="24"/>
          <w:szCs w:val="24"/>
          <w:rtl/>
        </w:rPr>
        <w:t>איור 2</w:t>
      </w:r>
      <w:r w:rsidRPr="00246C2A">
        <w:rPr>
          <w:rFonts w:ascii="David" w:eastAsiaTheme="minorEastAsia" w:hAnsi="David" w:cs="David"/>
          <w:sz w:val="24"/>
          <w:szCs w:val="24"/>
          <w:rtl/>
        </w:rPr>
        <w:fldChar w:fldCharType="begin"/>
      </w:r>
      <w:r w:rsidRPr="00246C2A">
        <w:rPr>
          <w:rFonts w:ascii="David" w:eastAsiaTheme="minorEastAsia" w:hAnsi="David" w:cs="David"/>
          <w:sz w:val="24"/>
          <w:szCs w:val="24"/>
          <w:rtl/>
        </w:rPr>
        <w:instrText xml:space="preserve"> </w:instrText>
      </w:r>
      <w:r w:rsidRPr="00246C2A">
        <w:rPr>
          <w:rFonts w:ascii="David" w:eastAsiaTheme="minorEastAsia" w:hAnsi="David" w:cs="David"/>
          <w:sz w:val="24"/>
          <w:szCs w:val="24"/>
        </w:rPr>
        <w:instrText>REF</w:instrText>
      </w:r>
      <w:r w:rsidRPr="00246C2A">
        <w:rPr>
          <w:rFonts w:ascii="David" w:eastAsiaTheme="minorEastAsia" w:hAnsi="David" w:cs="David"/>
          <w:sz w:val="24"/>
          <w:szCs w:val="24"/>
          <w:rtl/>
        </w:rPr>
        <w:instrText xml:space="preserve"> _</w:instrText>
      </w:r>
      <w:r w:rsidRPr="00246C2A">
        <w:rPr>
          <w:rFonts w:ascii="David" w:eastAsiaTheme="minorEastAsia" w:hAnsi="David" w:cs="David"/>
          <w:sz w:val="24"/>
          <w:szCs w:val="24"/>
        </w:rPr>
        <w:instrText>Ref42498433 \r \h</w:instrText>
      </w:r>
      <w:r w:rsidRPr="00246C2A">
        <w:rPr>
          <w:rFonts w:ascii="David" w:eastAsiaTheme="minorEastAsia" w:hAnsi="David" w:cs="David"/>
          <w:sz w:val="24"/>
          <w:szCs w:val="24"/>
          <w:rtl/>
        </w:rPr>
        <w:instrText xml:space="preserve">  \* </w:instrText>
      </w:r>
      <w:r w:rsidRPr="00246C2A">
        <w:rPr>
          <w:rFonts w:ascii="David" w:eastAsiaTheme="minorEastAsia" w:hAnsi="David" w:cs="David"/>
          <w:sz w:val="24"/>
          <w:szCs w:val="24"/>
        </w:rPr>
        <w:instrText>MERGEFORMAT</w:instrText>
      </w:r>
      <w:r w:rsidRPr="00246C2A">
        <w:rPr>
          <w:rFonts w:ascii="David" w:eastAsiaTheme="minorEastAsia" w:hAnsi="David" w:cs="David"/>
          <w:sz w:val="24"/>
          <w:szCs w:val="24"/>
          <w:rtl/>
        </w:rPr>
        <w:instrText xml:space="preserve"> </w:instrText>
      </w:r>
      <w:r w:rsidRPr="00246C2A">
        <w:rPr>
          <w:rFonts w:ascii="David" w:eastAsiaTheme="minorEastAsia" w:hAnsi="David" w:cs="David"/>
          <w:sz w:val="24"/>
          <w:szCs w:val="24"/>
          <w:rtl/>
        </w:rPr>
      </w:r>
      <w:r w:rsidRPr="00246C2A">
        <w:rPr>
          <w:rFonts w:ascii="David" w:eastAsiaTheme="minorEastAsia" w:hAnsi="David" w:cs="David"/>
          <w:sz w:val="24"/>
          <w:szCs w:val="24"/>
          <w:rtl/>
        </w:rPr>
        <w:fldChar w:fldCharType="end"/>
      </w:r>
      <w:r w:rsidRPr="00246C2A">
        <w:rPr>
          <w:rFonts w:ascii="David" w:eastAsiaTheme="minorEastAsia" w:hAnsi="David" w:cs="David"/>
          <w:sz w:val="24"/>
          <w:szCs w:val="24"/>
          <w:rtl/>
        </w:rPr>
        <w:t>)</w:t>
      </w:r>
      <w:r w:rsidRPr="00246C2A">
        <w:rPr>
          <w:rFonts w:ascii="David" w:eastAsiaTheme="minorEastAsia" w:hAnsi="David" w:cs="David"/>
          <w:sz w:val="24"/>
          <w:szCs w:val="24"/>
          <w:vertAlign w:val="superscript"/>
          <w:rtl/>
        </w:rPr>
        <w:footnoteReference w:id="17"/>
      </w:r>
      <w:r w:rsidRPr="00246C2A">
        <w:rPr>
          <w:rFonts w:ascii="David" w:eastAsiaTheme="minorEastAsia" w:hAnsi="David" w:cs="David"/>
          <w:sz w:val="24"/>
          <w:szCs w:val="24"/>
          <w:rtl/>
        </w:rPr>
        <w:t>. קרוב ל-60% מהמשכנתאות ניתנות כיום עם יחס ה-</w:t>
      </w:r>
      <w:r w:rsidRPr="00246C2A">
        <w:rPr>
          <w:rFonts w:ascii="David" w:eastAsiaTheme="minorEastAsia" w:hAnsi="David" w:cs="David"/>
          <w:sz w:val="24"/>
          <w:szCs w:val="24"/>
        </w:rPr>
        <w:t>PTI</w:t>
      </w:r>
      <w:r w:rsidRPr="00246C2A">
        <w:rPr>
          <w:rFonts w:ascii="David" w:eastAsiaTheme="minorEastAsia" w:hAnsi="David" w:cs="David"/>
          <w:sz w:val="24"/>
          <w:szCs w:val="24"/>
          <w:rtl/>
        </w:rPr>
        <w:t xml:space="preserve"> נמוך מ-30%. גם אם ההכנסה תרד ב-20%, שיעור ההחזר הממוצע לא אמור לחרוג מהשיעור המקסימלי שנקבע בהוראת הפיקוח על הבנקים, שיעור אשר מסמן רמת סיכון גבוהה. ירידה חזקה יותר בהכנסה עלולה לגרום לעלייה מסוכנת של יחס ה-</w:t>
      </w:r>
      <w:r w:rsidRPr="00246C2A">
        <w:rPr>
          <w:rFonts w:ascii="David" w:eastAsiaTheme="minorEastAsia" w:hAnsi="David" w:cs="David"/>
          <w:sz w:val="24"/>
          <w:szCs w:val="24"/>
        </w:rPr>
        <w:t>PTI</w:t>
      </w:r>
      <w:r w:rsidRPr="00246C2A">
        <w:rPr>
          <w:rFonts w:ascii="David" w:eastAsiaTheme="minorEastAsia" w:hAnsi="David" w:cs="David"/>
          <w:sz w:val="24"/>
          <w:szCs w:val="24"/>
          <w:rtl/>
        </w:rPr>
        <w:t xml:space="preserve"> בחלק קטן יחסית של המשכנתאות. לעת עתה הורדת הריבית במשק מסייעת לנוטלי המשכנתאות במסלול הריבית הצמודה לפריים.</w:t>
      </w:r>
    </w:p>
    <w:p w:rsidR="003B37A9" w:rsidRPr="00246C2A" w:rsidRDefault="003B37A9" w:rsidP="003B37A9">
      <w:pPr>
        <w:spacing w:after="120" w:line="360" w:lineRule="auto"/>
        <w:jc w:val="center"/>
        <w:rPr>
          <w:rFonts w:ascii="David" w:eastAsiaTheme="minorEastAsia" w:hAnsi="David" w:cs="David"/>
          <w:sz w:val="24"/>
          <w:szCs w:val="24"/>
          <w:rtl/>
        </w:rPr>
      </w:pPr>
      <w:r w:rsidRPr="003B37A9">
        <w:rPr>
          <w:rFonts w:ascii="David" w:eastAsiaTheme="minorEastAsia" w:hAnsi="David" w:cs="David"/>
          <w:noProof/>
          <w:sz w:val="24"/>
          <w:szCs w:val="24"/>
          <w:rtl/>
        </w:rPr>
        <w:drawing>
          <wp:inline distT="0" distB="0" distL="0" distR="0" wp14:anchorId="389C7F31" wp14:editId="66C83AB6">
            <wp:extent cx="4196264" cy="277075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1064" cy="2787129"/>
                    </a:xfrm>
                    <a:prstGeom prst="rect">
                      <a:avLst/>
                    </a:prstGeom>
                    <a:noFill/>
                    <a:ln>
                      <a:noFill/>
                    </a:ln>
                  </pic:spPr>
                </pic:pic>
              </a:graphicData>
            </a:graphic>
          </wp:inline>
        </w:drawing>
      </w:r>
    </w:p>
    <w:p w:rsidR="00A95E20" w:rsidRDefault="00A95E20" w:rsidP="0075651E">
      <w:pPr>
        <w:jc w:val="center"/>
        <w:rPr>
          <w:rtl/>
        </w:rPr>
      </w:pPr>
    </w:p>
    <w:p w:rsidR="00246C2A" w:rsidRPr="00246C2A" w:rsidRDefault="00246C2A" w:rsidP="00871B4C">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 xml:space="preserve">האיום העיקרי על תיק המשכנתאות נובע מהשפעתו של המשבר על יכולת ההחזר של הלווים כתוצאה מעלייה בהסתברות להישאר באבטלה. על פי התחזית של חטיבת המחקר שיעור האבטלה בקרב בני 25–64 יעמוד, בתרחיש </w:t>
      </w:r>
      <w:r w:rsidR="00871B4C">
        <w:rPr>
          <w:rFonts w:ascii="David" w:eastAsiaTheme="minorEastAsia" w:hAnsi="David" w:cs="David" w:hint="cs"/>
          <w:sz w:val="24"/>
          <w:szCs w:val="24"/>
          <w:rtl/>
        </w:rPr>
        <w:t>הבסיסי</w:t>
      </w:r>
      <w:r w:rsidRPr="00246C2A">
        <w:rPr>
          <w:rFonts w:ascii="David" w:eastAsiaTheme="minorEastAsia" w:hAnsi="David" w:cs="David"/>
          <w:sz w:val="24"/>
          <w:szCs w:val="24"/>
          <w:rtl/>
        </w:rPr>
        <w:t xml:space="preserve">, על </w:t>
      </w:r>
      <w:r w:rsidR="00871B4C">
        <w:rPr>
          <w:rFonts w:ascii="David" w:eastAsiaTheme="minorEastAsia" w:hAnsi="David" w:cs="David" w:hint="cs"/>
          <w:sz w:val="24"/>
          <w:szCs w:val="24"/>
          <w:rtl/>
        </w:rPr>
        <w:t>9.0</w:t>
      </w:r>
      <w:r w:rsidRPr="00246C2A">
        <w:rPr>
          <w:rFonts w:ascii="David" w:eastAsiaTheme="minorEastAsia" w:hAnsi="David" w:cs="David"/>
          <w:sz w:val="24"/>
          <w:szCs w:val="24"/>
          <w:rtl/>
        </w:rPr>
        <w:t xml:space="preserve">% בסוף 2020 ועל </w:t>
      </w:r>
      <w:r w:rsidR="00871B4C">
        <w:rPr>
          <w:rFonts w:ascii="David" w:eastAsiaTheme="minorEastAsia" w:hAnsi="David" w:cs="David" w:hint="cs"/>
          <w:sz w:val="24"/>
          <w:szCs w:val="24"/>
          <w:rtl/>
        </w:rPr>
        <w:t>6.0</w:t>
      </w:r>
      <w:r w:rsidRPr="00246C2A">
        <w:rPr>
          <w:rFonts w:ascii="David" w:eastAsiaTheme="minorEastAsia" w:hAnsi="David" w:cs="David"/>
          <w:sz w:val="24"/>
          <w:szCs w:val="24"/>
          <w:rtl/>
        </w:rPr>
        <w:t xml:space="preserve">% בסוף שנת 2021 ובתרחיש הפסימי יותר על </w:t>
      </w:r>
      <w:r w:rsidR="00871B4C">
        <w:rPr>
          <w:rFonts w:ascii="David" w:eastAsiaTheme="minorEastAsia" w:hAnsi="David" w:cs="David" w:hint="cs"/>
          <w:sz w:val="24"/>
          <w:szCs w:val="24"/>
          <w:rtl/>
        </w:rPr>
        <w:t>11.0</w:t>
      </w:r>
      <w:r w:rsidRPr="00246C2A">
        <w:rPr>
          <w:rFonts w:ascii="David" w:eastAsiaTheme="minorEastAsia" w:hAnsi="David" w:cs="David"/>
          <w:sz w:val="24"/>
          <w:szCs w:val="24"/>
          <w:rtl/>
        </w:rPr>
        <w:t>% ו-</w:t>
      </w:r>
      <w:r w:rsidR="00871B4C">
        <w:rPr>
          <w:rFonts w:ascii="David" w:eastAsiaTheme="minorEastAsia" w:hAnsi="David" w:cs="David" w:hint="cs"/>
          <w:sz w:val="24"/>
          <w:szCs w:val="24"/>
          <w:rtl/>
        </w:rPr>
        <w:t>9.0</w:t>
      </w:r>
      <w:r w:rsidRPr="00246C2A">
        <w:rPr>
          <w:rFonts w:ascii="David" w:eastAsiaTheme="minorEastAsia" w:hAnsi="David" w:cs="David"/>
          <w:sz w:val="24"/>
          <w:szCs w:val="24"/>
          <w:rtl/>
        </w:rPr>
        <w:t>%, בהתאמה</w:t>
      </w:r>
      <w:r w:rsidRPr="00246C2A">
        <w:rPr>
          <w:rFonts w:ascii="David" w:eastAsiaTheme="minorEastAsia" w:hAnsi="David" w:cs="David" w:hint="cs"/>
          <w:sz w:val="24"/>
          <w:szCs w:val="24"/>
          <w:rtl/>
        </w:rPr>
        <w:t>,</w:t>
      </w:r>
      <w:r w:rsidRPr="00246C2A">
        <w:rPr>
          <w:rFonts w:ascii="David" w:eastAsiaTheme="minorEastAsia" w:hAnsi="David" w:cs="David"/>
          <w:sz w:val="24"/>
          <w:szCs w:val="24"/>
          <w:rtl/>
        </w:rPr>
        <w:t xml:space="preserve"> רחוק מאוד מהמצב ששרר לפני המשבר. הלמ"ס אינה כוללת את העובדים שהושבתו בהגדרה הרשמית של שיעור האבטלה, אלא מסווגת אותם כנעדרים זמנית מעבודתם. מנתוני סקר כוח האדם ניתן ללמוד כי שיעורי המועסקים (שכירים ועצמאיים) שנעדרו זמנית מעבודתם כל השבוע או חלק מהשבוע מסיבות הקשורות לנגיף הקורונה היו 26% מכלל המועסקים בחודש מרץ, 39% באפריל ו-24.5% במאי. שיעור גבוה של הנעדרים בגלל הנגיף היה בקרב עובדים מבוגרים – בני 60 ומעלה (קבוצת הגיל ששיעור המשלמים משכנתה בה, כנראה, נמוך מאוד)</w:t>
      </w:r>
      <w:r w:rsidRPr="00246C2A">
        <w:rPr>
          <w:rFonts w:ascii="David" w:eastAsiaTheme="minorEastAsia" w:hAnsi="David" w:cs="David" w:hint="cs"/>
          <w:sz w:val="24"/>
          <w:szCs w:val="24"/>
          <w:rtl/>
        </w:rPr>
        <w:t>;</w:t>
      </w:r>
      <w:r w:rsidRPr="00246C2A">
        <w:rPr>
          <w:rFonts w:ascii="David" w:eastAsiaTheme="minorEastAsia" w:hAnsi="David" w:cs="David"/>
          <w:sz w:val="24"/>
          <w:szCs w:val="24"/>
          <w:rtl/>
        </w:rPr>
        <w:t xml:space="preserve"> גם בקרב בני 25–29 היה שיעור הנעדרים מהסיבות הקשורות לנגיף מעל רבע מסך המועסקים. </w:t>
      </w:r>
    </w:p>
    <w:p w:rsidR="00246C2A" w:rsidRDefault="00246C2A" w:rsidP="00D6349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lastRenderedPageBreak/>
        <w:t>שירות התעסוקה מפרסם נתונים חודשיים של שיעורי האבטלה ברמה היישובית (ללא יישובים קטנים), שהם שיעורי אבטלה מנהליים (</w:t>
      </w:r>
      <w:r w:rsidRPr="00246C2A">
        <w:rPr>
          <w:rFonts w:ascii="David" w:eastAsiaTheme="minorEastAsia" w:hAnsi="David" w:cs="David"/>
          <w:sz w:val="24"/>
          <w:szCs w:val="24"/>
        </w:rPr>
        <w:t>registered unemployment rates</w:t>
      </w:r>
      <w:r w:rsidRPr="00246C2A">
        <w:rPr>
          <w:rFonts w:ascii="David" w:eastAsiaTheme="minorEastAsia" w:hAnsi="David" w:cs="David"/>
          <w:sz w:val="24"/>
          <w:szCs w:val="24"/>
          <w:rtl/>
        </w:rPr>
        <w:t xml:space="preserve">) המבוססים על מספר דורשי העבודה (ולא על הגדרה עצמית, כפי שמקובל בסקרי כוח האדם). על פי נתונים אלה שיעורי האבטלה עלו בכל היישובים, אך קיימים הבדלים ניכרים ביניהם. הניתוח להלן בוחן את חשיפת תיק המשכנתאות של המערכת הבנקאית ליישובים שבהם שיעורי האבטלה גבוהים, כפי שנרשמו באפריל 2020. כל היישובים שלגביהם יש נתונים על שיעור האבטלה חולקו לחמישונים בהתאם להתפלגות שיעור האבטלה. שיעור תיק המשכנתאות בכל חמישון של היישובים מחושב מתוך נתוני סך המשכנתאות שניתנו בשנים 2015–2018, כאשר הנתונים מתייחסים לגובה המקורי של הקרן (ולא ליתרת ההלוואה העדכנית). לשם החישוב נלקחו נתוני כל המשכנתאות, כולל אלה שניתנו לרכישת דירות להשקעה, כי מי שמתגוררים בהן בפועל הם תושבי המקום, והכנסתם של המשכירים תלויה במצבם הפיננסי של השוכרים. (סקר של אוניברסיטת תל אביב מצא כי כל דייר שמיני לא הצליח לשלם את מלוא דמי השכירות בחודש אפריל.) </w:t>
      </w:r>
      <w:r w:rsidR="00D6349A">
        <w:rPr>
          <w:rFonts w:ascii="David" w:eastAsiaTheme="minorEastAsia" w:hAnsi="David" w:cs="David" w:hint="cs"/>
          <w:sz w:val="24"/>
          <w:szCs w:val="24"/>
          <w:rtl/>
        </w:rPr>
        <w:t xml:space="preserve">איור 3 </w:t>
      </w:r>
      <w:r w:rsidRPr="00246C2A">
        <w:rPr>
          <w:rFonts w:ascii="David" w:eastAsiaTheme="minorEastAsia" w:hAnsi="David" w:cs="David"/>
          <w:sz w:val="24"/>
          <w:szCs w:val="24"/>
          <w:rtl/>
        </w:rPr>
        <w:t>מלמד כי 40.6% מסך האשראי לדיור שהוענק בשנים 2015–2018 הופנה לרכישת דירות ביישובים שנמצאים בשני החמישונים העליונים של התפלגות שיעור האבטלה, ורק 20.2% מהמשכנתאות מימנו רכישת נכסים ביישובים בשני החמישונים התחתונים של התפלגותו</w:t>
      </w:r>
      <w:r w:rsidRPr="00246C2A">
        <w:rPr>
          <w:rFonts w:ascii="David" w:eastAsiaTheme="minorEastAsia" w:hAnsi="David" w:cs="David"/>
          <w:sz w:val="24"/>
          <w:szCs w:val="24"/>
          <w:vertAlign w:val="superscript"/>
          <w:rtl/>
        </w:rPr>
        <w:footnoteReference w:id="18"/>
      </w:r>
      <w:r w:rsidRPr="00246C2A">
        <w:rPr>
          <w:rFonts w:ascii="David" w:eastAsiaTheme="minorEastAsia" w:hAnsi="David" w:cs="David"/>
          <w:sz w:val="24"/>
          <w:szCs w:val="24"/>
          <w:rtl/>
        </w:rPr>
        <w:t xml:space="preserve">.  </w:t>
      </w:r>
    </w:p>
    <w:p w:rsidR="003B37A9" w:rsidRPr="00246C2A" w:rsidRDefault="003B37A9" w:rsidP="008636CF">
      <w:pPr>
        <w:spacing w:after="120" w:line="360" w:lineRule="auto"/>
        <w:jc w:val="center"/>
        <w:rPr>
          <w:rFonts w:ascii="David" w:eastAsiaTheme="minorEastAsia" w:hAnsi="David" w:cs="David"/>
          <w:sz w:val="24"/>
          <w:szCs w:val="24"/>
          <w:rtl/>
        </w:rPr>
      </w:pPr>
      <w:r w:rsidRPr="003B37A9">
        <w:rPr>
          <w:rFonts w:ascii="David" w:eastAsiaTheme="minorEastAsia" w:hAnsi="David" w:cs="David"/>
          <w:noProof/>
          <w:sz w:val="24"/>
          <w:szCs w:val="24"/>
          <w:rtl/>
        </w:rPr>
        <w:drawing>
          <wp:inline distT="0" distB="0" distL="0" distR="0" wp14:anchorId="2A815600" wp14:editId="3ECCF778">
            <wp:extent cx="3467100" cy="2241014"/>
            <wp:effectExtent l="0" t="0" r="0" b="698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5166" cy="2259155"/>
                    </a:xfrm>
                    <a:prstGeom prst="rect">
                      <a:avLst/>
                    </a:prstGeom>
                    <a:noFill/>
                    <a:ln>
                      <a:noFill/>
                    </a:ln>
                  </pic:spPr>
                </pic:pic>
              </a:graphicData>
            </a:graphic>
          </wp:inline>
        </w:drawing>
      </w:r>
    </w:p>
    <w:p w:rsidR="00246C2A" w:rsidRPr="00246C2A" w:rsidRDefault="00246C2A" w:rsidP="00D6349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עם זאת הסתכלות על מאפייניהם של המפוטרים ושל אלה שהוצאו לחל"ת יכולה ללמד שחלקם אינם אמורים לשלם משכנתה – צעירים ומבוגרים; השכר הממוצע של העובדים המושבתים הוא מתחת לחציון השכר של השכירים במשק, ושיעור המשלמים משכנתה בעשירוני ההכנסה התחתונים נמוך יחסית (</w:t>
      </w:r>
      <w:r w:rsidR="00D6349A">
        <w:rPr>
          <w:rFonts w:ascii="David" w:eastAsiaTheme="minorEastAsia" w:hAnsi="David" w:cs="David" w:hint="cs"/>
          <w:sz w:val="24"/>
          <w:szCs w:val="24"/>
          <w:rtl/>
        </w:rPr>
        <w:t>לוח 4</w:t>
      </w:r>
      <w:r w:rsidRPr="00246C2A">
        <w:rPr>
          <w:rFonts w:ascii="David" w:eastAsiaTheme="minorEastAsia" w:hAnsi="David" w:cs="David"/>
          <w:sz w:val="24"/>
          <w:szCs w:val="24"/>
          <w:rtl/>
        </w:rPr>
        <w:t xml:space="preserve">). לפי הנתונים שפרסם משרד האוצר בקרוב לרבע ממשקי הבית שרכשו דירה ראשונה מתחילת 2015 ועד אפריל 2020 (כולל) יש לפחות בן זוג אחד המושבת בשל משבר הקורונה. על סמך מספר העסקאות לרכישת דירה ראשונה בלבד בתקופה זו ניתן להעריך את מספר משקי הבית שיש בהם לפחות מושבת אחד (כלומר כאלה שמתקשים לשלם משכנתה) בכ-49 עד 55 אלפים. הנתונים הרשמיים על מספר החוזרים למעגל התעסוקה עדיין נמוכים: על פי שירות התעסוקה רק 206.5 אלף דורשי עבודה מתוך אלה שהיו רשומים בחודש מאי דיווחו על חזרה לעבודה. עם זאת הנתון בפועל אמור להיות גבוה יותר, משום שאין חובת דיווח, וייתכן שמספר החוזרים לעבודה יעלה יותר ביוני. הנתון המעודד הוא שבני 20 עד 54, הקבוצה שבה השכיחות של </w:t>
      </w:r>
      <w:r w:rsidRPr="00246C2A">
        <w:rPr>
          <w:rFonts w:ascii="David" w:eastAsiaTheme="minorEastAsia" w:hAnsi="David" w:cs="David"/>
          <w:sz w:val="24"/>
          <w:szCs w:val="24"/>
          <w:rtl/>
        </w:rPr>
        <w:lastRenderedPageBreak/>
        <w:t>נוטלי המשכנתאות גבוהה יחסית, מהווים 84% מאלה שדיווחו על החזרה לעבודה עד כה. עם זאת, שיעור החזרה לעבודה שלהם עדיין נמוך – 18.6% בלבד. (הממוצע הכללי נמוך עוד יותר – 17.7%.)</w:t>
      </w:r>
    </w:p>
    <w:p w:rsidR="00246C2A" w:rsidRPr="00246C2A" w:rsidRDefault="00A7779A" w:rsidP="00246C2A">
      <w:pPr>
        <w:spacing w:after="120" w:line="360" w:lineRule="auto"/>
        <w:jc w:val="both"/>
        <w:rPr>
          <w:rFonts w:ascii="David" w:eastAsiaTheme="minorEastAsia" w:hAnsi="David" w:cs="David"/>
          <w:sz w:val="24"/>
          <w:szCs w:val="24"/>
          <w:rtl/>
        </w:rPr>
      </w:pPr>
      <w:r w:rsidRPr="00A7779A">
        <w:rPr>
          <w:rFonts w:ascii="David" w:eastAsiaTheme="minorEastAsia" w:hAnsi="David" w:cs="David" w:hint="cs"/>
          <w:noProof/>
          <w:sz w:val="24"/>
          <w:szCs w:val="24"/>
          <w:rtl/>
        </w:rPr>
        <w:drawing>
          <wp:inline distT="0" distB="0" distL="0" distR="0" wp14:anchorId="583E9CA5" wp14:editId="750C4EEA">
            <wp:extent cx="5274310" cy="989916"/>
            <wp:effectExtent l="0" t="0" r="2540" b="127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989916"/>
                    </a:xfrm>
                    <a:prstGeom prst="rect">
                      <a:avLst/>
                    </a:prstGeom>
                    <a:noFill/>
                    <a:ln>
                      <a:noFill/>
                    </a:ln>
                  </pic:spPr>
                </pic:pic>
              </a:graphicData>
            </a:graphic>
          </wp:inline>
        </w:drawing>
      </w:r>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b/>
          <w:bCs/>
          <w:sz w:val="24"/>
          <w:szCs w:val="24"/>
          <w:rtl/>
        </w:rPr>
        <w:t>סיכונים באשראי הצרכני.</w:t>
      </w:r>
      <w:r w:rsidRPr="00246C2A">
        <w:rPr>
          <w:rFonts w:ascii="David" w:eastAsiaTheme="minorEastAsia" w:hAnsi="David" w:cs="David"/>
          <w:sz w:val="24"/>
          <w:szCs w:val="24"/>
          <w:rtl/>
        </w:rPr>
        <w:t xml:space="preserve"> פגיעה בהכנסה של משקי הבית עלולה להגדיל את היקף החוב הצרכני שלא יוחזר, והסיכוי לאי עמידה בהחזר החוב הצרכני גבוה הרבה יותר מאשר בחוב לדיור, שכן זהו חוב שאינו מגובה בביטחונות. עד סוף יוני נדחו התשלומים בכ-277.6 אלף הלוואות צרכניות במערכת הבנקאית בלבד. אין נתונים על דחיית התשלומים של ההלוואות שהעמידו גופים פיננסיים אחרים. הקלה על הליך פשיטת רגל בהתאם לחוק חדלות פירעון ושיקום כלכלי תשע"ח – 2018 עלולה להגדיל את ההסתברות לאי החזרת הלוואות צרכניות. עם זאת, לפי תוצאות הניתוח של רשות האכיפה והגבייה</w:t>
      </w:r>
      <w:r w:rsidRPr="00246C2A">
        <w:rPr>
          <w:rFonts w:ascii="David" w:eastAsiaTheme="minorEastAsia" w:hAnsi="David" w:cs="David"/>
          <w:sz w:val="24"/>
          <w:szCs w:val="24"/>
          <w:vertAlign w:val="superscript"/>
          <w:rtl/>
        </w:rPr>
        <w:footnoteReference w:id="19"/>
      </w:r>
      <w:r w:rsidRPr="00246C2A">
        <w:rPr>
          <w:rFonts w:ascii="David" w:eastAsiaTheme="minorEastAsia" w:hAnsi="David" w:cs="David"/>
          <w:sz w:val="24"/>
          <w:szCs w:val="24"/>
          <w:rtl/>
        </w:rPr>
        <w:t xml:space="preserve"> רק 8% מאלה שהגיעו להוצאה לפועל וקיבלו הפטר הגיעו למצב הזה בגלל אבטלה/אובדן הכנסות. גם מתוך אלה שהיו מועמדים לקבלת הפטר רק 7% דיווחו שצברו חוב בגלל אבטלה.</w:t>
      </w:r>
    </w:p>
    <w:p w:rsidR="00246C2A" w:rsidRPr="00A7779A" w:rsidRDefault="00246C2A" w:rsidP="00A7779A">
      <w:pPr>
        <w:pStyle w:val="a8"/>
        <w:keepNext/>
        <w:keepLines/>
        <w:numPr>
          <w:ilvl w:val="0"/>
          <w:numId w:val="4"/>
        </w:numPr>
        <w:spacing w:before="200" w:after="0" w:line="360" w:lineRule="auto"/>
        <w:jc w:val="both"/>
        <w:outlineLvl w:val="1"/>
        <w:rPr>
          <w:rFonts w:asciiTheme="majorHAnsi" w:eastAsiaTheme="majorEastAsia" w:hAnsiTheme="majorHAnsi" w:cs="David"/>
          <w:b/>
          <w:bCs/>
          <w:caps/>
          <w:spacing w:val="15"/>
          <w:sz w:val="24"/>
          <w:szCs w:val="24"/>
          <w:rtl/>
        </w:rPr>
      </w:pPr>
      <w:bookmarkStart w:id="21" w:name="_Toc45016675"/>
      <w:bookmarkStart w:id="22" w:name="_Toc42773247"/>
      <w:bookmarkStart w:id="23" w:name="_Toc43999452"/>
      <w:bookmarkStart w:id="24" w:name="_Toc46064912"/>
      <w:bookmarkStart w:id="25" w:name="_Toc46160327"/>
      <w:bookmarkStart w:id="26" w:name="_Toc46160681"/>
      <w:r w:rsidRPr="00A7779A">
        <w:rPr>
          <w:rFonts w:asciiTheme="majorHAnsi" w:eastAsiaTheme="majorEastAsia" w:hAnsiTheme="majorHAnsi" w:cs="David"/>
          <w:b/>
          <w:bCs/>
          <w:caps/>
          <w:spacing w:val="15"/>
          <w:sz w:val="24"/>
          <w:szCs w:val="24"/>
          <w:rtl/>
        </w:rPr>
        <w:t>ההשפעה ארוכת הטווח של המשבר</w:t>
      </w:r>
      <w:bookmarkEnd w:id="21"/>
      <w:bookmarkEnd w:id="22"/>
      <w:bookmarkEnd w:id="23"/>
      <w:bookmarkEnd w:id="24"/>
      <w:bookmarkEnd w:id="25"/>
      <w:bookmarkEnd w:id="26"/>
    </w:p>
    <w:p w:rsidR="00246C2A" w:rsidRPr="00246C2A" w:rsidRDefault="003E2F23" w:rsidP="003E2F23">
      <w:pPr>
        <w:spacing w:after="120" w:line="360" w:lineRule="auto"/>
        <w:jc w:val="both"/>
        <w:rPr>
          <w:rFonts w:ascii="David" w:eastAsiaTheme="minorEastAsia" w:hAnsi="David" w:cs="David"/>
          <w:sz w:val="24"/>
          <w:szCs w:val="24"/>
          <w:rtl/>
        </w:rPr>
      </w:pPr>
      <w:r>
        <w:rPr>
          <w:rFonts w:ascii="David" w:eastAsiaTheme="minorEastAsia" w:hAnsi="David" w:cs="David" w:hint="cs"/>
          <w:sz w:val="24"/>
          <w:szCs w:val="24"/>
          <w:rtl/>
        </w:rPr>
        <w:t xml:space="preserve">לאחר הסגר וגל המגבלות הראשון </w:t>
      </w:r>
      <w:r w:rsidR="00246C2A" w:rsidRPr="00246C2A">
        <w:rPr>
          <w:rFonts w:ascii="David" w:eastAsiaTheme="minorEastAsia" w:hAnsi="David" w:cs="David"/>
          <w:sz w:val="24"/>
          <w:szCs w:val="24"/>
          <w:rtl/>
        </w:rPr>
        <w:t xml:space="preserve">המשק הישראלי </w:t>
      </w:r>
      <w:r>
        <w:rPr>
          <w:rFonts w:ascii="David" w:eastAsiaTheme="minorEastAsia" w:hAnsi="David" w:cs="David" w:hint="cs"/>
          <w:sz w:val="24"/>
          <w:szCs w:val="24"/>
          <w:rtl/>
        </w:rPr>
        <w:t xml:space="preserve">נמצא כעת </w:t>
      </w:r>
      <w:r w:rsidR="00246C2A" w:rsidRPr="00246C2A">
        <w:rPr>
          <w:rFonts w:ascii="David" w:eastAsiaTheme="minorEastAsia" w:hAnsi="David" w:cs="David"/>
          <w:sz w:val="24"/>
          <w:szCs w:val="24"/>
          <w:rtl/>
        </w:rPr>
        <w:t>במסלול חזרה לשגרה</w:t>
      </w:r>
      <w:r>
        <w:rPr>
          <w:rFonts w:ascii="David" w:eastAsiaTheme="minorEastAsia" w:hAnsi="David" w:cs="David" w:hint="cs"/>
          <w:sz w:val="24"/>
          <w:szCs w:val="24"/>
          <w:rtl/>
        </w:rPr>
        <w:t xml:space="preserve"> שתלוי בעוצמת המגבלות המושפעות מ</w:t>
      </w:r>
      <w:r w:rsidR="00246C2A" w:rsidRPr="00246C2A">
        <w:rPr>
          <w:rFonts w:ascii="David" w:eastAsiaTheme="minorEastAsia" w:hAnsi="David" w:cs="David"/>
          <w:sz w:val="24"/>
          <w:szCs w:val="24"/>
          <w:rtl/>
        </w:rPr>
        <w:t xml:space="preserve">העלייה במספר הנדבקים לאחרונה. המשבר הנוכחי הוא ייחודי: המשק הישראלי עבר מלחמות ומבצעים צבאיים רבים, אך מעולם לא הגיע להשבתה כה רחבה של הפעילות הכלכלית ולתקופה כה ארוכה. החזרה לשגרה היא הדרגתית, הן כי לא כל ענפי המשק חידשו את פעילותם והן כי באלה שחידשו אותה לא ממהרים להחזיר את כל העובדים (בין היתר עקב דרישות של "התו הסגול"). כך, לדוגמה, ברשתות הקמעונאיות השונות הוחזרו רק בין 50% ל-90% מהעובדים שהועסקו לפני המשבר, אף שכולן כבר נפתחו מחדש. סביר להניח שכתוצאה מההפסדים בתקופת הסגר מעסיקים רבים יראו צורך בהתייעלות. </w:t>
      </w:r>
    </w:p>
    <w:p w:rsidR="00246C2A" w:rsidRPr="00246C2A" w:rsidRDefault="00246C2A" w:rsidP="00F428F8">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ייתכן גם שינוי בדפוסי הצריכה של משקי הבית: ראשית, ירידה בהכנסות והצורך לשרת את החוב יאלצו את הציבור לצמצם את הצריכה</w:t>
      </w:r>
      <w:r w:rsidRPr="00246C2A">
        <w:rPr>
          <w:rFonts w:ascii="David" w:eastAsiaTheme="minorEastAsia" w:hAnsi="David" w:cs="David"/>
          <w:sz w:val="24"/>
          <w:szCs w:val="24"/>
          <w:vertAlign w:val="superscript"/>
          <w:rtl/>
        </w:rPr>
        <w:footnoteReference w:id="20"/>
      </w:r>
      <w:r w:rsidRPr="00246C2A">
        <w:rPr>
          <w:rFonts w:ascii="David" w:eastAsiaTheme="minorEastAsia" w:hAnsi="David" w:cs="David"/>
          <w:sz w:val="24"/>
          <w:szCs w:val="24"/>
          <w:rtl/>
        </w:rPr>
        <w:t xml:space="preserve">. (ראו גם תיבה ד'-1 בדוח בנק ישראל 2015.) ככל שהחלק המשרת את החוב מהכנסתו של משק בית גבוה יותר הקיצוץ שהוא יצטרך לעשות בהוצאותיו השוטפות יהיה משמעותי יותר. צמצום ההוצאות על הצריכה הפרטית יגביר את הפגיעה בתוצר, ועלול להעמיק ולהאריך את המיתון. הפגיעה העיקרית תהיה בענפים שנתפסים כמותרות – מסעדות, בידור, תרבות, פנאי – שהם הענפים שממילא נפגעו בצורה הקשה ביותר, כי השבתתם הייתה הממושכת ביותר. שנית, עלייה של רמת הסיכונים במשק תייקר את האשראי, וככל הנראה תצמצם את האשראי הצרכני. שלישית, דפוס הרכישה עצמו עשוי להשתנות – יגדל שיעורן של הרכישות מרחוק, הן מפני הנטייה לריחוק חברתי, הן מטעמי נוחות, ואולי גם מתוך הרגל, בעקבות </w:t>
      </w:r>
      <w:r w:rsidRPr="00246C2A">
        <w:rPr>
          <w:rFonts w:ascii="David" w:eastAsiaTheme="minorEastAsia" w:hAnsi="David" w:cs="David"/>
          <w:sz w:val="24"/>
          <w:szCs w:val="24"/>
          <w:rtl/>
        </w:rPr>
        <w:lastRenderedPageBreak/>
        <w:t>העלייה ברכישות כאלה בתקופת הסגר (ראו תיבה 6 בדוח</w:t>
      </w:r>
      <w:r w:rsidR="00D6349A">
        <w:rPr>
          <w:rFonts w:ascii="David" w:eastAsiaTheme="minorEastAsia" w:hAnsi="David" w:cs="David" w:hint="cs"/>
          <w:sz w:val="24"/>
          <w:szCs w:val="24"/>
          <w:rtl/>
        </w:rPr>
        <w:t xml:space="preserve"> </w:t>
      </w:r>
      <w:r w:rsidR="003E2F23">
        <w:rPr>
          <w:rFonts w:ascii="David" w:eastAsiaTheme="minorEastAsia" w:hAnsi="David" w:cs="David" w:hint="cs"/>
          <w:sz w:val="24"/>
          <w:szCs w:val="24"/>
          <w:rtl/>
        </w:rPr>
        <w:t>זה</w:t>
      </w:r>
      <w:r w:rsidRPr="00246C2A">
        <w:rPr>
          <w:rFonts w:ascii="David" w:eastAsiaTheme="minorEastAsia" w:hAnsi="David" w:cs="David"/>
          <w:sz w:val="24"/>
          <w:szCs w:val="24"/>
          <w:rtl/>
        </w:rPr>
        <w:t>)</w:t>
      </w:r>
      <w:r w:rsidR="00F428F8">
        <w:rPr>
          <w:rFonts w:ascii="David" w:eastAsiaTheme="minorEastAsia" w:hAnsi="David" w:cs="David" w:hint="cs"/>
          <w:sz w:val="24"/>
          <w:szCs w:val="24"/>
          <w:rtl/>
        </w:rPr>
        <w:t>.</w:t>
      </w:r>
      <w:r w:rsidRPr="00246C2A">
        <w:rPr>
          <w:rFonts w:ascii="David" w:eastAsiaTheme="minorEastAsia" w:hAnsi="David" w:cs="David"/>
          <w:sz w:val="24"/>
          <w:szCs w:val="24"/>
          <w:rtl/>
        </w:rPr>
        <w:t xml:space="preserve"> המעבר לרכישות באינטרנט, שהתחיל הרבה לפני משבר הקורונה, אך ייתכן שיואץ בגללו, יקטין את הצורך בעובדים למכירות פרונטליות. (לעומת זאת יעלה הצורך בעובדים בתחום הבנייה והתחזוקה של אתרים, במלקטים</w:t>
      </w:r>
      <w:r w:rsidRPr="00246C2A">
        <w:rPr>
          <w:rFonts w:ascii="David" w:eastAsiaTheme="minorEastAsia" w:hAnsi="David" w:cs="David" w:hint="cs"/>
          <w:sz w:val="24"/>
          <w:szCs w:val="24"/>
          <w:rtl/>
        </w:rPr>
        <w:t>,</w:t>
      </w:r>
      <w:r w:rsidRPr="00246C2A">
        <w:rPr>
          <w:rFonts w:ascii="David" w:eastAsiaTheme="minorEastAsia" w:hAnsi="David" w:cs="David"/>
          <w:sz w:val="24"/>
          <w:szCs w:val="24"/>
          <w:rtl/>
        </w:rPr>
        <w:t xml:space="preserve"> בשליחים וכד'). מעבר לעבודה מהבית </w:t>
      </w:r>
      <w:r w:rsidRPr="00246C2A">
        <w:rPr>
          <w:rFonts w:ascii="David" w:eastAsiaTheme="minorEastAsia" w:hAnsi="David" w:cs="David" w:hint="cs"/>
          <w:sz w:val="24"/>
          <w:szCs w:val="24"/>
          <w:rtl/>
        </w:rPr>
        <w:t xml:space="preserve">עשוי לפגוע </w:t>
      </w:r>
      <w:r w:rsidRPr="00246C2A">
        <w:rPr>
          <w:rFonts w:ascii="David" w:eastAsiaTheme="minorEastAsia" w:hAnsi="David" w:cs="David"/>
          <w:sz w:val="24"/>
          <w:szCs w:val="24"/>
          <w:rtl/>
        </w:rPr>
        <w:t xml:space="preserve"> גם הוא בעקיפין בצריכה בעקבות ירידת הביקוש לשירותי תחבורה ציבורית ולאוכל מוכן, ומשום שמי שאינו יוצא מהבית אינו נכנס לחנויות בדרך הביתה</w:t>
      </w:r>
      <w:r w:rsidRPr="00246C2A">
        <w:rPr>
          <w:rFonts w:ascii="David" w:eastAsiaTheme="minorEastAsia" w:hAnsi="David" w:cs="David" w:hint="cs"/>
          <w:sz w:val="24"/>
          <w:szCs w:val="24"/>
          <w:rtl/>
        </w:rPr>
        <w:t xml:space="preserve"> וככל הנראה צורך פחות  בסך הכל</w:t>
      </w:r>
      <w:r w:rsidRPr="00246C2A">
        <w:rPr>
          <w:rFonts w:ascii="David" w:eastAsiaTheme="minorEastAsia" w:hAnsi="David" w:cs="David"/>
          <w:sz w:val="24"/>
          <w:szCs w:val="24"/>
          <w:rtl/>
        </w:rPr>
        <w:t xml:space="preserve">. </w:t>
      </w:r>
    </w:p>
    <w:p w:rsidR="00246C2A" w:rsidRPr="00246C2A" w:rsidRDefault="00246C2A" w:rsidP="00246C2A">
      <w:pPr>
        <w:spacing w:after="120" w:line="360" w:lineRule="auto"/>
        <w:jc w:val="both"/>
        <w:rPr>
          <w:rFonts w:ascii="David" w:eastAsiaTheme="minorEastAsia" w:hAnsi="David" w:cs="David"/>
          <w:sz w:val="24"/>
          <w:szCs w:val="24"/>
          <w:rtl/>
        </w:rPr>
      </w:pPr>
      <w:r w:rsidRPr="00246C2A">
        <w:rPr>
          <w:rFonts w:ascii="David" w:eastAsiaTheme="minorEastAsia" w:hAnsi="David" w:cs="David"/>
          <w:sz w:val="24"/>
          <w:szCs w:val="24"/>
          <w:rtl/>
        </w:rPr>
        <w:t>מצב המשק ורמת האבטלה תלויים גם בהתמשכות המיתון בעולם ובעומקו. בחודשים מרץ–מאי 2020 נרשמה בישראל ירידה ריאלית של 15% ביצוא הסחורות בהשוואה לשלושת החודשים הקודמים, בדומה להיקף הירידה בסחר העולמי. ענף התיירות הישראלי עלול לסבול מירידה של מספר המבקרים בישראל גם כאשר יוסרו המגבלות על הטיסות. גם ענף ההיי טק אינו חסין מפגיעה, כי הוא תלוי במידה גבוהה במיוחד בהשקעות, רובן מגופים ומשקיעים זרים</w:t>
      </w:r>
      <w:r w:rsidRPr="00246C2A">
        <w:rPr>
          <w:rFonts w:ascii="David" w:eastAsiaTheme="minorEastAsia" w:hAnsi="David" w:cs="David"/>
          <w:sz w:val="24"/>
          <w:szCs w:val="24"/>
          <w:vertAlign w:val="superscript"/>
          <w:rtl/>
        </w:rPr>
        <w:footnoteReference w:id="21"/>
      </w:r>
      <w:r w:rsidRPr="00246C2A">
        <w:rPr>
          <w:rFonts w:ascii="David" w:eastAsiaTheme="minorEastAsia" w:hAnsi="David" w:cs="David"/>
          <w:sz w:val="24"/>
          <w:szCs w:val="24"/>
          <w:vertAlign w:val="superscript"/>
          <w:rtl/>
        </w:rPr>
        <w:t>,</w:t>
      </w:r>
      <w:r w:rsidRPr="00246C2A">
        <w:rPr>
          <w:rFonts w:ascii="David" w:eastAsiaTheme="minorEastAsia" w:hAnsi="David" w:cs="David" w:hint="cs"/>
          <w:sz w:val="24"/>
          <w:szCs w:val="24"/>
          <w:vertAlign w:val="superscript"/>
          <w:rtl/>
        </w:rPr>
        <w:t xml:space="preserve"> </w:t>
      </w:r>
      <w:r w:rsidRPr="00246C2A">
        <w:rPr>
          <w:rFonts w:ascii="David" w:eastAsiaTheme="minorEastAsia" w:hAnsi="David" w:cs="David"/>
          <w:sz w:val="24"/>
          <w:szCs w:val="24"/>
          <w:vertAlign w:val="superscript"/>
          <w:rtl/>
        </w:rPr>
        <w:footnoteReference w:id="22"/>
      </w:r>
      <w:r w:rsidRPr="00246C2A">
        <w:rPr>
          <w:rFonts w:ascii="David" w:eastAsiaTheme="minorEastAsia" w:hAnsi="David" w:cs="David"/>
          <w:sz w:val="24"/>
          <w:szCs w:val="24"/>
          <w:rtl/>
        </w:rPr>
        <w:t>.</w:t>
      </w:r>
    </w:p>
    <w:p w:rsidR="00246C2A" w:rsidRPr="00246C2A" w:rsidRDefault="00246C2A" w:rsidP="00246C2A">
      <w:pPr>
        <w:spacing w:after="120" w:line="360" w:lineRule="auto"/>
        <w:jc w:val="both"/>
        <w:rPr>
          <w:rFonts w:ascii="Times New Roman" w:eastAsiaTheme="minorEastAsia" w:hAnsi="Times New Roman" w:cs="David"/>
          <w:sz w:val="24"/>
          <w:szCs w:val="24"/>
          <w:rtl/>
        </w:rPr>
      </w:pPr>
      <w:r w:rsidRPr="00246C2A">
        <w:rPr>
          <w:rFonts w:ascii="David" w:eastAsiaTheme="minorEastAsia" w:hAnsi="David" w:cs="David"/>
          <w:sz w:val="24"/>
          <w:szCs w:val="24"/>
          <w:rtl/>
        </w:rPr>
        <w:t>המשבר הנוכחי שונה באופיו מהמשבר הפיננסי של 2008–2009. במשבר הקודם המשק הישראלי נפגע בעקיפין, בגלל הירידה ביצוא למדינות שבמשבר, בעיקר של ענפי ההיי טק. הענפים שנפגעו אז מעסיקים עובדים משכילים ובעלי כישורים, שאינם נשארים באבטלה זמן רב</w:t>
      </w:r>
      <w:r w:rsidRPr="00246C2A">
        <w:rPr>
          <w:rFonts w:ascii="David" w:eastAsiaTheme="minorEastAsia" w:hAnsi="David" w:cs="David"/>
          <w:sz w:val="24"/>
          <w:szCs w:val="24"/>
          <w:vertAlign w:val="superscript"/>
          <w:rtl/>
        </w:rPr>
        <w:footnoteReference w:id="23"/>
      </w:r>
      <w:r w:rsidRPr="00246C2A">
        <w:rPr>
          <w:rFonts w:ascii="David" w:eastAsiaTheme="minorEastAsia" w:hAnsi="David" w:cs="David"/>
          <w:sz w:val="24"/>
          <w:szCs w:val="24"/>
          <w:rtl/>
        </w:rPr>
        <w:t xml:space="preserve">. רק במעגל השני נפגעה התעסוקה בשירותים המקומיים. במשבר הקורונה הענפים שספגו את הפגיעה הקשה ביותר – קמעונאות, תיירות, מסעדנות וכד' – הם דווקא כאלה שמעסיקים עובדים בעלי השכלה נמוכה יותר ובעלי פריון נמוך יחסית, שעלולים להישאר מובטלים לאורך זמן, וככל שמובטלים נשארים זמן רב יותר מחוץ לתעסוקה הסיכוי שלהם לחזור למעגל העבודה יורד. לכן כדי להחזיר את נפגעי המשבר למעגל העבודה יש צורך בהשקעה נרחבת בהכשרה מקצועית לשם הקניית מיומנויות שיש להן דרישה בשוק העבודה העכשווי.    </w:t>
      </w:r>
    </w:p>
    <w:p w:rsidR="00246C2A" w:rsidRPr="00246C2A" w:rsidRDefault="00246C2A" w:rsidP="00246C2A">
      <w:pPr>
        <w:spacing w:after="120" w:line="360" w:lineRule="auto"/>
        <w:jc w:val="both"/>
        <w:rPr>
          <w:rFonts w:ascii="Times New Roman" w:eastAsiaTheme="minorEastAsia" w:hAnsi="Times New Roman" w:cs="David"/>
          <w:sz w:val="24"/>
          <w:szCs w:val="24"/>
          <w:rtl/>
        </w:rPr>
      </w:pPr>
      <w:r w:rsidRPr="00246C2A">
        <w:rPr>
          <w:rFonts w:ascii="David" w:eastAsiaTheme="minorEastAsia" w:hAnsi="David" w:cs="David"/>
          <w:sz w:val="24"/>
          <w:szCs w:val="24"/>
          <w:rtl/>
        </w:rPr>
        <w:t xml:space="preserve"> </w:t>
      </w:r>
    </w:p>
    <w:p w:rsidR="00246C2A" w:rsidRDefault="00246C2A"/>
    <w:sectPr w:rsidR="00246C2A" w:rsidSect="006B728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3F2" w:rsidRDefault="000823F2" w:rsidP="00246C2A">
      <w:pPr>
        <w:spacing w:after="0" w:line="240" w:lineRule="auto"/>
      </w:pPr>
      <w:r>
        <w:separator/>
      </w:r>
    </w:p>
  </w:endnote>
  <w:endnote w:type="continuationSeparator" w:id="0">
    <w:p w:rsidR="000823F2" w:rsidRDefault="000823F2" w:rsidP="0024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3F2" w:rsidRDefault="000823F2" w:rsidP="00246C2A">
      <w:pPr>
        <w:spacing w:after="0" w:line="240" w:lineRule="auto"/>
      </w:pPr>
      <w:r>
        <w:separator/>
      </w:r>
    </w:p>
  </w:footnote>
  <w:footnote w:type="continuationSeparator" w:id="0">
    <w:p w:rsidR="000823F2" w:rsidRDefault="000823F2" w:rsidP="00246C2A">
      <w:pPr>
        <w:spacing w:after="0" w:line="240" w:lineRule="auto"/>
      </w:pPr>
      <w:r>
        <w:continuationSeparator/>
      </w:r>
    </w:p>
  </w:footnote>
  <w:footnote w:id="1">
    <w:p w:rsidR="00246C2A" w:rsidRPr="008C3DB7" w:rsidRDefault="00246C2A" w:rsidP="00246C2A">
      <w:pPr>
        <w:pStyle w:val="a3"/>
        <w:rPr>
          <w:rFonts w:ascii="David" w:hAnsi="David" w:cs="David"/>
          <w:rtl/>
        </w:rPr>
      </w:pPr>
      <w:r>
        <w:rPr>
          <w:rStyle w:val="a5"/>
          <w:rFonts w:ascii="David" w:hAnsi="David"/>
        </w:rPr>
        <w:footnoteRef/>
      </w:r>
      <w:r>
        <w:rPr>
          <w:rFonts w:ascii="David" w:hAnsi="David"/>
          <w:rtl/>
        </w:rPr>
        <w:t xml:space="preserve"> </w:t>
      </w:r>
      <w:r w:rsidRPr="008C3DB7">
        <w:rPr>
          <w:rFonts w:ascii="David" w:hAnsi="David" w:cs="David"/>
          <w:rtl/>
        </w:rPr>
        <w:t>כולל שיעור ההוצאה להפסדי אשראי, משקל האשראי בפיגור של 90 יום ומעלה ויחס המחיקות נטו מסך האשראי לדיור וכד'.</w:t>
      </w:r>
    </w:p>
  </w:footnote>
  <w:footnote w:id="2">
    <w:p w:rsidR="00246C2A" w:rsidRPr="008C3DB7" w:rsidRDefault="00246C2A" w:rsidP="00246C2A">
      <w:pPr>
        <w:spacing w:after="0" w:line="240" w:lineRule="auto"/>
        <w:rPr>
          <w:rFonts w:ascii="David" w:hAnsi="David" w:cs="David"/>
          <w:sz w:val="20"/>
          <w:szCs w:val="20"/>
          <w:rtl/>
        </w:rPr>
      </w:pPr>
      <w:r w:rsidRPr="008C3DB7">
        <w:rPr>
          <w:rStyle w:val="a5"/>
          <w:rFonts w:ascii="David" w:hAnsi="David" w:cs="David"/>
          <w:sz w:val="20"/>
          <w:szCs w:val="20"/>
        </w:rPr>
        <w:footnoteRef/>
      </w:r>
      <w:r w:rsidRPr="008C3DB7">
        <w:rPr>
          <w:rFonts w:ascii="David" w:hAnsi="David" w:cs="David"/>
          <w:sz w:val="20"/>
          <w:szCs w:val="20"/>
          <w:rtl/>
        </w:rPr>
        <w:t xml:space="preserve"> החל מינואר 2015 ועד סוף מרץ 2020, 270 משפחות פונו מבתיהן ו-374 נכסים נמכרו על ידי הבנקים בהליך פשיטת רגל של החייבים. נכון לסוף חודש מרץ 2020, כ-1.5 אלף נכסים נמצאים בטיפול כונס נכסים, ועבור 452 נכסים נוספים הוגשה בקשה למינוי כונס. </w:t>
      </w:r>
    </w:p>
  </w:footnote>
  <w:footnote w:id="3">
    <w:p w:rsidR="00246C2A" w:rsidRPr="008C3DB7" w:rsidRDefault="00246C2A" w:rsidP="00246C2A">
      <w:pPr>
        <w:pStyle w:val="a3"/>
        <w:rPr>
          <w:rFonts w:ascii="David" w:hAnsi="David" w:cs="David"/>
        </w:rPr>
      </w:pPr>
      <w:r>
        <w:rPr>
          <w:rStyle w:val="a5"/>
          <w:rFonts w:ascii="David" w:hAnsi="David"/>
        </w:rPr>
        <w:footnoteRef/>
      </w:r>
      <w:r>
        <w:rPr>
          <w:rFonts w:ascii="David" w:hAnsi="David"/>
          <w:rtl/>
        </w:rPr>
        <w:t xml:space="preserve"> </w:t>
      </w:r>
      <w:r w:rsidRPr="008C3DB7">
        <w:rPr>
          <w:rFonts w:ascii="David" w:hAnsi="David" w:cs="David"/>
          <w:rtl/>
        </w:rPr>
        <w:t>גולן, יולנדה, "שוק האשראי בהיבט החובות בהוצאה לפועל", רשות האכיפה והגבייה, מחקרים, 2019.</w:t>
      </w:r>
    </w:p>
  </w:footnote>
  <w:footnote w:id="4">
    <w:p w:rsidR="00246C2A" w:rsidRPr="008C3DB7" w:rsidRDefault="00246C2A" w:rsidP="00246C2A">
      <w:pPr>
        <w:spacing w:after="0" w:line="240" w:lineRule="auto"/>
        <w:rPr>
          <w:rFonts w:ascii="David" w:hAnsi="David" w:cs="David"/>
          <w:sz w:val="20"/>
          <w:szCs w:val="20"/>
        </w:rPr>
      </w:pPr>
      <w:r w:rsidRPr="008C3DB7">
        <w:rPr>
          <w:rStyle w:val="a5"/>
          <w:rFonts w:ascii="David" w:hAnsi="David" w:cs="David"/>
          <w:sz w:val="20"/>
          <w:szCs w:val="20"/>
        </w:rPr>
        <w:footnoteRef/>
      </w:r>
      <w:r w:rsidRPr="008C3DB7">
        <w:rPr>
          <w:rFonts w:ascii="David" w:hAnsi="David" w:cs="David"/>
          <w:sz w:val="20"/>
          <w:szCs w:val="20"/>
          <w:rtl/>
        </w:rPr>
        <w:t xml:space="preserve"> מדובר בעיקר באשראי למשקי הבית; מרבית החייבים בתיקים אלה הם חייבים פרטיים: 91% מהחייבים לבנקים, 99% מהחייבים לחברות כרטיסי אשראי ו-87% מהחייבים לגופים החוץ-בנקאיים. חציון סכום החוב בפתיחת תיק בחוב לחברת כרטיסי אשראי או לגוף חוץ-בנקאי הוא נמוך יחסית – כ-7 וכ-7.3 אלף ש"ח, בהתאמה.</w:t>
      </w:r>
    </w:p>
  </w:footnote>
  <w:footnote w:id="5">
    <w:p w:rsidR="00246C2A" w:rsidRPr="008C3DB7" w:rsidRDefault="00246C2A" w:rsidP="00246C2A">
      <w:pPr>
        <w:pStyle w:val="a3"/>
        <w:rPr>
          <w:rFonts w:ascii="David" w:hAnsi="David" w:cs="David"/>
        </w:rPr>
      </w:pPr>
      <w:r w:rsidRPr="008C3DB7">
        <w:rPr>
          <w:rStyle w:val="a5"/>
          <w:rFonts w:ascii="David" w:hAnsi="David" w:cs="David"/>
        </w:rPr>
        <w:footnoteRef/>
      </w:r>
      <w:r w:rsidRPr="008C3DB7">
        <w:rPr>
          <w:rFonts w:ascii="David" w:hAnsi="David" w:cs="David"/>
          <w:rtl/>
        </w:rPr>
        <w:t xml:space="preserve"> הסקר נערך בין 29 למרץ -2 לאפריל על מדגם מייצג של שכירים ועצמאיים (3.8 מיליון שכירים וכחצי מיליון עצמאיים ועסקים זעירים המעסיקים עד 5 עובדים).</w:t>
      </w:r>
    </w:p>
  </w:footnote>
  <w:footnote w:id="6">
    <w:p w:rsidR="00246C2A" w:rsidRPr="008C3DB7" w:rsidRDefault="00246C2A" w:rsidP="00246C2A">
      <w:pPr>
        <w:pStyle w:val="a3"/>
        <w:rPr>
          <w:rFonts w:ascii="David" w:hAnsi="David" w:cs="David"/>
        </w:rPr>
      </w:pPr>
      <w:r w:rsidRPr="008C3DB7">
        <w:rPr>
          <w:rStyle w:val="a5"/>
          <w:rFonts w:ascii="David" w:hAnsi="David" w:cs="David"/>
        </w:rPr>
        <w:footnoteRef/>
      </w:r>
      <w:r w:rsidRPr="008C3DB7">
        <w:rPr>
          <w:rFonts w:ascii="David" w:hAnsi="David" w:cs="David"/>
          <w:rtl/>
        </w:rPr>
        <w:t xml:space="preserve"> מקרב העצמאיים 68% ציינו שיש להם כסף נזיל, ו-20% ציינו כי אין ברשותם כסף נזיל. מקרב השכירים 65% ציינו שיש להם כסף נזיל, ו-26% ציינו שאין להם כסף נזיל.</w:t>
      </w:r>
    </w:p>
  </w:footnote>
  <w:footnote w:id="7">
    <w:p w:rsidR="00246C2A" w:rsidRPr="008C3DB7" w:rsidRDefault="00246C2A" w:rsidP="00246C2A">
      <w:pPr>
        <w:pStyle w:val="a3"/>
        <w:rPr>
          <w:rFonts w:ascii="David" w:hAnsi="David" w:cs="David"/>
        </w:rPr>
      </w:pPr>
      <w:r w:rsidRPr="008C3DB7">
        <w:rPr>
          <w:rStyle w:val="a5"/>
          <w:rFonts w:ascii="David" w:hAnsi="David" w:cs="David"/>
        </w:rPr>
        <w:footnoteRef/>
      </w:r>
      <w:r w:rsidRPr="008C3DB7">
        <w:rPr>
          <w:rFonts w:ascii="David" w:hAnsi="David" w:cs="David"/>
          <w:rtl/>
        </w:rPr>
        <w:t xml:space="preserve"> על סמך ניתוח נתוני שירות התעסוקה, הביטוח הלאומי ורשות המסים לתקופה של חודש מרץ עד לשבוע הראשון של אפריל 2020, אשר מתייחסים לכ-877 אלף עובדים שהוצאו לחל"ת או פוטרו, מהם כ-725 אלף היו מועסקים בשנת 2017. פורסם באתר של משרד האוצר, אגף הכלכלנית הראשית.</w:t>
      </w:r>
    </w:p>
  </w:footnote>
  <w:footnote w:id="8">
    <w:p w:rsidR="00246C2A" w:rsidRPr="008C3DB7" w:rsidRDefault="00246C2A" w:rsidP="00246C2A">
      <w:pPr>
        <w:pStyle w:val="a3"/>
        <w:rPr>
          <w:rFonts w:ascii="David" w:hAnsi="David" w:cs="David"/>
          <w:rtl/>
        </w:rPr>
      </w:pPr>
      <w:r w:rsidRPr="008C3DB7">
        <w:rPr>
          <w:rStyle w:val="a5"/>
          <w:rFonts w:ascii="David" w:hAnsi="David" w:cs="David"/>
        </w:rPr>
        <w:footnoteRef/>
      </w:r>
      <w:r w:rsidRPr="008C3DB7">
        <w:rPr>
          <w:rFonts w:ascii="David" w:hAnsi="David" w:cs="David"/>
          <w:rtl/>
        </w:rPr>
        <w:t xml:space="preserve"> יש הבדל לא משמעותי בין נתוני בדיקת האוצר לבין נתוני שירות התעסוקה, כי נתוני האוצר מתמקדים באלה שהיו מועסקים בשנת 2017, וגם משום שלא כל המושבתים זכאים לדמי אבטלה (ולכן אינם מתייצבים בשירות התעסוקה).</w:t>
      </w:r>
    </w:p>
  </w:footnote>
  <w:footnote w:id="9">
    <w:p w:rsidR="00246C2A" w:rsidRPr="008C3DB7" w:rsidRDefault="00246C2A" w:rsidP="00246C2A">
      <w:pPr>
        <w:pStyle w:val="a3"/>
        <w:rPr>
          <w:rFonts w:ascii="David" w:hAnsi="David" w:cs="David"/>
        </w:rPr>
      </w:pPr>
      <w:r w:rsidRPr="008C3DB7">
        <w:rPr>
          <w:rStyle w:val="a5"/>
          <w:rFonts w:ascii="David" w:hAnsi="David" w:cs="David"/>
        </w:rPr>
        <w:footnoteRef/>
      </w:r>
      <w:r w:rsidRPr="008C3DB7">
        <w:rPr>
          <w:rFonts w:ascii="David" w:hAnsi="David" w:cs="David"/>
          <w:rtl/>
        </w:rPr>
        <w:t xml:space="preserve"> סך מספר המושבתים גבוה יותר, כי הוא כולל את השכירים שלא זכאים לדמי אבטלה, כולל עובדים אחרי גיל פרישה, וכמובן את העצמאיים.</w:t>
      </w:r>
    </w:p>
  </w:footnote>
  <w:footnote w:id="10">
    <w:p w:rsidR="00246C2A" w:rsidRPr="008C3DB7" w:rsidRDefault="00246C2A" w:rsidP="00246C2A">
      <w:pPr>
        <w:pStyle w:val="a3"/>
        <w:rPr>
          <w:rFonts w:ascii="David" w:hAnsi="David" w:cs="David"/>
          <w:rtl/>
        </w:rPr>
      </w:pPr>
      <w:r w:rsidRPr="008C3DB7">
        <w:rPr>
          <w:rStyle w:val="a5"/>
          <w:rFonts w:ascii="David" w:hAnsi="David" w:cs="David"/>
        </w:rPr>
        <w:footnoteRef/>
      </w:r>
      <w:r w:rsidRPr="008C3DB7">
        <w:rPr>
          <w:rFonts w:ascii="David" w:hAnsi="David" w:cs="David"/>
          <w:rtl/>
        </w:rPr>
        <w:t xml:space="preserve"> לפי הנתונים המעודכנים של רשות המסים (20/07/2020) אושרו 247 אלף בקשות למענקים בפעימה הראשונה, כ-404 אלף בקשות בפעימה השנייה וכ-251 אלף בקשות בפעימה השלישית, ושולמו מענקים בסך כ-5.2 מיליארד ש"ח. </w:t>
      </w:r>
    </w:p>
  </w:footnote>
  <w:footnote w:id="11">
    <w:p w:rsidR="00246C2A" w:rsidRPr="008C3DB7" w:rsidRDefault="00246C2A" w:rsidP="00246C2A">
      <w:pPr>
        <w:pStyle w:val="a3"/>
        <w:rPr>
          <w:rFonts w:ascii="David" w:hAnsi="David" w:cs="David"/>
        </w:rPr>
      </w:pPr>
      <w:r w:rsidRPr="008C3DB7">
        <w:rPr>
          <w:rStyle w:val="a5"/>
          <w:rFonts w:ascii="David" w:hAnsi="David" w:cs="David"/>
        </w:rPr>
        <w:footnoteRef/>
      </w:r>
      <w:r w:rsidRPr="008C3DB7">
        <w:rPr>
          <w:rFonts w:ascii="David" w:hAnsi="David" w:cs="David"/>
          <w:rtl/>
        </w:rPr>
        <w:t xml:space="preserve"> בסקר שערך המכון לדמוקרטיה השיבו 48% מהשכירים ו-90% מהעצמאיים כי הם צופים ירידה בהכנסתם (עד אובדן מלא) בחודשים מרץ ואפריל.</w:t>
      </w:r>
    </w:p>
  </w:footnote>
  <w:footnote w:id="12">
    <w:p w:rsidR="00246C2A" w:rsidRPr="008C3DB7" w:rsidRDefault="00246C2A" w:rsidP="00246C2A">
      <w:pPr>
        <w:pStyle w:val="a3"/>
        <w:rPr>
          <w:rFonts w:ascii="David" w:hAnsi="David" w:cs="David"/>
          <w:rtl/>
        </w:rPr>
      </w:pPr>
      <w:r w:rsidRPr="008C3DB7">
        <w:rPr>
          <w:rStyle w:val="a5"/>
          <w:rFonts w:ascii="David" w:hAnsi="David" w:cs="David"/>
        </w:rPr>
        <w:footnoteRef/>
      </w:r>
      <w:r w:rsidRPr="008C3DB7">
        <w:rPr>
          <w:rFonts w:ascii="David" w:hAnsi="David" w:cs="David"/>
          <w:rtl/>
        </w:rPr>
        <w:t xml:space="preserve"> על פי נתוני הגל השישי של הסקר שנערך באמצע יוני.</w:t>
      </w:r>
    </w:p>
  </w:footnote>
  <w:footnote w:id="13">
    <w:p w:rsidR="00246C2A" w:rsidRPr="008C3DB7" w:rsidRDefault="00246C2A" w:rsidP="00246C2A">
      <w:pPr>
        <w:pStyle w:val="a3"/>
        <w:rPr>
          <w:rFonts w:ascii="David" w:hAnsi="David" w:cs="David"/>
          <w:rtl/>
        </w:rPr>
      </w:pPr>
      <w:r w:rsidRPr="008C3DB7">
        <w:rPr>
          <w:rStyle w:val="a5"/>
          <w:rFonts w:ascii="David" w:hAnsi="David" w:cs="David"/>
        </w:rPr>
        <w:footnoteRef/>
      </w:r>
      <w:r w:rsidRPr="008C3DB7">
        <w:rPr>
          <w:rFonts w:ascii="David" w:hAnsi="David" w:cs="David"/>
          <w:rtl/>
        </w:rPr>
        <w:t xml:space="preserve"> שיעור זה גבוה מהממוצע בקרב האוכלוסייה הערבית – 60.3% ו-52.2% בשני גלי הסקר – ונמוך מהממוצע בקרב בני 65 ומעלה – 31.1% ו-28.7%. </w:t>
      </w:r>
    </w:p>
  </w:footnote>
  <w:footnote w:id="14">
    <w:p w:rsidR="00246C2A" w:rsidRPr="008C3DB7" w:rsidRDefault="00246C2A" w:rsidP="00246C2A">
      <w:pPr>
        <w:pStyle w:val="a3"/>
        <w:rPr>
          <w:rFonts w:ascii="David" w:hAnsi="David" w:cs="David"/>
        </w:rPr>
      </w:pPr>
      <w:r w:rsidRPr="008C3DB7">
        <w:rPr>
          <w:rStyle w:val="a5"/>
          <w:rFonts w:ascii="David" w:hAnsi="David" w:cs="David"/>
        </w:rPr>
        <w:footnoteRef/>
      </w:r>
      <w:r w:rsidRPr="008C3DB7">
        <w:rPr>
          <w:rFonts w:ascii="David" w:hAnsi="David" w:cs="David"/>
          <w:rtl/>
        </w:rPr>
        <w:t xml:space="preserve"> בכל מקרה של דחיית תשלומים התשלומים הנדחים יישאו ריבית שלא תעלה על שיעור הריבית המקורית של ההלוואה.</w:t>
      </w:r>
    </w:p>
  </w:footnote>
  <w:footnote w:id="15">
    <w:p w:rsidR="00246C2A" w:rsidRPr="008C3DB7" w:rsidRDefault="00246C2A" w:rsidP="00246C2A">
      <w:pPr>
        <w:spacing w:after="0" w:line="240" w:lineRule="auto"/>
        <w:rPr>
          <w:rFonts w:ascii="David" w:hAnsi="David" w:cs="David"/>
          <w:sz w:val="20"/>
          <w:szCs w:val="20"/>
        </w:rPr>
      </w:pPr>
      <w:r w:rsidRPr="008C3DB7">
        <w:rPr>
          <w:rStyle w:val="a5"/>
          <w:rFonts w:ascii="David" w:hAnsi="David" w:cs="David"/>
          <w:sz w:val="20"/>
          <w:szCs w:val="20"/>
        </w:rPr>
        <w:footnoteRef/>
      </w:r>
      <w:r w:rsidRPr="008C3DB7">
        <w:rPr>
          <w:rFonts w:ascii="David" w:hAnsi="David" w:cs="David"/>
          <w:sz w:val="20"/>
          <w:szCs w:val="20"/>
          <w:rtl/>
        </w:rPr>
        <w:t xml:space="preserve"> לא בהכרח כל משק בית שדחה תשלומים אין באפשרותו להחזיר הלוואות. ייתכן שחלקם החליטו לעצור את התשלומים כדי לחסוך את סכומי ההחזרים החודשיים. צעד כזה שווה למעשה לנטילת הלוואה בריבית נמוכה (הריבית שבחוזה המשכנתה).</w:t>
      </w:r>
    </w:p>
  </w:footnote>
  <w:footnote w:id="16">
    <w:p w:rsidR="00246C2A" w:rsidRPr="008C3DB7" w:rsidRDefault="00246C2A" w:rsidP="00246C2A">
      <w:pPr>
        <w:pStyle w:val="a3"/>
        <w:rPr>
          <w:rFonts w:ascii="David" w:hAnsi="David" w:cs="David"/>
          <w:lang w:bidi="ar-SA"/>
        </w:rPr>
      </w:pPr>
      <w:r w:rsidRPr="008C3DB7">
        <w:rPr>
          <w:rStyle w:val="a5"/>
          <w:rFonts w:ascii="David" w:hAnsi="David" w:cs="David"/>
        </w:rPr>
        <w:footnoteRef/>
      </w:r>
      <w:r w:rsidRPr="008C3DB7">
        <w:rPr>
          <w:rFonts w:ascii="David" w:hAnsi="David" w:cs="David"/>
          <w:rtl/>
        </w:rPr>
        <w:t xml:space="preserve"> להרחבה בנושא ראו תיבה א'-7 בסקירת מערכת הבנקאות לשנת 2019. </w:t>
      </w:r>
    </w:p>
  </w:footnote>
  <w:footnote w:id="17">
    <w:p w:rsidR="00246C2A" w:rsidRPr="0075651E" w:rsidRDefault="00246C2A" w:rsidP="00D6349A">
      <w:pPr>
        <w:pStyle w:val="a3"/>
        <w:rPr>
          <w:rFonts w:ascii="David" w:hAnsi="David" w:cs="David"/>
          <w:rtl/>
        </w:rPr>
      </w:pPr>
      <w:r w:rsidRPr="0075651E">
        <w:rPr>
          <w:rStyle w:val="a5"/>
          <w:rFonts w:ascii="David" w:hAnsi="David" w:cs="David"/>
        </w:rPr>
        <w:footnoteRef/>
      </w:r>
      <w:r w:rsidRPr="0075651E">
        <w:rPr>
          <w:rFonts w:ascii="David" w:hAnsi="David" w:cs="David"/>
          <w:rtl/>
        </w:rPr>
        <w:t xml:space="preserve"> בתקופה שקדמה להוראה זו שיעור המשכנתאות שבהן יחס ה-</w:t>
      </w:r>
      <w:r w:rsidRPr="0075651E">
        <w:rPr>
          <w:rFonts w:ascii="David" w:hAnsi="David" w:cs="David"/>
        </w:rPr>
        <w:t>PTI</w:t>
      </w:r>
      <w:r w:rsidRPr="0075651E">
        <w:rPr>
          <w:rFonts w:ascii="David" w:hAnsi="David" w:cs="David"/>
          <w:rtl/>
        </w:rPr>
        <w:t xml:space="preserve"> גבוה מ-40% היה לא מבוטל (</w:t>
      </w:r>
      <w:r w:rsidR="00D6349A">
        <w:rPr>
          <w:rFonts w:ascii="David" w:hAnsi="David" w:cs="David" w:hint="cs"/>
          <w:rtl/>
        </w:rPr>
        <w:t>איור 2</w:t>
      </w:r>
      <w:r w:rsidRPr="0075651E">
        <w:rPr>
          <w:rFonts w:ascii="David" w:hAnsi="David" w:cs="David"/>
          <w:rtl/>
        </w:rPr>
        <w:fldChar w:fldCharType="begin"/>
      </w:r>
      <w:r w:rsidRPr="0075651E">
        <w:rPr>
          <w:rFonts w:ascii="David" w:hAnsi="David" w:cs="David"/>
          <w:rtl/>
        </w:rPr>
        <w:instrText xml:space="preserve"> </w:instrText>
      </w:r>
      <w:r w:rsidRPr="0075651E">
        <w:rPr>
          <w:rFonts w:ascii="David" w:hAnsi="David" w:cs="David"/>
        </w:rPr>
        <w:instrText>REF</w:instrText>
      </w:r>
      <w:r w:rsidRPr="0075651E">
        <w:rPr>
          <w:rFonts w:ascii="David" w:hAnsi="David" w:cs="David"/>
          <w:rtl/>
        </w:rPr>
        <w:instrText xml:space="preserve"> _</w:instrText>
      </w:r>
      <w:r w:rsidRPr="0075651E">
        <w:rPr>
          <w:rFonts w:ascii="David" w:hAnsi="David" w:cs="David"/>
        </w:rPr>
        <w:instrText>Ref42498433 \r \h</w:instrText>
      </w:r>
      <w:r w:rsidRPr="0075651E">
        <w:rPr>
          <w:rFonts w:ascii="David" w:hAnsi="David" w:cs="David"/>
          <w:rtl/>
        </w:rPr>
        <w:instrText xml:space="preserve">  \* </w:instrText>
      </w:r>
      <w:r w:rsidRPr="0075651E">
        <w:rPr>
          <w:rFonts w:ascii="David" w:hAnsi="David" w:cs="David"/>
        </w:rPr>
        <w:instrText>MERGEFORMAT</w:instrText>
      </w:r>
      <w:r w:rsidRPr="0075651E">
        <w:rPr>
          <w:rFonts w:ascii="David" w:hAnsi="David" w:cs="David"/>
          <w:rtl/>
        </w:rPr>
        <w:instrText xml:space="preserve"> </w:instrText>
      </w:r>
      <w:r w:rsidRPr="0075651E">
        <w:rPr>
          <w:rFonts w:ascii="David" w:hAnsi="David" w:cs="David"/>
          <w:rtl/>
        </w:rPr>
      </w:r>
      <w:r w:rsidRPr="0075651E">
        <w:rPr>
          <w:rFonts w:ascii="David" w:hAnsi="David" w:cs="David"/>
          <w:rtl/>
        </w:rPr>
        <w:fldChar w:fldCharType="end"/>
      </w:r>
      <w:r w:rsidRPr="0075651E">
        <w:rPr>
          <w:rFonts w:ascii="David" w:hAnsi="David" w:cs="David"/>
          <w:rtl/>
        </w:rPr>
        <w:t xml:space="preserve">). עם זאת ייתכן שגם הכנסתם של אותם משקי הבית שנטלו משכנתאות עם </w:t>
      </w:r>
      <w:r w:rsidRPr="0075651E">
        <w:rPr>
          <w:rFonts w:ascii="David" w:hAnsi="David" w:cs="David"/>
        </w:rPr>
        <w:t>PTI</w:t>
      </w:r>
      <w:r w:rsidRPr="0075651E">
        <w:rPr>
          <w:rFonts w:ascii="David" w:hAnsi="David" w:cs="David"/>
          <w:rtl/>
        </w:rPr>
        <w:t xml:space="preserve"> גבוה עלתה מאז. נוסף על כך, יתרת החוב שלהם ירדה לאחר שנים של החזרים, כך שאם החזרי המשכנתה שלהם יהיו גבוהים ביחס להכנסה, הם יוכלו, כנראה, למחזר את משכנתאותיהם כדי להקטין את ההחזרים החודשיים במידת הצורך. נוסף על כך, בתקופה שלפני המגבלה מסלול הריבית הצמודה לפריים היה פופולרי מאוד (עד מאי 2011). נוטלי משכנתאות אלה נהנו מירידה מתמדת של הריבית במשק, כך שבכל מקרה ההחזר החודשי בהן ירד במידה ניכרת, ואיתו גם יחס ה-</w:t>
      </w:r>
      <w:r w:rsidRPr="0075651E">
        <w:rPr>
          <w:rFonts w:ascii="David" w:hAnsi="David" w:cs="David"/>
        </w:rPr>
        <w:t>PTI</w:t>
      </w:r>
      <w:r w:rsidRPr="0075651E">
        <w:rPr>
          <w:rFonts w:ascii="David" w:hAnsi="David" w:cs="David"/>
          <w:rtl/>
        </w:rPr>
        <w:t>.</w:t>
      </w:r>
    </w:p>
  </w:footnote>
  <w:footnote w:id="18">
    <w:p w:rsidR="00246C2A" w:rsidRPr="00A7779A" w:rsidRDefault="00246C2A" w:rsidP="00246C2A">
      <w:pPr>
        <w:pStyle w:val="a3"/>
        <w:rPr>
          <w:rFonts w:ascii="David" w:hAnsi="David" w:cs="David"/>
        </w:rPr>
      </w:pPr>
      <w:r w:rsidRPr="00A7779A">
        <w:rPr>
          <w:rStyle w:val="a5"/>
          <w:rFonts w:ascii="David" w:hAnsi="David" w:cs="David"/>
        </w:rPr>
        <w:footnoteRef/>
      </w:r>
      <w:r w:rsidRPr="00A7779A">
        <w:rPr>
          <w:rFonts w:ascii="David" w:hAnsi="David" w:cs="David"/>
          <w:rtl/>
        </w:rPr>
        <w:t xml:space="preserve"> הקבוצה שבה "שיעור האבטלה לא ידוע" נוצרה משום שבחלק מהיישובים (יישובים קטנים) אין נתונים על שיעור האבטלה.</w:t>
      </w:r>
    </w:p>
  </w:footnote>
  <w:footnote w:id="19">
    <w:p w:rsidR="00246C2A" w:rsidRPr="00A7779A" w:rsidRDefault="00246C2A" w:rsidP="00246C2A">
      <w:pPr>
        <w:pStyle w:val="a3"/>
        <w:rPr>
          <w:rFonts w:ascii="David" w:hAnsi="David" w:cs="David"/>
        </w:rPr>
      </w:pPr>
      <w:r w:rsidRPr="00A7779A">
        <w:rPr>
          <w:rStyle w:val="a5"/>
          <w:rFonts w:ascii="David" w:hAnsi="David" w:cs="David"/>
        </w:rPr>
        <w:footnoteRef/>
      </w:r>
      <w:r w:rsidRPr="00A7779A">
        <w:rPr>
          <w:rFonts w:ascii="David" w:hAnsi="David" w:cs="David"/>
          <w:rtl/>
        </w:rPr>
        <w:t xml:space="preserve"> ר' אהרוני ור' גולן , "מקבלי הפטר בהוצאה לפועל", רשות האכיפה והגבייה, דוח פעילות לשנת 2019.</w:t>
      </w:r>
    </w:p>
  </w:footnote>
  <w:footnote w:id="20">
    <w:p w:rsidR="00246C2A" w:rsidRPr="00A7779A" w:rsidRDefault="00246C2A" w:rsidP="00246C2A">
      <w:pPr>
        <w:pStyle w:val="a3"/>
        <w:rPr>
          <w:rFonts w:ascii="David" w:hAnsi="David" w:cs="David"/>
        </w:rPr>
      </w:pPr>
      <w:r w:rsidRPr="00A7779A">
        <w:rPr>
          <w:rStyle w:val="a5"/>
          <w:rFonts w:ascii="David" w:hAnsi="David" w:cs="David"/>
        </w:rPr>
        <w:footnoteRef/>
      </w:r>
      <w:r w:rsidRPr="00A7779A">
        <w:rPr>
          <w:rFonts w:ascii="David" w:hAnsi="David" w:cs="David"/>
          <w:rtl/>
        </w:rPr>
        <w:t xml:space="preserve"> לרוב הציבור אכן ישנן התחייבויות כספיות: על פי תוצאות הסקר של המכון הישראלי לדמוקרטיה, רק 9% מהעצמאיים ו-18% מהשכירים דיווחו שאין להם חובות להחזיר כל חודש, מעבר להוצאות המחיה ותשלומים שוטפים.  </w:t>
      </w:r>
    </w:p>
  </w:footnote>
  <w:footnote w:id="21">
    <w:p w:rsidR="00246C2A" w:rsidRPr="00A7779A" w:rsidRDefault="00246C2A" w:rsidP="00246C2A">
      <w:pPr>
        <w:spacing w:after="0" w:line="240" w:lineRule="auto"/>
        <w:rPr>
          <w:rFonts w:ascii="David" w:hAnsi="David" w:cs="David"/>
          <w:sz w:val="20"/>
          <w:szCs w:val="20"/>
        </w:rPr>
      </w:pPr>
      <w:r w:rsidRPr="00A7779A">
        <w:rPr>
          <w:rStyle w:val="a5"/>
          <w:rFonts w:ascii="David" w:hAnsi="David" w:cs="David"/>
          <w:sz w:val="20"/>
          <w:szCs w:val="20"/>
        </w:rPr>
        <w:footnoteRef/>
      </w:r>
      <w:r w:rsidRPr="00A7779A">
        <w:rPr>
          <w:rFonts w:ascii="David" w:hAnsi="David" w:cs="David"/>
          <w:sz w:val="20"/>
          <w:szCs w:val="20"/>
          <w:rtl/>
        </w:rPr>
        <w:t xml:space="preserve"> השקעות אלה חשובות במיוחד לחברות הזנק, אשר מגייסות הון בכמה סבבים. מסקר הרשות לחדשנות, שנערך בחודש מאי, עולה כי 20% מ-414 חברות ההיי טק הקטנות (עד 50 עובדים) שנסקרו עלולות להיסגר בתוך 3 חודשים אם לא יצליחו לגייס הון. ב-40% מהחברות עצרו המשקיעים את תהליך גיוס הכספים, וב-51% מהחברות תהליך הגיוס הואט. 14% מהחברות דיווחו על פיטורי עובדים בהיקף של למעלה מ-15% מכוח האדם שלהן; למעלה משליש מהחברות הוציאו עובדים לחל"ת; שליש מהחברות הורידו שכר.  </w:t>
      </w:r>
    </w:p>
  </w:footnote>
  <w:footnote w:id="22">
    <w:p w:rsidR="00246C2A" w:rsidRPr="00A7779A" w:rsidRDefault="00246C2A" w:rsidP="00246C2A">
      <w:pPr>
        <w:pStyle w:val="a3"/>
        <w:rPr>
          <w:rFonts w:ascii="David" w:hAnsi="David" w:cs="David"/>
        </w:rPr>
      </w:pPr>
      <w:r w:rsidRPr="00A7779A">
        <w:rPr>
          <w:rStyle w:val="a5"/>
          <w:rFonts w:ascii="David" w:hAnsi="David" w:cs="David"/>
        </w:rPr>
        <w:footnoteRef/>
      </w:r>
      <w:r w:rsidRPr="00A7779A">
        <w:rPr>
          <w:rFonts w:ascii="David" w:hAnsi="David" w:cs="David"/>
          <w:rtl/>
        </w:rPr>
        <w:t xml:space="preserve"> להרחבה ראו תיבה ד'-1 בדוח בנק ישראל 2014 וגם "מאפייני המימון של חברות ההיי טק בישראל"</w:t>
      </w:r>
      <w:r w:rsidRPr="00A7779A">
        <w:rPr>
          <w:rFonts w:ascii="David" w:hAnsi="David" w:cs="David"/>
        </w:rPr>
        <w:t xml:space="preserve"> </w:t>
      </w:r>
      <w:r w:rsidRPr="00A7779A">
        <w:rPr>
          <w:rFonts w:ascii="David" w:hAnsi="David" w:cs="David"/>
          <w:rtl/>
        </w:rPr>
        <w:t xml:space="preserve">, הודעה לעיתונות, בנק ישראל, 30/06/2020. </w:t>
      </w:r>
    </w:p>
  </w:footnote>
  <w:footnote w:id="23">
    <w:p w:rsidR="00246C2A" w:rsidRPr="00A7779A" w:rsidRDefault="00246C2A" w:rsidP="00246C2A">
      <w:pPr>
        <w:pStyle w:val="a3"/>
        <w:rPr>
          <w:rFonts w:ascii="David" w:hAnsi="David" w:cs="David"/>
          <w:rtl/>
          <w:lang w:bidi="ar-SA"/>
        </w:rPr>
      </w:pPr>
      <w:r w:rsidRPr="00A7779A">
        <w:rPr>
          <w:rStyle w:val="a5"/>
          <w:rFonts w:ascii="David" w:hAnsi="David" w:cs="David"/>
        </w:rPr>
        <w:footnoteRef/>
      </w:r>
      <w:r w:rsidRPr="00A7779A">
        <w:rPr>
          <w:rFonts w:ascii="David" w:hAnsi="David" w:cs="David"/>
          <w:rtl/>
        </w:rPr>
        <w:t xml:space="preserve"> לדיון בנושא ראו ע' 108–112 בפרק ה' של דוח בנק ישראל 2013.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1638"/>
    <w:multiLevelType w:val="hybridMultilevel"/>
    <w:tmpl w:val="F3606324"/>
    <w:lvl w:ilvl="0" w:tplc="62469F92">
      <w:start w:val="1"/>
      <w:numFmt w:val="decimal"/>
      <w:pStyle w:val="6"/>
      <w:lvlText w:val="לוח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B44F5"/>
    <w:multiLevelType w:val="hybridMultilevel"/>
    <w:tmpl w:val="F4783AE8"/>
    <w:lvl w:ilvl="0" w:tplc="FDB46E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B731E"/>
    <w:multiLevelType w:val="hybridMultilevel"/>
    <w:tmpl w:val="523A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20"/>
    <w:rsid w:val="00024FA9"/>
    <w:rsid w:val="000823F2"/>
    <w:rsid w:val="0008657F"/>
    <w:rsid w:val="000872CF"/>
    <w:rsid w:val="00094DB8"/>
    <w:rsid w:val="0010326C"/>
    <w:rsid w:val="00106D9B"/>
    <w:rsid w:val="00116257"/>
    <w:rsid w:val="0014413E"/>
    <w:rsid w:val="001D2D38"/>
    <w:rsid w:val="001F77E4"/>
    <w:rsid w:val="00237302"/>
    <w:rsid w:val="00243C0C"/>
    <w:rsid w:val="00246C2A"/>
    <w:rsid w:val="00266771"/>
    <w:rsid w:val="00275AED"/>
    <w:rsid w:val="00292CF8"/>
    <w:rsid w:val="002C1221"/>
    <w:rsid w:val="003017DF"/>
    <w:rsid w:val="00327CBE"/>
    <w:rsid w:val="003B37A9"/>
    <w:rsid w:val="003E1171"/>
    <w:rsid w:val="003E2F23"/>
    <w:rsid w:val="004120ED"/>
    <w:rsid w:val="00422510"/>
    <w:rsid w:val="00435E49"/>
    <w:rsid w:val="0046577D"/>
    <w:rsid w:val="00486274"/>
    <w:rsid w:val="004929F7"/>
    <w:rsid w:val="004A5775"/>
    <w:rsid w:val="004A61AD"/>
    <w:rsid w:val="00556D0F"/>
    <w:rsid w:val="005836E4"/>
    <w:rsid w:val="00593A43"/>
    <w:rsid w:val="005D47EA"/>
    <w:rsid w:val="005E7BC0"/>
    <w:rsid w:val="006071A0"/>
    <w:rsid w:val="00622C91"/>
    <w:rsid w:val="00647655"/>
    <w:rsid w:val="00647D66"/>
    <w:rsid w:val="0065401C"/>
    <w:rsid w:val="00664A8D"/>
    <w:rsid w:val="006B53BE"/>
    <w:rsid w:val="006B7282"/>
    <w:rsid w:val="007128EB"/>
    <w:rsid w:val="007351EB"/>
    <w:rsid w:val="0075651E"/>
    <w:rsid w:val="007569FC"/>
    <w:rsid w:val="00760590"/>
    <w:rsid w:val="007B6A07"/>
    <w:rsid w:val="007C6DBB"/>
    <w:rsid w:val="007E16EE"/>
    <w:rsid w:val="0080449A"/>
    <w:rsid w:val="00823CC9"/>
    <w:rsid w:val="00832D3D"/>
    <w:rsid w:val="00836F51"/>
    <w:rsid w:val="0084045B"/>
    <w:rsid w:val="00854A05"/>
    <w:rsid w:val="008636CF"/>
    <w:rsid w:val="00871B4C"/>
    <w:rsid w:val="008B4A48"/>
    <w:rsid w:val="008C2E39"/>
    <w:rsid w:val="008C3DB7"/>
    <w:rsid w:val="008F1EAD"/>
    <w:rsid w:val="009017E3"/>
    <w:rsid w:val="00936203"/>
    <w:rsid w:val="009542A0"/>
    <w:rsid w:val="009614D6"/>
    <w:rsid w:val="00997680"/>
    <w:rsid w:val="009D2AFA"/>
    <w:rsid w:val="009D45D8"/>
    <w:rsid w:val="009D6B0C"/>
    <w:rsid w:val="009E1DB1"/>
    <w:rsid w:val="009E7BDA"/>
    <w:rsid w:val="00A6465D"/>
    <w:rsid w:val="00A6667E"/>
    <w:rsid w:val="00A7779A"/>
    <w:rsid w:val="00A95E20"/>
    <w:rsid w:val="00AB736F"/>
    <w:rsid w:val="00AC4589"/>
    <w:rsid w:val="00B03386"/>
    <w:rsid w:val="00B42E88"/>
    <w:rsid w:val="00B54063"/>
    <w:rsid w:val="00B75C82"/>
    <w:rsid w:val="00B767B9"/>
    <w:rsid w:val="00B8489A"/>
    <w:rsid w:val="00BA7FD2"/>
    <w:rsid w:val="00BD1618"/>
    <w:rsid w:val="00C26B0F"/>
    <w:rsid w:val="00C27CCB"/>
    <w:rsid w:val="00C44A0C"/>
    <w:rsid w:val="00C5793C"/>
    <w:rsid w:val="00C61FB8"/>
    <w:rsid w:val="00C66A9A"/>
    <w:rsid w:val="00C87EC5"/>
    <w:rsid w:val="00CB0ED4"/>
    <w:rsid w:val="00CC3420"/>
    <w:rsid w:val="00CC431D"/>
    <w:rsid w:val="00CE2D67"/>
    <w:rsid w:val="00CE33DA"/>
    <w:rsid w:val="00CF1765"/>
    <w:rsid w:val="00CF4251"/>
    <w:rsid w:val="00D0657F"/>
    <w:rsid w:val="00D36B1F"/>
    <w:rsid w:val="00D562B3"/>
    <w:rsid w:val="00D56D77"/>
    <w:rsid w:val="00D6349A"/>
    <w:rsid w:val="00D75199"/>
    <w:rsid w:val="00D8200F"/>
    <w:rsid w:val="00E105EB"/>
    <w:rsid w:val="00E20315"/>
    <w:rsid w:val="00E24624"/>
    <w:rsid w:val="00E46D03"/>
    <w:rsid w:val="00E545A0"/>
    <w:rsid w:val="00E834A6"/>
    <w:rsid w:val="00EA1A22"/>
    <w:rsid w:val="00EB1BAB"/>
    <w:rsid w:val="00EC15C4"/>
    <w:rsid w:val="00EF405A"/>
    <w:rsid w:val="00F265DE"/>
    <w:rsid w:val="00F40C59"/>
    <w:rsid w:val="00F428F8"/>
    <w:rsid w:val="00F674E2"/>
    <w:rsid w:val="00FD522C"/>
    <w:rsid w:val="00FE13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FD646-EA86-4ADE-ABAC-B5DEB076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6">
    <w:name w:val="heading 6"/>
    <w:aliases w:val="מספור לוחות 6"/>
    <w:basedOn w:val="a"/>
    <w:next w:val="a"/>
    <w:link w:val="60"/>
    <w:uiPriority w:val="9"/>
    <w:unhideWhenUsed/>
    <w:qFormat/>
    <w:rsid w:val="00246C2A"/>
    <w:pPr>
      <w:keepNext/>
      <w:keepLines/>
      <w:numPr>
        <w:numId w:val="2"/>
      </w:numPr>
      <w:spacing w:before="200" w:after="0" w:line="360" w:lineRule="auto"/>
      <w:jc w:val="both"/>
      <w:outlineLvl w:val="5"/>
    </w:pPr>
    <w:rPr>
      <w:rFonts w:asciiTheme="majorHAnsi" w:eastAsiaTheme="majorEastAsia" w:hAnsiTheme="majorHAnsi" w:cs="David"/>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46C2A"/>
    <w:pPr>
      <w:spacing w:after="0" w:line="240" w:lineRule="auto"/>
    </w:pPr>
    <w:rPr>
      <w:sz w:val="20"/>
      <w:szCs w:val="20"/>
    </w:rPr>
  </w:style>
  <w:style w:type="character" w:customStyle="1" w:styleId="a4">
    <w:name w:val="טקסט הערת שוליים תו"/>
    <w:basedOn w:val="a0"/>
    <w:link w:val="a3"/>
    <w:uiPriority w:val="99"/>
    <w:semiHidden/>
    <w:rsid w:val="00246C2A"/>
    <w:rPr>
      <w:sz w:val="20"/>
      <w:szCs w:val="20"/>
    </w:rPr>
  </w:style>
  <w:style w:type="character" w:styleId="a5">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246C2A"/>
    <w:rPr>
      <w:vertAlign w:val="superscript"/>
    </w:rPr>
  </w:style>
  <w:style w:type="character" w:customStyle="1" w:styleId="60">
    <w:name w:val="כותרת 6 תו"/>
    <w:aliases w:val="מספור לוחות 6 תו"/>
    <w:basedOn w:val="a0"/>
    <w:link w:val="6"/>
    <w:uiPriority w:val="9"/>
    <w:rsid w:val="00246C2A"/>
    <w:rPr>
      <w:rFonts w:asciiTheme="majorHAnsi" w:eastAsiaTheme="majorEastAsia" w:hAnsiTheme="majorHAnsi" w:cs="David"/>
      <w:bCs/>
      <w:i/>
      <w:sz w:val="24"/>
      <w:szCs w:val="24"/>
    </w:rPr>
  </w:style>
  <w:style w:type="paragraph" w:styleId="a6">
    <w:name w:val="Balloon Text"/>
    <w:basedOn w:val="a"/>
    <w:link w:val="a7"/>
    <w:uiPriority w:val="99"/>
    <w:semiHidden/>
    <w:unhideWhenUsed/>
    <w:rsid w:val="008C3DB7"/>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8C3DB7"/>
    <w:rPr>
      <w:rFonts w:ascii="Tahoma" w:hAnsi="Tahoma" w:cs="Tahoma"/>
      <w:sz w:val="18"/>
      <w:szCs w:val="18"/>
    </w:rPr>
  </w:style>
  <w:style w:type="paragraph" w:styleId="a8">
    <w:name w:val="List Paragraph"/>
    <w:basedOn w:val="a"/>
    <w:uiPriority w:val="34"/>
    <w:qFormat/>
    <w:rsid w:val="008C3DB7"/>
    <w:pPr>
      <w:ind w:left="720"/>
      <w:contextualSpacing/>
    </w:pPr>
  </w:style>
  <w:style w:type="character" w:styleId="a9">
    <w:name w:val="annotation reference"/>
    <w:basedOn w:val="a0"/>
    <w:uiPriority w:val="99"/>
    <w:semiHidden/>
    <w:unhideWhenUsed/>
    <w:rsid w:val="00B767B9"/>
    <w:rPr>
      <w:sz w:val="16"/>
      <w:szCs w:val="16"/>
    </w:rPr>
  </w:style>
  <w:style w:type="paragraph" w:styleId="aa">
    <w:name w:val="annotation text"/>
    <w:basedOn w:val="a"/>
    <w:link w:val="ab"/>
    <w:uiPriority w:val="99"/>
    <w:semiHidden/>
    <w:unhideWhenUsed/>
    <w:rsid w:val="00B767B9"/>
    <w:pPr>
      <w:spacing w:line="240" w:lineRule="auto"/>
    </w:pPr>
    <w:rPr>
      <w:sz w:val="20"/>
      <w:szCs w:val="20"/>
    </w:rPr>
  </w:style>
  <w:style w:type="character" w:customStyle="1" w:styleId="ab">
    <w:name w:val="טקסט הערה תו"/>
    <w:basedOn w:val="a0"/>
    <w:link w:val="aa"/>
    <w:uiPriority w:val="99"/>
    <w:semiHidden/>
    <w:rsid w:val="00B767B9"/>
    <w:rPr>
      <w:sz w:val="20"/>
      <w:szCs w:val="20"/>
    </w:rPr>
  </w:style>
  <w:style w:type="paragraph" w:styleId="ac">
    <w:name w:val="annotation subject"/>
    <w:basedOn w:val="aa"/>
    <w:next w:val="aa"/>
    <w:link w:val="ad"/>
    <w:uiPriority w:val="99"/>
    <w:semiHidden/>
    <w:unhideWhenUsed/>
    <w:rsid w:val="00B767B9"/>
    <w:rPr>
      <w:b/>
      <w:bCs/>
    </w:rPr>
  </w:style>
  <w:style w:type="character" w:customStyle="1" w:styleId="ad">
    <w:name w:val="נושא הערה תו"/>
    <w:basedOn w:val="ab"/>
    <w:link w:val="ac"/>
    <w:uiPriority w:val="99"/>
    <w:semiHidden/>
    <w:rsid w:val="00B767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A041B-FA31-4457-A53C-E3B6F888129F}"/>
</file>

<file path=customXml/itemProps2.xml><?xml version="1.0" encoding="utf-8"?>
<ds:datastoreItem xmlns:ds="http://schemas.openxmlformats.org/officeDocument/2006/customXml" ds:itemID="{44C38B98-87F2-490B-954F-0CDBF54B2D90}"/>
</file>

<file path=customXml/itemProps3.xml><?xml version="1.0" encoding="utf-8"?>
<ds:datastoreItem xmlns:ds="http://schemas.openxmlformats.org/officeDocument/2006/customXml" ds:itemID="{412C2511-146E-4EAF-9CEC-88B326751690}"/>
</file>

<file path=docProps/app.xml><?xml version="1.0" encoding="utf-8"?>
<Properties xmlns="http://schemas.openxmlformats.org/officeDocument/2006/extended-properties" xmlns:vt="http://schemas.openxmlformats.org/officeDocument/2006/docPropsVTypes">
  <Template>Normal</Template>
  <TotalTime>0</TotalTime>
  <Pages>1</Pages>
  <Words>3218</Words>
  <Characters>16092</Characters>
  <Application>Microsoft Office Word</Application>
  <DocSecurity>0</DocSecurity>
  <Lines>134</Lines>
  <Paragraphs>38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נטליה פרסמן</dc:creator>
  <cp:keywords/>
  <dc:description/>
  <cp:lastModifiedBy>boiuser</cp:lastModifiedBy>
  <cp:revision>4</cp:revision>
  <cp:lastPrinted>2020-07-23T10:07:00Z</cp:lastPrinted>
  <dcterms:created xsi:type="dcterms:W3CDTF">2020-07-29T08:32:00Z</dcterms:created>
  <dcterms:modified xsi:type="dcterms:W3CDTF">2020-07-29T08:43:00Z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