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454750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1E5A00">
              <w:rPr>
                <w:rFonts w:cs="David" w:hint="cs"/>
                <w:sz w:val="24"/>
                <w:szCs w:val="24"/>
                <w:rtl/>
              </w:rPr>
              <w:t>י"</w:t>
            </w:r>
            <w:r w:rsidR="00454750">
              <w:rPr>
                <w:rFonts w:cs="David" w:hint="cs"/>
                <w:sz w:val="24"/>
                <w:szCs w:val="24"/>
                <w:rtl/>
              </w:rPr>
              <w:t>ד</w:t>
            </w:r>
            <w:r w:rsidR="004B5D8D">
              <w:rPr>
                <w:rFonts w:cs="David" w:hint="cs"/>
                <w:sz w:val="24"/>
                <w:szCs w:val="24"/>
                <w:rtl/>
              </w:rPr>
              <w:t xml:space="preserve"> באלול</w:t>
            </w:r>
            <w:r>
              <w:rPr>
                <w:rFonts w:cs="David"/>
                <w:sz w:val="24"/>
                <w:szCs w:val="24"/>
                <w:rtl/>
              </w:rPr>
              <w:t>, תשע"ג</w:t>
            </w:r>
          </w:p>
          <w:p w:rsidR="00DD5923" w:rsidRPr="00DF107C" w:rsidRDefault="00DD5923" w:rsidP="00454750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454750">
              <w:rPr>
                <w:rFonts w:cs="David" w:hint="cs"/>
                <w:sz w:val="24"/>
                <w:szCs w:val="24"/>
                <w:rtl/>
              </w:rPr>
              <w:t>20</w:t>
            </w:r>
            <w:r w:rsidR="00E85E11">
              <w:rPr>
                <w:rFonts w:cs="David" w:hint="cs"/>
                <w:sz w:val="24"/>
                <w:szCs w:val="24"/>
                <w:rtl/>
              </w:rPr>
              <w:t xml:space="preserve"> באוגוסט</w:t>
            </w:r>
            <w:r>
              <w:rPr>
                <w:rFonts w:cs="David"/>
                <w:sz w:val="24"/>
                <w:szCs w:val="24"/>
                <w:rtl/>
              </w:rPr>
              <w:t>, 2013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7E18EE">
      <w:pPr>
        <w:bidi/>
        <w:spacing w:line="360" w:lineRule="auto"/>
        <w:ind w:right="-101"/>
        <w:rPr>
          <w:rFonts w:cs="David" w:hint="cs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454750" w:rsidRDefault="00454750" w:rsidP="00454750">
      <w:pPr>
        <w:bidi/>
        <w:spacing w:line="360" w:lineRule="auto"/>
        <w:ind w:right="-101"/>
        <w:rPr>
          <w:rFonts w:cs="David" w:hint="cs"/>
          <w:sz w:val="24"/>
          <w:szCs w:val="24"/>
          <w:rtl/>
        </w:rPr>
      </w:pPr>
    </w:p>
    <w:p w:rsidR="00454750" w:rsidRPr="00454750" w:rsidRDefault="00454750" w:rsidP="00454750">
      <w:pPr>
        <w:spacing w:line="360" w:lineRule="auto"/>
        <w:jc w:val="center"/>
        <w:rPr>
          <w:rFonts w:cs="David" w:hint="cs"/>
          <w:sz w:val="24"/>
          <w:szCs w:val="24"/>
          <w:u w:val="single"/>
          <w:rtl/>
        </w:rPr>
      </w:pPr>
      <w:bookmarkStart w:id="0" w:name="_GoBack"/>
      <w:r w:rsidRPr="00454750">
        <w:rPr>
          <w:rFonts w:cs="David" w:hint="cs"/>
          <w:sz w:val="28"/>
          <w:szCs w:val="28"/>
          <w:u w:val="single"/>
          <w:rtl/>
        </w:rPr>
        <w:t>התפתחויות בתיק הנכסים הפיננסיים של הציבור ברביע השני של שנת 2013</w:t>
      </w:r>
    </w:p>
    <w:bookmarkEnd w:id="0"/>
    <w:p w:rsidR="00454750" w:rsidRPr="00454750" w:rsidRDefault="00454750" w:rsidP="00454750">
      <w:pPr>
        <w:numPr>
          <w:ilvl w:val="0"/>
          <w:numId w:val="1"/>
        </w:numPr>
        <w:bidi/>
        <w:spacing w:line="360" w:lineRule="auto"/>
        <w:jc w:val="both"/>
        <w:rPr>
          <w:rFonts w:cs="David" w:hint="cs"/>
          <w:b/>
          <w:bCs/>
          <w:sz w:val="24"/>
          <w:szCs w:val="24"/>
        </w:rPr>
      </w:pPr>
      <w:r w:rsidRPr="00454750">
        <w:rPr>
          <w:rFonts w:cs="David" w:hint="cs"/>
          <w:b/>
          <w:bCs/>
          <w:sz w:val="24"/>
          <w:szCs w:val="24"/>
          <w:rtl/>
        </w:rPr>
        <w:t>ברביע  השני של שנת 2013 נרשמה ירידה ריאלית של כ-1.2% בשווי תיק הנכסים הפיננסיים של הציבור, והוא עמד בסוף יוני על כ- 2.76 טריליוני שקלים.</w:t>
      </w:r>
    </w:p>
    <w:p w:rsidR="00454750" w:rsidRPr="00454750" w:rsidRDefault="00454750" w:rsidP="00454750">
      <w:pPr>
        <w:numPr>
          <w:ilvl w:val="0"/>
          <w:numId w:val="1"/>
        </w:numPr>
        <w:bidi/>
        <w:spacing w:line="360" w:lineRule="auto"/>
        <w:jc w:val="both"/>
        <w:rPr>
          <w:rFonts w:cs="David" w:hint="cs"/>
          <w:b/>
          <w:bCs/>
          <w:color w:val="FF0000"/>
          <w:sz w:val="24"/>
          <w:szCs w:val="24"/>
        </w:rPr>
      </w:pPr>
      <w:r w:rsidRPr="00454750">
        <w:rPr>
          <w:rFonts w:cs="David" w:hint="cs"/>
          <w:b/>
          <w:bCs/>
          <w:sz w:val="24"/>
          <w:szCs w:val="24"/>
          <w:rtl/>
        </w:rPr>
        <w:t xml:space="preserve">הקיטון בשווי תיק הנכסים ברביע השני נבע בעיקר מירידה בשווי תיק ני"ע בארץ (כ-18 מיליארדי ₪)  בעיקר בשל ירידת המחירים בבורסה בת"א. </w:t>
      </w:r>
    </w:p>
    <w:p w:rsidR="00454750" w:rsidRPr="00454750" w:rsidRDefault="00454750" w:rsidP="00454750">
      <w:pPr>
        <w:numPr>
          <w:ilvl w:val="0"/>
          <w:numId w:val="1"/>
        </w:numPr>
        <w:bidi/>
        <w:spacing w:line="360" w:lineRule="auto"/>
        <w:jc w:val="both"/>
        <w:rPr>
          <w:rFonts w:cs="David" w:hint="cs"/>
          <w:b/>
          <w:bCs/>
          <w:sz w:val="24"/>
          <w:szCs w:val="24"/>
        </w:rPr>
      </w:pPr>
      <w:r w:rsidRPr="00454750">
        <w:rPr>
          <w:rFonts w:cs="David" w:hint="cs"/>
          <w:b/>
          <w:bCs/>
          <w:sz w:val="24"/>
          <w:szCs w:val="24"/>
          <w:rtl/>
        </w:rPr>
        <w:t xml:space="preserve">כתוצאה מהתפתחויות אלו, חלה ברביע השני של השנה ירידה של 0.3 נקודת אחוז במשקל הנכסים הסחירים בתיק, במקביל לעלייה במשקלם של הפיקדונות בחו"ל. </w:t>
      </w:r>
    </w:p>
    <w:p w:rsidR="00454750" w:rsidRPr="00454750" w:rsidRDefault="00454750" w:rsidP="00454750">
      <w:pPr>
        <w:numPr>
          <w:ilvl w:val="0"/>
          <w:numId w:val="1"/>
        </w:num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454750">
        <w:rPr>
          <w:rFonts w:cs="David" w:hint="cs"/>
          <w:b/>
          <w:bCs/>
          <w:sz w:val="24"/>
          <w:szCs w:val="24"/>
          <w:rtl/>
        </w:rPr>
        <w:t>בתיק המנוהל באמצעות קרנות נאמנות נרשמה ברביע השני של 2013 צבירה נטו של כ-14.6 מיליארדי ₪ (%7.7) בקרנות הכספיות ובקרנות המתמחות בעיקר באג"ח חברות צמודות מדד.</w:t>
      </w:r>
    </w:p>
    <w:p w:rsidR="00454750" w:rsidRPr="00454750" w:rsidRDefault="00454750" w:rsidP="00454750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454750">
        <w:rPr>
          <w:rFonts w:cs="David" w:hint="cs"/>
          <w:b/>
          <w:bCs/>
          <w:sz w:val="24"/>
          <w:szCs w:val="24"/>
          <w:rtl/>
        </w:rPr>
        <w:t xml:space="preserve">1. </w:t>
      </w:r>
      <w:r w:rsidRPr="00454750">
        <w:rPr>
          <w:rFonts w:cs="David" w:hint="cs"/>
          <w:b/>
          <w:bCs/>
          <w:sz w:val="24"/>
          <w:szCs w:val="24"/>
          <w:u w:val="single"/>
          <w:rtl/>
        </w:rPr>
        <w:t>סך תיק הנכסים</w:t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54750">
        <w:rPr>
          <w:rFonts w:cs="David" w:hint="cs"/>
          <w:sz w:val="24"/>
          <w:szCs w:val="24"/>
          <w:rtl/>
        </w:rPr>
        <w:t xml:space="preserve">מהחטיבה למידע ולסטטיסטיקה בבנק ישראל נמסר, כי </w:t>
      </w:r>
      <w:r w:rsidRPr="00454750">
        <w:rPr>
          <w:rFonts w:cs="David" w:hint="cs"/>
          <w:b/>
          <w:bCs/>
          <w:sz w:val="24"/>
          <w:szCs w:val="24"/>
          <w:rtl/>
        </w:rPr>
        <w:t xml:space="preserve">ברביע השני של שנת 2013 </w:t>
      </w:r>
      <w:r w:rsidRPr="00454750">
        <w:rPr>
          <w:rFonts w:cs="David" w:hint="cs"/>
          <w:sz w:val="24"/>
          <w:szCs w:val="24"/>
          <w:rtl/>
        </w:rPr>
        <w:t>ירד ריאלית שווי תיק הנכסים של הציבור ב-1.2% ועמד בסוף יוני על 2.76 טריליוני ₪.</w:t>
      </w:r>
    </w:p>
    <w:p w:rsidR="00454750" w:rsidRPr="00820488" w:rsidRDefault="00454750" w:rsidP="00454750">
      <w:pPr>
        <w:bidi/>
        <w:spacing w:line="360" w:lineRule="auto"/>
        <w:jc w:val="both"/>
        <w:rPr>
          <w:rFonts w:hint="cs"/>
          <w:b/>
          <w:bCs/>
          <w:color w:val="FF0000"/>
        </w:rPr>
      </w:pPr>
      <w:r w:rsidRPr="00454750">
        <w:rPr>
          <w:rFonts w:cs="David" w:hint="cs"/>
          <w:sz w:val="24"/>
          <w:szCs w:val="24"/>
          <w:rtl/>
        </w:rPr>
        <w:t xml:space="preserve">עיקר הירידה בשווי תיק הנכסים, ברביע זה, נבעה מקיטון בשווי תיק ני"ע בתל אביב. ירידה של כ-13 מיליארדי ש"ח (%2.9) בשווי תיק המניות, בעיקר בשל ירידת המחירים, ושל כ-5 מיליארדי ₪ (%1.8) בשווי תיק </w:t>
      </w:r>
      <w:proofErr w:type="spellStart"/>
      <w:r w:rsidRPr="00454750">
        <w:rPr>
          <w:rFonts w:cs="David" w:hint="cs"/>
          <w:sz w:val="24"/>
          <w:szCs w:val="24"/>
          <w:rtl/>
        </w:rPr>
        <w:t>האג"ח</w:t>
      </w:r>
      <w:proofErr w:type="spellEnd"/>
      <w:r w:rsidRPr="00454750">
        <w:rPr>
          <w:rFonts w:cs="David" w:hint="cs"/>
          <w:sz w:val="24"/>
          <w:szCs w:val="24"/>
          <w:rtl/>
        </w:rPr>
        <w:t xml:space="preserve"> בארץ</w:t>
      </w:r>
      <w:r w:rsidRPr="00820488">
        <w:rPr>
          <w:rFonts w:hint="cs"/>
          <w:rtl/>
        </w:rPr>
        <w:t>.</w:t>
      </w:r>
    </w:p>
    <w:p w:rsidR="00454750" w:rsidRPr="002F0602" w:rsidRDefault="00454750" w:rsidP="00454750">
      <w:pPr>
        <w:spacing w:line="360" w:lineRule="auto"/>
        <w:jc w:val="both"/>
        <w:rPr>
          <w:rFonts w:hint="cs"/>
          <w:rtl/>
        </w:rPr>
      </w:pPr>
      <w:r>
        <w:rPr>
          <w:noProof/>
          <w:lang w:eastAsia="en-US"/>
        </w:rPr>
        <w:drawing>
          <wp:inline distT="0" distB="0" distL="0" distR="0">
            <wp:extent cx="5219700" cy="3185160"/>
            <wp:effectExtent l="0" t="0" r="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18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750" w:rsidRPr="00EE044A" w:rsidRDefault="00454750" w:rsidP="00454750">
      <w:pPr>
        <w:spacing w:line="360" w:lineRule="auto"/>
        <w:jc w:val="both"/>
        <w:rPr>
          <w:rFonts w:hint="cs"/>
          <w:b/>
          <w:bCs/>
          <w:highlight w:val="yellow"/>
          <w:rtl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5486400" cy="2449830"/>
            <wp:effectExtent l="0" t="0" r="0" b="762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50" w:rsidRDefault="00454750" w:rsidP="00454750">
      <w:pPr>
        <w:spacing w:line="360" w:lineRule="auto"/>
        <w:rPr>
          <w:rFonts w:hint="cs"/>
          <w:rtl/>
        </w:rPr>
      </w:pPr>
    </w:p>
    <w:p w:rsidR="00454750" w:rsidRPr="00454750" w:rsidRDefault="00454750" w:rsidP="00454750">
      <w:pPr>
        <w:bidi/>
        <w:spacing w:line="360" w:lineRule="auto"/>
        <w:rPr>
          <w:rFonts w:cs="David" w:hint="cs"/>
          <w:sz w:val="24"/>
          <w:szCs w:val="24"/>
          <w:rtl/>
        </w:rPr>
      </w:pPr>
      <w:r>
        <w:rPr>
          <w:rFonts w:hint="cs"/>
          <w:rtl/>
        </w:rPr>
        <w:t xml:space="preserve"> </w:t>
      </w:r>
      <w:r w:rsidRPr="00454750">
        <w:rPr>
          <w:rFonts w:cs="David" w:hint="cs"/>
          <w:sz w:val="24"/>
          <w:szCs w:val="24"/>
          <w:rtl/>
        </w:rPr>
        <w:t>במחצית הראשונה של שנת 2013 חלה עלייה של כ-0.7 אחוזים במשקל הנכסים במט"ח בארץ ובחו"ל, זאת לאחר יציבות במשקלם בשנים 2011-2012.</w:t>
      </w:r>
    </w:p>
    <w:p w:rsidR="00454750" w:rsidRPr="005729AD" w:rsidRDefault="00454750" w:rsidP="00454750">
      <w:pPr>
        <w:spacing w:line="360" w:lineRule="auto"/>
        <w:rPr>
          <w:rFonts w:hint="cs"/>
          <w:rtl/>
        </w:rPr>
      </w:pPr>
    </w:p>
    <w:p w:rsidR="00454750" w:rsidRPr="00CD4996" w:rsidRDefault="00454750" w:rsidP="00454750">
      <w:pPr>
        <w:spacing w:line="360" w:lineRule="auto"/>
        <w:jc w:val="both"/>
        <w:rPr>
          <w:rFonts w:hint="cs"/>
          <w:rtl/>
        </w:rPr>
      </w:pPr>
      <w:r>
        <w:rPr>
          <w:noProof/>
          <w:lang w:eastAsia="en-US"/>
        </w:rPr>
        <w:drawing>
          <wp:inline distT="0" distB="0" distL="0" distR="0">
            <wp:extent cx="5486400" cy="219964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50" w:rsidRDefault="00454750" w:rsidP="00454750">
      <w:pPr>
        <w:spacing w:line="360" w:lineRule="auto"/>
        <w:jc w:val="both"/>
        <w:rPr>
          <w:rFonts w:hint="cs"/>
          <w:b/>
          <w:bCs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b/>
          <w:bCs/>
          <w:rtl/>
        </w:rPr>
      </w:pPr>
      <w:r>
        <w:rPr>
          <w:noProof/>
          <w:lang w:eastAsia="en-US"/>
        </w:rPr>
        <w:drawing>
          <wp:inline distT="0" distB="0" distL="0" distR="0">
            <wp:extent cx="5495290" cy="1294130"/>
            <wp:effectExtent l="0" t="0" r="0" b="127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50" w:rsidRDefault="00454750" w:rsidP="00454750">
      <w:pPr>
        <w:spacing w:line="360" w:lineRule="auto"/>
        <w:jc w:val="both"/>
        <w:rPr>
          <w:rFonts w:hint="cs"/>
          <w:b/>
          <w:bCs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b/>
          <w:bCs/>
          <w:u w:val="single"/>
          <w:rtl/>
        </w:rPr>
      </w:pP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>
        <w:rPr>
          <w:b/>
          <w:bCs/>
          <w:u w:val="single"/>
          <w:rtl/>
        </w:rPr>
        <w:br w:type="page"/>
      </w:r>
      <w:r>
        <w:rPr>
          <w:rFonts w:hint="cs"/>
          <w:b/>
          <w:bCs/>
          <w:u w:val="single"/>
          <w:rtl/>
        </w:rPr>
        <w:lastRenderedPageBreak/>
        <w:t>2</w:t>
      </w:r>
      <w:r w:rsidRPr="00454750">
        <w:rPr>
          <w:rFonts w:cs="David" w:hint="cs"/>
          <w:b/>
          <w:bCs/>
          <w:sz w:val="24"/>
          <w:szCs w:val="24"/>
          <w:u w:val="single"/>
          <w:rtl/>
        </w:rPr>
        <w:t>. התפלגות תיק ניירות הערך לפי מכשירים עיקריים</w:t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454750">
        <w:rPr>
          <w:rFonts w:cs="David" w:hint="cs"/>
          <w:b/>
          <w:bCs/>
          <w:sz w:val="24"/>
          <w:szCs w:val="24"/>
          <w:rtl/>
        </w:rPr>
        <w:t>מניות בארץ</w:t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sz w:val="24"/>
          <w:szCs w:val="24"/>
          <w:highlight w:val="yellow"/>
          <w:rtl/>
        </w:rPr>
      </w:pPr>
      <w:r w:rsidRPr="00454750">
        <w:rPr>
          <w:rFonts w:cs="David" w:hint="cs"/>
          <w:sz w:val="24"/>
          <w:szCs w:val="24"/>
          <w:rtl/>
        </w:rPr>
        <w:t>יתרת המניות שמחזיק הציבור בארץ ירדה ברביע השני של השנה ב-13 מיליארדי ₪ ועמדה בסוף חודש יוני על כ- 416 מיליארדים, קיטון של 2.9% לעומת סוף רביע קודם. הירידה ברכיב זה נבעה מהשפעת ירידת המחירים בבורסה לני"ע בת"א (כ-14 מיליארדים) אשר קוזזה חלקית ע"י השקעות נטו של כמיליארד ₪.</w:t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454750">
        <w:rPr>
          <w:rFonts w:cs="David" w:hint="cs"/>
          <w:b/>
          <w:bCs/>
          <w:sz w:val="24"/>
          <w:szCs w:val="24"/>
          <w:rtl/>
        </w:rPr>
        <w:t>אג"ח חברות</w:t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54750">
        <w:rPr>
          <w:rFonts w:cs="David" w:hint="cs"/>
          <w:sz w:val="24"/>
          <w:szCs w:val="24"/>
          <w:rtl/>
        </w:rPr>
        <w:t xml:space="preserve">שווי אג"ח החברות הסחיר בתיק הנכסים ירד בכ-5 מיליארדי ש"ח </w:t>
      </w:r>
      <w:r w:rsidRPr="00454750">
        <w:rPr>
          <w:rFonts w:cs="David" w:hint="cs"/>
          <w:b/>
          <w:bCs/>
          <w:sz w:val="24"/>
          <w:szCs w:val="24"/>
          <w:rtl/>
        </w:rPr>
        <w:t xml:space="preserve">ברביע השני </w:t>
      </w:r>
      <w:r w:rsidRPr="00454750">
        <w:rPr>
          <w:rFonts w:cs="David" w:hint="cs"/>
          <w:sz w:val="24"/>
          <w:szCs w:val="24"/>
          <w:rtl/>
        </w:rPr>
        <w:t xml:space="preserve">של השנה, ועמד בסוף יוני על כ-260 מיליארדי ₪. הקיטון בשווי התיק הסחיר נבע  מירידת המחירים בשוק </w:t>
      </w:r>
      <w:proofErr w:type="spellStart"/>
      <w:r w:rsidRPr="00454750">
        <w:rPr>
          <w:rFonts w:cs="David" w:hint="cs"/>
          <w:sz w:val="24"/>
          <w:szCs w:val="24"/>
          <w:rtl/>
        </w:rPr>
        <w:t>האג"ח</w:t>
      </w:r>
      <w:proofErr w:type="spellEnd"/>
      <w:r w:rsidRPr="00454750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454750">
        <w:rPr>
          <w:rFonts w:cs="David" w:hint="cs"/>
          <w:sz w:val="24"/>
          <w:szCs w:val="24"/>
          <w:rtl/>
        </w:rPr>
        <w:t>הקונצרני</w:t>
      </w:r>
      <w:proofErr w:type="spellEnd"/>
      <w:r w:rsidRPr="00454750">
        <w:rPr>
          <w:rFonts w:cs="David" w:hint="cs"/>
          <w:sz w:val="24"/>
          <w:szCs w:val="24"/>
          <w:rtl/>
        </w:rPr>
        <w:t xml:space="preserve"> (כ-1.6%), במקביל לפירעונות נטו של  כ- 400 מיליוני ש"ח.  </w:t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454750">
        <w:rPr>
          <w:rFonts w:cs="David" w:hint="cs"/>
          <w:b/>
          <w:bCs/>
          <w:sz w:val="24"/>
          <w:szCs w:val="24"/>
          <w:rtl/>
        </w:rPr>
        <w:t>תיק הנכסים בחו"ל</w:t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54750">
        <w:rPr>
          <w:rFonts w:cs="David" w:hint="cs"/>
          <w:b/>
          <w:bCs/>
          <w:sz w:val="24"/>
          <w:szCs w:val="24"/>
          <w:rtl/>
        </w:rPr>
        <w:t xml:space="preserve">ברביע השני של השנה </w:t>
      </w:r>
      <w:r w:rsidRPr="00454750">
        <w:rPr>
          <w:rFonts w:cs="David" w:hint="cs"/>
          <w:sz w:val="24"/>
          <w:szCs w:val="24"/>
          <w:rtl/>
        </w:rPr>
        <w:t xml:space="preserve">חלה ירידה של כ-0.5 מיליארדי ש"ח בשווי התיק שמחזיקים תושבי ישראל בחו"ל, והוא עמד בסוף יוני על כ- 335 מיליארדים; ירידה של כ-0.7 מיליארדי ₪ בשווי </w:t>
      </w:r>
      <w:proofErr w:type="spellStart"/>
      <w:r w:rsidRPr="00454750">
        <w:rPr>
          <w:rFonts w:cs="David" w:hint="cs"/>
          <w:sz w:val="24"/>
          <w:szCs w:val="24"/>
          <w:rtl/>
        </w:rPr>
        <w:t>האג"ח</w:t>
      </w:r>
      <w:proofErr w:type="spellEnd"/>
      <w:r w:rsidRPr="00454750">
        <w:rPr>
          <w:rFonts w:cs="David" w:hint="cs"/>
          <w:sz w:val="24"/>
          <w:szCs w:val="24"/>
          <w:rtl/>
        </w:rPr>
        <w:t xml:space="preserve"> (0.6%) ובשווי תיק המניות מחו"ל (0.4%), קוזזה בחלקה בגידול ביתרת הפיקדונו</w:t>
      </w:r>
      <w:r w:rsidRPr="00454750">
        <w:rPr>
          <w:rFonts w:cs="David" w:hint="eastAsia"/>
          <w:sz w:val="24"/>
          <w:szCs w:val="24"/>
          <w:rtl/>
        </w:rPr>
        <w:t>ת</w:t>
      </w:r>
      <w:r w:rsidRPr="00454750">
        <w:rPr>
          <w:rFonts w:cs="David" w:hint="cs"/>
          <w:sz w:val="24"/>
          <w:szCs w:val="24"/>
          <w:rtl/>
        </w:rPr>
        <w:t xml:space="preserve"> בחו"ל  של כ-0.9 מיליארדי ₪ (3.3%). </w:t>
      </w:r>
    </w:p>
    <w:p w:rsidR="00454750" w:rsidRPr="00454750" w:rsidRDefault="00454750" w:rsidP="00454750">
      <w:pPr>
        <w:bidi/>
        <w:spacing w:line="360" w:lineRule="auto"/>
        <w:jc w:val="both"/>
        <w:rPr>
          <w:rFonts w:ascii="Arial" w:hAnsi="Arial" w:cs="David" w:hint="cs"/>
          <w:sz w:val="24"/>
          <w:szCs w:val="24"/>
          <w:rtl/>
        </w:rPr>
      </w:pPr>
      <w:r w:rsidRPr="00454750">
        <w:rPr>
          <w:rFonts w:cs="David" w:hint="cs"/>
          <w:sz w:val="24"/>
          <w:szCs w:val="24"/>
          <w:rtl/>
        </w:rPr>
        <w:t xml:space="preserve">הקיטון ביתרת המניות בחו"ל נבע בעיקר ממימוש השקעות נטו במניות של המשקיעים המוסדיים בחו"ל, </w:t>
      </w:r>
      <w:r w:rsidRPr="00454750">
        <w:rPr>
          <w:rFonts w:ascii="Arial" w:hAnsi="Arial" w:cs="David" w:hint="cs"/>
          <w:sz w:val="24"/>
          <w:szCs w:val="24"/>
          <w:rtl/>
        </w:rPr>
        <w:t xml:space="preserve">במקביל לייסוף השקל מול הדולר (0.8%), שהקטין את השווי </w:t>
      </w:r>
      <w:proofErr w:type="spellStart"/>
      <w:r w:rsidRPr="00454750">
        <w:rPr>
          <w:rFonts w:ascii="Arial" w:hAnsi="Arial" w:cs="David" w:hint="cs"/>
          <w:sz w:val="24"/>
          <w:szCs w:val="24"/>
          <w:rtl/>
        </w:rPr>
        <w:t>השקלי</w:t>
      </w:r>
      <w:proofErr w:type="spellEnd"/>
      <w:r w:rsidRPr="00454750">
        <w:rPr>
          <w:rFonts w:ascii="Arial" w:hAnsi="Arial" w:cs="David" w:hint="cs"/>
          <w:sz w:val="24"/>
          <w:szCs w:val="24"/>
          <w:rtl/>
        </w:rPr>
        <w:t xml:space="preserve"> של התיק.</w:t>
      </w:r>
      <w:r w:rsidRPr="00454750">
        <w:rPr>
          <w:rFonts w:cs="David" w:hint="cs"/>
          <w:sz w:val="24"/>
          <w:szCs w:val="24"/>
          <w:rtl/>
        </w:rPr>
        <w:t xml:space="preserve"> ירידה זו קוזזה ברובה בעלייה במדדי הבורסות בחו"ל. </w:t>
      </w:r>
    </w:p>
    <w:p w:rsidR="00454750" w:rsidRPr="00C31341" w:rsidRDefault="00454750" w:rsidP="00454750">
      <w:pPr>
        <w:spacing w:line="360" w:lineRule="auto"/>
        <w:jc w:val="both"/>
        <w:rPr>
          <w:rFonts w:ascii="Arial" w:hAnsi="Arial" w:hint="cs"/>
          <w:rtl/>
        </w:rPr>
      </w:pPr>
    </w:p>
    <w:p w:rsidR="00454750" w:rsidRPr="004B2B22" w:rsidRDefault="00454750" w:rsidP="00454750">
      <w:pPr>
        <w:spacing w:line="360" w:lineRule="auto"/>
        <w:jc w:val="both"/>
        <w:rPr>
          <w:rFonts w:hint="cs"/>
          <w:rtl/>
        </w:rPr>
      </w:pPr>
      <w:r>
        <w:rPr>
          <w:noProof/>
          <w:lang w:eastAsia="en-US"/>
        </w:rPr>
        <w:drawing>
          <wp:inline distT="0" distB="0" distL="0" distR="0">
            <wp:extent cx="5219700" cy="3185160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18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750" w:rsidRDefault="00454750" w:rsidP="00454750">
      <w:pPr>
        <w:spacing w:line="360" w:lineRule="auto"/>
        <w:jc w:val="both"/>
        <w:rPr>
          <w:rFonts w:hint="cs"/>
          <w:b/>
          <w:bCs/>
          <w:highlight w:val="yellow"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b/>
          <w:bCs/>
          <w:highlight w:val="yellow"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b/>
          <w:bCs/>
          <w:highlight w:val="yellow"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b/>
          <w:bCs/>
          <w:highlight w:val="yellow"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b/>
          <w:bCs/>
          <w:highlight w:val="yellow"/>
          <w:rtl/>
        </w:rPr>
      </w:pPr>
    </w:p>
    <w:p w:rsidR="00454750" w:rsidRPr="00454750" w:rsidRDefault="00454750" w:rsidP="00454750">
      <w:pPr>
        <w:tabs>
          <w:tab w:val="left" w:pos="4928"/>
        </w:tabs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454750">
        <w:rPr>
          <w:rFonts w:cs="David" w:hint="cs"/>
          <w:b/>
          <w:bCs/>
          <w:sz w:val="24"/>
          <w:szCs w:val="24"/>
          <w:rtl/>
        </w:rPr>
        <w:t xml:space="preserve">3. </w:t>
      </w:r>
      <w:r w:rsidRPr="00454750">
        <w:rPr>
          <w:rFonts w:cs="David" w:hint="cs"/>
          <w:b/>
          <w:bCs/>
          <w:sz w:val="24"/>
          <w:szCs w:val="24"/>
          <w:u w:val="single"/>
          <w:rtl/>
        </w:rPr>
        <w:t>קרנות הנאמנות</w:t>
      </w:r>
      <w:r w:rsidRPr="00454750">
        <w:rPr>
          <w:rFonts w:cs="David"/>
          <w:b/>
          <w:bCs/>
          <w:sz w:val="24"/>
          <w:szCs w:val="24"/>
          <w:rtl/>
        </w:rPr>
        <w:tab/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454750">
        <w:rPr>
          <w:rFonts w:cs="David" w:hint="cs"/>
          <w:sz w:val="24"/>
          <w:szCs w:val="24"/>
          <w:rtl/>
        </w:rPr>
        <w:t xml:space="preserve">היקף התיק המנוהל באמצעות קרנות נאמנות ישראליות עמד בסוף יוני 2013 על 205 מיליארדי ש"ח, כ-7% מסך תיק הנכסים של הציבור וכ-16% מהתיק הסחיר. </w:t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54750">
        <w:rPr>
          <w:rFonts w:cs="David" w:hint="cs"/>
          <w:b/>
          <w:bCs/>
          <w:sz w:val="24"/>
          <w:szCs w:val="24"/>
          <w:rtl/>
        </w:rPr>
        <w:t xml:space="preserve">ברביע זה </w:t>
      </w:r>
      <w:r w:rsidRPr="00454750">
        <w:rPr>
          <w:rFonts w:cs="David" w:hint="cs"/>
          <w:sz w:val="24"/>
          <w:szCs w:val="24"/>
          <w:rtl/>
        </w:rPr>
        <w:t xml:space="preserve">עלה שווי נכסי קרנות הנאמנות בכ-16 מיליארדי ₪ (8.4%), מזה כ-14.6 מיליארדים בגין צבירות נטו (עודף הנפקות על פדיונות, בניכוי דיבידנד), והיתרה בגין עליית מחירי הנכסים. </w:t>
      </w:r>
    </w:p>
    <w:p w:rsidR="00454750" w:rsidRPr="00454750" w:rsidRDefault="00454750" w:rsidP="00454750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54750">
        <w:rPr>
          <w:rFonts w:cs="David" w:hint="cs"/>
          <w:b/>
          <w:bCs/>
          <w:sz w:val="24"/>
          <w:szCs w:val="24"/>
          <w:rtl/>
        </w:rPr>
        <w:t xml:space="preserve">מהתפלגות הקרנות לפי התמחויות עולה כי </w:t>
      </w:r>
      <w:r w:rsidRPr="00454750">
        <w:rPr>
          <w:rFonts w:cs="David" w:hint="cs"/>
          <w:sz w:val="24"/>
          <w:szCs w:val="24"/>
          <w:rtl/>
        </w:rPr>
        <w:t>הצבירה נטו ברביע השני התרכזה בנכסי ה"אג"ח האחר" (כ- 7.4 מיליארדי ₪, 12.9%), בעיקר אג"ח חברות צמודות מדד, ובקרנות הכספיות ( כ-6.6 מיליארדי ₪ 13.1%). מנגד, נרשמו פדיונות נטו ברכיב אג"ח חו"ל (כ-0.6 מיליארדי ₪, 8%).</w:t>
      </w:r>
    </w:p>
    <w:p w:rsidR="00454750" w:rsidRPr="00C06C7D" w:rsidRDefault="00454750" w:rsidP="00454750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 </w:t>
      </w:r>
      <w:r>
        <w:rPr>
          <w:noProof/>
          <w:lang w:eastAsia="en-US"/>
        </w:rPr>
        <w:drawing>
          <wp:inline distT="0" distB="0" distL="0" distR="0">
            <wp:extent cx="5219700" cy="3185160"/>
            <wp:effectExtent l="0" t="0" r="0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18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750" w:rsidRPr="00DC7524" w:rsidRDefault="00454750" w:rsidP="00454750">
      <w:pPr>
        <w:spacing w:line="360" w:lineRule="auto"/>
        <w:jc w:val="both"/>
        <w:rPr>
          <w:rFonts w:hint="cs"/>
          <w:rtl/>
        </w:rPr>
      </w:pPr>
    </w:p>
    <w:p w:rsidR="00454750" w:rsidRDefault="00454750" w:rsidP="00454750">
      <w:pPr>
        <w:spacing w:line="360" w:lineRule="auto"/>
        <w:jc w:val="both"/>
        <w:rPr>
          <w:b/>
          <w:bCs/>
        </w:rPr>
      </w:pPr>
    </w:p>
    <w:p w:rsidR="00454750" w:rsidRDefault="00454750" w:rsidP="00454750">
      <w:pPr>
        <w:spacing w:line="360" w:lineRule="auto"/>
        <w:jc w:val="both"/>
        <w:rPr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rtl/>
        </w:rPr>
      </w:pPr>
    </w:p>
    <w:p w:rsidR="00454750" w:rsidRDefault="00454750" w:rsidP="00454750">
      <w:pPr>
        <w:spacing w:line="360" w:lineRule="auto"/>
        <w:jc w:val="both"/>
        <w:rPr>
          <w:rFonts w:hint="cs"/>
          <w:rtl/>
        </w:rPr>
      </w:pPr>
    </w:p>
    <w:p w:rsidR="00454750" w:rsidRDefault="00454750" w:rsidP="00454750">
      <w:pPr>
        <w:tabs>
          <w:tab w:val="left" w:pos="2080"/>
        </w:tabs>
        <w:rPr>
          <w:rFonts w:hint="cs"/>
          <w:rtl/>
        </w:rPr>
      </w:pPr>
    </w:p>
    <w:p w:rsidR="00454750" w:rsidRDefault="00454750" w:rsidP="00454750">
      <w:pPr>
        <w:tabs>
          <w:tab w:val="left" w:pos="2080"/>
        </w:tabs>
        <w:rPr>
          <w:rFonts w:hint="cs"/>
          <w:rtl/>
        </w:rPr>
      </w:pPr>
    </w:p>
    <w:p w:rsidR="00454750" w:rsidRPr="00454750" w:rsidRDefault="00454750" w:rsidP="00454750">
      <w:pPr>
        <w:tabs>
          <w:tab w:val="left" w:pos="2080"/>
        </w:tabs>
        <w:rPr>
          <w:rFonts w:cs="David" w:hint="cs"/>
          <w:sz w:val="24"/>
          <w:szCs w:val="24"/>
          <w:rtl/>
        </w:rPr>
      </w:pPr>
    </w:p>
    <w:p w:rsidR="00454750" w:rsidRPr="00454750" w:rsidRDefault="00454750" w:rsidP="00454750">
      <w:pPr>
        <w:bidi/>
        <w:spacing w:line="360" w:lineRule="auto"/>
        <w:ind w:right="-101"/>
        <w:rPr>
          <w:rFonts w:cs="David" w:hint="cs"/>
          <w:sz w:val="18"/>
          <w:szCs w:val="18"/>
          <w:rtl/>
        </w:rPr>
      </w:pPr>
      <w:r w:rsidRPr="00454750">
        <w:rPr>
          <w:rFonts w:cs="David" w:hint="cs"/>
          <w:sz w:val="24"/>
          <w:szCs w:val="24"/>
          <w:rtl/>
        </w:rPr>
        <w:t xml:space="preserve">נתונים ולוחות נוספים בנושא תיק הנכסים של הציבור נמצאים באתר בנק ישראל בכתובת </w:t>
      </w:r>
      <w:r w:rsidRPr="00454750">
        <w:rPr>
          <w:rFonts w:ascii="Courier New" w:hAnsi="Courier New" w:cs="David"/>
          <w:sz w:val="24"/>
          <w:szCs w:val="24"/>
          <w:lang w:eastAsia="en-US"/>
        </w:rPr>
        <w:t xml:space="preserve"> </w:t>
      </w:r>
      <w:r w:rsidRPr="00454750">
        <w:rPr>
          <w:rFonts w:cs="David" w:hint="cs"/>
          <w:sz w:val="24"/>
          <w:szCs w:val="24"/>
          <w:rtl/>
        </w:rPr>
        <w:t xml:space="preserve"> </w:t>
      </w:r>
      <w:r w:rsidRPr="00454750">
        <w:rPr>
          <w:rFonts w:ascii="Courier New" w:hAnsi="Courier New" w:cs="David"/>
          <w:sz w:val="24"/>
          <w:szCs w:val="24"/>
          <w:lang w:eastAsia="en-US"/>
        </w:rPr>
        <w:t xml:space="preserve"> </w:t>
      </w:r>
      <w:hyperlink r:id="rId15" w:history="1">
        <w:r w:rsidRPr="00454750">
          <w:rPr>
            <w:rFonts w:ascii="Arial" w:hAnsi="Arial" w:cs="David"/>
            <w:color w:val="0000FF"/>
            <w:sz w:val="18"/>
            <w:szCs w:val="18"/>
            <w:u w:val="single"/>
            <w:lang w:eastAsia="en-US"/>
          </w:rPr>
          <w:t>http://www.boi.org.il/he/DataAndStatistics/Pages/MainPage.aspx?Level=3&amp;Sid=47&amp;SubjectType=2</w:t>
        </w:r>
      </w:hyperlink>
    </w:p>
    <w:sectPr w:rsidR="00454750" w:rsidRPr="00454750" w:rsidSect="00AE59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96" w:rsidRDefault="009A0F96" w:rsidP="009A0F96">
      <w:r>
        <w:separator/>
      </w:r>
    </w:p>
  </w:endnote>
  <w:endnote w:type="continuationSeparator" w:id="0">
    <w:p w:rsidR="009A0F96" w:rsidRDefault="009A0F96" w:rsidP="009A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96" w:rsidRDefault="009A0F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96" w:rsidRDefault="009A0F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96" w:rsidRDefault="009A0F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96" w:rsidRDefault="009A0F96" w:rsidP="009A0F96">
      <w:r>
        <w:separator/>
      </w:r>
    </w:p>
  </w:footnote>
  <w:footnote w:type="continuationSeparator" w:id="0">
    <w:p w:rsidR="009A0F96" w:rsidRDefault="009A0F96" w:rsidP="009A0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96" w:rsidRDefault="009A0F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96" w:rsidRDefault="009A0F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96" w:rsidRDefault="009A0F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7A63"/>
    <w:multiLevelType w:val="hybridMultilevel"/>
    <w:tmpl w:val="28103DB2"/>
    <w:lvl w:ilvl="0" w:tplc="583445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1E5A00"/>
    <w:rsid w:val="002B3FB0"/>
    <w:rsid w:val="00454750"/>
    <w:rsid w:val="004B5D8D"/>
    <w:rsid w:val="004F06E0"/>
    <w:rsid w:val="00502068"/>
    <w:rsid w:val="007E18EE"/>
    <w:rsid w:val="009A0F96"/>
    <w:rsid w:val="009C16BD"/>
    <w:rsid w:val="00AB409F"/>
    <w:rsid w:val="00AD759C"/>
    <w:rsid w:val="00AE591E"/>
    <w:rsid w:val="00B2503D"/>
    <w:rsid w:val="00C45C9C"/>
    <w:rsid w:val="00CB1B2B"/>
    <w:rsid w:val="00D87DC1"/>
    <w:rsid w:val="00DD5923"/>
    <w:rsid w:val="00E85E11"/>
    <w:rsid w:val="00ED153D"/>
    <w:rsid w:val="00F96916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9A0F9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9A0F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9A0F9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9A0F96"/>
    <w:rPr>
      <w:rFonts w:ascii="Times New Roman" w:eastAsia="Times New Roman" w:hAnsi="Times New Roman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9A0F9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9A0F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9A0F9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9A0F96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s://e.boi.org.il/he/DataAndStatistics/Pages/MainPage.aspx?Level=3&amp;Sid=47&amp;SubjectType=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04993A-BDB1-4F3C-A0DC-300C7693755E}"/>
</file>

<file path=customXml/itemProps2.xml><?xml version="1.0" encoding="utf-8"?>
<ds:datastoreItem xmlns:ds="http://schemas.openxmlformats.org/officeDocument/2006/customXml" ds:itemID="{A2CC55AD-03BA-498E-BAD1-7EF3CD488D85}"/>
</file>

<file path=customXml/itemProps3.xml><?xml version="1.0" encoding="utf-8"?>
<ds:datastoreItem xmlns:ds="http://schemas.openxmlformats.org/officeDocument/2006/customXml" ds:itemID="{B758A9C1-6682-4382-96E5-819359F20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2013-08-19T12:29:00Z</dcterms:created>
  <dcterms:modified xsi:type="dcterms:W3CDTF">2013-08-19T12:29:00Z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