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2C2859" w:rsidRPr="0084359C" w:rsidTr="003427A7">
        <w:trPr>
          <w:cantSplit/>
        </w:trPr>
        <w:tc>
          <w:tcPr>
            <w:tcW w:w="3392" w:type="dxa"/>
            <w:tcBorders>
              <w:top w:val="nil"/>
              <w:left w:val="nil"/>
              <w:bottom w:val="nil"/>
              <w:right w:val="nil"/>
            </w:tcBorders>
            <w:vAlign w:val="center"/>
          </w:tcPr>
          <w:p w:rsidR="002C2859" w:rsidRPr="0084359C" w:rsidRDefault="002C2859" w:rsidP="0057488E">
            <w:pPr>
              <w:spacing w:line="360" w:lineRule="auto"/>
              <w:jc w:val="both"/>
              <w:rPr>
                <w:rFonts w:cstheme="minorHAnsi"/>
                <w:b/>
                <w:bCs/>
                <w:sz w:val="24"/>
                <w:szCs w:val="24"/>
              </w:rPr>
            </w:pPr>
            <w:r w:rsidRPr="0084359C">
              <w:rPr>
                <w:rFonts w:cstheme="minorHAnsi"/>
                <w:b/>
                <w:bCs/>
                <w:sz w:val="24"/>
                <w:szCs w:val="24"/>
                <w:rtl/>
              </w:rPr>
              <w:t>בנק ישראל</w:t>
            </w:r>
          </w:p>
          <w:p w:rsidR="002C2859" w:rsidRPr="0084359C" w:rsidRDefault="002C2859" w:rsidP="0057488E">
            <w:pPr>
              <w:spacing w:line="360" w:lineRule="auto"/>
              <w:ind w:right="-101"/>
              <w:jc w:val="both"/>
              <w:rPr>
                <w:rFonts w:cstheme="minorHAnsi"/>
                <w:sz w:val="24"/>
                <w:szCs w:val="24"/>
              </w:rPr>
            </w:pPr>
            <w:r w:rsidRPr="0084359C">
              <w:rPr>
                <w:rFonts w:cstheme="minorHAnsi"/>
                <w:sz w:val="24"/>
                <w:szCs w:val="24"/>
                <w:rtl/>
              </w:rPr>
              <w:t>דוברות והסברה כלכלית</w:t>
            </w:r>
          </w:p>
        </w:tc>
        <w:tc>
          <w:tcPr>
            <w:tcW w:w="2596" w:type="dxa"/>
            <w:tcBorders>
              <w:top w:val="nil"/>
              <w:left w:val="nil"/>
              <w:bottom w:val="nil"/>
              <w:right w:val="nil"/>
            </w:tcBorders>
          </w:tcPr>
          <w:p w:rsidR="002C2859" w:rsidRPr="0084359C" w:rsidRDefault="002C2859" w:rsidP="0057488E">
            <w:pPr>
              <w:jc w:val="both"/>
              <w:rPr>
                <w:rFonts w:cstheme="minorHAnsi"/>
                <w:sz w:val="24"/>
                <w:szCs w:val="24"/>
              </w:rPr>
            </w:pPr>
            <w:r w:rsidRPr="0084359C">
              <w:rPr>
                <w:rFonts w:cstheme="minorHAnsi"/>
                <w:noProof/>
              </w:rPr>
              <w:drawing>
                <wp:inline distT="0" distB="0" distL="0" distR="0" wp14:anchorId="638B5DCA" wp14:editId="749A0571">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2C2859" w:rsidRPr="0084359C" w:rsidRDefault="002C2859" w:rsidP="00657952">
            <w:pPr>
              <w:spacing w:line="480" w:lineRule="auto"/>
              <w:jc w:val="both"/>
              <w:rPr>
                <w:rFonts w:cstheme="minorHAnsi"/>
                <w:sz w:val="24"/>
                <w:szCs w:val="24"/>
                <w:rtl/>
              </w:rPr>
            </w:pPr>
            <w:r w:rsidRPr="0084359C">
              <w:rPr>
                <w:rFonts w:cstheme="minorHAnsi"/>
                <w:sz w:val="24"/>
                <w:szCs w:val="24"/>
                <w:rtl/>
              </w:rPr>
              <w:t xml:space="preserve">‏ירושלים, </w:t>
            </w:r>
            <w:r w:rsidR="0060399F" w:rsidRPr="0084359C">
              <w:rPr>
                <w:rFonts w:cstheme="minorHAnsi"/>
                <w:sz w:val="24"/>
                <w:szCs w:val="24"/>
                <w:rtl/>
              </w:rPr>
              <w:t>‏</w:t>
            </w:r>
            <w:r w:rsidR="0086244B" w:rsidRPr="0084359C">
              <w:rPr>
                <w:rFonts w:cstheme="minorHAnsi"/>
                <w:sz w:val="24"/>
                <w:szCs w:val="24"/>
                <w:rtl/>
              </w:rPr>
              <w:t>‏</w:t>
            </w:r>
            <w:r w:rsidR="00657952" w:rsidRPr="0084359C">
              <w:rPr>
                <w:rFonts w:cstheme="minorHAnsi"/>
                <w:sz w:val="24"/>
                <w:szCs w:val="24"/>
                <w:rtl/>
              </w:rPr>
              <w:t>י"ח בשבט</w:t>
            </w:r>
            <w:r w:rsidR="0086244B" w:rsidRPr="0084359C">
              <w:rPr>
                <w:rFonts w:cstheme="minorHAnsi"/>
                <w:sz w:val="24"/>
                <w:szCs w:val="24"/>
                <w:rtl/>
              </w:rPr>
              <w:t>, תשפ"</w:t>
            </w:r>
            <w:r w:rsidR="00A13664" w:rsidRPr="0084359C">
              <w:rPr>
                <w:rFonts w:cstheme="minorHAnsi"/>
                <w:sz w:val="24"/>
                <w:szCs w:val="24"/>
                <w:rtl/>
              </w:rPr>
              <w:t>ד</w:t>
            </w:r>
          </w:p>
          <w:p w:rsidR="002C2859" w:rsidRPr="0084359C" w:rsidRDefault="002C2859" w:rsidP="00657952">
            <w:pPr>
              <w:spacing w:line="480" w:lineRule="auto"/>
              <w:jc w:val="both"/>
              <w:rPr>
                <w:rFonts w:cstheme="minorHAnsi"/>
                <w:sz w:val="24"/>
                <w:szCs w:val="24"/>
              </w:rPr>
            </w:pPr>
            <w:r w:rsidRPr="0084359C">
              <w:rPr>
                <w:rFonts w:cstheme="minorHAnsi"/>
                <w:sz w:val="24"/>
                <w:szCs w:val="24"/>
                <w:rtl/>
              </w:rPr>
              <w:t>‏‏‏‏‏</w:t>
            </w:r>
            <w:r w:rsidR="0086244B" w:rsidRPr="0084359C">
              <w:rPr>
                <w:rFonts w:cstheme="minorHAnsi"/>
                <w:sz w:val="24"/>
                <w:szCs w:val="24"/>
                <w:rtl/>
              </w:rPr>
              <w:t>‏</w:t>
            </w:r>
            <w:r w:rsidR="00657952" w:rsidRPr="0084359C">
              <w:rPr>
                <w:rFonts w:cstheme="minorHAnsi"/>
                <w:sz w:val="24"/>
                <w:szCs w:val="24"/>
                <w:rtl/>
              </w:rPr>
              <w:t>28</w:t>
            </w:r>
            <w:r w:rsidR="0086244B" w:rsidRPr="0084359C">
              <w:rPr>
                <w:rFonts w:cstheme="minorHAnsi"/>
                <w:sz w:val="24"/>
                <w:szCs w:val="24"/>
                <w:rtl/>
              </w:rPr>
              <w:t xml:space="preserve"> </w:t>
            </w:r>
            <w:r w:rsidR="00A13664" w:rsidRPr="0084359C">
              <w:rPr>
                <w:rFonts w:cstheme="minorHAnsi"/>
                <w:sz w:val="24"/>
                <w:szCs w:val="24"/>
                <w:rtl/>
              </w:rPr>
              <w:t>ינואר</w:t>
            </w:r>
            <w:r w:rsidR="0086244B" w:rsidRPr="0084359C">
              <w:rPr>
                <w:rFonts w:cstheme="minorHAnsi"/>
                <w:sz w:val="24"/>
                <w:szCs w:val="24"/>
                <w:rtl/>
              </w:rPr>
              <w:t>, 202</w:t>
            </w:r>
            <w:r w:rsidR="00A13664" w:rsidRPr="0084359C">
              <w:rPr>
                <w:rFonts w:cstheme="minorHAnsi"/>
                <w:sz w:val="24"/>
                <w:szCs w:val="24"/>
                <w:rtl/>
              </w:rPr>
              <w:t>4</w:t>
            </w:r>
          </w:p>
        </w:tc>
      </w:tr>
    </w:tbl>
    <w:p w:rsidR="002C2859" w:rsidRPr="0084359C" w:rsidRDefault="002C2859" w:rsidP="0057488E">
      <w:pPr>
        <w:spacing w:line="360" w:lineRule="auto"/>
        <w:jc w:val="both"/>
        <w:rPr>
          <w:rFonts w:cstheme="minorHAnsi"/>
          <w:sz w:val="24"/>
          <w:szCs w:val="24"/>
          <w:rtl/>
        </w:rPr>
      </w:pPr>
      <w:r w:rsidRPr="0084359C">
        <w:rPr>
          <w:rFonts w:cstheme="minorHAnsi"/>
          <w:sz w:val="24"/>
          <w:szCs w:val="24"/>
          <w:rtl/>
        </w:rPr>
        <w:t>הודעה לעיתונות:</w:t>
      </w:r>
    </w:p>
    <w:p w:rsidR="00B64CD4" w:rsidRPr="0084359C" w:rsidRDefault="00B64CD4" w:rsidP="0084359C">
      <w:pPr>
        <w:jc w:val="center"/>
        <w:rPr>
          <w:rFonts w:cstheme="minorHAnsi"/>
          <w:b/>
          <w:bCs/>
          <w:sz w:val="28"/>
          <w:szCs w:val="28"/>
          <w:rtl/>
        </w:rPr>
      </w:pPr>
      <w:r w:rsidRPr="0084359C">
        <w:rPr>
          <w:rFonts w:cstheme="minorHAnsi"/>
          <w:b/>
          <w:bCs/>
          <w:sz w:val="28"/>
          <w:szCs w:val="28"/>
          <w:rtl/>
        </w:rPr>
        <w:t>הדיווח התקופתי אודות מחירי השירותים הבנקאיים הנפוצים למשקי הבית</w:t>
      </w:r>
      <w:r w:rsidR="00BD5681" w:rsidRPr="0084359C">
        <w:rPr>
          <w:rFonts w:cstheme="minorHAnsi"/>
          <w:b/>
          <w:bCs/>
          <w:sz w:val="28"/>
          <w:szCs w:val="28"/>
          <w:rtl/>
        </w:rPr>
        <w:t xml:space="preserve">, </w:t>
      </w:r>
      <w:r w:rsidR="00977342" w:rsidRPr="0084359C">
        <w:rPr>
          <w:rFonts w:cstheme="minorHAnsi"/>
          <w:b/>
          <w:bCs/>
          <w:sz w:val="28"/>
          <w:szCs w:val="28"/>
          <w:rtl/>
        </w:rPr>
        <w:t>מחצית ראשונה לשנת</w:t>
      </w:r>
      <w:r w:rsidRPr="0084359C">
        <w:rPr>
          <w:rFonts w:cstheme="minorHAnsi"/>
          <w:b/>
          <w:bCs/>
          <w:sz w:val="28"/>
          <w:szCs w:val="28"/>
          <w:rtl/>
        </w:rPr>
        <w:t xml:space="preserve"> 202</w:t>
      </w:r>
      <w:r w:rsidR="00977342" w:rsidRPr="0084359C">
        <w:rPr>
          <w:rFonts w:cstheme="minorHAnsi"/>
          <w:b/>
          <w:bCs/>
          <w:sz w:val="28"/>
          <w:szCs w:val="28"/>
          <w:rtl/>
        </w:rPr>
        <w:t>3</w:t>
      </w:r>
    </w:p>
    <w:p w:rsidR="006E2CEE" w:rsidRPr="0084359C" w:rsidRDefault="00575289" w:rsidP="006E2CEE">
      <w:pPr>
        <w:pStyle w:val="a6"/>
        <w:spacing w:before="240" w:line="360" w:lineRule="auto"/>
        <w:ind w:left="5"/>
        <w:rPr>
          <w:rFonts w:asciiTheme="minorHAnsi" w:hAnsiTheme="minorHAnsi" w:cstheme="minorHAnsi"/>
          <w:sz w:val="24"/>
          <w:szCs w:val="24"/>
          <w:rtl/>
        </w:rPr>
      </w:pPr>
      <w:r w:rsidRPr="0084359C">
        <w:rPr>
          <w:rFonts w:asciiTheme="minorHAnsi" w:hAnsiTheme="minorHAnsi" w:cstheme="minorHAnsi"/>
          <w:sz w:val="24"/>
          <w:szCs w:val="24"/>
          <w:rtl/>
        </w:rPr>
        <w:t xml:space="preserve">הפיקוח על הבנקים מגיש היום לוועדת הכלכלה של הכנסת את </w:t>
      </w:r>
      <w:r w:rsidR="0003110B" w:rsidRPr="0084359C">
        <w:rPr>
          <w:rFonts w:asciiTheme="minorHAnsi" w:hAnsiTheme="minorHAnsi" w:cstheme="minorHAnsi"/>
          <w:sz w:val="24"/>
          <w:szCs w:val="24"/>
          <w:rtl/>
        </w:rPr>
        <w:t xml:space="preserve">הדיווח התקופתי </w:t>
      </w:r>
      <w:r w:rsidR="004E1E37" w:rsidRPr="0084359C">
        <w:rPr>
          <w:rFonts w:asciiTheme="minorHAnsi" w:hAnsiTheme="minorHAnsi" w:cstheme="minorHAnsi"/>
          <w:sz w:val="24"/>
          <w:szCs w:val="24"/>
          <w:rtl/>
        </w:rPr>
        <w:t>ל</w:t>
      </w:r>
      <w:r w:rsidR="0003110B" w:rsidRPr="0084359C">
        <w:rPr>
          <w:rFonts w:asciiTheme="minorHAnsi" w:hAnsiTheme="minorHAnsi" w:cstheme="minorHAnsi"/>
          <w:sz w:val="24"/>
          <w:szCs w:val="24"/>
          <w:rtl/>
        </w:rPr>
        <w:t xml:space="preserve">מחצית </w:t>
      </w:r>
      <w:r w:rsidR="00A13664" w:rsidRPr="0084359C">
        <w:rPr>
          <w:rFonts w:asciiTheme="minorHAnsi" w:hAnsiTheme="minorHAnsi" w:cstheme="minorHAnsi"/>
          <w:sz w:val="24"/>
          <w:szCs w:val="24"/>
          <w:rtl/>
        </w:rPr>
        <w:t>ה</w:t>
      </w:r>
      <w:r w:rsidR="0003110B" w:rsidRPr="0084359C">
        <w:rPr>
          <w:rFonts w:asciiTheme="minorHAnsi" w:hAnsiTheme="minorHAnsi" w:cstheme="minorHAnsi"/>
          <w:sz w:val="24"/>
          <w:szCs w:val="24"/>
          <w:rtl/>
        </w:rPr>
        <w:t xml:space="preserve">ראשונה </w:t>
      </w:r>
      <w:r w:rsidR="004E1E37" w:rsidRPr="0084359C">
        <w:rPr>
          <w:rFonts w:asciiTheme="minorHAnsi" w:hAnsiTheme="minorHAnsi" w:cstheme="minorHAnsi"/>
          <w:sz w:val="24"/>
          <w:szCs w:val="24"/>
          <w:rtl/>
        </w:rPr>
        <w:t xml:space="preserve">של </w:t>
      </w:r>
      <w:r w:rsidR="0003110B" w:rsidRPr="0084359C">
        <w:rPr>
          <w:rFonts w:asciiTheme="minorHAnsi" w:hAnsiTheme="minorHAnsi" w:cstheme="minorHAnsi"/>
          <w:sz w:val="24"/>
          <w:szCs w:val="24"/>
          <w:rtl/>
        </w:rPr>
        <w:t>שנת 2023</w:t>
      </w:r>
      <w:r w:rsidR="004E1E37" w:rsidRPr="0084359C">
        <w:rPr>
          <w:rFonts w:asciiTheme="minorHAnsi" w:hAnsiTheme="minorHAnsi" w:cstheme="minorHAnsi"/>
          <w:sz w:val="24"/>
          <w:szCs w:val="24"/>
          <w:rtl/>
        </w:rPr>
        <w:t xml:space="preserve">, </w:t>
      </w:r>
      <w:r w:rsidRPr="0084359C">
        <w:rPr>
          <w:rFonts w:asciiTheme="minorHAnsi" w:hAnsiTheme="minorHAnsi" w:cstheme="minorHAnsi"/>
          <w:sz w:val="24"/>
          <w:szCs w:val="24"/>
          <w:rtl/>
        </w:rPr>
        <w:t xml:space="preserve">אודות מחירי השירותים הבנקאיים הנפוצים למשקי הבית. הדוח מבוסס על דיווח התאגידים הבנקאיים וחברות כרטיסי האשראי על עמלות שנגבו </w:t>
      </w:r>
      <w:r w:rsidR="0081731F" w:rsidRPr="0084359C">
        <w:rPr>
          <w:rFonts w:asciiTheme="minorHAnsi" w:hAnsiTheme="minorHAnsi" w:cstheme="minorHAnsi"/>
          <w:sz w:val="24"/>
          <w:szCs w:val="24"/>
          <w:rtl/>
        </w:rPr>
        <w:t>במהלך מחצית ראשונה לשנת 2023</w:t>
      </w:r>
      <w:r w:rsidRPr="0084359C">
        <w:rPr>
          <w:rFonts w:asciiTheme="minorHAnsi" w:hAnsiTheme="minorHAnsi" w:cstheme="minorHAnsi"/>
          <w:sz w:val="24"/>
          <w:szCs w:val="24"/>
          <w:rtl/>
        </w:rPr>
        <w:t>.</w:t>
      </w:r>
      <w:r w:rsidR="00150BFE" w:rsidRPr="0084359C">
        <w:rPr>
          <w:rFonts w:asciiTheme="minorHAnsi" w:hAnsiTheme="minorHAnsi" w:cstheme="minorHAnsi"/>
          <w:sz w:val="24"/>
          <w:szCs w:val="24"/>
          <w:rtl/>
        </w:rPr>
        <w:t xml:space="preserve"> </w:t>
      </w:r>
      <w:r w:rsidR="006E2CEE" w:rsidRPr="0084359C">
        <w:rPr>
          <w:rFonts w:asciiTheme="minorHAnsi" w:hAnsiTheme="minorHAnsi" w:cstheme="minorHAnsi"/>
          <w:sz w:val="24"/>
          <w:szCs w:val="24"/>
          <w:rtl/>
        </w:rPr>
        <w:t>דוח זה כולל, לטובת הציבור, פרק חדש המאגד זכאויות להטבות בעמלות.</w:t>
      </w:r>
    </w:p>
    <w:p w:rsidR="000A4180" w:rsidRPr="0084359C" w:rsidRDefault="00575289" w:rsidP="008A4C8E">
      <w:pPr>
        <w:pStyle w:val="a6"/>
        <w:spacing w:before="240" w:line="360" w:lineRule="auto"/>
        <w:ind w:left="5"/>
        <w:rPr>
          <w:rFonts w:asciiTheme="minorHAnsi" w:hAnsiTheme="minorHAnsi" w:cstheme="minorHAnsi"/>
          <w:sz w:val="24"/>
          <w:szCs w:val="24"/>
          <w:rtl/>
        </w:rPr>
      </w:pPr>
      <w:r w:rsidRPr="0084359C">
        <w:rPr>
          <w:rFonts w:asciiTheme="minorHAnsi" w:hAnsiTheme="minorHAnsi" w:cstheme="minorHAnsi"/>
          <w:b/>
          <w:bCs/>
          <w:sz w:val="24"/>
          <w:szCs w:val="24"/>
          <w:rtl/>
        </w:rPr>
        <w:t xml:space="preserve">המפקח על הבנקים, מר דניאל </w:t>
      </w:r>
      <w:proofErr w:type="spellStart"/>
      <w:r w:rsidRPr="0084359C">
        <w:rPr>
          <w:rFonts w:asciiTheme="minorHAnsi" w:hAnsiTheme="minorHAnsi" w:cstheme="minorHAnsi"/>
          <w:b/>
          <w:bCs/>
          <w:sz w:val="24"/>
          <w:szCs w:val="24"/>
          <w:rtl/>
        </w:rPr>
        <w:t>חחיאשוילי</w:t>
      </w:r>
      <w:proofErr w:type="spellEnd"/>
      <w:r w:rsidRPr="0084359C">
        <w:rPr>
          <w:rFonts w:asciiTheme="minorHAnsi" w:hAnsiTheme="minorHAnsi" w:cstheme="minorHAnsi"/>
          <w:sz w:val="24"/>
          <w:szCs w:val="24"/>
          <w:rtl/>
        </w:rPr>
        <w:t>: "</w:t>
      </w:r>
      <w:r w:rsidR="007E3689" w:rsidRPr="0084359C">
        <w:rPr>
          <w:rFonts w:asciiTheme="minorHAnsi" w:hAnsiTheme="minorHAnsi" w:cstheme="minorHAnsi"/>
          <w:sz w:val="24"/>
          <w:szCs w:val="24"/>
          <w:rtl/>
        </w:rPr>
        <w:t>תקופת דוח זה היא טרם פרוץ מלחמת "חרבות ברזל" ו</w:t>
      </w:r>
      <w:r w:rsidR="004E1E37" w:rsidRPr="0084359C">
        <w:rPr>
          <w:rFonts w:asciiTheme="minorHAnsi" w:hAnsiTheme="minorHAnsi" w:cstheme="minorHAnsi"/>
          <w:sz w:val="24"/>
          <w:szCs w:val="24"/>
          <w:rtl/>
        </w:rPr>
        <w:t>על כן הדוח אינו כולל</w:t>
      </w:r>
      <w:r w:rsidR="007E3689" w:rsidRPr="0084359C">
        <w:rPr>
          <w:rFonts w:asciiTheme="minorHAnsi" w:hAnsiTheme="minorHAnsi" w:cstheme="minorHAnsi"/>
          <w:sz w:val="24"/>
          <w:szCs w:val="24"/>
          <w:rtl/>
        </w:rPr>
        <w:t xml:space="preserve"> את השפעותיה. </w:t>
      </w:r>
      <w:r w:rsidR="004E1E37" w:rsidRPr="0084359C">
        <w:rPr>
          <w:rFonts w:asciiTheme="minorHAnsi" w:hAnsiTheme="minorHAnsi" w:cstheme="minorHAnsi"/>
          <w:sz w:val="24"/>
          <w:szCs w:val="24"/>
          <w:rtl/>
        </w:rPr>
        <w:t>יחד עם זאת, בהקשר זה ראוי לציין ולהזכיר את מתווה בנק ישראל לסיוע ללקוחות המערכת הבנקאית בעקבות המלחמה</w:t>
      </w:r>
      <w:r w:rsidR="004E1E37" w:rsidRPr="0084359C">
        <w:rPr>
          <w:rStyle w:val="ab"/>
          <w:rFonts w:asciiTheme="minorHAnsi" w:hAnsiTheme="minorHAnsi" w:cstheme="minorHAnsi"/>
          <w:sz w:val="24"/>
          <w:szCs w:val="24"/>
          <w:rtl/>
        </w:rPr>
        <w:footnoteReference w:id="1"/>
      </w:r>
      <w:r w:rsidR="004E1E37" w:rsidRPr="0084359C">
        <w:rPr>
          <w:rFonts w:asciiTheme="minorHAnsi" w:hAnsiTheme="minorHAnsi" w:cstheme="minorHAnsi"/>
          <w:sz w:val="24"/>
          <w:szCs w:val="24"/>
          <w:rtl/>
        </w:rPr>
        <w:t xml:space="preserve">. המתווה כולל מגוון צעדי סיוע לציבור ובכלל זה </w:t>
      </w:r>
      <w:r w:rsidR="000A4180" w:rsidRPr="0084359C">
        <w:rPr>
          <w:rFonts w:asciiTheme="minorHAnsi" w:hAnsiTheme="minorHAnsi" w:cstheme="minorHAnsi"/>
          <w:sz w:val="24"/>
          <w:szCs w:val="24"/>
          <w:rtl/>
        </w:rPr>
        <w:t xml:space="preserve">גם </w:t>
      </w:r>
      <w:r w:rsidR="004E1E37" w:rsidRPr="0084359C">
        <w:rPr>
          <w:rFonts w:asciiTheme="minorHAnsi" w:hAnsiTheme="minorHAnsi" w:cstheme="minorHAnsi"/>
          <w:sz w:val="24"/>
          <w:szCs w:val="24"/>
          <w:rtl/>
        </w:rPr>
        <w:t xml:space="preserve">בתחום העמלות – לקוחות שהינם נפגעים ישירים מהמלחמה ונמנים על הגדרות המעגל הראשון זכאים לפטור מלא ממרבית </w:t>
      </w:r>
      <w:r w:rsidR="00A13664" w:rsidRPr="0084359C">
        <w:rPr>
          <w:rFonts w:asciiTheme="minorHAnsi" w:hAnsiTheme="minorHAnsi" w:cstheme="minorHAnsi"/>
          <w:sz w:val="24"/>
          <w:szCs w:val="24"/>
          <w:rtl/>
        </w:rPr>
        <w:t>ה</w:t>
      </w:r>
      <w:r w:rsidR="004E1E37" w:rsidRPr="0084359C">
        <w:rPr>
          <w:rFonts w:asciiTheme="minorHAnsi" w:hAnsiTheme="minorHAnsi" w:cstheme="minorHAnsi"/>
          <w:sz w:val="24"/>
          <w:szCs w:val="24"/>
          <w:rtl/>
        </w:rPr>
        <w:t>עמלות ה</w:t>
      </w:r>
      <w:r w:rsidR="00A13664" w:rsidRPr="0084359C">
        <w:rPr>
          <w:rFonts w:asciiTheme="minorHAnsi" w:hAnsiTheme="minorHAnsi" w:cstheme="minorHAnsi"/>
          <w:sz w:val="24"/>
          <w:szCs w:val="24"/>
          <w:rtl/>
        </w:rPr>
        <w:t>נפוצות</w:t>
      </w:r>
      <w:r w:rsidR="004E1E37" w:rsidRPr="0084359C">
        <w:rPr>
          <w:rFonts w:asciiTheme="minorHAnsi" w:hAnsiTheme="minorHAnsi" w:cstheme="minorHAnsi"/>
          <w:sz w:val="24"/>
          <w:szCs w:val="24"/>
          <w:rtl/>
        </w:rPr>
        <w:t xml:space="preserve"> במשך תקופת המתווה</w:t>
      </w:r>
      <w:r w:rsidR="00A13664" w:rsidRPr="0084359C">
        <w:rPr>
          <w:rFonts w:asciiTheme="minorHAnsi" w:hAnsiTheme="minorHAnsi" w:cstheme="minorHAnsi"/>
          <w:sz w:val="24"/>
          <w:szCs w:val="24"/>
          <w:rtl/>
        </w:rPr>
        <w:t>,</w:t>
      </w:r>
      <w:r w:rsidR="004E1E37" w:rsidRPr="0084359C">
        <w:rPr>
          <w:rFonts w:asciiTheme="minorHAnsi" w:hAnsiTheme="minorHAnsi" w:cstheme="minorHAnsi"/>
          <w:sz w:val="24"/>
          <w:szCs w:val="24"/>
          <w:rtl/>
        </w:rPr>
        <w:t xml:space="preserve"> ו</w:t>
      </w:r>
      <w:r w:rsidR="00A13664" w:rsidRPr="0084359C">
        <w:rPr>
          <w:rFonts w:asciiTheme="minorHAnsi" w:hAnsiTheme="minorHAnsi" w:cstheme="minorHAnsi"/>
          <w:sz w:val="24"/>
          <w:szCs w:val="24"/>
          <w:rtl/>
        </w:rPr>
        <w:t xml:space="preserve">בכלל זה </w:t>
      </w:r>
      <w:r w:rsidR="004E1E37" w:rsidRPr="0084359C">
        <w:rPr>
          <w:rFonts w:asciiTheme="minorHAnsi" w:hAnsiTheme="minorHAnsi" w:cstheme="minorHAnsi"/>
          <w:sz w:val="24"/>
          <w:szCs w:val="24"/>
          <w:rtl/>
        </w:rPr>
        <w:t xml:space="preserve">דחיית תשלומי הלוואות ללא עמלות. </w:t>
      </w:r>
      <w:r w:rsidR="000A4180" w:rsidRPr="0084359C">
        <w:rPr>
          <w:rFonts w:asciiTheme="minorHAnsi" w:hAnsiTheme="minorHAnsi" w:cstheme="minorHAnsi"/>
          <w:sz w:val="24"/>
          <w:szCs w:val="24"/>
          <w:rtl/>
        </w:rPr>
        <w:t>יתר ה</w:t>
      </w:r>
      <w:r w:rsidR="004E1E37" w:rsidRPr="0084359C">
        <w:rPr>
          <w:rFonts w:asciiTheme="minorHAnsi" w:hAnsiTheme="minorHAnsi" w:cstheme="minorHAnsi"/>
          <w:sz w:val="24"/>
          <w:szCs w:val="24"/>
          <w:rtl/>
        </w:rPr>
        <w:t>לקוחות</w:t>
      </w:r>
      <w:r w:rsidR="000A4180" w:rsidRPr="0084359C">
        <w:rPr>
          <w:rFonts w:asciiTheme="minorHAnsi" w:hAnsiTheme="minorHAnsi" w:cstheme="minorHAnsi"/>
          <w:sz w:val="24"/>
          <w:szCs w:val="24"/>
          <w:rtl/>
        </w:rPr>
        <w:t>, במעגל השני,</w:t>
      </w:r>
      <w:r w:rsidR="004E1E37" w:rsidRPr="0084359C">
        <w:rPr>
          <w:rFonts w:asciiTheme="minorHAnsi" w:hAnsiTheme="minorHAnsi" w:cstheme="minorHAnsi"/>
          <w:sz w:val="24"/>
          <w:szCs w:val="24"/>
          <w:rtl/>
        </w:rPr>
        <w:t xml:space="preserve"> זכאים לדחיית תשלומים ללא עמלות. </w:t>
      </w:r>
      <w:r w:rsidR="00065549" w:rsidRPr="0084359C">
        <w:rPr>
          <w:rFonts w:asciiTheme="minorHAnsi" w:hAnsiTheme="minorHAnsi" w:cstheme="minorHAnsi"/>
          <w:sz w:val="24"/>
          <w:szCs w:val="24"/>
          <w:rtl/>
        </w:rPr>
        <w:t xml:space="preserve">בנוסף, </w:t>
      </w:r>
      <w:r w:rsidR="000A4180" w:rsidRPr="0084359C">
        <w:rPr>
          <w:rFonts w:asciiTheme="minorHAnsi" w:hAnsiTheme="minorHAnsi" w:cstheme="minorHAnsi"/>
          <w:sz w:val="24"/>
          <w:szCs w:val="24"/>
          <w:rtl/>
        </w:rPr>
        <w:t xml:space="preserve">פרסום הדוח הוא הזדמנות נוספת להביא לתשומת לב הציבור את החשיבות להתנהלות </w:t>
      </w:r>
      <w:r w:rsidR="006E2CEE" w:rsidRPr="0084359C">
        <w:rPr>
          <w:rFonts w:asciiTheme="minorHAnsi" w:hAnsiTheme="minorHAnsi" w:cstheme="minorHAnsi"/>
          <w:sz w:val="24"/>
          <w:szCs w:val="24"/>
          <w:rtl/>
        </w:rPr>
        <w:t>פיננסית</w:t>
      </w:r>
      <w:r w:rsidR="000A4180" w:rsidRPr="0084359C">
        <w:rPr>
          <w:rFonts w:asciiTheme="minorHAnsi" w:hAnsiTheme="minorHAnsi" w:cstheme="minorHAnsi"/>
          <w:sz w:val="24"/>
          <w:szCs w:val="24"/>
          <w:rtl/>
        </w:rPr>
        <w:t xml:space="preserve"> נכונה</w:t>
      </w:r>
      <w:r w:rsidR="006E2CEE" w:rsidRPr="0084359C">
        <w:rPr>
          <w:rStyle w:val="ab"/>
          <w:rFonts w:asciiTheme="minorHAnsi" w:hAnsiTheme="minorHAnsi" w:cstheme="minorHAnsi"/>
          <w:sz w:val="24"/>
          <w:szCs w:val="24"/>
          <w:rtl/>
        </w:rPr>
        <w:footnoteReference w:id="2"/>
      </w:r>
      <w:r w:rsidR="000A4180" w:rsidRPr="0084359C">
        <w:rPr>
          <w:rFonts w:asciiTheme="minorHAnsi" w:hAnsiTheme="minorHAnsi" w:cstheme="minorHAnsi"/>
          <w:sz w:val="24"/>
          <w:szCs w:val="24"/>
          <w:rtl/>
        </w:rPr>
        <w:t xml:space="preserve">, לרבות בכל הקשור להשוואת מחירים </w:t>
      </w:r>
      <w:r w:rsidR="006E2CEE" w:rsidRPr="0084359C">
        <w:rPr>
          <w:rFonts w:asciiTheme="minorHAnsi" w:hAnsiTheme="minorHAnsi" w:cstheme="minorHAnsi"/>
          <w:sz w:val="24"/>
          <w:szCs w:val="24"/>
          <w:rtl/>
        </w:rPr>
        <w:t>–</w:t>
      </w:r>
      <w:r w:rsidR="000A4180" w:rsidRPr="0084359C">
        <w:rPr>
          <w:rFonts w:asciiTheme="minorHAnsi" w:hAnsiTheme="minorHAnsi" w:cstheme="minorHAnsi"/>
          <w:sz w:val="24"/>
          <w:szCs w:val="24"/>
          <w:rtl/>
        </w:rPr>
        <w:t xml:space="preserve"> </w:t>
      </w:r>
      <w:r w:rsidR="006E2CEE" w:rsidRPr="0084359C">
        <w:rPr>
          <w:rFonts w:asciiTheme="minorHAnsi" w:hAnsiTheme="minorHAnsi" w:cstheme="minorHAnsi"/>
          <w:sz w:val="24"/>
          <w:szCs w:val="24"/>
          <w:rtl/>
        </w:rPr>
        <w:t>בתחום העמלות הבנקאיות וביתר השירותים הבנקאיים</w:t>
      </w:r>
      <w:r w:rsidR="000A4180" w:rsidRPr="0084359C">
        <w:rPr>
          <w:rFonts w:asciiTheme="minorHAnsi" w:hAnsiTheme="minorHAnsi" w:cstheme="minorHAnsi"/>
          <w:sz w:val="24"/>
          <w:szCs w:val="24"/>
          <w:rtl/>
        </w:rPr>
        <w:t>.</w:t>
      </w:r>
      <w:r w:rsidR="006E2CEE" w:rsidRPr="0084359C">
        <w:rPr>
          <w:rFonts w:asciiTheme="minorHAnsi" w:hAnsiTheme="minorHAnsi" w:cstheme="minorHAnsi"/>
          <w:sz w:val="24"/>
          <w:szCs w:val="24"/>
          <w:rtl/>
        </w:rPr>
        <w:t xml:space="preserve"> אני מזמין את הלקוחות לעשות שימוש בכלים והמוצרים השונים שפיתחנו ועומדים לרשותו באתר בנק ישראל</w:t>
      </w:r>
      <w:r w:rsidR="006E2CEE" w:rsidRPr="0084359C">
        <w:rPr>
          <w:rStyle w:val="ab"/>
          <w:rFonts w:asciiTheme="minorHAnsi" w:hAnsiTheme="minorHAnsi" w:cstheme="minorHAnsi"/>
          <w:sz w:val="24"/>
          <w:szCs w:val="24"/>
          <w:rtl/>
        </w:rPr>
        <w:footnoteReference w:id="3"/>
      </w:r>
      <w:r w:rsidR="006E2CEE" w:rsidRPr="0084359C">
        <w:rPr>
          <w:rFonts w:asciiTheme="minorHAnsi" w:hAnsiTheme="minorHAnsi" w:cstheme="minorHAnsi"/>
          <w:sz w:val="24"/>
          <w:szCs w:val="24"/>
          <w:rtl/>
        </w:rPr>
        <w:t xml:space="preserve">, כגון </w:t>
      </w:r>
      <w:r w:rsidR="000A4180" w:rsidRPr="0084359C">
        <w:rPr>
          <w:rFonts w:asciiTheme="minorHAnsi" w:hAnsiTheme="minorHAnsi" w:cstheme="minorHAnsi"/>
          <w:sz w:val="24"/>
          <w:szCs w:val="24"/>
          <w:rtl/>
        </w:rPr>
        <w:t xml:space="preserve">מחשבון מסלולי </w:t>
      </w:r>
      <w:r w:rsidR="006E2CEE" w:rsidRPr="0084359C">
        <w:rPr>
          <w:rFonts w:asciiTheme="minorHAnsi" w:hAnsiTheme="minorHAnsi" w:cstheme="minorHAnsi"/>
          <w:sz w:val="24"/>
          <w:szCs w:val="24"/>
          <w:rtl/>
        </w:rPr>
        <w:t>ה</w:t>
      </w:r>
      <w:r w:rsidR="000A4180" w:rsidRPr="0084359C">
        <w:rPr>
          <w:rFonts w:asciiTheme="minorHAnsi" w:hAnsiTheme="minorHAnsi" w:cstheme="minorHAnsi"/>
          <w:sz w:val="24"/>
          <w:szCs w:val="24"/>
          <w:rtl/>
        </w:rPr>
        <w:t>עמלות</w:t>
      </w:r>
      <w:r w:rsidR="000A4180" w:rsidRPr="0084359C">
        <w:rPr>
          <w:rStyle w:val="ab"/>
          <w:rFonts w:asciiTheme="minorHAnsi" w:hAnsiTheme="minorHAnsi" w:cstheme="minorHAnsi"/>
          <w:sz w:val="24"/>
          <w:szCs w:val="24"/>
          <w:rtl/>
        </w:rPr>
        <w:footnoteReference w:id="4"/>
      </w:r>
      <w:r w:rsidR="000A4180" w:rsidRPr="0084359C">
        <w:rPr>
          <w:rFonts w:asciiTheme="minorHAnsi" w:hAnsiTheme="minorHAnsi" w:cstheme="minorHAnsi"/>
          <w:sz w:val="24"/>
          <w:szCs w:val="24"/>
          <w:rtl/>
        </w:rPr>
        <w:t xml:space="preserve"> שמשקף את הכדאיות בהצטרפות לשירות המסלולים </w:t>
      </w:r>
      <w:r w:rsidR="006E2CEE" w:rsidRPr="0084359C">
        <w:rPr>
          <w:rFonts w:asciiTheme="minorHAnsi" w:hAnsiTheme="minorHAnsi" w:cstheme="minorHAnsi"/>
          <w:sz w:val="24"/>
          <w:szCs w:val="24"/>
          <w:rtl/>
        </w:rPr>
        <w:t xml:space="preserve">המוזלים </w:t>
      </w:r>
      <w:r w:rsidR="000A4180" w:rsidRPr="0084359C">
        <w:rPr>
          <w:rFonts w:asciiTheme="minorHAnsi" w:hAnsiTheme="minorHAnsi" w:cstheme="minorHAnsi"/>
          <w:sz w:val="24"/>
          <w:szCs w:val="24"/>
          <w:rtl/>
        </w:rPr>
        <w:t xml:space="preserve">לפי מאפייני הלקוח. אני קורא לציבור שטרם הצטרף לשירות ומשלם מעל ל-10 </w:t>
      </w:r>
      <w:r w:rsidR="006E2CEE" w:rsidRPr="0084359C">
        <w:rPr>
          <w:rFonts w:asciiTheme="minorHAnsi" w:hAnsiTheme="minorHAnsi" w:cstheme="minorHAnsi"/>
          <w:sz w:val="24"/>
          <w:szCs w:val="24"/>
          <w:rtl/>
        </w:rPr>
        <w:t>ש"ח</w:t>
      </w:r>
      <w:r w:rsidR="000A4180" w:rsidRPr="0084359C">
        <w:rPr>
          <w:rFonts w:asciiTheme="minorHAnsi" w:hAnsiTheme="minorHAnsi" w:cstheme="minorHAnsi"/>
          <w:sz w:val="24"/>
          <w:szCs w:val="24"/>
          <w:rtl/>
        </w:rPr>
        <w:t xml:space="preserve"> בחודש בגין שירותי עו"ש בסיסיים, לבחון האם הדבר כדאי עבורו.</w:t>
      </w:r>
      <w:r w:rsidR="006E2CEE" w:rsidRPr="0084359C">
        <w:rPr>
          <w:rFonts w:asciiTheme="minorHAnsi" w:hAnsiTheme="minorHAnsi" w:cstheme="minorHAnsi"/>
          <w:sz w:val="24"/>
          <w:szCs w:val="24"/>
          <w:rtl/>
        </w:rPr>
        <w:t>"</w:t>
      </w:r>
    </w:p>
    <w:p w:rsidR="00425C92" w:rsidRPr="0084359C" w:rsidRDefault="00425C92" w:rsidP="0057488E">
      <w:pPr>
        <w:pStyle w:val="a6"/>
        <w:spacing w:line="360" w:lineRule="auto"/>
        <w:rPr>
          <w:rStyle w:val="a8"/>
          <w:rFonts w:asciiTheme="minorHAnsi" w:hAnsiTheme="minorHAnsi" w:cstheme="minorHAnsi"/>
          <w:sz w:val="24"/>
          <w:szCs w:val="24"/>
          <w:rtl/>
        </w:rPr>
      </w:pPr>
    </w:p>
    <w:p w:rsidR="00575289" w:rsidRPr="0084359C" w:rsidRDefault="00575289" w:rsidP="008A4C8E">
      <w:pPr>
        <w:pStyle w:val="a6"/>
        <w:spacing w:line="360" w:lineRule="auto"/>
        <w:rPr>
          <w:rFonts w:asciiTheme="minorHAnsi" w:hAnsiTheme="minorHAnsi" w:cstheme="minorHAnsi"/>
          <w:b/>
          <w:bCs/>
          <w:sz w:val="24"/>
          <w:szCs w:val="24"/>
          <w:rtl/>
        </w:rPr>
      </w:pPr>
      <w:r w:rsidRPr="0084359C">
        <w:rPr>
          <w:rStyle w:val="a8"/>
          <w:rFonts w:asciiTheme="minorHAnsi" w:hAnsiTheme="minorHAnsi" w:cstheme="minorHAnsi"/>
          <w:b/>
          <w:bCs/>
          <w:sz w:val="24"/>
          <w:szCs w:val="24"/>
          <w:rtl/>
        </w:rPr>
        <w:t xml:space="preserve">להלן עיקרי </w:t>
      </w:r>
      <w:r w:rsidR="008A4C8E">
        <w:rPr>
          <w:rStyle w:val="a8"/>
          <w:rFonts w:asciiTheme="minorHAnsi" w:hAnsiTheme="minorHAnsi" w:cstheme="minorHAnsi" w:hint="cs"/>
          <w:b/>
          <w:bCs/>
          <w:sz w:val="24"/>
          <w:szCs w:val="24"/>
          <w:rtl/>
        </w:rPr>
        <w:t>ההתפתחויות</w:t>
      </w:r>
      <w:r w:rsidRPr="0084359C">
        <w:rPr>
          <w:rStyle w:val="a8"/>
          <w:rFonts w:asciiTheme="minorHAnsi" w:hAnsiTheme="minorHAnsi" w:cstheme="minorHAnsi"/>
          <w:b/>
          <w:bCs/>
          <w:sz w:val="24"/>
          <w:szCs w:val="24"/>
          <w:rtl/>
        </w:rPr>
        <w:t>:</w:t>
      </w:r>
    </w:p>
    <w:p w:rsidR="008A4C8E" w:rsidRPr="0084359C" w:rsidRDefault="008A4C8E" w:rsidP="008A4C8E">
      <w:pPr>
        <w:numPr>
          <w:ilvl w:val="0"/>
          <w:numId w:val="1"/>
        </w:numPr>
        <w:tabs>
          <w:tab w:val="left" w:pos="374"/>
        </w:tabs>
        <w:spacing w:after="0" w:line="360" w:lineRule="auto"/>
        <w:ind w:left="271" w:hanging="266"/>
        <w:jc w:val="both"/>
        <w:rPr>
          <w:rFonts w:cstheme="minorHAnsi"/>
          <w:sz w:val="24"/>
          <w:szCs w:val="24"/>
        </w:rPr>
      </w:pPr>
      <w:r w:rsidRPr="0084359C">
        <w:rPr>
          <w:rFonts w:cstheme="minorHAnsi"/>
          <w:sz w:val="24"/>
          <w:szCs w:val="24"/>
          <w:rtl/>
        </w:rPr>
        <w:t>באופן כללי, יחס הכנסות מעמלות לסך נכסי המערכת הבנקאית נמצא במגמת ירידה מצטברת, שהחלה לאחר רפורמת העמלות בשנת 2008, ועד היום נרשמה ירידה בשיעור מצטבר של כ-</w:t>
      </w:r>
      <w:r w:rsidRPr="0084359C">
        <w:rPr>
          <w:rFonts w:cstheme="minorHAnsi"/>
          <w:sz w:val="24"/>
          <w:szCs w:val="24"/>
          <w:rtl/>
        </w:rPr>
        <w:lastRenderedPageBreak/>
        <w:t>46%. ירידה זו מיוחסת, בין היתר, למכלול המצטבר של פעולות הפיקוח בנושאי עמלות בשנים האחרונות.</w:t>
      </w:r>
      <w:r w:rsidRPr="0084359C" w:rsidDel="002C4CD8">
        <w:rPr>
          <w:rFonts w:cstheme="minorHAnsi"/>
          <w:sz w:val="24"/>
          <w:szCs w:val="24"/>
          <w:rtl/>
        </w:rPr>
        <w:t xml:space="preserve"> </w:t>
      </w:r>
    </w:p>
    <w:p w:rsidR="00F92D44" w:rsidRPr="0084359C" w:rsidRDefault="00F92D44" w:rsidP="008A4C8E">
      <w:pPr>
        <w:numPr>
          <w:ilvl w:val="0"/>
          <w:numId w:val="1"/>
        </w:numPr>
        <w:tabs>
          <w:tab w:val="left" w:pos="374"/>
        </w:tabs>
        <w:spacing w:after="0" w:line="360" w:lineRule="auto"/>
        <w:ind w:left="271" w:hanging="266"/>
        <w:jc w:val="both"/>
        <w:rPr>
          <w:rFonts w:cstheme="minorHAnsi"/>
          <w:sz w:val="24"/>
          <w:szCs w:val="24"/>
        </w:rPr>
      </w:pPr>
      <w:r w:rsidRPr="0084359C">
        <w:rPr>
          <w:rFonts w:cstheme="minorHAnsi"/>
          <w:sz w:val="24"/>
          <w:szCs w:val="24"/>
          <w:rtl/>
        </w:rPr>
        <w:t xml:space="preserve">במחצית הראשונה לשנת 2023 חלה עלייה קלה ביחס </w:t>
      </w:r>
      <w:r w:rsidR="00A13664" w:rsidRPr="0084359C">
        <w:rPr>
          <w:rFonts w:cstheme="minorHAnsi"/>
          <w:sz w:val="24"/>
          <w:szCs w:val="24"/>
          <w:rtl/>
        </w:rPr>
        <w:t xml:space="preserve">בין </w:t>
      </w:r>
      <w:r w:rsidRPr="0084359C">
        <w:rPr>
          <w:rFonts w:cstheme="minorHAnsi"/>
          <w:sz w:val="24"/>
          <w:szCs w:val="24"/>
          <w:rtl/>
        </w:rPr>
        <w:t>סך ההכנסות מעמלות לסך נכסי המערכת הבנקאית. עלי</w:t>
      </w:r>
      <w:r w:rsidR="00A13664" w:rsidRPr="0084359C">
        <w:rPr>
          <w:rFonts w:cstheme="minorHAnsi"/>
          <w:sz w:val="24"/>
          <w:szCs w:val="24"/>
          <w:rtl/>
        </w:rPr>
        <w:t>י</w:t>
      </w:r>
      <w:r w:rsidRPr="0084359C">
        <w:rPr>
          <w:rFonts w:cstheme="minorHAnsi"/>
          <w:sz w:val="24"/>
          <w:szCs w:val="24"/>
          <w:rtl/>
        </w:rPr>
        <w:t xml:space="preserve">ה זו מושפעת בעיקר מגידול בהיקף העמלות הנגבות מעסקים גדולים, כתוצאה מגידול בהיקף הפעילות. בנוסף נרשם גידול בהכנסות מעמלות הנגבות מפעילות מט"ח וכרטיסי אשראי (כולל עסקים גדולים). מנגד, חלה ירידה בעמלות הנגבות מיחידים ועסקים קטנים בגין פעילות בניירות ערך ואשראי. </w:t>
      </w:r>
    </w:p>
    <w:p w:rsidR="00F92D44" w:rsidRPr="0084359C" w:rsidRDefault="00F92D44" w:rsidP="00A13664">
      <w:pPr>
        <w:numPr>
          <w:ilvl w:val="0"/>
          <w:numId w:val="1"/>
        </w:numPr>
        <w:tabs>
          <w:tab w:val="left" w:pos="374"/>
        </w:tabs>
        <w:spacing w:after="0" w:line="360" w:lineRule="auto"/>
        <w:ind w:left="271" w:hanging="266"/>
        <w:jc w:val="both"/>
        <w:rPr>
          <w:rFonts w:cstheme="minorHAnsi"/>
          <w:sz w:val="24"/>
          <w:szCs w:val="24"/>
        </w:rPr>
      </w:pPr>
      <w:r w:rsidRPr="0084359C">
        <w:rPr>
          <w:rFonts w:cstheme="minorHAnsi"/>
          <w:sz w:val="24"/>
          <w:szCs w:val="24"/>
          <w:rtl/>
        </w:rPr>
        <w:t xml:space="preserve">העלות הממוצעת של ניהול </w:t>
      </w:r>
      <w:r w:rsidR="00A13664" w:rsidRPr="0084359C">
        <w:rPr>
          <w:rFonts w:cstheme="minorHAnsi"/>
          <w:sz w:val="24"/>
          <w:szCs w:val="24"/>
          <w:rtl/>
        </w:rPr>
        <w:t xml:space="preserve">חשבון </w:t>
      </w:r>
      <w:proofErr w:type="spellStart"/>
      <w:r w:rsidRPr="0084359C">
        <w:rPr>
          <w:rFonts w:cstheme="minorHAnsi"/>
          <w:sz w:val="24"/>
          <w:szCs w:val="24"/>
          <w:rtl/>
        </w:rPr>
        <w:t>העו"ש</w:t>
      </w:r>
      <w:proofErr w:type="spellEnd"/>
      <w:r w:rsidRPr="0084359C">
        <w:rPr>
          <w:rFonts w:cstheme="minorHAnsi"/>
          <w:sz w:val="24"/>
          <w:szCs w:val="24"/>
          <w:rtl/>
        </w:rPr>
        <w:t xml:space="preserve"> והחזקת כרטיסי חיוב לחשבון</w:t>
      </w:r>
      <w:r w:rsidR="00A13664" w:rsidRPr="0084359C">
        <w:rPr>
          <w:rFonts w:cstheme="minorHAnsi"/>
          <w:sz w:val="24"/>
          <w:szCs w:val="24"/>
          <w:rtl/>
        </w:rPr>
        <w:t xml:space="preserve"> עמדה</w:t>
      </w:r>
      <w:r w:rsidRPr="0084359C">
        <w:rPr>
          <w:rFonts w:cstheme="minorHAnsi"/>
          <w:sz w:val="24"/>
          <w:szCs w:val="24"/>
          <w:rtl/>
        </w:rPr>
        <w:t xml:space="preserve"> במחצית הראשונה </w:t>
      </w:r>
      <w:r w:rsidR="00A13664" w:rsidRPr="0084359C">
        <w:rPr>
          <w:rFonts w:cstheme="minorHAnsi"/>
          <w:sz w:val="24"/>
          <w:szCs w:val="24"/>
          <w:rtl/>
        </w:rPr>
        <w:t>ש</w:t>
      </w:r>
      <w:r w:rsidRPr="0084359C">
        <w:rPr>
          <w:rFonts w:cstheme="minorHAnsi"/>
          <w:sz w:val="24"/>
          <w:szCs w:val="24"/>
          <w:rtl/>
        </w:rPr>
        <w:t>ל</w:t>
      </w:r>
      <w:r w:rsidR="00A13664" w:rsidRPr="0084359C">
        <w:rPr>
          <w:rFonts w:cstheme="minorHAnsi"/>
          <w:sz w:val="24"/>
          <w:szCs w:val="24"/>
          <w:rtl/>
        </w:rPr>
        <w:t xml:space="preserve"> </w:t>
      </w:r>
      <w:r w:rsidRPr="0084359C">
        <w:rPr>
          <w:rFonts w:cstheme="minorHAnsi"/>
          <w:sz w:val="24"/>
          <w:szCs w:val="24"/>
          <w:rtl/>
        </w:rPr>
        <w:t>שנת 2023 על 28.5 ₪ בחודש (על</w:t>
      </w:r>
      <w:r w:rsidR="00A13664" w:rsidRPr="0084359C">
        <w:rPr>
          <w:rFonts w:cstheme="minorHAnsi"/>
          <w:sz w:val="24"/>
          <w:szCs w:val="24"/>
          <w:rtl/>
        </w:rPr>
        <w:t>י</w:t>
      </w:r>
      <w:r w:rsidRPr="0084359C">
        <w:rPr>
          <w:rFonts w:cstheme="minorHAnsi"/>
          <w:sz w:val="24"/>
          <w:szCs w:val="24"/>
          <w:rtl/>
        </w:rPr>
        <w:t xml:space="preserve">יה של 1.3 ₪ בחודש בהשוואה לשנת 2022). </w:t>
      </w:r>
      <w:r w:rsidRPr="0084359C">
        <w:rPr>
          <w:rFonts w:cstheme="minorHAnsi"/>
          <w:szCs w:val="24"/>
          <w:rtl/>
        </w:rPr>
        <w:t>העלייה נבע</w:t>
      </w:r>
      <w:r w:rsidR="00A13664" w:rsidRPr="0084359C">
        <w:rPr>
          <w:rFonts w:cstheme="minorHAnsi"/>
          <w:szCs w:val="24"/>
          <w:rtl/>
        </w:rPr>
        <w:t>ה</w:t>
      </w:r>
      <w:r w:rsidRPr="0084359C">
        <w:rPr>
          <w:rFonts w:cstheme="minorHAnsi"/>
          <w:szCs w:val="24"/>
          <w:rtl/>
        </w:rPr>
        <w:t xml:space="preserve"> </w:t>
      </w:r>
      <w:r w:rsidRPr="0084359C">
        <w:rPr>
          <w:rFonts w:cstheme="minorHAnsi"/>
          <w:sz w:val="24"/>
          <w:szCs w:val="24"/>
          <w:rtl/>
        </w:rPr>
        <w:t xml:space="preserve">בעיקרה מגידול בפעילות של עסקאות במט"ח שביצע הציבור </w:t>
      </w:r>
      <w:r w:rsidR="006E2CEE" w:rsidRPr="0084359C">
        <w:rPr>
          <w:rFonts w:cstheme="minorHAnsi"/>
          <w:sz w:val="24"/>
          <w:szCs w:val="24"/>
          <w:rtl/>
        </w:rPr>
        <w:t xml:space="preserve">הישראלי </w:t>
      </w:r>
      <w:r w:rsidRPr="0084359C">
        <w:rPr>
          <w:rFonts w:cstheme="minorHAnsi"/>
          <w:sz w:val="24"/>
          <w:szCs w:val="24"/>
          <w:rtl/>
        </w:rPr>
        <w:t>באמצעות כרטיסי חיוב.</w:t>
      </w:r>
    </w:p>
    <w:p w:rsidR="00065549" w:rsidRPr="0084359C" w:rsidRDefault="00065549" w:rsidP="00065549">
      <w:pPr>
        <w:numPr>
          <w:ilvl w:val="0"/>
          <w:numId w:val="1"/>
        </w:numPr>
        <w:tabs>
          <w:tab w:val="left" w:pos="374"/>
        </w:tabs>
        <w:spacing w:after="0" w:line="360" w:lineRule="auto"/>
        <w:ind w:left="271" w:hanging="266"/>
        <w:jc w:val="both"/>
        <w:rPr>
          <w:rFonts w:cstheme="minorHAnsi"/>
          <w:sz w:val="24"/>
          <w:szCs w:val="24"/>
          <w:rtl/>
        </w:rPr>
      </w:pPr>
      <w:r w:rsidRPr="0084359C">
        <w:rPr>
          <w:rFonts w:cstheme="minorHAnsi"/>
          <w:sz w:val="24"/>
          <w:szCs w:val="24"/>
          <w:rtl/>
        </w:rPr>
        <w:t xml:space="preserve">במחצית הראשונה לשנת 2023 הצטרפו 132 אלף חשבונות </w:t>
      </w:r>
      <w:hyperlink r:id="rId12" w:history="1">
        <w:r w:rsidRPr="009E461A">
          <w:rPr>
            <w:rStyle w:val="Hyperlink"/>
            <w:rFonts w:cstheme="minorHAnsi"/>
            <w:sz w:val="24"/>
            <w:szCs w:val="24"/>
            <w:rtl/>
          </w:rPr>
          <w:t>לשירות המסלולים המפוקח</w:t>
        </w:r>
      </w:hyperlink>
      <w:bookmarkStart w:id="0" w:name="_GoBack"/>
      <w:bookmarkEnd w:id="0"/>
      <w:r w:rsidRPr="0084359C">
        <w:rPr>
          <w:rFonts w:cstheme="minorHAnsi"/>
          <w:sz w:val="24"/>
          <w:szCs w:val="24"/>
          <w:rtl/>
        </w:rPr>
        <w:t xml:space="preserve">. שירות זה כולל סלי שירותים אחידים לניהול חשבון </w:t>
      </w:r>
      <w:proofErr w:type="spellStart"/>
      <w:r w:rsidRPr="0084359C">
        <w:rPr>
          <w:rFonts w:cstheme="minorHAnsi"/>
          <w:sz w:val="24"/>
          <w:szCs w:val="24"/>
          <w:rtl/>
        </w:rPr>
        <w:t>העו"ש</w:t>
      </w:r>
      <w:proofErr w:type="spellEnd"/>
      <w:r w:rsidRPr="0084359C">
        <w:rPr>
          <w:rFonts w:cstheme="minorHAnsi"/>
          <w:sz w:val="24"/>
          <w:szCs w:val="24"/>
          <w:rtl/>
        </w:rPr>
        <w:t xml:space="preserve">. השירות מציע תשלום של סכום חודשי קבוע עבור ביצוע מספר פעולות מוגדר מראש (פעולה על ידי פקיד ופעולה בערוץ הישיר). שירותי המסלולים מגלמים הנחה משמעותית בגין פעולות עו"ש בסיסיות. </w:t>
      </w:r>
    </w:p>
    <w:p w:rsidR="00575289" w:rsidRPr="0084359C" w:rsidRDefault="00575289" w:rsidP="0057488E">
      <w:pPr>
        <w:tabs>
          <w:tab w:val="left" w:pos="374"/>
        </w:tabs>
        <w:spacing w:after="0" w:line="360" w:lineRule="auto"/>
        <w:ind w:right="-284"/>
        <w:jc w:val="both"/>
        <w:rPr>
          <w:rFonts w:cstheme="minorHAnsi"/>
          <w:sz w:val="24"/>
          <w:szCs w:val="24"/>
        </w:rPr>
      </w:pPr>
    </w:p>
    <w:sectPr w:rsidR="00575289" w:rsidRPr="0084359C" w:rsidSect="00B051F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8C" w:rsidRDefault="00C7438C" w:rsidP="00575289">
      <w:pPr>
        <w:spacing w:after="0" w:line="240" w:lineRule="auto"/>
      </w:pPr>
      <w:r>
        <w:separator/>
      </w:r>
    </w:p>
  </w:endnote>
  <w:endnote w:type="continuationSeparator" w:id="0">
    <w:p w:rsidR="00C7438C" w:rsidRDefault="00C7438C" w:rsidP="0057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Assistant Light">
    <w:panose1 w:val="000004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8C" w:rsidRDefault="00C7438C" w:rsidP="00575289">
      <w:pPr>
        <w:spacing w:after="0" w:line="240" w:lineRule="auto"/>
      </w:pPr>
      <w:r>
        <w:separator/>
      </w:r>
    </w:p>
  </w:footnote>
  <w:footnote w:type="continuationSeparator" w:id="0">
    <w:p w:rsidR="00C7438C" w:rsidRDefault="00C7438C" w:rsidP="00575289">
      <w:pPr>
        <w:spacing w:after="0" w:line="240" w:lineRule="auto"/>
      </w:pPr>
      <w:r>
        <w:continuationSeparator/>
      </w:r>
    </w:p>
  </w:footnote>
  <w:footnote w:id="1">
    <w:p w:rsidR="004E1E37" w:rsidRPr="003B7FFC" w:rsidRDefault="004E1E37" w:rsidP="004E1E37">
      <w:pPr>
        <w:pStyle w:val="a9"/>
        <w:spacing w:line="240" w:lineRule="auto"/>
        <w:rPr>
          <w:rtl/>
        </w:rPr>
      </w:pPr>
      <w:r>
        <w:rPr>
          <w:rStyle w:val="ab"/>
        </w:rPr>
        <w:footnoteRef/>
      </w:r>
      <w:r>
        <w:rPr>
          <w:rtl/>
        </w:rPr>
        <w:t xml:space="preserve"> </w:t>
      </w:r>
      <w:r>
        <w:rPr>
          <w:rFonts w:hint="cs"/>
          <w:rtl/>
        </w:rPr>
        <w:t>קישור:</w:t>
      </w:r>
      <w:r w:rsidRPr="003B7FFC">
        <w:t xml:space="preserve"> </w:t>
      </w:r>
      <w:hyperlink r:id="rId1" w:history="1">
        <w:r w:rsidRPr="003B7FFC">
          <w:rPr>
            <w:rStyle w:val="Hyperlink"/>
            <w:rFonts w:ascii="David" w:hAnsi="David"/>
            <w:rtl/>
          </w:rPr>
          <w:t>מתווה סיוע ללקוחות בעקבות המלחמה</w:t>
        </w:r>
      </w:hyperlink>
    </w:p>
  </w:footnote>
  <w:footnote w:id="2">
    <w:p w:rsidR="006E2CEE" w:rsidRDefault="006E2CEE" w:rsidP="006E2CEE">
      <w:pPr>
        <w:pStyle w:val="a9"/>
        <w:spacing w:line="276" w:lineRule="auto"/>
        <w:rPr>
          <w:rtl/>
        </w:rPr>
      </w:pPr>
      <w:r>
        <w:rPr>
          <w:rStyle w:val="ab"/>
        </w:rPr>
        <w:footnoteRef/>
      </w:r>
      <w:r>
        <w:rPr>
          <w:rtl/>
        </w:rPr>
        <w:t xml:space="preserve"> </w:t>
      </w:r>
      <w:r>
        <w:rPr>
          <w:rFonts w:hint="cs"/>
          <w:rtl/>
        </w:rPr>
        <w:t xml:space="preserve">קישור: </w:t>
      </w:r>
      <w:hyperlink r:id="rId2" w:history="1">
        <w:r w:rsidRPr="006B0ED5">
          <w:rPr>
            <w:rStyle w:val="Hyperlink"/>
            <w:rFonts w:hint="cs"/>
            <w:rtl/>
          </w:rPr>
          <w:t>מידע בנושא צרכנות פיננסית</w:t>
        </w:r>
      </w:hyperlink>
    </w:p>
  </w:footnote>
  <w:footnote w:id="3">
    <w:p w:rsidR="006E2CEE" w:rsidRPr="0050241D" w:rsidRDefault="006E2CEE" w:rsidP="006E2CEE">
      <w:pPr>
        <w:pStyle w:val="a9"/>
        <w:rPr>
          <w:rtl/>
        </w:rPr>
      </w:pPr>
      <w:r>
        <w:rPr>
          <w:rStyle w:val="ab"/>
        </w:rPr>
        <w:footnoteRef/>
      </w:r>
      <w:r>
        <w:rPr>
          <w:rtl/>
        </w:rPr>
        <w:t xml:space="preserve"> </w:t>
      </w:r>
      <w:r>
        <w:rPr>
          <w:rFonts w:hint="cs"/>
          <w:rtl/>
        </w:rPr>
        <w:t xml:space="preserve">קישור: </w:t>
      </w:r>
      <w:hyperlink r:id="rId3" w:history="1">
        <w:r w:rsidRPr="001D0885">
          <w:rPr>
            <w:rStyle w:val="Hyperlink"/>
            <w:rFonts w:ascii="David" w:hAnsi="David" w:hint="eastAsia"/>
            <w:rtl/>
          </w:rPr>
          <w:t>בנקאות</w:t>
        </w:r>
        <w:r w:rsidRPr="001D0885">
          <w:rPr>
            <w:rStyle w:val="Hyperlink"/>
            <w:rFonts w:ascii="David" w:hAnsi="David"/>
            <w:rtl/>
          </w:rPr>
          <w:t xml:space="preserve"> ותשלומים - מידע ושירות לצרכן</w:t>
        </w:r>
      </w:hyperlink>
    </w:p>
  </w:footnote>
  <w:footnote w:id="4">
    <w:p w:rsidR="000A4180" w:rsidRDefault="000A4180" w:rsidP="000A4180">
      <w:pPr>
        <w:pStyle w:val="a9"/>
        <w:spacing w:line="240" w:lineRule="auto"/>
        <w:rPr>
          <w:rtl/>
        </w:rPr>
      </w:pPr>
      <w:r>
        <w:rPr>
          <w:rStyle w:val="ab"/>
        </w:rPr>
        <w:footnoteRef/>
      </w:r>
      <w:r>
        <w:rPr>
          <w:rtl/>
        </w:rPr>
        <w:t xml:space="preserve"> </w:t>
      </w:r>
      <w:r>
        <w:rPr>
          <w:rFonts w:hint="cs"/>
          <w:rtl/>
        </w:rPr>
        <w:t xml:space="preserve">קישור: </w:t>
      </w:r>
      <w:hyperlink r:id="rId4" w:history="1">
        <w:r w:rsidRPr="001D0885">
          <w:rPr>
            <w:rStyle w:val="Hyperlink"/>
            <w:rFonts w:ascii="David" w:hAnsi="David" w:hint="cs"/>
            <w:rtl/>
          </w:rPr>
          <w:t>מחשבון מסלולי עמלות</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434"/>
    <w:multiLevelType w:val="hybridMultilevel"/>
    <w:tmpl w:val="5D4CAA7A"/>
    <w:lvl w:ilvl="0" w:tplc="AD74C2A8">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C8489C"/>
    <w:multiLevelType w:val="hybridMultilevel"/>
    <w:tmpl w:val="2BA845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8B7424"/>
    <w:multiLevelType w:val="hybridMultilevel"/>
    <w:tmpl w:val="AE86B86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55E15FE7"/>
    <w:multiLevelType w:val="hybridMultilevel"/>
    <w:tmpl w:val="706659AC"/>
    <w:lvl w:ilvl="0" w:tplc="838E7DF4">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E070264"/>
    <w:multiLevelType w:val="hybridMultilevel"/>
    <w:tmpl w:val="33B619CE"/>
    <w:lvl w:ilvl="0" w:tplc="04090005">
      <w:start w:val="1"/>
      <w:numFmt w:val="bullet"/>
      <w:lvlText w:val=""/>
      <w:lvlJc w:val="left"/>
      <w:pPr>
        <w:ind w:left="365" w:hanging="360"/>
      </w:pPr>
      <w:rPr>
        <w:rFonts w:ascii="Wingdings" w:hAnsi="Wingdings"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5" w15:restartNumberingAfterBreak="0">
    <w:nsid w:val="7BEE371D"/>
    <w:multiLevelType w:val="hybridMultilevel"/>
    <w:tmpl w:val="EB6C2AFC"/>
    <w:lvl w:ilvl="0" w:tplc="838E7DF4">
      <w:start w:val="1"/>
      <w:numFmt w:val="bullet"/>
      <w:lvlText w:val=""/>
      <w:lvlJc w:val="left"/>
      <w:pPr>
        <w:ind w:left="360" w:hanging="360"/>
      </w:pPr>
      <w:rPr>
        <w:rFonts w:ascii="Wingdings" w:hAnsi="Wingdings" w:hint="default"/>
        <w:b/>
        <w:bCs w:val="0"/>
        <w:color w:val="auto"/>
        <w:sz w:val="24"/>
        <w:szCs w:val="24"/>
      </w:rPr>
    </w:lvl>
    <w:lvl w:ilvl="1" w:tplc="1DE89B28">
      <w:start w:val="1"/>
      <w:numFmt w:val="bullet"/>
      <w:lvlText w:val="‐"/>
      <w:lvlJc w:val="left"/>
      <w:pPr>
        <w:ind w:left="1080" w:hanging="360"/>
      </w:pPr>
      <w:rPr>
        <w:rFonts w:ascii="Assistant" w:hAnsi="Assistant"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0E6509"/>
    <w:multiLevelType w:val="hybridMultilevel"/>
    <w:tmpl w:val="6288839A"/>
    <w:lvl w:ilvl="0" w:tplc="1E785CA4">
      <w:start w:val="3"/>
      <w:numFmt w:val="bullet"/>
      <w:lvlText w:val="-"/>
      <w:lvlJc w:val="left"/>
      <w:pPr>
        <w:ind w:left="3600" w:hanging="360"/>
      </w:pPr>
      <w:rPr>
        <w:rFonts w:ascii="Assistant Light" w:eastAsia="Calibri" w:hAnsi="Assistant Light" w:cs="Assistant Light"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59"/>
    <w:rsid w:val="0003110B"/>
    <w:rsid w:val="00065549"/>
    <w:rsid w:val="000A4180"/>
    <w:rsid w:val="000B7B0F"/>
    <w:rsid w:val="000C1882"/>
    <w:rsid w:val="000D6418"/>
    <w:rsid w:val="00112EEA"/>
    <w:rsid w:val="00133A21"/>
    <w:rsid w:val="00150BFE"/>
    <w:rsid w:val="001619C0"/>
    <w:rsid w:val="00171004"/>
    <w:rsid w:val="00193AAE"/>
    <w:rsid w:val="0019507A"/>
    <w:rsid w:val="001B1A62"/>
    <w:rsid w:val="001D7DBE"/>
    <w:rsid w:val="001E5709"/>
    <w:rsid w:val="00273EF8"/>
    <w:rsid w:val="00296218"/>
    <w:rsid w:val="0029628D"/>
    <w:rsid w:val="002C2859"/>
    <w:rsid w:val="002E1F68"/>
    <w:rsid w:val="002E3C74"/>
    <w:rsid w:val="00355941"/>
    <w:rsid w:val="003B7FFC"/>
    <w:rsid w:val="003F318C"/>
    <w:rsid w:val="00425C92"/>
    <w:rsid w:val="00441990"/>
    <w:rsid w:val="0045033C"/>
    <w:rsid w:val="00484A3A"/>
    <w:rsid w:val="004B603F"/>
    <w:rsid w:val="004E1E37"/>
    <w:rsid w:val="005549D6"/>
    <w:rsid w:val="005727C4"/>
    <w:rsid w:val="0057488E"/>
    <w:rsid w:val="00575289"/>
    <w:rsid w:val="005814D8"/>
    <w:rsid w:val="005A5417"/>
    <w:rsid w:val="0060399F"/>
    <w:rsid w:val="00657952"/>
    <w:rsid w:val="00691C57"/>
    <w:rsid w:val="006A4D35"/>
    <w:rsid w:val="006E2CEE"/>
    <w:rsid w:val="00720798"/>
    <w:rsid w:val="007A4E28"/>
    <w:rsid w:val="007E3689"/>
    <w:rsid w:val="007F2DDD"/>
    <w:rsid w:val="007F5D8E"/>
    <w:rsid w:val="00803915"/>
    <w:rsid w:val="0081731F"/>
    <w:rsid w:val="008205F6"/>
    <w:rsid w:val="00841CEE"/>
    <w:rsid w:val="0084359C"/>
    <w:rsid w:val="0086244B"/>
    <w:rsid w:val="008758BC"/>
    <w:rsid w:val="008A4C8E"/>
    <w:rsid w:val="008A5824"/>
    <w:rsid w:val="008C0A8A"/>
    <w:rsid w:val="008F2F50"/>
    <w:rsid w:val="00977342"/>
    <w:rsid w:val="009E461A"/>
    <w:rsid w:val="009E7105"/>
    <w:rsid w:val="00A06B31"/>
    <w:rsid w:val="00A13664"/>
    <w:rsid w:val="00A14687"/>
    <w:rsid w:val="00AE236C"/>
    <w:rsid w:val="00AE6D59"/>
    <w:rsid w:val="00B051F9"/>
    <w:rsid w:val="00B64CD4"/>
    <w:rsid w:val="00B97624"/>
    <w:rsid w:val="00BD5681"/>
    <w:rsid w:val="00C357F6"/>
    <w:rsid w:val="00C7438C"/>
    <w:rsid w:val="00C95DEB"/>
    <w:rsid w:val="00D40BCD"/>
    <w:rsid w:val="00D8196B"/>
    <w:rsid w:val="00D9387C"/>
    <w:rsid w:val="00DB67BF"/>
    <w:rsid w:val="00DF7CE6"/>
    <w:rsid w:val="00E608BE"/>
    <w:rsid w:val="00EA5068"/>
    <w:rsid w:val="00F92D44"/>
    <w:rsid w:val="00F93B1A"/>
    <w:rsid w:val="00FA64FC"/>
    <w:rsid w:val="00FF46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7662-32F5-414D-9C4E-1F0DC0C7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8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709"/>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1E5709"/>
    <w:rPr>
      <w:rFonts w:ascii="Tahoma" w:hAnsi="Tahoma" w:cs="Tahoma"/>
      <w:sz w:val="18"/>
      <w:szCs w:val="18"/>
    </w:rPr>
  </w:style>
  <w:style w:type="character" w:customStyle="1" w:styleId="a5">
    <w:name w:val="ללא מרווח תו"/>
    <w:basedOn w:val="a0"/>
    <w:link w:val="a6"/>
    <w:uiPriority w:val="1"/>
    <w:locked/>
    <w:rsid w:val="00B64CD4"/>
    <w:rPr>
      <w:rFonts w:ascii="Assistant Light" w:hAnsi="Assistant Light" w:cs="Assistant Light"/>
    </w:rPr>
  </w:style>
  <w:style w:type="paragraph" w:styleId="a6">
    <w:name w:val="No Spacing"/>
    <w:basedOn w:val="a"/>
    <w:link w:val="a5"/>
    <w:uiPriority w:val="1"/>
    <w:qFormat/>
    <w:rsid w:val="00B64CD4"/>
    <w:pPr>
      <w:spacing w:after="0" w:line="240" w:lineRule="auto"/>
      <w:jc w:val="both"/>
    </w:pPr>
    <w:rPr>
      <w:rFonts w:ascii="Assistant Light" w:hAnsi="Assistant Light" w:cs="Assistant Light"/>
    </w:rPr>
  </w:style>
  <w:style w:type="paragraph" w:styleId="a7">
    <w:name w:val="List Paragraph"/>
    <w:basedOn w:val="a"/>
    <w:uiPriority w:val="34"/>
    <w:qFormat/>
    <w:rsid w:val="00B64CD4"/>
    <w:pPr>
      <w:spacing w:before="240" w:after="400" w:line="252" w:lineRule="auto"/>
      <w:ind w:left="720"/>
      <w:contextualSpacing/>
      <w:jc w:val="both"/>
    </w:pPr>
    <w:rPr>
      <w:rFonts w:ascii="Calibri" w:hAnsi="Calibri" w:cs="Calibri"/>
    </w:rPr>
  </w:style>
  <w:style w:type="character" w:styleId="a8">
    <w:name w:val="Intense Emphasis"/>
    <w:basedOn w:val="a0"/>
    <w:uiPriority w:val="21"/>
    <w:qFormat/>
    <w:rsid w:val="00B64CD4"/>
  </w:style>
  <w:style w:type="paragraph" w:styleId="a9">
    <w:name w:val="footnote text"/>
    <w:basedOn w:val="a"/>
    <w:link w:val="aa"/>
    <w:rsid w:val="00575289"/>
    <w:pPr>
      <w:tabs>
        <w:tab w:val="left" w:pos="567"/>
        <w:tab w:val="left" w:pos="1134"/>
        <w:tab w:val="left" w:pos="1814"/>
        <w:tab w:val="left" w:pos="2665"/>
      </w:tabs>
      <w:spacing w:after="0" w:line="360" w:lineRule="auto"/>
      <w:jc w:val="both"/>
    </w:pPr>
    <w:rPr>
      <w:rFonts w:ascii="Times New Roman" w:eastAsia="Times New Roman" w:hAnsi="Times New Roman" w:cs="David"/>
      <w:sz w:val="20"/>
      <w:szCs w:val="20"/>
    </w:rPr>
  </w:style>
  <w:style w:type="character" w:customStyle="1" w:styleId="aa">
    <w:name w:val="טקסט הערת שוליים תו"/>
    <w:basedOn w:val="a0"/>
    <w:link w:val="a9"/>
    <w:rsid w:val="00575289"/>
    <w:rPr>
      <w:rFonts w:ascii="Times New Roman" w:eastAsia="Times New Roman" w:hAnsi="Times New Roman" w:cs="David"/>
      <w:sz w:val="20"/>
      <w:szCs w:val="20"/>
    </w:rPr>
  </w:style>
  <w:style w:type="character" w:styleId="ab">
    <w:name w:val="footnote reference"/>
    <w:rsid w:val="00575289"/>
    <w:rPr>
      <w:vertAlign w:val="superscript"/>
    </w:rPr>
  </w:style>
  <w:style w:type="character" w:styleId="Hyperlink">
    <w:name w:val="Hyperlink"/>
    <w:basedOn w:val="a0"/>
    <w:uiPriority w:val="99"/>
    <w:unhideWhenUsed/>
    <w:rsid w:val="00575289"/>
    <w:rPr>
      <w:color w:val="0563C1" w:themeColor="hyperlink"/>
      <w:u w:val="single"/>
    </w:rPr>
  </w:style>
  <w:style w:type="paragraph" w:styleId="ac">
    <w:name w:val="header"/>
    <w:basedOn w:val="a"/>
    <w:link w:val="ad"/>
    <w:uiPriority w:val="99"/>
    <w:unhideWhenUsed/>
    <w:rsid w:val="00112EEA"/>
    <w:pPr>
      <w:tabs>
        <w:tab w:val="center" w:pos="4153"/>
        <w:tab w:val="right" w:pos="8306"/>
      </w:tabs>
      <w:spacing w:after="0" w:line="240" w:lineRule="auto"/>
    </w:pPr>
  </w:style>
  <w:style w:type="character" w:customStyle="1" w:styleId="ad">
    <w:name w:val="כותרת עליונה תו"/>
    <w:basedOn w:val="a0"/>
    <w:link w:val="ac"/>
    <w:uiPriority w:val="99"/>
    <w:rsid w:val="00112EEA"/>
  </w:style>
  <w:style w:type="paragraph" w:styleId="ae">
    <w:name w:val="footer"/>
    <w:basedOn w:val="a"/>
    <w:link w:val="af"/>
    <w:uiPriority w:val="99"/>
    <w:unhideWhenUsed/>
    <w:rsid w:val="00112EEA"/>
    <w:pPr>
      <w:tabs>
        <w:tab w:val="center" w:pos="4153"/>
        <w:tab w:val="right" w:pos="8306"/>
      </w:tabs>
      <w:spacing w:after="0" w:line="240" w:lineRule="auto"/>
    </w:pPr>
  </w:style>
  <w:style w:type="character" w:customStyle="1" w:styleId="af">
    <w:name w:val="כותרת תחתונה תו"/>
    <w:basedOn w:val="a0"/>
    <w:link w:val="ae"/>
    <w:uiPriority w:val="99"/>
    <w:rsid w:val="00112EEA"/>
  </w:style>
  <w:style w:type="character" w:styleId="af0">
    <w:name w:val="annotation reference"/>
    <w:basedOn w:val="a0"/>
    <w:unhideWhenUsed/>
    <w:rsid w:val="00425C92"/>
    <w:rPr>
      <w:sz w:val="16"/>
      <w:szCs w:val="16"/>
    </w:rPr>
  </w:style>
  <w:style w:type="paragraph" w:styleId="af1">
    <w:name w:val="annotation text"/>
    <w:basedOn w:val="a"/>
    <w:link w:val="af2"/>
    <w:unhideWhenUsed/>
    <w:rsid w:val="00425C92"/>
    <w:pPr>
      <w:spacing w:line="240" w:lineRule="auto"/>
    </w:pPr>
    <w:rPr>
      <w:sz w:val="20"/>
      <w:szCs w:val="20"/>
    </w:rPr>
  </w:style>
  <w:style w:type="character" w:customStyle="1" w:styleId="af2">
    <w:name w:val="טקסט הערה תו"/>
    <w:basedOn w:val="a0"/>
    <w:link w:val="af1"/>
    <w:rsid w:val="00425C92"/>
    <w:rPr>
      <w:sz w:val="20"/>
      <w:szCs w:val="20"/>
    </w:rPr>
  </w:style>
  <w:style w:type="paragraph" w:styleId="af3">
    <w:name w:val="annotation subject"/>
    <w:basedOn w:val="af1"/>
    <w:next w:val="af1"/>
    <w:link w:val="af4"/>
    <w:uiPriority w:val="99"/>
    <w:semiHidden/>
    <w:unhideWhenUsed/>
    <w:rsid w:val="00425C92"/>
    <w:rPr>
      <w:b/>
      <w:bCs/>
    </w:rPr>
  </w:style>
  <w:style w:type="character" w:customStyle="1" w:styleId="af4">
    <w:name w:val="נושא הערה תו"/>
    <w:basedOn w:val="af2"/>
    <w:link w:val="af3"/>
    <w:uiPriority w:val="99"/>
    <w:semiHidden/>
    <w:rsid w:val="00425C92"/>
    <w:rPr>
      <w:b/>
      <w:bCs/>
      <w:sz w:val="20"/>
      <w:szCs w:val="20"/>
    </w:rPr>
  </w:style>
  <w:style w:type="character" w:styleId="FollowedHyperlink">
    <w:name w:val="FollowedHyperlink"/>
    <w:basedOn w:val="a0"/>
    <w:uiPriority w:val="99"/>
    <w:semiHidden/>
    <w:unhideWhenUsed/>
    <w:rsid w:val="00803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81489">
      <w:bodyDiv w:val="1"/>
      <w:marLeft w:val="0"/>
      <w:marRight w:val="0"/>
      <w:marTop w:val="0"/>
      <w:marBottom w:val="0"/>
      <w:divBdr>
        <w:top w:val="none" w:sz="0" w:space="0" w:color="auto"/>
        <w:left w:val="none" w:sz="0" w:space="0" w:color="auto"/>
        <w:bottom w:val="none" w:sz="0" w:space="0" w:color="auto"/>
        <w:right w:val="none" w:sz="0" w:space="0" w:color="auto"/>
      </w:divBdr>
    </w:div>
    <w:div w:id="922573090">
      <w:bodyDiv w:val="1"/>
      <w:marLeft w:val="0"/>
      <w:marRight w:val="0"/>
      <w:marTop w:val="0"/>
      <w:marBottom w:val="0"/>
      <w:divBdr>
        <w:top w:val="none" w:sz="0" w:space="0" w:color="auto"/>
        <w:left w:val="none" w:sz="0" w:space="0" w:color="auto"/>
        <w:bottom w:val="none" w:sz="0" w:space="0" w:color="auto"/>
        <w:right w:val="none" w:sz="0" w:space="0" w:color="auto"/>
      </w:divBdr>
    </w:div>
    <w:div w:id="19642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information/%D7%9E%D7%97%D7%A9%D7%91%D7%95%D7%A0%D7%99%D7%9D-%D7%95%D7%9B%D7%9C%D7%99%D7%9D/%D7%A2%D7%9E%D7%9C%D7%95%D7%A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oi.org.il/information/bank-paymnts/" TargetMode="External"/><Relationship Id="rId2" Type="http://schemas.openxmlformats.org/officeDocument/2006/relationships/hyperlink" Target="https://www.boi.org.il/information/bank-paymnts/financial-education/" TargetMode="External"/><Relationship Id="rId1" Type="http://schemas.openxmlformats.org/officeDocument/2006/relationships/hyperlink" Target="https://www.boi.org.il/bank-of-israel/iron-swords/boi-outline-banks/" TargetMode="External"/><Relationship Id="rId4" Type="http://schemas.openxmlformats.org/officeDocument/2006/relationships/hyperlink" Target="https://www.boi.org.il/information/%D7%9E%D7%97%D7%A9%D7%91%D7%95%D7%A0%D7%99%D7%9D-%D7%95%D7%9B%D7%9C%D7%99%D7%9D/%D7%A2%D7%9E%D7%9C%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50E4-C984-49F0-A8B2-7D83D7169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A9D7C-541D-42EE-8899-0F17A519C5F1}">
  <ds:schemaRefs>
    <ds:schemaRef ds:uri="http://schemas.microsoft.com/sharepoint/v3/contenttype/forms"/>
  </ds:schemaRefs>
</ds:datastoreItem>
</file>

<file path=customXml/itemProps3.xml><?xml version="1.0" encoding="utf-8"?>
<ds:datastoreItem xmlns:ds="http://schemas.openxmlformats.org/officeDocument/2006/customXml" ds:itemID="{53921709-5CFB-4E32-A020-C30D33D8756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D3474DDC-77C0-4D7B-9BB0-B5C2B18C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469</Words>
  <Characters>2349</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dovrot</dc:creator>
  <cp:keywords/>
  <dc:description/>
  <cp:lastModifiedBy>לירון בן עמוס</cp:lastModifiedBy>
  <cp:revision>3</cp:revision>
  <dcterms:created xsi:type="dcterms:W3CDTF">2024-01-28T07:35:00Z</dcterms:created>
  <dcterms:modified xsi:type="dcterms:W3CDTF">2024-01-28T09:08:00Z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