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F234B7">
              <w:rPr>
                <w:rFonts w:asciiTheme="minorHAnsi" w:hAnsiTheme="minorHAnsi" w:cstheme="minorHAnsi"/>
                <w:noProof/>
                <w:rtl/>
              </w:rPr>
              <w:t>‏ו'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F234B7">
              <w:rPr>
                <w:rFonts w:asciiTheme="minorHAnsi" w:hAnsiTheme="minorHAnsi" w:cstheme="minorHAnsi"/>
                <w:noProof/>
                <w:rtl/>
              </w:rPr>
              <w:t>‏23 פברואר,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F234B7" w:rsidRDefault="00C12D08" w:rsidP="00C12D08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12D08">
        <w:rPr>
          <w:rFonts w:asciiTheme="minorHAnsi" w:hAnsiTheme="minorHAnsi" w:cstheme="minorHAnsi"/>
          <w:b/>
          <w:bCs/>
          <w:sz w:val="28"/>
          <w:szCs w:val="28"/>
          <w:rtl/>
        </w:rPr>
        <w:t>הוועדה המוניטרית החליטה ב-</w:t>
      </w:r>
      <w:r w:rsidRPr="00C12D08">
        <w:rPr>
          <w:rFonts w:asciiTheme="minorHAnsi" w:hAnsiTheme="minorHAnsi" w:cstheme="minorHAnsi" w:hint="cs"/>
          <w:b/>
          <w:bCs/>
          <w:sz w:val="28"/>
          <w:szCs w:val="28"/>
          <w:rtl/>
        </w:rPr>
        <w:t>23</w:t>
      </w:r>
      <w:r w:rsidRPr="00C12D08">
        <w:rPr>
          <w:rFonts w:asciiTheme="minorHAnsi" w:hAnsiTheme="minorHAnsi" w:cstheme="minorHAnsi"/>
          <w:b/>
          <w:bCs/>
          <w:sz w:val="28"/>
          <w:szCs w:val="28"/>
          <w:rtl/>
        </w:rPr>
        <w:t>/</w:t>
      </w:r>
      <w:r w:rsidRPr="00C12D08">
        <w:rPr>
          <w:rFonts w:asciiTheme="minorHAnsi" w:hAnsiTheme="minorHAnsi" w:cstheme="minorHAnsi" w:hint="cs"/>
          <w:b/>
          <w:bCs/>
          <w:sz w:val="28"/>
          <w:szCs w:val="28"/>
          <w:rtl/>
        </w:rPr>
        <w:t>2</w:t>
      </w:r>
      <w:r w:rsidRPr="00C12D08">
        <w:rPr>
          <w:rFonts w:asciiTheme="minorHAnsi" w:hAnsiTheme="minorHAnsi" w:cstheme="minorHAnsi"/>
          <w:b/>
          <w:bCs/>
          <w:sz w:val="28"/>
          <w:szCs w:val="28"/>
          <w:rtl/>
        </w:rPr>
        <w:t>/202</w:t>
      </w:r>
      <w:r w:rsidRPr="00C12D08">
        <w:rPr>
          <w:rFonts w:asciiTheme="minorHAnsi" w:hAnsiTheme="minorHAnsi" w:cstheme="minorHAnsi" w:hint="cs"/>
          <w:b/>
          <w:bCs/>
          <w:sz w:val="28"/>
          <w:szCs w:val="28"/>
          <w:rtl/>
        </w:rPr>
        <w:t>6</w:t>
      </w:r>
      <w:r w:rsidRPr="00C12D0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להותיר את הריבית ללא שינוי ברמה של 4%</w:t>
      </w:r>
    </w:p>
    <w:p w:rsidR="00C12D08" w:rsidRPr="00C12D08" w:rsidRDefault="00C12D08" w:rsidP="00C12D08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/>
          <w:b/>
          <w:bCs/>
          <w:rtl/>
        </w:rPr>
        <w:t>אי הודאות הגיאופוליטית שבה לעלות בימים האחרונים על רקע עימות אפשרי מול איראן</w:t>
      </w:r>
      <w:r w:rsidRPr="001365FF">
        <w:rPr>
          <w:rFonts w:asciiTheme="minorHAnsi" w:hAnsiTheme="minorHAnsi" w:cs="Calibri" w:hint="cs"/>
          <w:b/>
          <w:bCs/>
          <w:rtl/>
        </w:rPr>
        <w:t>, ופרמיית הסיכון של ישראל עלתה במעט</w:t>
      </w:r>
      <w:r w:rsidRPr="001365FF">
        <w:rPr>
          <w:rFonts w:asciiTheme="minorHAnsi" w:hAnsiTheme="minorHAnsi" w:cs="Calibri"/>
          <w:b/>
          <w:bCs/>
          <w:rtl/>
        </w:rPr>
        <w:t>.</w:t>
      </w: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/>
          <w:b/>
          <w:bCs/>
          <w:rtl/>
        </w:rPr>
        <w:t>התפתחות האינפלציה השנתית תואמת את ההערכות הקודמות: לאחר מדד דצמבר האינפלציה השנתית עלתה, ולאחר מדד ינואר התמתנה לקרבת מרכז היעד ועמדה על 1.8%</w:t>
      </w:r>
      <w:r w:rsidRPr="001365FF">
        <w:rPr>
          <w:rFonts w:asciiTheme="minorHAnsi" w:hAnsiTheme="minorHAnsi" w:cs="Calibri" w:hint="cs"/>
          <w:b/>
          <w:bCs/>
          <w:rtl/>
        </w:rPr>
        <w:t>.</w:t>
      </w: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 w:hint="cs"/>
          <w:b/>
          <w:bCs/>
          <w:rtl/>
        </w:rPr>
        <w:t>בסיכום התקופה הנסקרת</w:t>
      </w:r>
      <w:r w:rsidRPr="001365FF">
        <w:rPr>
          <w:rFonts w:asciiTheme="minorHAnsi" w:hAnsiTheme="minorHAnsi" w:cs="Calibri"/>
          <w:b/>
          <w:bCs/>
          <w:rtl/>
        </w:rPr>
        <w:t>, השקל התחזק בשיעור של 1.1% מול הדולר, ושל 0.4% מול האירו.</w:t>
      </w:r>
      <w:r w:rsidRPr="001365FF">
        <w:rPr>
          <w:rFonts w:asciiTheme="minorHAnsi" w:hAnsiTheme="minorHAnsi" w:cs="Calibri" w:hint="cs"/>
          <w:b/>
          <w:bCs/>
          <w:rtl/>
        </w:rPr>
        <w:t xml:space="preserve"> </w:t>
      </w: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/>
          <w:b/>
          <w:bCs/>
          <w:rtl/>
        </w:rPr>
        <w:t xml:space="preserve">מהאומדן הראשון לנתוני החשבונאות הלאומית לרבעון הרביעי </w:t>
      </w:r>
      <w:r w:rsidRPr="001365FF">
        <w:rPr>
          <w:rFonts w:asciiTheme="minorHAnsi" w:hAnsiTheme="minorHAnsi" w:cs="Calibri" w:hint="cs"/>
          <w:b/>
          <w:bCs/>
          <w:rtl/>
        </w:rPr>
        <w:t xml:space="preserve">של </w:t>
      </w:r>
      <w:r w:rsidRPr="001365FF">
        <w:rPr>
          <w:rFonts w:asciiTheme="minorHAnsi" w:hAnsiTheme="minorHAnsi" w:cs="Calibri"/>
          <w:b/>
          <w:bCs/>
          <w:rtl/>
        </w:rPr>
        <w:t>שנת 2025 עולה כי קצב הצמיחה הרבעונית עמד על 4% (במונחים שנתיים בניכוי עונתיות), מעל המגמה ארוכת הטווח</w:t>
      </w:r>
      <w:r w:rsidRPr="001365FF">
        <w:rPr>
          <w:rFonts w:asciiTheme="minorHAnsi" w:hAnsiTheme="minorHAnsi" w:cs="Calibri" w:hint="cs"/>
          <w:b/>
          <w:bCs/>
          <w:rtl/>
        </w:rPr>
        <w:t>.</w:t>
      </w: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/>
          <w:b/>
          <w:bCs/>
          <w:rtl/>
        </w:rPr>
        <w:t xml:space="preserve">שוק העבודה נותר הדוק ומגבלת ההיצע עדיין משמעותית. </w:t>
      </w:r>
    </w:p>
    <w:p w:rsidR="00F234B7" w:rsidRPr="001365FF" w:rsidRDefault="00F234B7" w:rsidP="00F234B7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1365FF">
        <w:rPr>
          <w:rFonts w:asciiTheme="minorHAnsi" w:hAnsiTheme="minorHAnsi" w:cs="Calibri"/>
          <w:b/>
          <w:bCs/>
          <w:rtl/>
        </w:rPr>
        <w:t>קצב העלייה השנתי של סעיף שירותי דיור בבעלות הדיירים (שכר דירה בחוזים חדשים ומתחדשים) עלה מ-2.6% במדד נובמבר ל-3.8% במדד ינואר. קצב העלייה השנתי בחוזים בהם הייתה תחלופת שוכר עלה מ-4.6% בדצמבר ל-6% בינואר.</w:t>
      </w:r>
      <w:r w:rsidRPr="001365FF">
        <w:rPr>
          <w:rFonts w:asciiTheme="minorHAnsi" w:hAnsiTheme="minorHAnsi" w:cs="Calibri" w:hint="cs"/>
          <w:b/>
          <w:bCs/>
          <w:rtl/>
        </w:rPr>
        <w:t xml:space="preserve"> </w:t>
      </w:r>
      <w:r w:rsidRPr="001365FF">
        <w:rPr>
          <w:rFonts w:asciiTheme="minorHAnsi" w:hAnsiTheme="minorHAnsi" w:cs="Calibri"/>
          <w:b/>
          <w:bCs/>
          <w:rtl/>
        </w:rPr>
        <w:t>מחירי הדירות שבו לעלות</w:t>
      </w:r>
      <w:r w:rsidRPr="001365FF">
        <w:rPr>
          <w:rFonts w:asciiTheme="minorHAnsi" w:hAnsiTheme="minorHAnsi" w:cs="Calibri" w:hint="cs"/>
          <w:b/>
          <w:bCs/>
          <w:rtl/>
        </w:rPr>
        <w:t xml:space="preserve"> בשני המדדים האחרונים.</w:t>
      </w:r>
    </w:p>
    <w:p w:rsidR="00F234B7" w:rsidRPr="001365FF" w:rsidRDefault="00F234B7" w:rsidP="00F234B7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1365FF">
        <w:rPr>
          <w:rFonts w:asciiTheme="minorHAnsi" w:hAnsiTheme="minorHAnsi" w:cs="Calibr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המשק, לאי הוודאות הגיאופוליטית ולהתפתחויות הפיסקליות.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אי הודאות הגיאופוליטית שבה לעלות בימים האחרונים על רקע עימות </w:t>
      </w:r>
      <w:r w:rsidRPr="001365FF">
        <w:rPr>
          <w:rFonts w:asciiTheme="minorHAnsi" w:hAnsiTheme="minorHAnsi" w:cstheme="minorHAnsi" w:hint="cs"/>
          <w:rtl/>
        </w:rPr>
        <w:t xml:space="preserve">אפשרי </w:t>
      </w:r>
      <w:r w:rsidRPr="001365FF">
        <w:rPr>
          <w:rFonts w:asciiTheme="minorHAnsi" w:hAnsiTheme="minorHAnsi" w:cstheme="minorHAnsi"/>
          <w:rtl/>
        </w:rPr>
        <w:t>מול איראן. האינפלציה הוסיפה להתמתן והפעילות במשק ממשיכה להתרחב</w:t>
      </w:r>
      <w:r w:rsidRPr="001365FF">
        <w:rPr>
          <w:rFonts w:asciiTheme="minorHAnsi" w:hAnsiTheme="minorHAnsi" w:cstheme="minorHAnsi" w:hint="cs"/>
          <w:rtl/>
        </w:rPr>
        <w:t>.</w:t>
      </w:r>
      <w:r w:rsidRPr="001365FF">
        <w:rPr>
          <w:rFonts w:asciiTheme="minorHAnsi" w:hAnsiTheme="minorHAnsi" w:cstheme="minorHAnsi"/>
          <w:rtl/>
        </w:rPr>
        <w:t xml:space="preserve"> שוק 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>עבודה</w:t>
      </w:r>
      <w:r w:rsidRPr="001365FF">
        <w:rPr>
          <w:rFonts w:asciiTheme="minorHAnsi" w:hAnsiTheme="minorHAnsi" w:cstheme="minorHAnsi" w:hint="cs"/>
          <w:rtl/>
        </w:rPr>
        <w:t xml:space="preserve"> עודנו הדוק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 w:hint="cs"/>
          <w:rtl/>
        </w:rPr>
        <w:t xml:space="preserve">נוכח </w:t>
      </w:r>
      <w:r w:rsidRPr="001365FF">
        <w:rPr>
          <w:rFonts w:asciiTheme="minorHAnsi" w:hAnsiTheme="minorHAnsi" w:cstheme="minorHAnsi"/>
          <w:rtl/>
        </w:rPr>
        <w:t xml:space="preserve">מגבלות 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 xml:space="preserve">היצע. </w:t>
      </w:r>
      <w:r w:rsidRPr="001365FF">
        <w:rPr>
          <w:rFonts w:asciiTheme="minorHAnsi" w:hAnsiTheme="minorHAnsi" w:cstheme="minorHAnsi" w:hint="cs"/>
          <w:rtl/>
        </w:rPr>
        <w:t>מאז החלטת הריבית האחרונה</w:t>
      </w:r>
      <w:r w:rsidRPr="001365FF">
        <w:rPr>
          <w:rFonts w:asciiTheme="minorHAnsi" w:hAnsiTheme="minorHAnsi" w:cstheme="minorHAnsi"/>
          <w:rtl/>
        </w:rPr>
        <w:t xml:space="preserve"> השקל התחזק במעט</w:t>
      </w:r>
      <w:r w:rsidRPr="001365FF">
        <w:rPr>
          <w:rFonts w:asciiTheme="minorHAnsi" w:hAnsiTheme="minorHAnsi" w:cstheme="minorHAnsi" w:hint="cs"/>
          <w:rtl/>
        </w:rPr>
        <w:t xml:space="preserve"> מול הדולר, </w:t>
      </w:r>
      <w:r w:rsidRPr="001365FF">
        <w:rPr>
          <w:rFonts w:asciiTheme="minorHAnsi" w:hAnsiTheme="minorHAnsi" w:cstheme="minorHAnsi"/>
          <w:rtl/>
        </w:rPr>
        <w:t>בדומה למגמה העולמית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ופרמיית הסיכון של ישראל עלתה מעט.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p w:rsidR="00C12D08" w:rsidRDefault="00F234B7" w:rsidP="00F234B7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מדד המחירים לצרכן בחודש דצמבר נותר ללא שינוי ובחודש ינואר ירד ב-0.3%. </w:t>
      </w:r>
      <w:r w:rsidRPr="001365FF">
        <w:rPr>
          <w:rFonts w:asciiTheme="minorHAnsi" w:hAnsiTheme="minorHAnsi" w:cstheme="minorHAnsi" w:hint="cs"/>
          <w:rtl/>
        </w:rPr>
        <w:t xml:space="preserve">התפתחות </w:t>
      </w:r>
      <w:r w:rsidRPr="001365FF">
        <w:rPr>
          <w:rFonts w:asciiTheme="minorHAnsi" w:hAnsiTheme="minorHAnsi" w:cstheme="minorHAnsi"/>
          <w:rtl/>
        </w:rPr>
        <w:t xml:space="preserve">האינפלציה השנתית תואמת את ההערכות הקודמות: לאחר מדד דצמבר האינפלציה השנתית עלתה, ולאחר מדד ינואר התמתנה לקרבת מרכז היעד ועמדה על 1.8% </w:t>
      </w:r>
      <w:r w:rsidRPr="001365FF">
        <w:rPr>
          <w:rFonts w:asciiTheme="minorHAnsi" w:hAnsiTheme="minorHAnsi" w:cstheme="minorHAnsi"/>
          <w:b/>
          <w:bCs/>
          <w:rtl/>
        </w:rPr>
        <w:t>(איור 1).</w:t>
      </w:r>
      <w:r w:rsidRPr="001365FF">
        <w:rPr>
          <w:rFonts w:asciiTheme="minorHAnsi" w:hAnsiTheme="minorHAnsi" w:cstheme="minorHAnsi" w:hint="cs"/>
          <w:b/>
          <w:bCs/>
          <w:rtl/>
        </w:rPr>
        <w:t xml:space="preserve"> </w:t>
      </w:r>
      <w:r w:rsidRPr="001365FF">
        <w:rPr>
          <w:rFonts w:asciiTheme="minorHAnsi" w:hAnsiTheme="minorHAnsi" w:cstheme="minorHAnsi"/>
          <w:rtl/>
        </w:rPr>
        <w:t xml:space="preserve">בניכוי אנרגיה </w:t>
      </w:r>
      <w:proofErr w:type="spellStart"/>
      <w:r w:rsidRPr="001365FF">
        <w:rPr>
          <w:rFonts w:asciiTheme="minorHAnsi" w:hAnsiTheme="minorHAnsi" w:cstheme="minorHAnsi"/>
          <w:rtl/>
        </w:rPr>
        <w:t>ופו"י</w:t>
      </w:r>
      <w:proofErr w:type="spellEnd"/>
      <w:r w:rsidRPr="001365FF">
        <w:rPr>
          <w:rFonts w:asciiTheme="minorHAnsi" w:hAnsiTheme="minorHAnsi" w:cstheme="minorHAnsi"/>
          <w:rtl/>
        </w:rPr>
        <w:t xml:space="preserve"> השיעור השנתי של האינפלציה עמד </w:t>
      </w:r>
      <w:r w:rsidRPr="001365FF">
        <w:rPr>
          <w:rFonts w:asciiTheme="minorHAnsi" w:hAnsiTheme="minorHAnsi" w:cstheme="minorHAnsi" w:hint="cs"/>
          <w:rtl/>
        </w:rPr>
        <w:t xml:space="preserve">בינואר </w:t>
      </w:r>
      <w:r w:rsidRPr="001365FF">
        <w:rPr>
          <w:rFonts w:asciiTheme="minorHAnsi" w:hAnsiTheme="minorHAnsi" w:cstheme="minorHAnsi"/>
          <w:rtl/>
        </w:rPr>
        <w:t xml:space="preserve">על 1.9%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2). </w:t>
      </w:r>
      <w:r w:rsidRPr="001365FF">
        <w:rPr>
          <w:rFonts w:asciiTheme="minorHAnsi" w:hAnsiTheme="minorHAnsi" w:cstheme="minorHAnsi"/>
          <w:rtl/>
        </w:rPr>
        <w:t>קצב אינפלציית הבלתי סחירים ירד ועמד על 2.9% במונחים שנתיים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וקצב אינפלציית הסחירים ירד בחדות ועומד על 0.2%- ב-12 החודשים האחרונים</w:t>
      </w:r>
      <w:r w:rsidRPr="001365FF">
        <w:rPr>
          <w:rFonts w:asciiTheme="minorHAnsi" w:hAnsiTheme="minorHAnsi" w:cstheme="minorHAnsi"/>
          <w:b/>
          <w:bCs/>
          <w:rtl/>
        </w:rPr>
        <w:t xml:space="preserve"> (איור 3).</w:t>
      </w:r>
      <w:r w:rsidRPr="001365FF">
        <w:rPr>
          <w:rFonts w:asciiTheme="minorHAnsi" w:hAnsiTheme="minorHAnsi" w:cstheme="minorHAnsi"/>
          <w:rtl/>
        </w:rPr>
        <w:t xml:space="preserve"> החזאים צופים שהאינפלציה השנתית תשהה מעט מתחת לסביבת</w:t>
      </w:r>
    </w:p>
    <w:p w:rsidR="00F234B7" w:rsidRPr="001365FF" w:rsidRDefault="00F234B7" w:rsidP="00C12D08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bookmarkStart w:id="0" w:name="_GoBack"/>
      <w:bookmarkEnd w:id="0"/>
      <w:r w:rsidRPr="001365FF">
        <w:rPr>
          <w:rFonts w:asciiTheme="minorHAnsi" w:hAnsiTheme="minorHAnsi" w:cstheme="minorHAnsi"/>
          <w:rtl/>
        </w:rPr>
        <w:lastRenderedPageBreak/>
        <w:t xml:space="preserve">מרכז היעד </w:t>
      </w:r>
      <w:r w:rsidRPr="001365FF">
        <w:rPr>
          <w:rFonts w:asciiTheme="minorHAnsi" w:hAnsiTheme="minorHAnsi" w:cstheme="minorHAnsi" w:hint="cs"/>
          <w:rtl/>
        </w:rPr>
        <w:t>במהלך</w:t>
      </w:r>
      <w:r w:rsidRPr="001365FF">
        <w:rPr>
          <w:rFonts w:asciiTheme="minorHAnsi" w:hAnsiTheme="minorHAnsi" w:cstheme="minorHAnsi"/>
          <w:rtl/>
        </w:rPr>
        <w:t xml:space="preserve"> השנה</w:t>
      </w:r>
      <w:r w:rsidRPr="001365FF">
        <w:rPr>
          <w:rFonts w:asciiTheme="minorHAnsi" w:hAnsiTheme="minorHAnsi" w:cstheme="minorHAnsi"/>
          <w:b/>
          <w:bCs/>
          <w:rtl/>
        </w:rPr>
        <w:t xml:space="preserve"> (איור 5). </w:t>
      </w:r>
      <w:r w:rsidRPr="001365FF">
        <w:rPr>
          <w:rFonts w:asciiTheme="minorHAnsi" w:hAnsiTheme="minorHAnsi" w:cstheme="minorHAnsi"/>
          <w:rtl/>
        </w:rPr>
        <w:t xml:space="preserve">הציפיות לאינפלציה לשנה קדימה מהמקורות השונים </w:t>
      </w:r>
      <w:r w:rsidRPr="001365FF">
        <w:rPr>
          <w:rFonts w:asciiTheme="minorHAnsi" w:hAnsiTheme="minorHAnsi" w:cstheme="minorHAnsi" w:hint="cs"/>
          <w:rtl/>
        </w:rPr>
        <w:t xml:space="preserve">מצויות </w:t>
      </w:r>
      <w:r w:rsidRPr="001365FF">
        <w:rPr>
          <w:rFonts w:asciiTheme="minorHAnsi" w:hAnsiTheme="minorHAnsi" w:cstheme="minorHAnsi"/>
          <w:rtl/>
        </w:rPr>
        <w:t>בממוצע ברמה הנמוכה מעט ממרכז היעד</w:t>
      </w:r>
      <w:r w:rsidRPr="001365FF">
        <w:rPr>
          <w:rFonts w:asciiTheme="minorHAnsi" w:hAnsiTheme="minorHAnsi" w:cstheme="minorHAnsi"/>
          <w:b/>
          <w:bCs/>
          <w:rtl/>
        </w:rPr>
        <w:t xml:space="preserve"> (איור 6)</w:t>
      </w:r>
      <w:r w:rsidRPr="001365FF">
        <w:rPr>
          <w:rFonts w:asciiTheme="minorHAnsi" w:hAnsiTheme="minorHAnsi" w:cstheme="minorHAnsi"/>
          <w:rtl/>
        </w:rPr>
        <w:t>.</w:t>
      </w:r>
      <w:r w:rsidRPr="001365FF">
        <w:rPr>
          <w:rFonts w:asciiTheme="minorHAnsi" w:hAnsiTheme="minorHAnsi" w:cstheme="minorHAnsi"/>
          <w:b/>
          <w:bCs/>
          <w:rtl/>
        </w:rPr>
        <w:t xml:space="preserve"> </w:t>
      </w:r>
      <w:r w:rsidRPr="001365FF">
        <w:rPr>
          <w:rFonts w:asciiTheme="minorHAnsi" w:hAnsiTheme="minorHAnsi" w:cstheme="minorHAnsi"/>
          <w:rtl/>
        </w:rPr>
        <w:t xml:space="preserve">הציפיות לשנה השנייה ואילך מוסיפות לשהות </w:t>
      </w:r>
      <w:r w:rsidRPr="001365FF">
        <w:rPr>
          <w:rFonts w:asciiTheme="minorHAnsi" w:hAnsiTheme="minorHAnsi" w:cstheme="minorHAnsi" w:hint="cs"/>
          <w:rtl/>
        </w:rPr>
        <w:t xml:space="preserve">בסביבת </w:t>
      </w:r>
      <w:r w:rsidRPr="001365FF">
        <w:rPr>
          <w:rFonts w:asciiTheme="minorHAnsi" w:hAnsiTheme="minorHAnsi" w:cstheme="minorHAnsi"/>
          <w:rtl/>
        </w:rPr>
        <w:t>מרכז היעד</w:t>
      </w:r>
      <w:r w:rsidRPr="001365FF" w:rsidDel="00F51B6D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/>
          <w:b/>
          <w:bCs/>
          <w:rtl/>
        </w:rPr>
        <w:t>(איור 7).</w:t>
      </w:r>
      <w:r w:rsidRPr="001365FF">
        <w:rPr>
          <w:rFonts w:asciiTheme="minorHAnsi" w:hAnsiTheme="minorHAnsi" w:cstheme="minorHAnsi"/>
          <w:rtl/>
        </w:rPr>
        <w:t xml:space="preserve"> 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להערכת הוועדה </w:t>
      </w:r>
      <w:r w:rsidRPr="001365FF">
        <w:rPr>
          <w:rFonts w:asciiTheme="minorHAnsi" w:hAnsiTheme="minorHAnsi" w:cstheme="minorHAnsi" w:hint="cs"/>
          <w:rtl/>
        </w:rPr>
        <w:t>עדיין</w:t>
      </w:r>
      <w:r w:rsidRPr="001365FF">
        <w:rPr>
          <w:rFonts w:asciiTheme="minorHAnsi" w:hAnsiTheme="minorHAnsi" w:cstheme="minorHAnsi"/>
          <w:rtl/>
        </w:rPr>
        <w:t xml:space="preserve"> קיימים מספר סיכונים לעלייה מחודשת </w:t>
      </w:r>
      <w:r w:rsidRPr="001365FF">
        <w:rPr>
          <w:rFonts w:asciiTheme="minorHAnsi" w:hAnsiTheme="minorHAnsi" w:cstheme="minorHAnsi" w:hint="cs"/>
          <w:rtl/>
        </w:rPr>
        <w:t>של ה</w:t>
      </w:r>
      <w:r w:rsidRPr="001365FF">
        <w:rPr>
          <w:rFonts w:asciiTheme="minorHAnsi" w:hAnsiTheme="minorHAnsi" w:cstheme="minorHAnsi"/>
          <w:rtl/>
        </w:rPr>
        <w:t xml:space="preserve">אינפלציה: ההתפתחויות הגיאופוליטיות והשפעותיהן על הפעילות במשק, עלייה </w:t>
      </w:r>
      <w:proofErr w:type="spellStart"/>
      <w:r w:rsidRPr="001365FF">
        <w:rPr>
          <w:rFonts w:asciiTheme="minorHAnsi" w:hAnsiTheme="minorHAnsi" w:cstheme="minorHAnsi"/>
          <w:rtl/>
        </w:rPr>
        <w:t>בביקושים</w:t>
      </w:r>
      <w:proofErr w:type="spellEnd"/>
      <w:r w:rsidRPr="001365FF">
        <w:rPr>
          <w:rFonts w:asciiTheme="minorHAnsi" w:hAnsiTheme="minorHAnsi" w:cstheme="minorHAnsi"/>
          <w:rtl/>
        </w:rPr>
        <w:t xml:space="preserve"> לצד מגבלות ההיצע וההתפתחויות הפיסקליות.</w:t>
      </w:r>
    </w:p>
    <w:p w:rsidR="00F234B7" w:rsidRPr="001365FF" w:rsidRDefault="00F234B7" w:rsidP="00F234B7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>מאז החלטת הריבית האחרונה, השקל התחזק בשיעור של 1.</w:t>
      </w:r>
      <w:r w:rsidRPr="001365FF">
        <w:rPr>
          <w:rFonts w:asciiTheme="minorHAnsi" w:hAnsiTheme="minorHAnsi" w:cstheme="minorHAnsi" w:hint="cs"/>
          <w:rtl/>
        </w:rPr>
        <w:t>1</w:t>
      </w:r>
      <w:r w:rsidRPr="001365FF">
        <w:rPr>
          <w:rFonts w:asciiTheme="minorHAnsi" w:hAnsiTheme="minorHAnsi" w:cstheme="minorHAnsi"/>
          <w:rtl/>
        </w:rPr>
        <w:t>% מול הדולר, ושל 0.</w:t>
      </w:r>
      <w:r w:rsidRPr="001365FF">
        <w:rPr>
          <w:rFonts w:asciiTheme="minorHAnsi" w:hAnsiTheme="minorHAnsi" w:cstheme="minorHAnsi" w:hint="cs"/>
          <w:rtl/>
        </w:rPr>
        <w:t>4</w:t>
      </w:r>
      <w:r w:rsidRPr="001365FF">
        <w:rPr>
          <w:rFonts w:asciiTheme="minorHAnsi" w:hAnsiTheme="minorHAnsi" w:cstheme="minorHAnsi"/>
          <w:rtl/>
        </w:rPr>
        <w:t>% מול האירו. במונחים נומינליים אפקטיביים התחזק השקל ב-</w:t>
      </w:r>
      <w:r w:rsidRPr="001365FF">
        <w:rPr>
          <w:rFonts w:asciiTheme="minorHAnsi" w:hAnsiTheme="minorHAnsi" w:cstheme="minorHAnsi" w:hint="cs"/>
          <w:rtl/>
        </w:rPr>
        <w:t xml:space="preserve">0.5%. </w:t>
      </w:r>
      <w:r w:rsidRPr="001365FF">
        <w:rPr>
          <w:rFonts w:asciiTheme="minorHAnsi" w:hAnsiTheme="minorHAnsi" w:cstheme="minorHAnsi"/>
          <w:rtl/>
        </w:rPr>
        <w:t xml:space="preserve"> </w:t>
      </w:r>
    </w:p>
    <w:p w:rsidR="00F234B7" w:rsidRPr="001365FF" w:rsidRDefault="00F234B7" w:rsidP="00F234B7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 w:hint="cs"/>
          <w:rtl/>
        </w:rPr>
        <w:t>מה</w:t>
      </w:r>
      <w:r w:rsidRPr="001365FF">
        <w:rPr>
          <w:rFonts w:asciiTheme="minorHAnsi" w:hAnsiTheme="minorHAnsi" w:cstheme="minorHAnsi"/>
          <w:rtl/>
        </w:rPr>
        <w:t xml:space="preserve">אומדן הראשון לנתוני החשבונאות הלאומית לרבעון הרביעי </w:t>
      </w:r>
      <w:r w:rsidRPr="001365FF">
        <w:rPr>
          <w:rFonts w:asciiTheme="minorHAnsi" w:hAnsiTheme="minorHAnsi" w:cstheme="minorHAnsi" w:hint="cs"/>
          <w:rtl/>
        </w:rPr>
        <w:t xml:space="preserve">של </w:t>
      </w:r>
      <w:r w:rsidRPr="001365FF">
        <w:rPr>
          <w:rFonts w:asciiTheme="minorHAnsi" w:hAnsiTheme="minorHAnsi" w:cstheme="minorHAnsi"/>
          <w:rtl/>
        </w:rPr>
        <w:t xml:space="preserve">שנת 2025 עולה כי </w:t>
      </w:r>
      <w:r w:rsidRPr="001365FF">
        <w:rPr>
          <w:rFonts w:asciiTheme="minorHAnsi" w:hAnsiTheme="minorHAnsi" w:cstheme="minorHAnsi" w:hint="cs"/>
          <w:rtl/>
        </w:rPr>
        <w:t xml:space="preserve">קצב </w:t>
      </w:r>
      <w:r w:rsidRPr="001365FF">
        <w:rPr>
          <w:rFonts w:asciiTheme="minorHAnsi" w:hAnsiTheme="minorHAnsi" w:cstheme="minorHAnsi"/>
          <w:rtl/>
        </w:rPr>
        <w:t xml:space="preserve">הצמיחה הרבעונית עמד על 4% (במונחים שנתיים בניכוי עונתיות), מעל המגמה ארוכת הטווח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10</w:t>
      </w:r>
      <w:r w:rsidRPr="001365FF">
        <w:rPr>
          <w:rFonts w:asciiTheme="minorHAnsi" w:hAnsiTheme="minorHAnsi" w:cstheme="minorHAnsi"/>
          <w:b/>
          <w:bCs/>
          <w:rtl/>
        </w:rPr>
        <w:t>).</w:t>
      </w:r>
      <w:r w:rsidRPr="001365FF">
        <w:rPr>
          <w:rFonts w:asciiTheme="minorHAnsi" w:hAnsiTheme="minorHAnsi" w:cstheme="minorHAnsi"/>
          <w:rtl/>
        </w:rPr>
        <w:t xml:space="preserve"> הגידול בתוצר ברבעון הרביעי הושפע מעלייה חדה בייצוא של 25.6%.</w:t>
      </w:r>
      <w:r w:rsidRPr="001365FF">
        <w:rPr>
          <w:rFonts w:asciiTheme="minorHAnsi" w:hAnsiTheme="minorHAnsi" w:cstheme="minorHAnsi" w:hint="cs"/>
          <w:rtl/>
        </w:rPr>
        <w:t xml:space="preserve"> </w:t>
      </w:r>
      <w:r w:rsidRPr="001365FF">
        <w:rPr>
          <w:rFonts w:asciiTheme="minorHAnsi" w:hAnsiTheme="minorHAnsi" w:cstheme="minorHAnsi"/>
          <w:rtl/>
        </w:rPr>
        <w:t>הצריכה השוטפת צמחה ב-3.6% במונחים שנתיים, בסביבת קו המגמה</w:t>
      </w:r>
      <w:r w:rsidRPr="001365FF">
        <w:rPr>
          <w:rFonts w:asciiTheme="minorHAnsi" w:hAnsiTheme="minorHAnsi" w:cstheme="minorHAnsi" w:hint="cs"/>
          <w:rtl/>
        </w:rPr>
        <w:t>.</w:t>
      </w:r>
      <w:r w:rsidRPr="001365FF">
        <w:rPr>
          <w:rFonts w:asciiTheme="minorHAnsi" w:hAnsiTheme="minorHAnsi" w:cstheme="minorHAnsi"/>
          <w:rtl/>
        </w:rPr>
        <w:t xml:space="preserve"> לצד זאת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נרשמה ירידה </w:t>
      </w:r>
      <w:r w:rsidRPr="001365FF">
        <w:rPr>
          <w:rFonts w:asciiTheme="minorHAnsi" w:hAnsiTheme="minorHAnsi" w:cstheme="minorHAnsi" w:hint="cs"/>
          <w:rtl/>
        </w:rPr>
        <w:t>ב</w:t>
      </w:r>
      <w:r w:rsidRPr="001365FF">
        <w:rPr>
          <w:rFonts w:asciiTheme="minorHAnsi" w:hAnsiTheme="minorHAnsi" w:cstheme="minorHAnsi"/>
          <w:rtl/>
        </w:rPr>
        <w:t xml:space="preserve">צריכת מוצרים בני קיימא </w:t>
      </w:r>
      <w:r w:rsidRPr="001365FF">
        <w:rPr>
          <w:rFonts w:asciiTheme="minorHAnsi" w:hAnsiTheme="minorHAnsi" w:cstheme="minorHAnsi" w:hint="cs"/>
          <w:rtl/>
        </w:rPr>
        <w:t xml:space="preserve">לאחר </w:t>
      </w:r>
      <w:r w:rsidRPr="001365FF">
        <w:rPr>
          <w:rFonts w:asciiTheme="minorHAnsi" w:hAnsiTheme="minorHAnsi" w:cstheme="minorHAnsi"/>
          <w:rtl/>
        </w:rPr>
        <w:t xml:space="preserve">צמיחה </w:t>
      </w:r>
      <w:r w:rsidRPr="001365FF">
        <w:rPr>
          <w:rFonts w:asciiTheme="minorHAnsi" w:hAnsiTheme="minorHAnsi" w:cstheme="minorHAnsi" w:hint="cs"/>
          <w:rtl/>
        </w:rPr>
        <w:t xml:space="preserve">חריגה </w:t>
      </w:r>
      <w:r w:rsidRPr="001365FF">
        <w:rPr>
          <w:rFonts w:asciiTheme="minorHAnsi" w:hAnsiTheme="minorHAnsi" w:cstheme="minorHAnsi"/>
          <w:rtl/>
        </w:rPr>
        <w:t xml:space="preserve">ברבעון השלישי </w:t>
      </w:r>
      <w:r w:rsidRPr="001365FF">
        <w:rPr>
          <w:rFonts w:asciiTheme="minorHAnsi" w:hAnsiTheme="minorHAnsi" w:cstheme="minorHAnsi"/>
          <w:b/>
          <w:bCs/>
          <w:rtl/>
        </w:rPr>
        <w:t>(לוח 1).</w:t>
      </w:r>
      <w:r w:rsidRPr="001365FF">
        <w:rPr>
          <w:rFonts w:asciiTheme="minorHAnsi" w:hAnsiTheme="minorHAnsi" w:cstheme="minorHAnsi" w:hint="cs"/>
          <w:rtl/>
        </w:rPr>
        <w:t xml:space="preserve"> </w:t>
      </w:r>
      <w:r w:rsidRPr="001365FF">
        <w:rPr>
          <w:rFonts w:asciiTheme="minorHAnsi" w:hAnsiTheme="minorHAnsi" w:cstheme="minorHAnsi"/>
          <w:rtl/>
        </w:rPr>
        <w:t xml:space="preserve">הצריכה הציבורית ללא יבוא ביטחוני ירדה במתינות, והתוצר העסקי צמח ב-7.1% (במונחים שנתיים בניכוי עונתיות). במקביל, עודכנו נתוני </w:t>
      </w:r>
      <w:r w:rsidRPr="001365FF">
        <w:rPr>
          <w:rFonts w:asciiTheme="minorHAnsi" w:hAnsiTheme="minorHAnsi" w:cstheme="minorHAnsi" w:hint="cs"/>
          <w:rtl/>
        </w:rPr>
        <w:t xml:space="preserve">צמיחת </w:t>
      </w:r>
      <w:r w:rsidRPr="001365FF">
        <w:rPr>
          <w:rFonts w:asciiTheme="minorHAnsi" w:hAnsiTheme="minorHAnsi" w:cstheme="minorHAnsi"/>
          <w:rtl/>
        </w:rPr>
        <w:t>התוצר עבור הרבעון השלישי של שנת 2025 כלפי מעלה ל-12.7%</w:t>
      </w:r>
      <w:r w:rsidRPr="001365FF">
        <w:rPr>
          <w:rFonts w:asciiTheme="minorHAnsi" w:hAnsiTheme="minorHAnsi" w:cstheme="minorHAnsi" w:hint="cs"/>
          <w:rtl/>
        </w:rPr>
        <w:t xml:space="preserve"> (מ-11.1%)</w:t>
      </w:r>
      <w:r w:rsidRPr="001365FF">
        <w:rPr>
          <w:rFonts w:asciiTheme="minorHAnsi" w:hAnsiTheme="minorHAnsi" w:cstheme="minorHAnsi"/>
          <w:rtl/>
        </w:rPr>
        <w:t>. בסיכום השנה ולאור העדכון של נתוני העבר, צמח התוצר בקצב של 3.1%, גבוה במעט מה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 xml:space="preserve">ערכות 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>קודמות</w:t>
      </w:r>
      <w:r>
        <w:rPr>
          <w:rFonts w:asciiTheme="minorHAnsi" w:hAnsiTheme="minorHAnsi" w:cstheme="minorHAnsi" w:hint="cs"/>
          <w:rtl/>
        </w:rPr>
        <w:t xml:space="preserve"> </w:t>
      </w:r>
      <w:r w:rsidRPr="006707E5">
        <w:rPr>
          <w:rFonts w:asciiTheme="minorHAnsi" w:hAnsiTheme="minorHAnsi" w:cstheme="minorHAnsi" w:hint="cs"/>
          <w:b/>
          <w:bCs/>
          <w:rtl/>
        </w:rPr>
        <w:t>(איור 11)</w:t>
      </w:r>
    </w:p>
    <w:p w:rsidR="00F234B7" w:rsidRPr="001365FF" w:rsidRDefault="00F234B7" w:rsidP="00F234B7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האינדיקטורים השוטפים לפעילות המשק מצביעים על המשך התרחבות. נתוני ההוצאות בכרטיסי אשראי מצביעים על עליה קלה בחודש ינואר ביחס לממוצע ברבעון הקודם, ונעים סביב קו המגמה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3</w:t>
      </w:r>
      <w:r w:rsidRPr="001365FF">
        <w:rPr>
          <w:rFonts w:asciiTheme="minorHAnsi" w:hAnsiTheme="minorHAnsi" w:cstheme="minorHAnsi"/>
          <w:b/>
          <w:bCs/>
          <w:rtl/>
        </w:rPr>
        <w:t>).</w:t>
      </w:r>
      <w:r w:rsidRPr="001365FF">
        <w:rPr>
          <w:rFonts w:asciiTheme="minorHAnsi" w:hAnsiTheme="minorHAnsi" w:cstheme="minorHAnsi"/>
          <w:rtl/>
        </w:rPr>
        <w:t xml:space="preserve"> המאזן המצרפי בסקר המגמות בעסקים של </w:t>
      </w:r>
      <w:proofErr w:type="spellStart"/>
      <w:r w:rsidRPr="001365FF">
        <w:rPr>
          <w:rFonts w:asciiTheme="minorHAnsi" w:hAnsiTheme="minorHAnsi" w:cstheme="minorHAnsi"/>
          <w:rtl/>
        </w:rPr>
        <w:t>הלמ"ס</w:t>
      </w:r>
      <w:proofErr w:type="spellEnd"/>
      <w:r w:rsidRPr="001365FF">
        <w:rPr>
          <w:rFonts w:asciiTheme="minorHAnsi" w:hAnsiTheme="minorHAnsi" w:cstheme="minorHAnsi"/>
          <w:rtl/>
        </w:rPr>
        <w:t xml:space="preserve"> (בניכוי עונתיות) לחודש ינואר נותר יציב, אולם עדיין נמוך מרמתו ערב המלחמה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2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 xml:space="preserve">. בענף הבינוי שבה לעלות מגבלת הביקוש, לאחר </w:t>
      </w:r>
      <w:r w:rsidRPr="001365FF">
        <w:rPr>
          <w:rFonts w:asciiTheme="minorHAnsi" w:hAnsiTheme="minorHAnsi" w:cstheme="minorHAnsi" w:hint="cs"/>
          <w:rtl/>
        </w:rPr>
        <w:t xml:space="preserve">הקלה במגבלה זו </w:t>
      </w:r>
      <w:r w:rsidRPr="001365FF">
        <w:rPr>
          <w:rFonts w:asciiTheme="minorHAnsi" w:hAnsiTheme="minorHAnsi" w:cstheme="minorHAnsi"/>
          <w:rtl/>
        </w:rPr>
        <w:t>בחודשים האחרונים</w:t>
      </w:r>
      <w:r w:rsidRPr="001365FF">
        <w:rPr>
          <w:rFonts w:asciiTheme="minorHAnsi" w:hAnsiTheme="minorHAnsi" w:cstheme="minorHAnsi"/>
          <w:shd w:val="clear" w:color="auto" w:fill="FFFFFF" w:themeFill="background1"/>
          <w:rtl/>
        </w:rPr>
        <w:t>. מדד אמון הצרכנים בחודש ינואר הוסיף לעלות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/>
          <w:shd w:val="clear" w:color="auto" w:fill="FFFFFF" w:themeFill="background1"/>
          <w:rtl/>
        </w:rPr>
        <w:t>ונמצא ברמה גבוהה יותר בהשוואה לתקופה של טרום המלחמה. גיוסי</w:t>
      </w:r>
      <w:r w:rsidRPr="001365FF">
        <w:rPr>
          <w:rFonts w:asciiTheme="minorHAnsi" w:hAnsiTheme="minorHAnsi" w:cstheme="minorHAnsi"/>
          <w:rtl/>
        </w:rPr>
        <w:t xml:space="preserve"> ההון במגזר ההייטק ברבעון הראשון של השנה מוסיפים לשהות ברמה גבוהה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4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>. בחודש ינואר, חלה עלייה מתונה בייבוא הסחורות, בהובלת הגידול בייבוא מוצרי צריכה ומוצרי השקעה, בעוד שייבוא חומרי הגלם נותר יציב. יצוא הסחורות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שמתאושש בהדרגה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נותר יציב בינואר ורמתו גבוהה בהשוואה לשנה האחרונה. בחודש ינואר הגירעון בסחר הסחורות נותר ברמה גבוהה.</w:t>
      </w:r>
    </w:p>
    <w:p w:rsidR="00F234B7" w:rsidRPr="001365FF" w:rsidRDefault="00F234B7" w:rsidP="00F234B7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הגירעון המצטבר בתקציב המדינה ב-12 החודשים האחרונים, עלה ועמד על 4.9 אחוזי תוצר בחודש ינואר. שנת 2026 החלה עם תקציב המשכי, זאת מאחר </w:t>
      </w:r>
      <w:r w:rsidRPr="001365FF">
        <w:rPr>
          <w:rFonts w:asciiTheme="minorHAnsi" w:hAnsiTheme="minorHAnsi" w:cstheme="minorHAnsi" w:hint="cs"/>
          <w:rtl/>
        </w:rPr>
        <w:t>ש</w:t>
      </w:r>
      <w:r w:rsidRPr="001365FF">
        <w:rPr>
          <w:rFonts w:asciiTheme="minorHAnsi" w:hAnsiTheme="minorHAnsi" w:cstheme="minorHAnsi"/>
          <w:rtl/>
        </w:rPr>
        <w:t xml:space="preserve">תקציב המדינה טרם אושר בכנסת. תקבולי הממשלה ממיסים ישירים בחודש זה (במחירים קבועים ובניכוי שינויי חקיקה והכנסות חד פעמיות) נמצאים ברמה גבוהה בהשוואה למגמה ארוכת הטווח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5</w:t>
      </w:r>
      <w:r w:rsidRPr="001365FF">
        <w:rPr>
          <w:rFonts w:asciiTheme="minorHAnsi" w:hAnsiTheme="minorHAnsi" w:cstheme="minorHAnsi"/>
          <w:b/>
          <w:bCs/>
          <w:rtl/>
        </w:rPr>
        <w:t>).</w:t>
      </w:r>
      <w:r w:rsidRPr="001365FF">
        <w:rPr>
          <w:rFonts w:asciiTheme="minorHAnsi" w:hAnsiTheme="minorHAnsi" w:cstheme="minorHAnsi"/>
          <w:rtl/>
        </w:rPr>
        <w:t xml:space="preserve"> </w:t>
      </w:r>
    </w:p>
    <w:p w:rsidR="00F234B7" w:rsidRPr="001365FF" w:rsidRDefault="00F234B7" w:rsidP="00F234B7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</w:p>
    <w:p w:rsidR="00F234B7" w:rsidRPr="001365FF" w:rsidRDefault="00F234B7" w:rsidP="00F234B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שוק העבודה נותר הדוק ומגבלת ההיצע עדיין </w:t>
      </w:r>
      <w:r w:rsidRPr="001365FF">
        <w:rPr>
          <w:rFonts w:asciiTheme="minorHAnsi" w:hAnsiTheme="minorHAnsi" w:cstheme="minorHAnsi" w:hint="eastAsia"/>
          <w:rtl/>
        </w:rPr>
        <w:t>משמעותית</w:t>
      </w:r>
      <w:r w:rsidRPr="001365FF">
        <w:rPr>
          <w:rFonts w:asciiTheme="minorHAnsi" w:hAnsiTheme="minorHAnsi" w:cstheme="minorHAnsi"/>
          <w:rtl/>
        </w:rPr>
        <w:t xml:space="preserve">. יחס </w:t>
      </w:r>
      <w:r w:rsidRPr="001365FF">
        <w:rPr>
          <w:rFonts w:asciiTheme="minorHAnsi" w:hAnsiTheme="minorHAnsi" w:cstheme="minorHAnsi" w:hint="cs"/>
          <w:rtl/>
        </w:rPr>
        <w:t>מספר ה</w:t>
      </w:r>
      <w:r w:rsidRPr="001365FF">
        <w:rPr>
          <w:rFonts w:asciiTheme="minorHAnsi" w:hAnsiTheme="minorHAnsi" w:cstheme="minorHAnsi"/>
          <w:rtl/>
        </w:rPr>
        <w:t xml:space="preserve">משרות 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 xml:space="preserve">פנויות למספר </w:t>
      </w:r>
      <w:r w:rsidRPr="001365FF">
        <w:rPr>
          <w:rFonts w:asciiTheme="minorHAnsi" w:hAnsiTheme="minorHAnsi" w:cstheme="minorHAnsi" w:hint="cs"/>
          <w:rtl/>
        </w:rPr>
        <w:t>ה</w:t>
      </w:r>
      <w:r w:rsidRPr="001365FF">
        <w:rPr>
          <w:rFonts w:asciiTheme="minorHAnsi" w:hAnsiTheme="minorHAnsi" w:cstheme="minorHAnsi"/>
          <w:rtl/>
        </w:rPr>
        <w:t xml:space="preserve">מובטלים נותר גבוה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7</w:t>
      </w:r>
      <w:r w:rsidRPr="001365FF">
        <w:rPr>
          <w:rFonts w:asciiTheme="minorHAnsi" w:hAnsiTheme="minorHAnsi" w:cstheme="minorHAnsi"/>
          <w:b/>
          <w:bCs/>
          <w:rtl/>
        </w:rPr>
        <w:t>ב'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 xml:space="preserve"> כאשר שיעור המשרות הפנויות יציב ועמד בחודש</w:t>
      </w:r>
      <w:r w:rsidRPr="001365FF">
        <w:rPr>
          <w:rFonts w:asciiTheme="minorHAnsi" w:hAnsiTheme="minorHAnsi" w:cstheme="minorHAnsi" w:hint="cs"/>
          <w:rtl/>
        </w:rPr>
        <w:t>ים דצמבר וינואר</w:t>
      </w:r>
      <w:r w:rsidRPr="001365FF">
        <w:rPr>
          <w:rFonts w:asciiTheme="minorHAnsi" w:hAnsiTheme="minorHAnsi" w:cstheme="minorHAnsi"/>
          <w:rtl/>
        </w:rPr>
        <w:t xml:space="preserve"> על 4.6%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17</w:t>
      </w:r>
      <w:r w:rsidRPr="001365FF">
        <w:rPr>
          <w:rFonts w:asciiTheme="minorHAnsi" w:hAnsiTheme="minorHAnsi" w:cstheme="minorHAnsi"/>
          <w:b/>
          <w:bCs/>
          <w:rtl/>
        </w:rPr>
        <w:t>א'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>.</w:t>
      </w:r>
      <w:r w:rsidRPr="001365FF">
        <w:rPr>
          <w:rFonts w:asciiTheme="minorHAnsi" w:hAnsiTheme="minorHAnsi" w:cstheme="minorHAnsi"/>
          <w:b/>
          <w:bCs/>
          <w:rtl/>
        </w:rPr>
        <w:t xml:space="preserve"> </w:t>
      </w:r>
      <w:r w:rsidRPr="001365FF">
        <w:rPr>
          <w:rFonts w:asciiTheme="minorHAnsi" w:hAnsiTheme="minorHAnsi" w:cstheme="minorHAnsi"/>
          <w:rtl/>
        </w:rPr>
        <w:t xml:space="preserve">שיעור האבטלה </w:t>
      </w:r>
      <w:r w:rsidRPr="001365FF">
        <w:rPr>
          <w:rFonts w:asciiTheme="minorHAnsi" w:hAnsiTheme="minorHAnsi" w:cstheme="minorHAnsi"/>
          <w:rtl/>
        </w:rPr>
        <w:lastRenderedPageBreak/>
        <w:t xml:space="preserve">הרחבה בגילי העבודה העיקריים (64-25) נותר נמוך ויציב ועמד בחודש דצמבר על </w:t>
      </w:r>
      <w:r w:rsidRPr="001365FF">
        <w:rPr>
          <w:rFonts w:asciiTheme="minorHAnsi" w:hAnsiTheme="minorHAnsi" w:cstheme="minorHAnsi" w:hint="cs"/>
          <w:rtl/>
        </w:rPr>
        <w:t>3.2</w:t>
      </w:r>
      <w:r w:rsidRPr="001365FF">
        <w:rPr>
          <w:rFonts w:asciiTheme="minorHAnsi" w:hAnsiTheme="minorHAnsi" w:cstheme="minorHAnsi"/>
          <w:rtl/>
        </w:rPr>
        <w:t xml:space="preserve">%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6</w:t>
      </w:r>
      <w:r w:rsidRPr="001365FF">
        <w:rPr>
          <w:rFonts w:asciiTheme="minorHAnsi" w:hAnsiTheme="minorHAnsi" w:cstheme="minorHAnsi"/>
          <w:b/>
          <w:bCs/>
          <w:rtl/>
        </w:rPr>
        <w:t>ב'</w:t>
      </w:r>
      <w:r w:rsidRPr="001365FF">
        <w:rPr>
          <w:rFonts w:asciiTheme="minorHAnsi" w:hAnsiTheme="minorHAnsi" w:cstheme="minorHAnsi"/>
          <w:b/>
          <w:bCs/>
          <w:rtl/>
        </w:rPr>
        <w:t>).</w:t>
      </w:r>
      <w:r w:rsidRPr="001365FF">
        <w:rPr>
          <w:rFonts w:asciiTheme="minorHAnsi" w:hAnsiTheme="minorHAnsi" w:cstheme="minorHAnsi"/>
          <w:rtl/>
        </w:rPr>
        <w:t xml:space="preserve"> שיעור הנעדרים זמנית מהעבודה בשל שירות מילואים בחודש דצמבר ירד קלות ועמד על 0.4%. שיעור התעסוקה ושיעור ההשתתפות בגילי העבודה העיקריים (64-25) ירדו בחודש דצמבר לרמות הדומות לאלו של טרום הפסקת האש, ועמדו על 78.8% ו-81.1% בהתאמה</w:t>
      </w:r>
      <w:r w:rsidRPr="001365FF">
        <w:rPr>
          <w:rFonts w:asciiTheme="minorHAnsi" w:hAnsiTheme="minorHAnsi" w:cstheme="minorHAnsi" w:hint="cs"/>
          <w:rtl/>
        </w:rPr>
        <w:t xml:space="preserve">, לאחר שעלו </w:t>
      </w:r>
      <w:proofErr w:type="spellStart"/>
      <w:r w:rsidRPr="001365FF">
        <w:rPr>
          <w:rFonts w:asciiTheme="minorHAnsi" w:hAnsiTheme="minorHAnsi" w:cstheme="minorHAnsi" w:hint="cs"/>
          <w:rtl/>
        </w:rPr>
        <w:t>בכחצי</w:t>
      </w:r>
      <w:proofErr w:type="spellEnd"/>
      <w:r w:rsidRPr="001365FF">
        <w:rPr>
          <w:rFonts w:asciiTheme="minorHAnsi" w:hAnsiTheme="minorHAnsi" w:cstheme="minorHAnsi" w:hint="cs"/>
          <w:rtl/>
        </w:rPr>
        <w:t xml:space="preserve"> אחוז בחודש נובמבר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6</w:t>
      </w:r>
      <w:r w:rsidRPr="001365FF">
        <w:rPr>
          <w:rFonts w:asciiTheme="minorHAnsi" w:hAnsiTheme="minorHAnsi" w:cstheme="minorHAnsi"/>
          <w:b/>
          <w:bCs/>
          <w:rtl/>
        </w:rPr>
        <w:t>א'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 xml:space="preserve">. השכר במגזר העסקי </w:t>
      </w:r>
      <w:r w:rsidRPr="001365FF">
        <w:rPr>
          <w:rFonts w:asciiTheme="minorHAnsi" w:hAnsiTheme="minorHAnsi" w:cstheme="minorHAnsi" w:hint="cs"/>
          <w:rtl/>
        </w:rPr>
        <w:t>עלה</w:t>
      </w:r>
      <w:r w:rsidRPr="001365FF">
        <w:rPr>
          <w:rFonts w:asciiTheme="minorHAnsi" w:hAnsiTheme="minorHAnsi" w:cstheme="minorHAnsi"/>
          <w:rtl/>
        </w:rPr>
        <w:t xml:space="preserve"> בחודשים ספטמבר-נובמבר </w:t>
      </w:r>
      <w:r w:rsidRPr="001365FF">
        <w:rPr>
          <w:rFonts w:asciiTheme="minorHAnsi" w:hAnsiTheme="minorHAnsi" w:cstheme="minorHAnsi" w:hint="cs"/>
          <w:rtl/>
        </w:rPr>
        <w:t>בשיעור גבוה, של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 w:hint="cs"/>
          <w:rtl/>
        </w:rPr>
        <w:t>כ</w:t>
      </w:r>
      <w:r w:rsidRPr="001365FF">
        <w:rPr>
          <w:rFonts w:asciiTheme="minorHAnsi" w:hAnsiTheme="minorHAnsi" w:cstheme="minorHAnsi"/>
          <w:rtl/>
        </w:rPr>
        <w:t xml:space="preserve">-5.1% ביחס לתקופה המקבילה אשתקד, שיעור הדומה לעליה בחודשים אוגוסט-אוקטובר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19</w:t>
      </w:r>
      <w:r w:rsidRPr="001365FF">
        <w:rPr>
          <w:rFonts w:asciiTheme="minorHAnsi" w:hAnsiTheme="minorHAnsi" w:cstheme="minorHAnsi"/>
          <w:b/>
          <w:bCs/>
          <w:rtl/>
        </w:rPr>
        <w:t>).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 w:hint="cs"/>
          <w:rtl/>
        </w:rPr>
        <w:t>נתון ההבזק לגבי קצב עליית השכר הכללי בחודשים אוקטובר-דצמבר בהשוואה לתקופה המקבילה אשתקד עמד על 3.4%, ירידה בהשוואה לחודשים הקודמים, דבר המצביע על האפשרות שגם קצב גידול השכר העסקי יתמתן.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לאחר שמונה חודשים של ירידות מחירים, מחירי הדירות שבו לעלות. בחודשים אוקטובר-נובמבר עלו מחירי הדירות ב-0.6% ובחודשים נובמבר-דצמבר עלו ב-0.8%. קצב העלייה השנתי של המחירים עלה ל-0.4% </w:t>
      </w:r>
      <w:r w:rsidRPr="001365FF">
        <w:rPr>
          <w:rFonts w:asciiTheme="minorHAnsi" w:hAnsiTheme="minorHAnsi" w:cstheme="minorHAnsi"/>
          <w:b/>
          <w:bCs/>
          <w:rtl/>
        </w:rPr>
        <w:t>(איור 8).</w:t>
      </w:r>
      <w:r w:rsidRPr="001365FF">
        <w:rPr>
          <w:rFonts w:asciiTheme="minorHAnsi" w:hAnsiTheme="minorHAnsi" w:cstheme="minorHAnsi"/>
          <w:rtl/>
        </w:rPr>
        <w:t xml:space="preserve"> מלאי הדירות הלא מכורות נותר ברמה גבוהה. בחודש ינואר הועמדו משכנתאות בסך של </w:t>
      </w:r>
      <w:r w:rsidRPr="001365FF">
        <w:rPr>
          <w:rFonts w:asciiTheme="minorHAnsi" w:hAnsiTheme="minorHAnsi" w:cstheme="minorHAnsi" w:hint="cs"/>
          <w:rtl/>
        </w:rPr>
        <w:t xml:space="preserve">כ-9.8 מיליארדי ₪ בניכוי עונתיות </w:t>
      </w:r>
      <w:r w:rsidRPr="001365FF">
        <w:rPr>
          <w:rFonts w:asciiTheme="minorHAnsi" w:hAnsiTheme="minorHAnsi" w:cstheme="minorHAnsi"/>
          <w:b/>
          <w:bCs/>
          <w:rtl/>
        </w:rPr>
        <w:t>(איור 9).</w:t>
      </w:r>
      <w:r w:rsidRPr="001365FF">
        <w:rPr>
          <w:rFonts w:asciiTheme="minorHAnsi" w:hAnsiTheme="minorHAnsi" w:cstheme="minorHAnsi"/>
          <w:rtl/>
        </w:rPr>
        <w:t xml:space="preserve"> סעיף הדיור במדד המחירים לצרכן </w:t>
      </w:r>
      <w:r w:rsidRPr="001365FF">
        <w:rPr>
          <w:rFonts w:asciiTheme="minorHAnsi" w:hAnsiTheme="minorHAnsi" w:cstheme="minorHAnsi" w:hint="cs"/>
          <w:rtl/>
        </w:rPr>
        <w:t>שב לעלות בתקופה הנסקרת ועלה מקצב עליה שנתי של 3.3% במדד נובמבר ל-3.8% במדד ינואר</w:t>
      </w:r>
      <w:r w:rsidRPr="001365FF">
        <w:rPr>
          <w:rFonts w:asciiTheme="minorHAnsi" w:hAnsiTheme="minorHAnsi" w:cstheme="minorHAnsi"/>
          <w:rtl/>
        </w:rPr>
        <w:t xml:space="preserve">. קצב העלייה השנתי של סעיף שירותי דיור בבעלות הדיירים (שכר דירה בחוזים חדשים ומתחדשים) </w:t>
      </w:r>
      <w:r w:rsidRPr="001365FF">
        <w:rPr>
          <w:rFonts w:asciiTheme="minorHAnsi" w:hAnsiTheme="minorHAnsi" w:cstheme="minorHAnsi" w:hint="cs"/>
          <w:rtl/>
        </w:rPr>
        <w:t>עלה מ-2.6% במדד נובמבר ל-</w:t>
      </w:r>
      <w:r w:rsidRPr="001365FF">
        <w:rPr>
          <w:rFonts w:asciiTheme="minorHAnsi" w:hAnsiTheme="minorHAnsi" w:cstheme="minorHAnsi"/>
          <w:rtl/>
        </w:rPr>
        <w:t>3.8%</w:t>
      </w:r>
      <w:r w:rsidRPr="001365FF">
        <w:rPr>
          <w:rFonts w:asciiTheme="minorHAnsi" w:hAnsiTheme="minorHAnsi" w:cstheme="minorHAnsi" w:hint="cs"/>
          <w:rtl/>
        </w:rPr>
        <w:t xml:space="preserve"> במדד ינואר</w:t>
      </w:r>
      <w:r w:rsidRPr="001365FF">
        <w:rPr>
          <w:rFonts w:asciiTheme="minorHAnsi" w:hAnsiTheme="minorHAnsi" w:cstheme="minorHAnsi"/>
          <w:rtl/>
        </w:rPr>
        <w:t>. קצב העלייה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>השנתי בחוזים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>בהם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>הייתה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>תחלופת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>שוכר</w:t>
      </w:r>
      <w:r w:rsidRPr="001365FF">
        <w:rPr>
          <w:rFonts w:asciiTheme="minorHAnsi" w:hAnsiTheme="minorHAnsi" w:cstheme="minorHAnsi"/>
        </w:rPr>
        <w:t xml:space="preserve"> </w:t>
      </w:r>
      <w:r w:rsidRPr="001365FF">
        <w:rPr>
          <w:rFonts w:asciiTheme="minorHAnsi" w:hAnsiTheme="minorHAnsi" w:cstheme="minorHAnsi"/>
          <w:rtl/>
        </w:rPr>
        <w:t xml:space="preserve">עלה מ-4.6% בדצמבר ל-6% בינואר. 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 xml:space="preserve">במהלך התקופה הנסקרת, הוסיפו לעלות מדדי המניות המקומיים ובלטו לטובה ביחס לעולם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hAnsiTheme="minorHAnsi" w:cstheme="minorHAnsi"/>
          <w:b/>
          <w:bCs/>
          <w:rtl/>
        </w:rPr>
        <w:t>2</w:t>
      </w:r>
      <w:r>
        <w:rPr>
          <w:rFonts w:asciiTheme="minorHAnsi" w:hAnsiTheme="minorHAnsi" w:cstheme="minorHAnsi" w:hint="cs"/>
          <w:b/>
          <w:bCs/>
          <w:rtl/>
        </w:rPr>
        <w:t>9</w:t>
      </w:r>
      <w:r w:rsidRPr="001365FF">
        <w:rPr>
          <w:rFonts w:asciiTheme="minorHAnsi" w:hAnsiTheme="minorHAnsi" w:cstheme="minorHAnsi"/>
          <w:b/>
          <w:bCs/>
          <w:rtl/>
        </w:rPr>
        <w:t>)</w:t>
      </w:r>
      <w:r w:rsidRPr="001365FF">
        <w:rPr>
          <w:rFonts w:asciiTheme="minorHAnsi" w:hAnsiTheme="minorHAnsi" w:cstheme="minorHAnsi"/>
          <w:rtl/>
        </w:rPr>
        <w:t>. פרמיית הסיכון של ישראל, כפי שבאה לידי ביטוי במרווח ה-</w:t>
      </w:r>
      <w:r w:rsidRPr="001365FF">
        <w:rPr>
          <w:rFonts w:asciiTheme="minorHAnsi" w:hAnsiTheme="minorHAnsi" w:cstheme="minorHAnsi"/>
        </w:rPr>
        <w:t>CDS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hAnsiTheme="minorHAnsi" w:cstheme="minorHAnsi" w:hint="cs"/>
          <w:rtl/>
        </w:rPr>
        <w:t>וב</w:t>
      </w:r>
      <w:r w:rsidRPr="001365FF">
        <w:rPr>
          <w:rFonts w:asciiTheme="minorHAnsi" w:hAnsiTheme="minorHAnsi" w:cstheme="minorHAnsi"/>
          <w:rtl/>
        </w:rPr>
        <w:t>מרווח הדולרי מול אג"ח של ממשלת ארה"ב</w:t>
      </w:r>
      <w:r w:rsidRPr="001365FF">
        <w:rPr>
          <w:rFonts w:asciiTheme="minorHAnsi" w:hAnsiTheme="minorHAnsi" w:cstheme="minorHAnsi" w:hint="cs"/>
          <w:rtl/>
        </w:rPr>
        <w:t>,</w:t>
      </w:r>
      <w:r w:rsidRPr="001365FF">
        <w:rPr>
          <w:rFonts w:asciiTheme="minorHAnsi" w:hAnsiTheme="minorHAnsi" w:cstheme="minorHAnsi"/>
          <w:rtl/>
        </w:rPr>
        <w:t xml:space="preserve"> עלתה מעט</w:t>
      </w:r>
      <w:r w:rsidRPr="001365FF">
        <w:rPr>
          <w:rFonts w:asciiTheme="minorHAnsi" w:hAnsiTheme="minorHAnsi" w:cstheme="minorHAnsi" w:hint="cs"/>
          <w:rtl/>
        </w:rPr>
        <w:t xml:space="preserve"> בימים האחרונים בעקבות ההתפתחויות הגיאופוליטיות</w:t>
      </w:r>
      <w:r w:rsidRPr="001365FF">
        <w:rPr>
          <w:rFonts w:asciiTheme="minorHAnsi" w:hAnsiTheme="minorHAnsi" w:cstheme="minorHAnsi"/>
          <w:rtl/>
        </w:rPr>
        <w:t xml:space="preserve">.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30</w:t>
      </w:r>
      <w:r w:rsidRPr="001365FF">
        <w:rPr>
          <w:rFonts w:asciiTheme="minorHAnsi" w:hAnsiTheme="minorHAnsi" w:cstheme="minorHAnsi"/>
          <w:b/>
          <w:bCs/>
          <w:rtl/>
        </w:rPr>
        <w:t>א</w:t>
      </w:r>
      <w:r w:rsidRPr="001365FF">
        <w:rPr>
          <w:rFonts w:asciiTheme="minorHAnsi" w:hAnsiTheme="minorHAnsi" w:cstheme="minorHAnsi"/>
          <w:b/>
          <w:bCs/>
          <w:rtl/>
        </w:rPr>
        <w:t>-ב).</w:t>
      </w:r>
      <w:r w:rsidRPr="001365FF">
        <w:rPr>
          <w:rFonts w:asciiTheme="minorHAnsi" w:hAnsiTheme="minorHAnsi" w:cstheme="minorHAnsi"/>
          <w:rtl/>
        </w:rPr>
        <w:t xml:space="preserve"> האשראי העסקי ממשיך להתרחב בקצב גבוה</w:t>
      </w:r>
      <w:r w:rsidRPr="001365FF">
        <w:rPr>
          <w:rFonts w:asciiTheme="minorHAnsi" w:hAnsiTheme="minorHAnsi" w:cstheme="minorHAnsi" w:hint="cs"/>
          <w:rtl/>
        </w:rPr>
        <w:t xml:space="preserve"> מאוד</w:t>
      </w:r>
      <w:r w:rsidRPr="001365FF">
        <w:rPr>
          <w:rFonts w:asciiTheme="minorHAnsi" w:hAnsiTheme="minorHAnsi" w:cstheme="minorHAnsi"/>
          <w:rtl/>
        </w:rPr>
        <w:t xml:space="preserve">, בהובלת האשראי הבנקאי. האשראי הצרכני למשקי בית ממשיך לצמוח </w:t>
      </w:r>
      <w:r w:rsidRPr="001365FF">
        <w:rPr>
          <w:rFonts w:asciiTheme="minorHAnsi" w:hAnsiTheme="minorHAnsi" w:cstheme="minorHAnsi" w:hint="cs"/>
          <w:rtl/>
        </w:rPr>
        <w:t xml:space="preserve">בקצב גבוה </w:t>
      </w:r>
      <w:r w:rsidRPr="001365FF">
        <w:rPr>
          <w:rFonts w:asciiTheme="minorHAnsi" w:hAnsiTheme="minorHAnsi" w:cstheme="minorHAnsi"/>
          <w:rtl/>
        </w:rPr>
        <w:t xml:space="preserve">מכל המקורות. שיעורי הפיגורים בכל מגזרי הפעילות שומרים על רמה נמוכה. נתוני סקר המגמות לחודש ינואר מציגים נגישות גבוהה יחסית לאשראי עבור עסקים קטנים וגדולים </w:t>
      </w:r>
      <w:r w:rsidRPr="001365FF">
        <w:rPr>
          <w:rFonts w:asciiTheme="minorHAnsi" w:hAnsiTheme="minorHAnsi" w:cstheme="minorHAnsi"/>
          <w:b/>
          <w:bCs/>
          <w:rtl/>
        </w:rPr>
        <w:t xml:space="preserve">(איור  </w:t>
      </w:r>
      <w:r>
        <w:rPr>
          <w:rFonts w:asciiTheme="minorHAnsi" w:hAnsiTheme="minorHAnsi" w:cstheme="minorHAnsi" w:hint="cs"/>
          <w:b/>
          <w:bCs/>
          <w:rtl/>
        </w:rPr>
        <w:t>28</w:t>
      </w:r>
      <w:r w:rsidRPr="001365FF">
        <w:rPr>
          <w:rFonts w:asciiTheme="minorHAnsi" w:hAnsiTheme="minorHAnsi" w:cstheme="minorHAnsi"/>
          <w:b/>
          <w:bCs/>
          <w:rtl/>
        </w:rPr>
        <w:t>א</w:t>
      </w:r>
      <w:r w:rsidRPr="001365FF">
        <w:rPr>
          <w:rFonts w:asciiTheme="minorHAnsi" w:hAnsiTheme="minorHAnsi" w:cstheme="minorHAnsi"/>
          <w:b/>
          <w:bCs/>
          <w:rtl/>
        </w:rPr>
        <w:t>-ב).</w:t>
      </w:r>
      <w:r w:rsidRPr="001365FF">
        <w:rPr>
          <w:rFonts w:asciiTheme="minorHAnsi" w:hAnsiTheme="minorHAnsi" w:cstheme="minorHAnsi"/>
          <w:rtl/>
        </w:rPr>
        <w:t xml:space="preserve"> </w:t>
      </w:r>
    </w:p>
    <w:p w:rsidR="00F234B7" w:rsidRPr="001365FF" w:rsidRDefault="00F234B7" w:rsidP="00F234B7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1365FF">
        <w:rPr>
          <w:rFonts w:asciiTheme="minorHAnsi" w:eastAsiaTheme="minorHAnsi" w:hAnsiTheme="minorHAnsi" w:cstheme="minorHAnsi"/>
          <w:rtl/>
        </w:rPr>
        <w:t xml:space="preserve">הפעילות הכלכלית בעולם ממשיכה להתרחב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>3</w:t>
      </w:r>
      <w:r>
        <w:rPr>
          <w:rFonts w:asciiTheme="minorHAnsi" w:eastAsiaTheme="minorHAnsi" w:hAnsiTheme="minorHAnsi" w:cstheme="minorHAnsi" w:hint="cs"/>
          <w:b/>
          <w:bCs/>
          <w:rtl/>
        </w:rPr>
        <w:t>1</w:t>
      </w:r>
      <w:r w:rsidRPr="001365FF">
        <w:rPr>
          <w:rFonts w:asciiTheme="minorHAnsi" w:eastAsiaTheme="minorHAnsi" w:hAnsiTheme="minorHAnsi" w:cstheme="minorHAnsi"/>
          <w:b/>
          <w:bCs/>
          <w:rtl/>
        </w:rPr>
        <w:t>).</w:t>
      </w:r>
      <w:r w:rsidRPr="001365FF">
        <w:rPr>
          <w:rFonts w:asciiTheme="minorHAnsi" w:eastAsiaTheme="minorHAnsi" w:hAnsiTheme="minorHAnsi" w:cstheme="minorHAnsi"/>
          <w:rtl/>
        </w:rPr>
        <w:t xml:space="preserve"> מגמת ההתמתנות באינפלציה העולמית נמשכה בתקופה הנסקרת, אם כי במספר מדינות מפותחות האינפלציה עדיין גבוהה מהיעד. מדד מנהלי הרכש הגלובלי לחודש ינואר עלה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eastAsiaTheme="minorHAnsi" w:hAnsiTheme="minorHAnsi" w:cstheme="minorHAnsi" w:hint="cs"/>
          <w:b/>
          <w:bCs/>
          <w:rtl/>
        </w:rPr>
        <w:t>34</w:t>
      </w:r>
      <w:r w:rsidRPr="001365FF">
        <w:rPr>
          <w:rFonts w:asciiTheme="minorHAnsi" w:eastAsiaTheme="minorHAnsi" w:hAnsiTheme="minorHAnsi" w:cstheme="minorHAnsi"/>
          <w:b/>
          <w:bCs/>
          <w:rtl/>
        </w:rPr>
        <w:t xml:space="preserve">). </w:t>
      </w:r>
      <w:r w:rsidRPr="001365FF">
        <w:rPr>
          <w:rFonts w:asciiTheme="minorHAnsi" w:eastAsiaTheme="minorHAnsi" w:hAnsiTheme="minorHAnsi" w:cstheme="minorHAnsi"/>
          <w:rtl/>
        </w:rPr>
        <w:t xml:space="preserve">נפח הסחר העולמי בסחורות רשם עלייה חדה של 2.2% בנובמבר, לאחר ירידה של 1.4% באוקטובר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eastAsiaTheme="minorHAnsi" w:hAnsiTheme="minorHAnsi" w:cstheme="minorHAnsi" w:hint="cs"/>
          <w:b/>
          <w:bCs/>
          <w:rtl/>
        </w:rPr>
        <w:t>33</w:t>
      </w:r>
      <w:r w:rsidRPr="001365FF">
        <w:rPr>
          <w:rFonts w:asciiTheme="minorHAnsi" w:eastAsiaTheme="minorHAnsi" w:hAnsiTheme="minorHAnsi" w:cstheme="minorHAnsi"/>
          <w:b/>
          <w:bCs/>
          <w:rtl/>
        </w:rPr>
        <w:t>)</w:t>
      </w:r>
      <w:r w:rsidRPr="001365FF">
        <w:rPr>
          <w:rFonts w:asciiTheme="minorHAnsi" w:eastAsiaTheme="minorHAnsi" w:hAnsiTheme="minorHAnsi" w:cstheme="minorHAnsi"/>
          <w:rtl/>
        </w:rPr>
        <w:t>.</w:t>
      </w:r>
      <w:r w:rsidRPr="001365FF">
        <w:rPr>
          <w:rtl/>
        </w:rPr>
        <w:t xml:space="preserve"> </w:t>
      </w:r>
      <w:r w:rsidRPr="001365FF">
        <w:rPr>
          <w:rFonts w:asciiTheme="minorHAnsi" w:eastAsiaTheme="minorHAnsi" w:hAnsiTheme="minorHAnsi" w:cs="Calibri" w:hint="cs"/>
          <w:rtl/>
        </w:rPr>
        <w:t xml:space="preserve">עם זאת, קיימת אי ודאות לגבי ההשפעה של החלטת בית המשפט העליון בארה"ב בנוגע למדיניות המכסים על הסחר העולמי. </w:t>
      </w:r>
      <w:r w:rsidRPr="001365FF">
        <w:rPr>
          <w:rFonts w:asciiTheme="minorHAnsi" w:eastAsiaTheme="minorHAnsi" w:hAnsiTheme="minorHAnsi" w:cs="Calibri"/>
          <w:rtl/>
        </w:rPr>
        <w:t xml:space="preserve">מאז החלטת הריבית האחרונה, </w:t>
      </w:r>
      <w:r w:rsidRPr="001365FF">
        <w:rPr>
          <w:rFonts w:asciiTheme="minorHAnsi" w:eastAsiaTheme="minorHAnsi" w:hAnsiTheme="minorHAnsi" w:cs="Calibri" w:hint="cs"/>
          <w:rtl/>
        </w:rPr>
        <w:t>ועל רקע</w:t>
      </w:r>
      <w:r w:rsidRPr="001365FF">
        <w:rPr>
          <w:rFonts w:asciiTheme="minorHAnsi" w:eastAsiaTheme="minorHAnsi" w:hAnsiTheme="minorHAnsi" w:cs="Calibri"/>
          <w:rtl/>
        </w:rPr>
        <w:t xml:space="preserve"> המתיחות בין איראן לארה"ב, מחיר הנפט עלה בכ</w:t>
      </w:r>
      <w:r w:rsidRPr="001365FF">
        <w:rPr>
          <w:rFonts w:asciiTheme="minorHAnsi" w:eastAsiaTheme="minorHAnsi" w:hAnsiTheme="minorHAnsi" w:cs="Calibri" w:hint="cs"/>
          <w:rtl/>
        </w:rPr>
        <w:t>-</w:t>
      </w:r>
      <w:r w:rsidRPr="001365FF">
        <w:rPr>
          <w:rFonts w:asciiTheme="minorHAnsi" w:eastAsiaTheme="minorHAnsi" w:hAnsiTheme="minorHAnsi" w:cs="Calibri"/>
          <w:rtl/>
        </w:rPr>
        <w:t>1</w:t>
      </w:r>
      <w:r w:rsidRPr="001365FF">
        <w:rPr>
          <w:rFonts w:asciiTheme="minorHAnsi" w:eastAsiaTheme="minorHAnsi" w:hAnsiTheme="minorHAnsi" w:cs="Calibri" w:hint="cs"/>
          <w:rtl/>
        </w:rPr>
        <w:t>6%</w:t>
      </w:r>
      <w:r w:rsidRPr="001365FF">
        <w:rPr>
          <w:rFonts w:asciiTheme="minorHAnsi" w:eastAsiaTheme="minorHAnsi" w:hAnsiTheme="minorHAnsi" w:cs="Calibri"/>
          <w:rtl/>
        </w:rPr>
        <w:t xml:space="preserve"> וחבית מסוג </w:t>
      </w:r>
      <w:r w:rsidRPr="001365FF">
        <w:rPr>
          <w:rFonts w:asciiTheme="minorHAnsi" w:eastAsiaTheme="minorHAnsi" w:hAnsiTheme="minorHAnsi" w:cstheme="minorHAnsi"/>
        </w:rPr>
        <w:t>Brent</w:t>
      </w:r>
      <w:r w:rsidRPr="001365FF">
        <w:rPr>
          <w:rFonts w:asciiTheme="minorHAnsi" w:eastAsiaTheme="minorHAnsi" w:hAnsiTheme="minorHAnsi" w:cs="Calibri"/>
          <w:rtl/>
        </w:rPr>
        <w:t xml:space="preserve"> נסחרת סביב 72 דולר.</w:t>
      </w:r>
      <w:r w:rsidRPr="001365FF">
        <w:rPr>
          <w:rFonts w:asciiTheme="minorHAnsi" w:eastAsiaTheme="minorHAnsi" w:hAnsiTheme="minorHAnsi" w:cstheme="minorHAnsi"/>
        </w:rPr>
        <w:t xml:space="preserve"> </w:t>
      </w:r>
      <w:r w:rsidRPr="001365FF">
        <w:rPr>
          <w:rFonts w:asciiTheme="minorHAnsi" w:eastAsiaTheme="minorHAnsi" w:hAnsiTheme="minorHAnsi" w:cstheme="minorHAnsi" w:hint="cs"/>
          <w:rtl/>
        </w:rPr>
        <w:t xml:space="preserve">נתוני </w:t>
      </w:r>
      <w:r w:rsidRPr="001365FF">
        <w:rPr>
          <w:rFonts w:asciiTheme="minorHAnsi" w:eastAsiaTheme="minorHAnsi" w:hAnsiTheme="minorHAnsi" w:cstheme="minorHAnsi"/>
          <w:rtl/>
        </w:rPr>
        <w:t xml:space="preserve">התוצר בארה"ב ברבעון </w:t>
      </w:r>
      <w:r w:rsidRPr="001365FF">
        <w:rPr>
          <w:rFonts w:asciiTheme="minorHAnsi" w:eastAsiaTheme="minorHAnsi" w:hAnsiTheme="minorHAnsi" w:cstheme="minorHAnsi" w:hint="cs"/>
          <w:rtl/>
        </w:rPr>
        <w:t>הרביעי</w:t>
      </w:r>
      <w:r w:rsidRPr="001365FF">
        <w:rPr>
          <w:rFonts w:asciiTheme="minorHAnsi" w:eastAsiaTheme="minorHAnsi" w:hAnsiTheme="minorHAnsi" w:cstheme="minorHAnsi"/>
          <w:rtl/>
        </w:rPr>
        <w:t xml:space="preserve"> </w:t>
      </w:r>
      <w:r w:rsidRPr="001365FF">
        <w:rPr>
          <w:rFonts w:asciiTheme="minorHAnsi" w:eastAsiaTheme="minorHAnsi" w:hAnsiTheme="minorHAnsi" w:cstheme="minorHAnsi" w:hint="cs"/>
          <w:rtl/>
        </w:rPr>
        <w:t xml:space="preserve">של השנה הפתיעו כלפי מטה. קצב הצמיחה עמד ברבעון הרביעי על 1.4% </w:t>
      </w:r>
      <w:r w:rsidRPr="001365FF">
        <w:rPr>
          <w:rFonts w:asciiTheme="minorHAnsi" w:eastAsiaTheme="minorHAnsi" w:hAnsiTheme="minorHAnsi" w:cstheme="minorHAnsi"/>
          <w:rtl/>
        </w:rPr>
        <w:t>במונחים שנתיים</w:t>
      </w:r>
      <w:r w:rsidRPr="001365FF">
        <w:rPr>
          <w:rFonts w:asciiTheme="minorHAnsi" w:eastAsiaTheme="minorHAnsi" w:hAnsiTheme="minorHAnsi" w:cstheme="minorHAnsi" w:hint="cs"/>
          <w:rtl/>
        </w:rPr>
        <w:t xml:space="preserve">, זאת לעומת  </w:t>
      </w:r>
      <w:r w:rsidRPr="001365FF">
        <w:rPr>
          <w:rFonts w:asciiTheme="minorHAnsi" w:eastAsiaTheme="minorHAnsi" w:hAnsiTheme="minorHAnsi" w:cstheme="minorHAnsi"/>
          <w:rtl/>
        </w:rPr>
        <w:t>4.4%</w:t>
      </w:r>
      <w:r w:rsidRPr="001365FF">
        <w:rPr>
          <w:rFonts w:asciiTheme="minorHAnsi" w:eastAsiaTheme="minorHAnsi" w:hAnsiTheme="minorHAnsi" w:cstheme="minorHAnsi" w:hint="cs"/>
          <w:rtl/>
        </w:rPr>
        <w:t xml:space="preserve"> ברבעון השלישי של 2025.</w:t>
      </w:r>
      <w:r w:rsidRPr="001365FF">
        <w:rPr>
          <w:rtl/>
        </w:rPr>
        <w:t xml:space="preserve"> </w:t>
      </w:r>
      <w:r w:rsidRPr="001365FF">
        <w:rPr>
          <w:rFonts w:asciiTheme="minorHAnsi" w:eastAsiaTheme="minorHAnsi" w:hAnsiTheme="minorHAnsi" w:cs="Calibri"/>
          <w:rtl/>
        </w:rPr>
        <w:t xml:space="preserve">חלק מההפתעה כלפי מטה משויך להשבתת הממשל בארה"ב במהלך הרבעון הרביעי כאשר רכיב הצריכה הפרטית </w:t>
      </w:r>
      <w:r w:rsidRPr="0051180A">
        <w:rPr>
          <w:rFonts w:asciiTheme="minorHAnsi" w:eastAsiaTheme="minorHAnsi" w:hAnsiTheme="minorHAnsi" w:cs="Calibri"/>
          <w:rtl/>
        </w:rPr>
        <w:t xml:space="preserve">מצביע על עמידות </w:t>
      </w:r>
      <w:r w:rsidRPr="001365FF">
        <w:rPr>
          <w:rFonts w:asciiTheme="minorHAnsi" w:eastAsiaTheme="minorHAnsi" w:hAnsiTheme="minorHAnsi" w:cs="Calibri"/>
          <w:rtl/>
        </w:rPr>
        <w:t>ו</w:t>
      </w:r>
      <w:r>
        <w:rPr>
          <w:rFonts w:asciiTheme="minorHAnsi" w:eastAsiaTheme="minorHAnsi" w:hAnsiTheme="minorHAnsi" w:cs="Calibri" w:hint="cs"/>
          <w:rtl/>
        </w:rPr>
        <w:t xml:space="preserve">רכיב </w:t>
      </w:r>
      <w:r w:rsidRPr="001365FF">
        <w:rPr>
          <w:rFonts w:asciiTheme="minorHAnsi" w:eastAsiaTheme="minorHAnsi" w:hAnsiTheme="minorHAnsi" w:cs="Calibri"/>
          <w:rtl/>
        </w:rPr>
        <w:t xml:space="preserve">ההשקעות </w:t>
      </w:r>
      <w:r>
        <w:rPr>
          <w:rFonts w:asciiTheme="minorHAnsi" w:eastAsiaTheme="minorHAnsi" w:hAnsiTheme="minorHAnsi" w:cs="Calibri"/>
          <w:rtl/>
        </w:rPr>
        <w:t>מצביע על תרומה משמעותית לתוצר</w:t>
      </w:r>
      <w:r w:rsidRPr="001365FF">
        <w:rPr>
          <w:rFonts w:asciiTheme="minorHAnsi" w:eastAsiaTheme="minorHAnsi" w:hAnsiTheme="minorHAnsi" w:cs="Calibri"/>
          <w:rtl/>
        </w:rPr>
        <w:t xml:space="preserve">. </w:t>
      </w:r>
      <w:r w:rsidRPr="001365FF">
        <w:rPr>
          <w:rFonts w:asciiTheme="minorHAnsi" w:eastAsiaTheme="minorHAnsi" w:hAnsiTheme="minorHAnsi" w:cstheme="minorHAnsi" w:hint="cs"/>
          <w:rtl/>
        </w:rPr>
        <w:t xml:space="preserve">הצמיחה בארה"ב לכל שנת 2025 עמדה על 2.2%. </w:t>
      </w:r>
      <w:r w:rsidRPr="001365FF">
        <w:rPr>
          <w:rFonts w:asciiTheme="minorHAnsi" w:eastAsiaTheme="minorHAnsi" w:hAnsiTheme="minorHAnsi" w:cstheme="minorHAnsi"/>
          <w:rtl/>
        </w:rPr>
        <w:t>דוחות התעסוקה בארה"ב לדצמבר וינואר הצביעו על התאוששות בהיקף המועסקים</w:t>
      </w:r>
      <w:r w:rsidRPr="001365FF">
        <w:rPr>
          <w:rFonts w:asciiTheme="minorHAnsi" w:eastAsiaTheme="minorHAnsi" w:hAnsiTheme="minorHAnsi" w:cstheme="minorHAnsi" w:hint="cs"/>
          <w:rtl/>
        </w:rPr>
        <w:t>, ועל ירידה</w:t>
      </w:r>
      <w:r w:rsidRPr="001365FF">
        <w:rPr>
          <w:rFonts w:asciiTheme="minorHAnsi" w:eastAsiaTheme="minorHAnsi" w:hAnsiTheme="minorHAnsi" w:cstheme="minorHAnsi"/>
          <w:rtl/>
        </w:rPr>
        <w:t xml:space="preserve"> </w:t>
      </w:r>
      <w:r w:rsidRPr="001365FF">
        <w:rPr>
          <w:rFonts w:asciiTheme="minorHAnsi" w:eastAsiaTheme="minorHAnsi" w:hAnsiTheme="minorHAnsi" w:cstheme="minorHAnsi" w:hint="cs"/>
          <w:rtl/>
        </w:rPr>
        <w:t>ב</w:t>
      </w:r>
      <w:r w:rsidRPr="001365FF">
        <w:rPr>
          <w:rFonts w:asciiTheme="minorHAnsi" w:eastAsiaTheme="minorHAnsi" w:hAnsiTheme="minorHAnsi" w:cstheme="minorHAnsi"/>
          <w:rtl/>
        </w:rPr>
        <w:t xml:space="preserve">שיעור האבטלה </w:t>
      </w:r>
      <w:r w:rsidRPr="001365FF">
        <w:rPr>
          <w:rFonts w:asciiTheme="minorHAnsi" w:eastAsiaTheme="minorHAnsi" w:hAnsiTheme="minorHAnsi" w:cstheme="minorHAnsi"/>
          <w:rtl/>
        </w:rPr>
        <w:lastRenderedPageBreak/>
        <w:t>מרמה של 4.5% בנובמבר ל-4.3% בינואר</w:t>
      </w:r>
      <w:r w:rsidRPr="001365FF">
        <w:rPr>
          <w:rFonts w:asciiTheme="minorHAnsi" w:eastAsiaTheme="minorHAnsi" w:hAnsiTheme="minorHAnsi" w:cstheme="minorHAnsi" w:hint="cs"/>
          <w:rtl/>
        </w:rPr>
        <w:t>.</w:t>
      </w:r>
      <w:r w:rsidRPr="001365FF">
        <w:rPr>
          <w:rFonts w:asciiTheme="minorHAnsi" w:eastAsiaTheme="minorHAnsi" w:hAnsiTheme="minorHAnsi" w:cstheme="minorHAnsi"/>
          <w:rtl/>
        </w:rPr>
        <w:t xml:space="preserve"> בגוש האירו, לפי הקריאה השנייה, התוצר ברבעון הרביעי צמח ב-1.3% במונחים רבעוניים בקצב שנתי ובסה"כ ב-1.5% ב-2025 בממוצע בהשוואה ל-2024. בסין, התוצר ברבעון הרביעי של 2025 עמד </w:t>
      </w:r>
      <w:r w:rsidRPr="001365FF">
        <w:rPr>
          <w:rFonts w:asciiTheme="minorHAnsi" w:eastAsiaTheme="minorHAnsi" w:hAnsiTheme="minorHAnsi" w:cstheme="minorHAnsi" w:hint="cs"/>
          <w:rtl/>
        </w:rPr>
        <w:t xml:space="preserve">על </w:t>
      </w:r>
      <w:r w:rsidRPr="001365FF">
        <w:rPr>
          <w:rFonts w:asciiTheme="minorHAnsi" w:eastAsiaTheme="minorHAnsi" w:hAnsiTheme="minorHAnsi" w:cstheme="minorHAnsi"/>
          <w:rtl/>
        </w:rPr>
        <w:t>5%</w:t>
      </w:r>
      <w:r w:rsidRPr="001365FF">
        <w:rPr>
          <w:rFonts w:asciiTheme="minorHAnsi" w:eastAsiaTheme="minorHAnsi" w:hAnsiTheme="minorHAnsi" w:cstheme="minorHAnsi" w:hint="cs"/>
          <w:rtl/>
        </w:rPr>
        <w:t xml:space="preserve">. הייצוא הסיני דחף את הצמיחה כלפי מעלה ואילו </w:t>
      </w:r>
      <w:proofErr w:type="spellStart"/>
      <w:r w:rsidRPr="001365FF">
        <w:rPr>
          <w:rFonts w:asciiTheme="minorHAnsi" w:eastAsiaTheme="minorHAnsi" w:hAnsiTheme="minorHAnsi" w:cstheme="minorHAnsi" w:hint="cs"/>
          <w:rtl/>
        </w:rPr>
        <w:t>הביקושים</w:t>
      </w:r>
      <w:proofErr w:type="spellEnd"/>
      <w:r w:rsidRPr="001365FF">
        <w:rPr>
          <w:rFonts w:asciiTheme="minorHAnsi" w:eastAsiaTheme="minorHAnsi" w:hAnsiTheme="minorHAnsi" w:cstheme="minorHAnsi" w:hint="cs"/>
          <w:rtl/>
        </w:rPr>
        <w:t xml:space="preserve"> המקומיים היו חלשים יחסית</w:t>
      </w:r>
      <w:r w:rsidRPr="001365FF">
        <w:rPr>
          <w:rFonts w:asciiTheme="minorHAnsi" w:eastAsiaTheme="minorHAnsi" w:hAnsiTheme="minorHAnsi" w:cstheme="minorHAnsi"/>
          <w:rtl/>
        </w:rPr>
        <w:t>.</w:t>
      </w:r>
      <w:r w:rsidRPr="001365FF">
        <w:rPr>
          <w:rFonts w:asciiTheme="minorHAnsi" w:hAnsiTheme="minorHAnsi" w:cstheme="minorHAnsi"/>
          <w:rtl/>
        </w:rPr>
        <w:t xml:space="preserve"> </w:t>
      </w:r>
      <w:r w:rsidRPr="001365FF">
        <w:rPr>
          <w:rFonts w:asciiTheme="minorHAnsi" w:eastAsiaTheme="minorHAnsi" w:hAnsiTheme="minorHAnsi" w:cstheme="minorHAnsi"/>
          <w:rtl/>
        </w:rPr>
        <w:t>בארה"ב מדד המחירים לצרכן (</w:t>
      </w:r>
      <w:r w:rsidRPr="001365FF">
        <w:rPr>
          <w:rFonts w:asciiTheme="minorHAnsi" w:eastAsiaTheme="minorHAnsi" w:hAnsiTheme="minorHAnsi" w:cstheme="minorHAnsi"/>
        </w:rPr>
        <w:t>CPI</w:t>
      </w:r>
      <w:r w:rsidRPr="001365FF">
        <w:rPr>
          <w:rFonts w:asciiTheme="minorHAnsi" w:eastAsiaTheme="minorHAnsi" w:hAnsiTheme="minorHAnsi" w:cstheme="minorHAnsi"/>
          <w:rtl/>
        </w:rPr>
        <w:t>) התמתן</w:t>
      </w:r>
      <w:r w:rsidRPr="001365FF">
        <w:rPr>
          <w:rFonts w:asciiTheme="minorHAnsi" w:eastAsiaTheme="minorHAnsi" w:hAnsiTheme="minorHAnsi" w:cstheme="minorHAnsi" w:hint="cs"/>
          <w:rtl/>
        </w:rPr>
        <w:t>,</w:t>
      </w:r>
      <w:r w:rsidRPr="001365FF">
        <w:rPr>
          <w:rFonts w:asciiTheme="minorHAnsi" w:eastAsiaTheme="minorHAnsi" w:hAnsiTheme="minorHAnsi" w:cstheme="minorHAnsi"/>
          <w:rtl/>
        </w:rPr>
        <w:t xml:space="preserve"> והאינפלציה לחודש ינואר עמדה על קצב של 2.4%. מדד הליבה של המחירים לצרכן</w:t>
      </w:r>
      <w:r w:rsidRPr="001365FF">
        <w:rPr>
          <w:rFonts w:asciiTheme="minorHAnsi" w:eastAsiaTheme="minorHAnsi" w:hAnsiTheme="minorHAnsi" w:cstheme="minorHAnsi"/>
        </w:rPr>
        <w:t xml:space="preserve"> (Core CPI) </w:t>
      </w:r>
      <w:r w:rsidRPr="001365FF">
        <w:rPr>
          <w:rFonts w:asciiTheme="minorHAnsi" w:eastAsiaTheme="minorHAnsi" w:hAnsiTheme="minorHAnsi" w:cstheme="minorHAnsi"/>
          <w:rtl/>
        </w:rPr>
        <w:t>התמתן קלות ועמד על 2.5%. בגוש האירו, האינפלציה ממשיכה להתמתן. במונחים שנתיים האינפלציה לחודש ינואר עמדה על 1.7%, כשמדד הליבה ירד באופן מתון יותר לרמה של 2.2%. בתקופה הנסקרת, הבנקים המרכזיים העיקריים במדינות המפותחות הותירו את הריבית ללא שינוי. תוואי הריבית של ה-</w:t>
      </w:r>
      <w:r w:rsidRPr="001365FF">
        <w:rPr>
          <w:rFonts w:asciiTheme="minorHAnsi" w:eastAsiaTheme="minorHAnsi" w:hAnsiTheme="minorHAnsi" w:cstheme="minorHAnsi"/>
        </w:rPr>
        <w:t>FED</w:t>
      </w:r>
      <w:r w:rsidRPr="001365FF">
        <w:rPr>
          <w:rFonts w:asciiTheme="minorHAnsi" w:eastAsiaTheme="minorHAnsi" w:hAnsiTheme="minorHAnsi" w:cstheme="minorHAnsi"/>
          <w:rtl/>
        </w:rPr>
        <w:t xml:space="preserve"> </w:t>
      </w:r>
      <w:r w:rsidRPr="001365FF">
        <w:rPr>
          <w:rFonts w:asciiTheme="minorHAnsi" w:eastAsiaTheme="minorHAnsi" w:hAnsiTheme="minorHAnsi" w:cstheme="minorHAnsi" w:hint="cs"/>
          <w:rtl/>
        </w:rPr>
        <w:t xml:space="preserve">עלה </w:t>
      </w:r>
      <w:r w:rsidRPr="001365FF">
        <w:rPr>
          <w:rFonts w:asciiTheme="minorHAnsi" w:eastAsiaTheme="minorHAnsi" w:hAnsiTheme="minorHAnsi" w:cstheme="minorHAnsi"/>
          <w:rtl/>
        </w:rPr>
        <w:t>ואילו ב-</w:t>
      </w:r>
      <w:r w:rsidRPr="001365FF">
        <w:rPr>
          <w:rFonts w:asciiTheme="minorHAnsi" w:eastAsiaTheme="minorHAnsi" w:hAnsiTheme="minorHAnsi" w:cstheme="minorHAnsi"/>
        </w:rPr>
        <w:t>ECB</w:t>
      </w:r>
      <w:r w:rsidRPr="001365FF">
        <w:rPr>
          <w:rFonts w:asciiTheme="minorHAnsi" w:eastAsiaTheme="minorHAnsi" w:hAnsiTheme="minorHAnsi" w:cstheme="minorHAnsi"/>
          <w:rtl/>
        </w:rPr>
        <w:t xml:space="preserve"> התוואי </w:t>
      </w:r>
      <w:r w:rsidRPr="001365FF">
        <w:rPr>
          <w:rFonts w:asciiTheme="minorHAnsi" w:eastAsiaTheme="minorHAnsi" w:hAnsiTheme="minorHAnsi" w:cstheme="minorHAnsi" w:hint="cs"/>
          <w:rtl/>
        </w:rPr>
        <w:t>נותר ללא שינוי משמעותי</w:t>
      </w:r>
      <w:r w:rsidRPr="001365FF">
        <w:rPr>
          <w:rFonts w:asciiTheme="minorHAnsi" w:eastAsiaTheme="minorHAnsi" w:hAnsiTheme="minorHAnsi" w:cstheme="minorHAnsi"/>
          <w:rtl/>
        </w:rPr>
        <w:t xml:space="preserve">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 w:rsidRPr="001365FF">
        <w:rPr>
          <w:rFonts w:asciiTheme="minorHAnsi" w:eastAsiaTheme="minorHAnsi" w:hAnsiTheme="minorHAnsi" w:cstheme="minorHAnsi"/>
          <w:b/>
          <w:bCs/>
          <w:rtl/>
        </w:rPr>
        <w:t>3</w:t>
      </w:r>
      <w:r>
        <w:rPr>
          <w:rFonts w:asciiTheme="minorHAnsi" w:eastAsiaTheme="minorHAnsi" w:hAnsiTheme="minorHAnsi" w:cstheme="minorHAnsi" w:hint="cs"/>
          <w:b/>
          <w:bCs/>
          <w:rtl/>
        </w:rPr>
        <w:t>6</w:t>
      </w:r>
      <w:r w:rsidRPr="001365FF">
        <w:rPr>
          <w:rFonts w:asciiTheme="minorHAnsi" w:eastAsiaTheme="minorHAnsi" w:hAnsiTheme="minorHAnsi" w:cstheme="minorHAnsi"/>
          <w:b/>
          <w:bCs/>
          <w:rtl/>
        </w:rPr>
        <w:t>)</w:t>
      </w:r>
      <w:r w:rsidRPr="001365FF">
        <w:rPr>
          <w:rFonts w:asciiTheme="minorHAnsi" w:eastAsiaTheme="minorHAnsi" w:hAnsiTheme="minorHAnsi" w:cstheme="minorHAnsi"/>
          <w:rtl/>
        </w:rPr>
        <w:t>.</w:t>
      </w:r>
    </w:p>
    <w:p w:rsidR="00F234B7" w:rsidRPr="007C09F2" w:rsidRDefault="00F234B7" w:rsidP="00F234B7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  <w:rtl/>
        </w:rPr>
      </w:pPr>
      <w:r w:rsidRPr="001365FF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Pr="001365FF">
        <w:rPr>
          <w:rFonts w:asciiTheme="minorHAnsi" w:hAnsiTheme="minorHAnsi" w:cstheme="minorHAnsi"/>
        </w:rPr>
        <w:t>09.03.2026</w:t>
      </w:r>
      <w:r w:rsidRPr="001365FF">
        <w:rPr>
          <w:rFonts w:asciiTheme="minorHAnsi" w:hAnsiTheme="minorHAnsi" w:cstheme="minorHAnsi"/>
          <w:rtl/>
        </w:rPr>
        <w:t>. החלטת המדיניות המוניטרית הבאה תתפרסם ביום שני, ה-</w:t>
      </w:r>
      <w:r w:rsidRPr="001365FF">
        <w:rPr>
          <w:rFonts w:asciiTheme="minorHAnsi" w:hAnsiTheme="minorHAnsi" w:cstheme="minorHAnsi"/>
        </w:rPr>
        <w:t>30.03.2026</w:t>
      </w:r>
      <w:r w:rsidRPr="001365FF">
        <w:rPr>
          <w:rFonts w:asciiTheme="minorHAnsi" w:hAnsiTheme="minorHAnsi" w:cstheme="minorHAnsi"/>
          <w:rtl/>
        </w:rPr>
        <w:t>.</w:t>
      </w:r>
    </w:p>
    <w:p w:rsidR="00F234B7" w:rsidRPr="007C09F2" w:rsidRDefault="00F234B7" w:rsidP="00F234B7">
      <w:pPr>
        <w:bidi/>
        <w:spacing w:line="360" w:lineRule="auto"/>
        <w:jc w:val="both"/>
        <w:rPr>
          <w:rFonts w:asciiTheme="minorHAnsi" w:hAnsiTheme="minorHAnsi" w:cstheme="minorHAnsi"/>
        </w:rPr>
      </w:pPr>
    </w:p>
    <w:p w:rsidR="00F234B7" w:rsidRPr="00F234B7" w:rsidRDefault="00F234B7" w:rsidP="00F234B7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F234B7" w:rsidRPr="00F234B7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24576D7"/>
    <w:multiLevelType w:val="hybridMultilevel"/>
    <w:tmpl w:val="6AF4A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12D0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34B7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CF6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F234B7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F234B7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6805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2026-02-23T11:49:00Z</dcterms:created>
  <dcterms:modified xsi:type="dcterms:W3CDTF">2026-02-23T11:57:00Z</dcterms:modified>
</cp:coreProperties>
</file>