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78" w:rsidRPr="003B4DD7" w:rsidRDefault="002235F5" w:rsidP="00A3549C">
      <w:pPr>
        <w:bidi w:val="0"/>
        <w:jc w:val="center"/>
        <w:rPr>
          <w:rFonts w:asciiTheme="majorBidi" w:hAnsiTheme="majorBidi" w:cstheme="majorBidi"/>
          <w:rtl/>
        </w:rPr>
      </w:pPr>
      <w:r w:rsidRPr="003B4DD7">
        <w:rPr>
          <w:rFonts w:asciiTheme="majorBidi" w:hAnsiTheme="majorBidi" w:cstheme="majorBidi"/>
          <w:noProof/>
        </w:rPr>
        <w:drawing>
          <wp:inline distT="0" distB="0" distL="0" distR="0">
            <wp:extent cx="975360" cy="975360"/>
            <wp:effectExtent l="0" t="0" r="0" b="0"/>
            <wp:docPr id="1" name="Picture 1" descr="\\portals\DavWWWRoot\sites\boi\about\Mitug\DocList\Logo Bank of Israel 2 color\Logo Bank of Israel 2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rtals\DavWWWRoot\sites\boi\about\Mitug\DocList\Logo Bank of Israel 2 color\Logo Bank of Israel 2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6" w:rsidRPr="003B4DD7" w:rsidRDefault="00892A46" w:rsidP="00A3549C">
      <w:pPr>
        <w:pStyle w:val="regpar"/>
        <w:spacing w:line="300" w:lineRule="atLeast"/>
        <w:ind w:firstLine="0"/>
        <w:jc w:val="center"/>
        <w:rPr>
          <w:rFonts w:asciiTheme="majorBidi" w:hAnsiTheme="majorBidi" w:cstheme="majorBidi"/>
          <w:b/>
          <w:bCs/>
        </w:rPr>
      </w:pPr>
      <w:r w:rsidRPr="003B4DD7">
        <w:rPr>
          <w:rFonts w:asciiTheme="majorBidi" w:hAnsiTheme="majorBidi" w:cstheme="majorBidi"/>
          <w:b/>
          <w:bCs/>
        </w:rPr>
        <w:t>BANK OF ISRAEL</w:t>
      </w:r>
    </w:p>
    <w:p w:rsidR="00892A46" w:rsidRPr="003B4DD7" w:rsidRDefault="00892A46" w:rsidP="00A3549C">
      <w:pPr>
        <w:pStyle w:val="regpar"/>
        <w:spacing w:line="300" w:lineRule="atLeast"/>
        <w:ind w:firstLine="0"/>
        <w:jc w:val="center"/>
        <w:rPr>
          <w:rFonts w:asciiTheme="majorBidi" w:hAnsiTheme="majorBidi" w:cstheme="majorBidi"/>
        </w:rPr>
      </w:pPr>
      <w:r w:rsidRPr="003B4DD7">
        <w:rPr>
          <w:rFonts w:asciiTheme="majorBidi" w:hAnsiTheme="majorBidi" w:cstheme="majorBidi"/>
        </w:rPr>
        <w:t>Office of the Spokesperson and Economic Information</w:t>
      </w:r>
    </w:p>
    <w:p w:rsidR="00B533D5" w:rsidRPr="003B4DD7" w:rsidRDefault="007926C7" w:rsidP="00A3549C">
      <w:pPr>
        <w:bidi w:val="0"/>
        <w:jc w:val="both"/>
        <w:rPr>
          <w:rFonts w:asciiTheme="majorBidi" w:hAnsiTheme="majorBidi" w:cstheme="majorBidi"/>
          <w:rtl/>
        </w:rPr>
      </w:pPr>
      <w:r w:rsidRPr="003B4DD7">
        <w:rPr>
          <w:rFonts w:asciiTheme="majorBidi" w:hAnsiTheme="majorBidi" w:cstheme="majorBidi"/>
        </w:rPr>
        <w:br/>
      </w:r>
    </w:p>
    <w:p w:rsidR="007926C7" w:rsidRPr="003B4DD7" w:rsidRDefault="00A15D27" w:rsidP="0080750F">
      <w:pPr>
        <w:bidi w:val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November 6, 2023</w:t>
      </w:r>
    </w:p>
    <w:p w:rsidR="007926C7" w:rsidRPr="003B4DD7" w:rsidRDefault="007926C7" w:rsidP="00A3549C">
      <w:pPr>
        <w:bidi w:val="0"/>
        <w:jc w:val="both"/>
        <w:rPr>
          <w:rFonts w:asciiTheme="majorBidi" w:hAnsiTheme="majorBidi" w:cstheme="majorBidi"/>
        </w:rPr>
      </w:pPr>
    </w:p>
    <w:p w:rsidR="00892A46" w:rsidRPr="003B4DD7" w:rsidRDefault="00892A46" w:rsidP="00A3549C">
      <w:pPr>
        <w:bidi w:val="0"/>
        <w:jc w:val="both"/>
        <w:rPr>
          <w:rFonts w:asciiTheme="majorBidi" w:hAnsiTheme="majorBidi" w:cstheme="majorBidi"/>
        </w:rPr>
      </w:pPr>
      <w:r w:rsidRPr="003B4DD7">
        <w:rPr>
          <w:rFonts w:asciiTheme="majorBidi" w:hAnsiTheme="majorBidi" w:cstheme="majorBidi"/>
        </w:rPr>
        <w:t>Press Release:</w:t>
      </w:r>
    </w:p>
    <w:p w:rsidR="00892A46" w:rsidRPr="003B4DD7" w:rsidRDefault="00892A46" w:rsidP="00A3549C">
      <w:pPr>
        <w:tabs>
          <w:tab w:val="center" w:pos="4156"/>
          <w:tab w:val="right" w:pos="8312"/>
        </w:tabs>
        <w:bidi w:val="0"/>
        <w:jc w:val="both"/>
        <w:rPr>
          <w:rFonts w:asciiTheme="majorBidi" w:hAnsiTheme="majorBidi" w:cstheme="majorBidi"/>
        </w:rPr>
      </w:pPr>
    </w:p>
    <w:p w:rsidR="000D4E65" w:rsidRDefault="00A15D27" w:rsidP="00A55F2B">
      <w:pPr>
        <w:bidi w:val="0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The Bank of Israel announces a </w:t>
      </w:r>
      <w:r w:rsidR="00A55F2B">
        <w:rPr>
          <w:b/>
          <w:bCs/>
          <w:sz w:val="32"/>
          <w:szCs w:val="32"/>
        </w:rPr>
        <w:t xml:space="preserve">targeted </w:t>
      </w:r>
      <w:r>
        <w:rPr>
          <w:b/>
          <w:bCs/>
          <w:sz w:val="32"/>
          <w:szCs w:val="32"/>
        </w:rPr>
        <w:t>monetary program for easing credit terms for small and micro businesses adversely impacted by the war</w:t>
      </w:r>
    </w:p>
    <w:p w:rsidR="00C06B06" w:rsidRPr="002570A0" w:rsidRDefault="00C06B06" w:rsidP="002570A0">
      <w:pPr>
        <w:bidi w:val="0"/>
        <w:jc w:val="both"/>
        <w:rPr>
          <w:sz w:val="32"/>
          <w:szCs w:val="32"/>
        </w:rPr>
      </w:pPr>
    </w:p>
    <w:p w:rsidR="00A15D27" w:rsidRPr="00B0175A" w:rsidRDefault="00A15D27" w:rsidP="002506C4">
      <w:pPr>
        <w:bidi w:val="0"/>
        <w:jc w:val="both"/>
        <w:rPr>
          <w:b/>
          <w:bCs/>
        </w:rPr>
      </w:pPr>
      <w:bookmarkStart w:id="0" w:name="_GoBack"/>
      <w:r w:rsidRPr="002570A0">
        <w:t xml:space="preserve">Governor of the Bank of Israel Prof. Amir Yaron said, </w:t>
      </w:r>
      <w:r w:rsidRPr="00B0175A">
        <w:rPr>
          <w:b/>
          <w:bCs/>
        </w:rPr>
        <w:t xml:space="preserve">“This program is </w:t>
      </w:r>
      <w:r w:rsidR="002506C4">
        <w:rPr>
          <w:b/>
          <w:bCs/>
        </w:rPr>
        <w:t xml:space="preserve">another of </w:t>
      </w:r>
      <w:r w:rsidRPr="00B0175A">
        <w:rPr>
          <w:b/>
          <w:bCs/>
        </w:rPr>
        <w:t xml:space="preserve">the monetary tools that we </w:t>
      </w:r>
      <w:r w:rsidR="002570A0" w:rsidRPr="00B0175A">
        <w:rPr>
          <w:b/>
          <w:bCs/>
        </w:rPr>
        <w:t xml:space="preserve">are providing </w:t>
      </w:r>
      <w:r w:rsidRPr="00B0175A">
        <w:rPr>
          <w:b/>
          <w:bCs/>
        </w:rPr>
        <w:t>at the Bank of Israel to help in dealing with the economic difficulty deriving from the war, particularly to those especially hard hit. We will continue to provide a response to the various economic issues that arise from the war, and will implement the range of tools available to us as needed.”</w:t>
      </w:r>
    </w:p>
    <w:p w:rsidR="00A15D27" w:rsidRPr="002570A0" w:rsidRDefault="00A15D27" w:rsidP="002570A0">
      <w:pPr>
        <w:bidi w:val="0"/>
        <w:jc w:val="both"/>
      </w:pPr>
    </w:p>
    <w:p w:rsidR="00E873FD" w:rsidRDefault="00E873FD" w:rsidP="00946E9F">
      <w:pPr>
        <w:bidi w:val="0"/>
        <w:jc w:val="both"/>
      </w:pPr>
      <w:r w:rsidRPr="002570A0">
        <w:t xml:space="preserve">Since the war broke out, the Bank of Israel has </w:t>
      </w:r>
      <w:r w:rsidR="00374FB0">
        <w:t xml:space="preserve">adopted </w:t>
      </w:r>
      <w:r w:rsidRPr="002570A0">
        <w:t xml:space="preserve">several </w:t>
      </w:r>
      <w:r w:rsidR="00DA5CCD">
        <w:t>measures</w:t>
      </w:r>
      <w:r w:rsidR="00DA5CCD" w:rsidRPr="002570A0">
        <w:t xml:space="preserve"> </w:t>
      </w:r>
      <w:r w:rsidRPr="002570A0">
        <w:t xml:space="preserve">intended to provide relief and to assist economically in these </w:t>
      </w:r>
      <w:r w:rsidR="00946E9F">
        <w:t>difficult</w:t>
      </w:r>
      <w:r w:rsidRPr="002570A0">
        <w:t xml:space="preserve"> times, </w:t>
      </w:r>
      <w:r w:rsidR="00F80D9D">
        <w:t xml:space="preserve">while </w:t>
      </w:r>
      <w:r w:rsidRPr="002570A0">
        <w:t>outlining the various needs arising from the field. Under these unique circumstances</w:t>
      </w:r>
      <w:r w:rsidR="00F80D9D">
        <w:t>,</w:t>
      </w:r>
      <w:r w:rsidRPr="002570A0">
        <w:t xml:space="preserve"> </w:t>
      </w:r>
      <w:r w:rsidR="00A838D0" w:rsidRPr="002570A0">
        <w:t xml:space="preserve">the Bank of Israel is implementing today an additional </w:t>
      </w:r>
      <w:r w:rsidR="00F05498">
        <w:t>targeted</w:t>
      </w:r>
      <w:r w:rsidR="00D33649">
        <w:t xml:space="preserve"> </w:t>
      </w:r>
      <w:r w:rsidR="00F05498">
        <w:t>policy</w:t>
      </w:r>
      <w:r w:rsidR="00F05498" w:rsidRPr="002570A0">
        <w:t xml:space="preserve"> </w:t>
      </w:r>
      <w:r w:rsidR="00A838D0" w:rsidRPr="002570A0">
        <w:t xml:space="preserve">tool, to assist small and micro businesses </w:t>
      </w:r>
      <w:r w:rsidR="00F05498">
        <w:t>affected by</w:t>
      </w:r>
      <w:r w:rsidR="00A838D0" w:rsidRPr="002570A0">
        <w:t xml:space="preserve"> the war </w:t>
      </w:r>
      <w:r w:rsidR="00F80D9D">
        <w:t xml:space="preserve">in </w:t>
      </w:r>
      <w:r w:rsidR="00A838D0" w:rsidRPr="002570A0">
        <w:t>get</w:t>
      </w:r>
      <w:r w:rsidR="00F80D9D">
        <w:t xml:space="preserve">ting </w:t>
      </w:r>
      <w:r w:rsidR="00A838D0" w:rsidRPr="002570A0">
        <w:t>through this period, and to enable them to receive credit at improved interest rates, despite the risk inherent in providing credit to these businesses at this time.</w:t>
      </w:r>
    </w:p>
    <w:p w:rsidR="0059525C" w:rsidRDefault="0059525C" w:rsidP="0059525C">
      <w:pPr>
        <w:bidi w:val="0"/>
        <w:jc w:val="both"/>
      </w:pPr>
    </w:p>
    <w:p w:rsidR="00DA5CCD" w:rsidRPr="00F05498" w:rsidRDefault="00A838D0" w:rsidP="00140B8D">
      <w:pPr>
        <w:bidi w:val="0"/>
        <w:jc w:val="both"/>
        <w:rPr>
          <w:b/>
          <w:bCs/>
        </w:rPr>
      </w:pPr>
      <w:r w:rsidRPr="002570A0">
        <w:t xml:space="preserve">The Monetary Committee decided </w:t>
      </w:r>
      <w:r w:rsidR="00D33649">
        <w:t xml:space="preserve">to </w:t>
      </w:r>
      <w:r w:rsidR="00DA5CCD">
        <w:t>activate</w:t>
      </w:r>
      <w:r w:rsidRPr="002570A0">
        <w:t xml:space="preserve"> </w:t>
      </w:r>
      <w:r w:rsidRPr="00F80D9D">
        <w:rPr>
          <w:b/>
          <w:bCs/>
        </w:rPr>
        <w:t xml:space="preserve">a program for easing the credit terms for small and micro businesses, at a scope of up to NIS 10 billion, </w:t>
      </w:r>
      <w:r w:rsidR="00140B8D">
        <w:rPr>
          <w:b/>
          <w:bCs/>
        </w:rPr>
        <w:t xml:space="preserve">which </w:t>
      </w:r>
      <w:r w:rsidRPr="00F80D9D">
        <w:rPr>
          <w:b/>
          <w:bCs/>
        </w:rPr>
        <w:t>will be</w:t>
      </w:r>
      <w:r w:rsidR="0059525C">
        <w:rPr>
          <w:b/>
          <w:bCs/>
        </w:rPr>
        <w:t xml:space="preserve"> </w:t>
      </w:r>
      <w:r w:rsidRPr="00F80D9D">
        <w:rPr>
          <w:b/>
          <w:bCs/>
        </w:rPr>
        <w:t>implemented in respect of credit granted until the end of January 2024.</w:t>
      </w:r>
    </w:p>
    <w:p w:rsidR="00DA5CCD" w:rsidRPr="002570A0" w:rsidRDefault="00DA5CCD" w:rsidP="00DA5CCD">
      <w:pPr>
        <w:bidi w:val="0"/>
        <w:jc w:val="both"/>
      </w:pPr>
    </w:p>
    <w:p w:rsidR="006A177F" w:rsidRPr="006B1142" w:rsidRDefault="00F05498" w:rsidP="00A34B68">
      <w:pPr>
        <w:bidi w:val="0"/>
        <w:jc w:val="both"/>
        <w:rPr>
          <w:b/>
          <w:bCs/>
        </w:rPr>
      </w:pPr>
      <w:r>
        <w:t xml:space="preserve"> </w:t>
      </w:r>
      <w:r w:rsidR="006A177F" w:rsidRPr="006B1142">
        <w:rPr>
          <w:b/>
          <w:bCs/>
        </w:rPr>
        <w:t>Within the framework of the program, the Bank of Israel will provide the banking system with monetary loans</w:t>
      </w:r>
      <w:r w:rsidR="002A3231" w:rsidRPr="006B1142">
        <w:rPr>
          <w:rStyle w:val="ad"/>
          <w:b/>
          <w:bCs/>
        </w:rPr>
        <w:footnoteReference w:id="1"/>
      </w:r>
      <w:r w:rsidR="006A177F" w:rsidRPr="006B1142">
        <w:rPr>
          <w:b/>
          <w:bCs/>
        </w:rPr>
        <w:t xml:space="preserve"> for a period of up to 2 years at a variable interest rate</w:t>
      </w:r>
      <w:r w:rsidR="005C626D">
        <w:rPr>
          <w:b/>
          <w:bCs/>
        </w:rPr>
        <w:t>—</w:t>
      </w:r>
      <w:r w:rsidR="006A177F" w:rsidRPr="006B1142">
        <w:rPr>
          <w:b/>
          <w:bCs/>
        </w:rPr>
        <w:t xml:space="preserve">the Bank of Israel interest rate minus 1.5 percentage points, against loans granted </w:t>
      </w:r>
      <w:r w:rsidR="005C626D">
        <w:rPr>
          <w:b/>
          <w:bCs/>
        </w:rPr>
        <w:t xml:space="preserve">by the banks </w:t>
      </w:r>
      <w:r w:rsidR="006A177F" w:rsidRPr="006B1142">
        <w:rPr>
          <w:b/>
          <w:bCs/>
        </w:rPr>
        <w:t xml:space="preserve">to small and micro businesses </w:t>
      </w:r>
      <w:r w:rsidR="005C626D">
        <w:rPr>
          <w:b/>
          <w:bCs/>
        </w:rPr>
        <w:t xml:space="preserve">whose </w:t>
      </w:r>
      <w:r w:rsidR="006A177F" w:rsidRPr="006B1142">
        <w:rPr>
          <w:b/>
          <w:bCs/>
        </w:rPr>
        <w:t>revenue was negatively impacted by at least 25 percent</w:t>
      </w:r>
      <w:r w:rsidR="00376309" w:rsidRPr="006B1142">
        <w:rPr>
          <w:rStyle w:val="ad"/>
          <w:b/>
          <w:bCs/>
        </w:rPr>
        <w:footnoteReference w:id="2"/>
      </w:r>
      <w:r w:rsidR="006A177F" w:rsidRPr="006B1142">
        <w:rPr>
          <w:b/>
          <w:bCs/>
        </w:rPr>
        <w:t xml:space="preserve"> as a result of the war, and on the condition that </w:t>
      </w:r>
      <w:r w:rsidR="00BB16DA">
        <w:rPr>
          <w:b/>
          <w:bCs/>
        </w:rPr>
        <w:t xml:space="preserve">the </w:t>
      </w:r>
      <w:r w:rsidR="006A177F" w:rsidRPr="006B1142">
        <w:rPr>
          <w:b/>
          <w:bCs/>
        </w:rPr>
        <w:t>average interest rate of their loans to those small and micro businesses do</w:t>
      </w:r>
      <w:r w:rsidR="00BB16DA">
        <w:rPr>
          <w:b/>
          <w:bCs/>
        </w:rPr>
        <w:t xml:space="preserve">es </w:t>
      </w:r>
      <w:r w:rsidR="006A177F" w:rsidRPr="006B1142">
        <w:rPr>
          <w:b/>
          <w:bCs/>
        </w:rPr>
        <w:t>n</w:t>
      </w:r>
      <w:r w:rsidR="00BB16DA">
        <w:rPr>
          <w:b/>
          <w:bCs/>
        </w:rPr>
        <w:t>o</w:t>
      </w:r>
      <w:r w:rsidR="006A177F" w:rsidRPr="006B1142">
        <w:rPr>
          <w:b/>
          <w:bCs/>
        </w:rPr>
        <w:t xml:space="preserve">t exceed the </w:t>
      </w:r>
      <w:r>
        <w:rPr>
          <w:b/>
          <w:bCs/>
        </w:rPr>
        <w:t>p</w:t>
      </w:r>
      <w:r w:rsidR="006A177F" w:rsidRPr="006B1142">
        <w:rPr>
          <w:b/>
          <w:bCs/>
        </w:rPr>
        <w:t>rime interest rate.</w:t>
      </w:r>
    </w:p>
    <w:p w:rsidR="005761E4" w:rsidRPr="002570A0" w:rsidRDefault="005761E4" w:rsidP="002570A0">
      <w:pPr>
        <w:bidi w:val="0"/>
        <w:jc w:val="both"/>
      </w:pPr>
    </w:p>
    <w:p w:rsidR="005761E4" w:rsidRPr="002570A0" w:rsidRDefault="005761E4" w:rsidP="00D33649">
      <w:pPr>
        <w:bidi w:val="0"/>
        <w:jc w:val="both"/>
      </w:pPr>
      <w:r w:rsidRPr="002570A0">
        <w:t xml:space="preserve">This </w:t>
      </w:r>
      <w:r w:rsidR="00A47BD3">
        <w:t>measure</w:t>
      </w:r>
      <w:r w:rsidR="00A47BD3" w:rsidRPr="002570A0">
        <w:t xml:space="preserve"> </w:t>
      </w:r>
      <w:r w:rsidRPr="002570A0">
        <w:t>is intended to assist small and micro businesses</w:t>
      </w:r>
      <w:r w:rsidR="00D33B62" w:rsidRPr="002570A0">
        <w:t xml:space="preserve"> to get through this challenging period until they return to full business activity, and it </w:t>
      </w:r>
      <w:r w:rsidR="00BB16DA">
        <w:t xml:space="preserve">comes </w:t>
      </w:r>
      <w:r w:rsidR="00D33B62" w:rsidRPr="002570A0">
        <w:t xml:space="preserve">in addition to </w:t>
      </w:r>
      <w:r w:rsidR="00E6652D" w:rsidRPr="002570A0">
        <w:t xml:space="preserve">a </w:t>
      </w:r>
      <w:r w:rsidR="00E6652D">
        <w:t>host</w:t>
      </w:r>
      <w:r w:rsidR="00A47BD3" w:rsidRPr="002570A0">
        <w:t xml:space="preserve"> </w:t>
      </w:r>
      <w:r w:rsidR="00D33B62" w:rsidRPr="002570A0">
        <w:t xml:space="preserve">of </w:t>
      </w:r>
      <w:r w:rsidR="00567845">
        <w:t>credit-</w:t>
      </w:r>
      <w:r w:rsidR="00E6652D">
        <w:t>related measures</w:t>
      </w:r>
      <w:r w:rsidR="00A47BD3" w:rsidRPr="002570A0">
        <w:t xml:space="preserve"> </w:t>
      </w:r>
      <w:r w:rsidR="00D33B62" w:rsidRPr="002570A0">
        <w:t xml:space="preserve">taken to </w:t>
      </w:r>
      <w:r w:rsidR="00D33B62" w:rsidRPr="000B4849">
        <w:t>date</w:t>
      </w:r>
      <w:r w:rsidR="00D33B62" w:rsidRPr="002570A0">
        <w:t xml:space="preserve">, led by </w:t>
      </w:r>
      <w:r w:rsidR="005C045D">
        <w:t xml:space="preserve">the </w:t>
      </w:r>
      <w:r w:rsidR="00D33B62" w:rsidRPr="002570A0">
        <w:t>implement</w:t>
      </w:r>
      <w:r w:rsidR="005C045D">
        <w:t xml:space="preserve">ation of </w:t>
      </w:r>
      <w:r w:rsidR="00D33B62" w:rsidRPr="002570A0">
        <w:t xml:space="preserve">the broad outline promoted by the Banking Supervision Department </w:t>
      </w:r>
      <w:r w:rsidR="000B4849">
        <w:t xml:space="preserve">for </w:t>
      </w:r>
      <w:r w:rsidR="00D33B62" w:rsidRPr="002570A0">
        <w:t>defer</w:t>
      </w:r>
      <w:r w:rsidR="000B4849">
        <w:t>ring</w:t>
      </w:r>
      <w:r w:rsidR="00D33B62" w:rsidRPr="002570A0">
        <w:t xml:space="preserve"> loan payments</w:t>
      </w:r>
      <w:r w:rsidR="005C045D">
        <w:t xml:space="preserve"> </w:t>
      </w:r>
      <w:r w:rsidR="00A47BD3" w:rsidRPr="00D33649">
        <w:t xml:space="preserve">of </w:t>
      </w:r>
      <w:r w:rsidR="00D33B62" w:rsidRPr="00D33649">
        <w:t xml:space="preserve">households </w:t>
      </w:r>
      <w:r w:rsidR="00A47BD3" w:rsidRPr="00D33649">
        <w:t xml:space="preserve">to </w:t>
      </w:r>
      <w:r w:rsidR="00D33B62" w:rsidRPr="00D33649">
        <w:t>the banks and credit card companies.</w:t>
      </w:r>
    </w:p>
    <w:p w:rsidR="002A3231" w:rsidRPr="002570A0" w:rsidRDefault="002A3231" w:rsidP="002570A0">
      <w:pPr>
        <w:bidi w:val="0"/>
        <w:jc w:val="both"/>
      </w:pPr>
    </w:p>
    <w:p w:rsidR="002A3231" w:rsidRPr="00BB16DA" w:rsidRDefault="002A3231" w:rsidP="00BB16DA">
      <w:pPr>
        <w:pStyle w:val="aa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2570A0">
        <w:lastRenderedPageBreak/>
        <w:t xml:space="preserve">The Consumer </w:t>
      </w:r>
      <w:r w:rsidRPr="00BB16DA">
        <w:rPr>
          <w:rFonts w:asciiTheme="majorBidi" w:hAnsiTheme="majorBidi" w:cstheme="majorBidi"/>
          <w:szCs w:val="24"/>
        </w:rPr>
        <w:t>Enquiries and Inspections Unit</w:t>
      </w:r>
      <w:r w:rsidRPr="00BB16DA">
        <w:rPr>
          <w:rFonts w:asciiTheme="majorBidi" w:hAnsiTheme="majorBidi" w:cstheme="majorBidi"/>
        </w:rPr>
        <w:t xml:space="preserve"> at the Banking Supervision Department: *9086 or 02-655-2680</w:t>
      </w:r>
    </w:p>
    <w:p w:rsidR="002A3231" w:rsidRPr="00BB16DA" w:rsidRDefault="002A3231" w:rsidP="00BB16DA">
      <w:pPr>
        <w:pStyle w:val="aa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BB16DA">
        <w:rPr>
          <w:rFonts w:asciiTheme="majorBidi" w:hAnsiTheme="majorBidi" w:cstheme="majorBidi"/>
        </w:rPr>
        <w:t>The call center for the Supervisor of Credit Data at the Bank of Israel: *6194</w:t>
      </w:r>
    </w:p>
    <w:p w:rsidR="002A3231" w:rsidRPr="005F36E4" w:rsidRDefault="002A3231" w:rsidP="00BB16DA">
      <w:pPr>
        <w:pStyle w:val="aa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5F36E4">
        <w:rPr>
          <w:rFonts w:asciiTheme="majorBidi" w:hAnsiTheme="majorBidi" w:cstheme="majorBidi"/>
        </w:rPr>
        <w:t>The emergency information page on the Bank of Israel website</w:t>
      </w:r>
    </w:p>
    <w:bookmarkEnd w:id="0"/>
    <w:p w:rsidR="002A3231" w:rsidRPr="002570A0" w:rsidRDefault="002A3231" w:rsidP="002570A0">
      <w:pPr>
        <w:bidi w:val="0"/>
        <w:jc w:val="both"/>
      </w:pPr>
    </w:p>
    <w:sectPr w:rsidR="002A3231" w:rsidRPr="002570A0" w:rsidSect="00D11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1797" w:bottom="624" w:left="1797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5E" w:rsidRDefault="00783C5E" w:rsidP="00E64B36">
      <w:r>
        <w:separator/>
      </w:r>
    </w:p>
  </w:endnote>
  <w:endnote w:type="continuationSeparator" w:id="0">
    <w:p w:rsidR="00783C5E" w:rsidRDefault="00783C5E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22" w:rsidRPr="00986270" w:rsidRDefault="00986270" w:rsidP="00EB0782">
    <w:pPr>
      <w:bidi w:val="0"/>
      <w:ind w:right="-52"/>
      <w:rPr>
        <w:b/>
        <w:bCs/>
        <w:sz w:val="26"/>
        <w:szCs w:val="26"/>
        <w:u w:val="single"/>
        <w:rtl/>
        <w:cs/>
      </w:rPr>
    </w:pPr>
    <w:r w:rsidRPr="00986270">
      <w:rPr>
        <w:sz w:val="18"/>
        <w:szCs w:val="18"/>
      </w:rPr>
      <w:t>Bank of Israel</w:t>
    </w:r>
    <w:r>
      <w:rPr>
        <w:sz w:val="18"/>
        <w:szCs w:val="18"/>
      </w:rPr>
      <w:tab/>
    </w:r>
    <w:r w:rsidR="00596FB4" w:rsidRPr="00CD0A35">
      <w:rPr>
        <w:sz w:val="18"/>
        <w:szCs w:val="18"/>
      </w:rPr>
      <w:tab/>
    </w:r>
    <w:r w:rsidR="00B96022" w:rsidRPr="00CD0A35">
      <w:rPr>
        <w:sz w:val="18"/>
        <w:szCs w:val="18"/>
      </w:rPr>
      <w:t>Page</w:t>
    </w:r>
    <w:r w:rsidR="00B96022" w:rsidRPr="00CD0A35">
      <w:rPr>
        <w:sz w:val="18"/>
        <w:szCs w:val="18"/>
        <w:rtl/>
        <w:cs/>
        <w:lang w:val="he-IL"/>
      </w:rPr>
      <w:t xml:space="preserve"> </w:t>
    </w:r>
    <w:r w:rsidR="00B96022" w:rsidRPr="00CD0A35">
      <w:rPr>
        <w:b/>
        <w:bCs/>
        <w:sz w:val="18"/>
        <w:szCs w:val="18"/>
      </w:rPr>
      <w:fldChar w:fldCharType="begin"/>
    </w:r>
    <w:r w:rsidR="00B96022" w:rsidRPr="00CD0A35">
      <w:rPr>
        <w:b/>
        <w:bCs/>
        <w:sz w:val="18"/>
        <w:szCs w:val="18"/>
        <w:rtl/>
        <w:cs/>
      </w:rPr>
      <w:instrText>PAGE</w:instrText>
    </w:r>
    <w:r w:rsidR="00B96022" w:rsidRPr="00CD0A35">
      <w:rPr>
        <w:b/>
        <w:bCs/>
        <w:sz w:val="18"/>
        <w:szCs w:val="18"/>
      </w:rPr>
      <w:fldChar w:fldCharType="separate"/>
    </w:r>
    <w:r w:rsidR="001226DC">
      <w:rPr>
        <w:b/>
        <w:bCs/>
        <w:noProof/>
        <w:sz w:val="18"/>
        <w:szCs w:val="18"/>
      </w:rPr>
      <w:t>2</w:t>
    </w:r>
    <w:r w:rsidR="00B96022" w:rsidRPr="00CD0A35">
      <w:rPr>
        <w:b/>
        <w:bCs/>
        <w:sz w:val="18"/>
        <w:szCs w:val="18"/>
      </w:rPr>
      <w:fldChar w:fldCharType="end"/>
    </w:r>
    <w:r w:rsidR="00B96022" w:rsidRPr="00CD0A35">
      <w:rPr>
        <w:sz w:val="18"/>
        <w:szCs w:val="18"/>
      </w:rPr>
      <w:t xml:space="preserve"> Of</w:t>
    </w:r>
    <w:r w:rsidR="00B96022" w:rsidRPr="00CD0A35">
      <w:rPr>
        <w:sz w:val="18"/>
        <w:szCs w:val="18"/>
        <w:rtl/>
        <w:cs/>
        <w:lang w:val="he-IL"/>
      </w:rPr>
      <w:t xml:space="preserve"> </w:t>
    </w:r>
    <w:r w:rsidR="00B96022" w:rsidRPr="00CD0A35">
      <w:rPr>
        <w:b/>
        <w:bCs/>
        <w:sz w:val="18"/>
        <w:szCs w:val="18"/>
      </w:rPr>
      <w:fldChar w:fldCharType="begin"/>
    </w:r>
    <w:r w:rsidR="00B96022" w:rsidRPr="00CD0A35">
      <w:rPr>
        <w:b/>
        <w:bCs/>
        <w:sz w:val="18"/>
        <w:szCs w:val="18"/>
        <w:rtl/>
        <w:cs/>
      </w:rPr>
      <w:instrText>NUMPAGES</w:instrText>
    </w:r>
    <w:r w:rsidR="00B96022" w:rsidRPr="00CD0A35">
      <w:rPr>
        <w:b/>
        <w:bCs/>
        <w:sz w:val="18"/>
        <w:szCs w:val="18"/>
      </w:rPr>
      <w:fldChar w:fldCharType="separate"/>
    </w:r>
    <w:r w:rsidR="001226DC">
      <w:rPr>
        <w:b/>
        <w:bCs/>
        <w:noProof/>
        <w:sz w:val="18"/>
        <w:szCs w:val="18"/>
      </w:rPr>
      <w:t>2</w:t>
    </w:r>
    <w:r w:rsidR="00B96022" w:rsidRPr="00CD0A35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5E" w:rsidRDefault="00783C5E" w:rsidP="00E64B36">
      <w:r>
        <w:separator/>
      </w:r>
    </w:p>
  </w:footnote>
  <w:footnote w:type="continuationSeparator" w:id="0">
    <w:p w:rsidR="00783C5E" w:rsidRDefault="00783C5E" w:rsidP="00E64B36">
      <w:r>
        <w:continuationSeparator/>
      </w:r>
    </w:p>
  </w:footnote>
  <w:footnote w:id="1">
    <w:p w:rsidR="002A3231" w:rsidRPr="000B4849" w:rsidRDefault="002A3231" w:rsidP="0059525C">
      <w:pPr>
        <w:pStyle w:val="ab"/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0B4849">
        <w:rPr>
          <w:rStyle w:val="ad"/>
          <w:rFonts w:asciiTheme="majorBidi" w:hAnsiTheme="majorBidi" w:cstheme="majorBidi"/>
          <w:sz w:val="16"/>
          <w:szCs w:val="16"/>
        </w:rPr>
        <w:footnoteRef/>
      </w:r>
      <w:r w:rsidRPr="000B4849">
        <w:rPr>
          <w:rFonts w:asciiTheme="majorBidi" w:hAnsiTheme="majorBidi" w:cstheme="majorBidi"/>
          <w:sz w:val="16"/>
          <w:szCs w:val="16"/>
        </w:rPr>
        <w:t xml:space="preserve"> The rest of the details of the program will be distributed in a separate circular to the banking system and the public.</w:t>
      </w:r>
    </w:p>
  </w:footnote>
  <w:footnote w:id="2">
    <w:p w:rsidR="00376309" w:rsidRPr="000B4849" w:rsidRDefault="00376309" w:rsidP="0059525C">
      <w:pPr>
        <w:pStyle w:val="ab"/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0B4849">
        <w:rPr>
          <w:rStyle w:val="ad"/>
          <w:rFonts w:asciiTheme="majorBidi" w:hAnsiTheme="majorBidi" w:cstheme="majorBidi"/>
          <w:sz w:val="16"/>
          <w:szCs w:val="16"/>
        </w:rPr>
        <w:footnoteRef/>
      </w:r>
      <w:r w:rsidRPr="000B4849">
        <w:rPr>
          <w:rFonts w:asciiTheme="majorBidi" w:hAnsiTheme="majorBidi" w:cstheme="majorBidi"/>
          <w:sz w:val="16"/>
          <w:szCs w:val="16"/>
        </w:rPr>
        <w:t xml:space="preserve"> The adverse impact on revenue is at least 25 percent in one of the calendar months October/</w:t>
      </w:r>
      <w:r w:rsidR="0079675E" w:rsidRPr="000B4849">
        <w:rPr>
          <w:rFonts w:asciiTheme="majorBidi" w:hAnsiTheme="majorBidi" w:cstheme="majorBidi"/>
          <w:sz w:val="16"/>
          <w:szCs w:val="16"/>
        </w:rPr>
        <w:t>November/December or later.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26"/>
    <w:multiLevelType w:val="hybridMultilevel"/>
    <w:tmpl w:val="A40E2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6ED9"/>
    <w:multiLevelType w:val="hybridMultilevel"/>
    <w:tmpl w:val="9B74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EE03CF"/>
    <w:multiLevelType w:val="hybridMultilevel"/>
    <w:tmpl w:val="710C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207060"/>
    <w:multiLevelType w:val="hybridMultilevel"/>
    <w:tmpl w:val="E0AE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F55FD"/>
    <w:multiLevelType w:val="hybridMultilevel"/>
    <w:tmpl w:val="1CF6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9796A"/>
    <w:multiLevelType w:val="hybridMultilevel"/>
    <w:tmpl w:val="E89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7FFE"/>
    <w:rsid w:val="0001385E"/>
    <w:rsid w:val="0001413F"/>
    <w:rsid w:val="00022DA8"/>
    <w:rsid w:val="00033569"/>
    <w:rsid w:val="00051247"/>
    <w:rsid w:val="000526A0"/>
    <w:rsid w:val="0005726E"/>
    <w:rsid w:val="00065D9C"/>
    <w:rsid w:val="000A520E"/>
    <w:rsid w:val="000B4849"/>
    <w:rsid w:val="000C710C"/>
    <w:rsid w:val="000D4E65"/>
    <w:rsid w:val="000F48F6"/>
    <w:rsid w:val="000F4BF2"/>
    <w:rsid w:val="001001A2"/>
    <w:rsid w:val="00101B55"/>
    <w:rsid w:val="001226DC"/>
    <w:rsid w:val="00130245"/>
    <w:rsid w:val="00140B8D"/>
    <w:rsid w:val="001428C4"/>
    <w:rsid w:val="00143F3A"/>
    <w:rsid w:val="00151D84"/>
    <w:rsid w:val="00160B25"/>
    <w:rsid w:val="00162F5E"/>
    <w:rsid w:val="00165CB6"/>
    <w:rsid w:val="00175CDA"/>
    <w:rsid w:val="001815E1"/>
    <w:rsid w:val="00182965"/>
    <w:rsid w:val="00182CF0"/>
    <w:rsid w:val="001963C6"/>
    <w:rsid w:val="001A4816"/>
    <w:rsid w:val="001B4E73"/>
    <w:rsid w:val="001C1BC1"/>
    <w:rsid w:val="001C388F"/>
    <w:rsid w:val="001C71E8"/>
    <w:rsid w:val="001D381C"/>
    <w:rsid w:val="001F57DE"/>
    <w:rsid w:val="00202E77"/>
    <w:rsid w:val="002117DC"/>
    <w:rsid w:val="0021327F"/>
    <w:rsid w:val="002235F5"/>
    <w:rsid w:val="002271A2"/>
    <w:rsid w:val="00237CE5"/>
    <w:rsid w:val="00247387"/>
    <w:rsid w:val="002506C4"/>
    <w:rsid w:val="00252C62"/>
    <w:rsid w:val="002570A0"/>
    <w:rsid w:val="00273AE1"/>
    <w:rsid w:val="00281C70"/>
    <w:rsid w:val="00283FB7"/>
    <w:rsid w:val="0029640A"/>
    <w:rsid w:val="00297100"/>
    <w:rsid w:val="002A0545"/>
    <w:rsid w:val="002A0D2A"/>
    <w:rsid w:val="002A3231"/>
    <w:rsid w:val="002B48CC"/>
    <w:rsid w:val="002C6A25"/>
    <w:rsid w:val="002F4149"/>
    <w:rsid w:val="002F7EEF"/>
    <w:rsid w:val="0030279B"/>
    <w:rsid w:val="003129D6"/>
    <w:rsid w:val="003136EE"/>
    <w:rsid w:val="00321832"/>
    <w:rsid w:val="00322C28"/>
    <w:rsid w:val="003276ED"/>
    <w:rsid w:val="003365E0"/>
    <w:rsid w:val="00344E60"/>
    <w:rsid w:val="00360B5C"/>
    <w:rsid w:val="00364AF8"/>
    <w:rsid w:val="00364C08"/>
    <w:rsid w:val="00371527"/>
    <w:rsid w:val="003727EE"/>
    <w:rsid w:val="00374FB0"/>
    <w:rsid w:val="00376309"/>
    <w:rsid w:val="003772AF"/>
    <w:rsid w:val="00385CB3"/>
    <w:rsid w:val="00387840"/>
    <w:rsid w:val="0039059D"/>
    <w:rsid w:val="00390CA5"/>
    <w:rsid w:val="003A1AC9"/>
    <w:rsid w:val="003A335C"/>
    <w:rsid w:val="003A3813"/>
    <w:rsid w:val="003B4DD7"/>
    <w:rsid w:val="003B715F"/>
    <w:rsid w:val="003B7DC3"/>
    <w:rsid w:val="003C7815"/>
    <w:rsid w:val="003D6F31"/>
    <w:rsid w:val="003D7860"/>
    <w:rsid w:val="003D7BF1"/>
    <w:rsid w:val="003E3F4C"/>
    <w:rsid w:val="003F745D"/>
    <w:rsid w:val="00401395"/>
    <w:rsid w:val="004033B8"/>
    <w:rsid w:val="00403D99"/>
    <w:rsid w:val="00411BA4"/>
    <w:rsid w:val="00412846"/>
    <w:rsid w:val="00413339"/>
    <w:rsid w:val="004147FC"/>
    <w:rsid w:val="0042309E"/>
    <w:rsid w:val="00430365"/>
    <w:rsid w:val="004309C6"/>
    <w:rsid w:val="00443044"/>
    <w:rsid w:val="00445B15"/>
    <w:rsid w:val="00447E5A"/>
    <w:rsid w:val="00451493"/>
    <w:rsid w:val="0046455D"/>
    <w:rsid w:val="0046672E"/>
    <w:rsid w:val="00474107"/>
    <w:rsid w:val="00482E08"/>
    <w:rsid w:val="00492391"/>
    <w:rsid w:val="004A20A5"/>
    <w:rsid w:val="004D02F4"/>
    <w:rsid w:val="004D32A7"/>
    <w:rsid w:val="004D5D6F"/>
    <w:rsid w:val="004E25DD"/>
    <w:rsid w:val="004E4AEC"/>
    <w:rsid w:val="004F4341"/>
    <w:rsid w:val="0050183E"/>
    <w:rsid w:val="00513B3C"/>
    <w:rsid w:val="005165DB"/>
    <w:rsid w:val="005221FC"/>
    <w:rsid w:val="005406F8"/>
    <w:rsid w:val="00540B03"/>
    <w:rsid w:val="005462D0"/>
    <w:rsid w:val="0055455A"/>
    <w:rsid w:val="00555C8A"/>
    <w:rsid w:val="005576E1"/>
    <w:rsid w:val="00566FAC"/>
    <w:rsid w:val="00567733"/>
    <w:rsid w:val="00567845"/>
    <w:rsid w:val="005713A8"/>
    <w:rsid w:val="005761E4"/>
    <w:rsid w:val="00583DAD"/>
    <w:rsid w:val="0059277F"/>
    <w:rsid w:val="00592A99"/>
    <w:rsid w:val="0059525C"/>
    <w:rsid w:val="00596FB4"/>
    <w:rsid w:val="00597EED"/>
    <w:rsid w:val="005A2991"/>
    <w:rsid w:val="005C045D"/>
    <w:rsid w:val="005C626D"/>
    <w:rsid w:val="005D0AF8"/>
    <w:rsid w:val="005F36E4"/>
    <w:rsid w:val="005F3A83"/>
    <w:rsid w:val="005F3E47"/>
    <w:rsid w:val="0060215A"/>
    <w:rsid w:val="0061692C"/>
    <w:rsid w:val="006216F9"/>
    <w:rsid w:val="00621BB5"/>
    <w:rsid w:val="0062658F"/>
    <w:rsid w:val="00640EEA"/>
    <w:rsid w:val="0064482B"/>
    <w:rsid w:val="00652D53"/>
    <w:rsid w:val="00662FB1"/>
    <w:rsid w:val="0067516F"/>
    <w:rsid w:val="006832D0"/>
    <w:rsid w:val="006A177F"/>
    <w:rsid w:val="006A36CC"/>
    <w:rsid w:val="006A66C5"/>
    <w:rsid w:val="006B029C"/>
    <w:rsid w:val="006B1142"/>
    <w:rsid w:val="006B4683"/>
    <w:rsid w:val="006B5BA9"/>
    <w:rsid w:val="006B679C"/>
    <w:rsid w:val="006C714C"/>
    <w:rsid w:val="006D3582"/>
    <w:rsid w:val="006D7651"/>
    <w:rsid w:val="006E1B6A"/>
    <w:rsid w:val="0070010B"/>
    <w:rsid w:val="0070029F"/>
    <w:rsid w:val="00701734"/>
    <w:rsid w:val="00721560"/>
    <w:rsid w:val="00726036"/>
    <w:rsid w:val="0074341E"/>
    <w:rsid w:val="00751F08"/>
    <w:rsid w:val="00760371"/>
    <w:rsid w:val="007666A8"/>
    <w:rsid w:val="00776535"/>
    <w:rsid w:val="007806C5"/>
    <w:rsid w:val="00783C5E"/>
    <w:rsid w:val="00786563"/>
    <w:rsid w:val="00787142"/>
    <w:rsid w:val="007926C7"/>
    <w:rsid w:val="00793399"/>
    <w:rsid w:val="0079675E"/>
    <w:rsid w:val="007A2030"/>
    <w:rsid w:val="007A589B"/>
    <w:rsid w:val="007A64CC"/>
    <w:rsid w:val="007B2769"/>
    <w:rsid w:val="007C6400"/>
    <w:rsid w:val="007D57EE"/>
    <w:rsid w:val="007E0C1F"/>
    <w:rsid w:val="007E1CB3"/>
    <w:rsid w:val="007F7993"/>
    <w:rsid w:val="0080750F"/>
    <w:rsid w:val="0081026B"/>
    <w:rsid w:val="00811656"/>
    <w:rsid w:val="00830099"/>
    <w:rsid w:val="008403F1"/>
    <w:rsid w:val="00842057"/>
    <w:rsid w:val="00842BAF"/>
    <w:rsid w:val="0086005B"/>
    <w:rsid w:val="00864C55"/>
    <w:rsid w:val="0086637C"/>
    <w:rsid w:val="00884167"/>
    <w:rsid w:val="008914B1"/>
    <w:rsid w:val="00892A46"/>
    <w:rsid w:val="008A7212"/>
    <w:rsid w:val="008B2431"/>
    <w:rsid w:val="008B257A"/>
    <w:rsid w:val="008C082F"/>
    <w:rsid w:val="008C366C"/>
    <w:rsid w:val="008D390B"/>
    <w:rsid w:val="008D6FB6"/>
    <w:rsid w:val="008E38F1"/>
    <w:rsid w:val="008E4D8E"/>
    <w:rsid w:val="008F17A3"/>
    <w:rsid w:val="008F1FCF"/>
    <w:rsid w:val="00900453"/>
    <w:rsid w:val="00904100"/>
    <w:rsid w:val="0090462E"/>
    <w:rsid w:val="00905463"/>
    <w:rsid w:val="0091307F"/>
    <w:rsid w:val="00933EF4"/>
    <w:rsid w:val="0093574D"/>
    <w:rsid w:val="00946E9F"/>
    <w:rsid w:val="00961BD6"/>
    <w:rsid w:val="0097278E"/>
    <w:rsid w:val="009744A0"/>
    <w:rsid w:val="00976781"/>
    <w:rsid w:val="00986270"/>
    <w:rsid w:val="009B166B"/>
    <w:rsid w:val="009B66C8"/>
    <w:rsid w:val="009C21B3"/>
    <w:rsid w:val="009C2C42"/>
    <w:rsid w:val="009E3D4E"/>
    <w:rsid w:val="009E6A28"/>
    <w:rsid w:val="009F010F"/>
    <w:rsid w:val="009F3FB7"/>
    <w:rsid w:val="00A117D2"/>
    <w:rsid w:val="00A15D27"/>
    <w:rsid w:val="00A17420"/>
    <w:rsid w:val="00A239A7"/>
    <w:rsid w:val="00A34B68"/>
    <w:rsid w:val="00A3549C"/>
    <w:rsid w:val="00A374AC"/>
    <w:rsid w:val="00A37869"/>
    <w:rsid w:val="00A44A88"/>
    <w:rsid w:val="00A47BD3"/>
    <w:rsid w:val="00A55F2B"/>
    <w:rsid w:val="00A72122"/>
    <w:rsid w:val="00A74752"/>
    <w:rsid w:val="00A749E1"/>
    <w:rsid w:val="00A81B6C"/>
    <w:rsid w:val="00A838D0"/>
    <w:rsid w:val="00A94775"/>
    <w:rsid w:val="00A962CF"/>
    <w:rsid w:val="00AB75B4"/>
    <w:rsid w:val="00AC74EC"/>
    <w:rsid w:val="00AD7CC8"/>
    <w:rsid w:val="00AE6E25"/>
    <w:rsid w:val="00AF6B3A"/>
    <w:rsid w:val="00B0175A"/>
    <w:rsid w:val="00B054AD"/>
    <w:rsid w:val="00B108AE"/>
    <w:rsid w:val="00B13C9D"/>
    <w:rsid w:val="00B2426C"/>
    <w:rsid w:val="00B40E49"/>
    <w:rsid w:val="00B4755E"/>
    <w:rsid w:val="00B533D5"/>
    <w:rsid w:val="00B54F09"/>
    <w:rsid w:val="00B71972"/>
    <w:rsid w:val="00B84789"/>
    <w:rsid w:val="00B85769"/>
    <w:rsid w:val="00B87F00"/>
    <w:rsid w:val="00B9176B"/>
    <w:rsid w:val="00B96022"/>
    <w:rsid w:val="00BB16DA"/>
    <w:rsid w:val="00BC113A"/>
    <w:rsid w:val="00BC71FF"/>
    <w:rsid w:val="00BD0FFD"/>
    <w:rsid w:val="00BE27B4"/>
    <w:rsid w:val="00BE4CAF"/>
    <w:rsid w:val="00BE52BF"/>
    <w:rsid w:val="00C00BB8"/>
    <w:rsid w:val="00C02233"/>
    <w:rsid w:val="00C05BED"/>
    <w:rsid w:val="00C06B06"/>
    <w:rsid w:val="00C106C2"/>
    <w:rsid w:val="00C15121"/>
    <w:rsid w:val="00C171FF"/>
    <w:rsid w:val="00C21009"/>
    <w:rsid w:val="00C21363"/>
    <w:rsid w:val="00C2294B"/>
    <w:rsid w:val="00C37129"/>
    <w:rsid w:val="00C47A56"/>
    <w:rsid w:val="00C52224"/>
    <w:rsid w:val="00C52FC2"/>
    <w:rsid w:val="00C5755A"/>
    <w:rsid w:val="00C67CE0"/>
    <w:rsid w:val="00C74F11"/>
    <w:rsid w:val="00C75CD9"/>
    <w:rsid w:val="00C7643D"/>
    <w:rsid w:val="00C76E10"/>
    <w:rsid w:val="00CB5D78"/>
    <w:rsid w:val="00CC58F8"/>
    <w:rsid w:val="00CD0A35"/>
    <w:rsid w:val="00CD5F91"/>
    <w:rsid w:val="00CD6927"/>
    <w:rsid w:val="00CE0B40"/>
    <w:rsid w:val="00D040A2"/>
    <w:rsid w:val="00D114C9"/>
    <w:rsid w:val="00D13C47"/>
    <w:rsid w:val="00D21685"/>
    <w:rsid w:val="00D318A3"/>
    <w:rsid w:val="00D326DC"/>
    <w:rsid w:val="00D33649"/>
    <w:rsid w:val="00D33B62"/>
    <w:rsid w:val="00D353EC"/>
    <w:rsid w:val="00D354E8"/>
    <w:rsid w:val="00D44122"/>
    <w:rsid w:val="00D554DA"/>
    <w:rsid w:val="00D60BFC"/>
    <w:rsid w:val="00D60FF3"/>
    <w:rsid w:val="00D655F5"/>
    <w:rsid w:val="00D67C46"/>
    <w:rsid w:val="00D70591"/>
    <w:rsid w:val="00D75CFB"/>
    <w:rsid w:val="00D77847"/>
    <w:rsid w:val="00D907A2"/>
    <w:rsid w:val="00DA5CCD"/>
    <w:rsid w:val="00DA6116"/>
    <w:rsid w:val="00DD195D"/>
    <w:rsid w:val="00DD4976"/>
    <w:rsid w:val="00DE01A0"/>
    <w:rsid w:val="00DE0699"/>
    <w:rsid w:val="00DF4CC2"/>
    <w:rsid w:val="00DF6966"/>
    <w:rsid w:val="00E01CF3"/>
    <w:rsid w:val="00E04222"/>
    <w:rsid w:val="00E0503C"/>
    <w:rsid w:val="00E1281F"/>
    <w:rsid w:val="00E16FFB"/>
    <w:rsid w:val="00E2493A"/>
    <w:rsid w:val="00E369B9"/>
    <w:rsid w:val="00E4365F"/>
    <w:rsid w:val="00E50F50"/>
    <w:rsid w:val="00E51E99"/>
    <w:rsid w:val="00E64B36"/>
    <w:rsid w:val="00E660F1"/>
    <w:rsid w:val="00E6652D"/>
    <w:rsid w:val="00E7204F"/>
    <w:rsid w:val="00E74DBF"/>
    <w:rsid w:val="00E8008F"/>
    <w:rsid w:val="00E8413B"/>
    <w:rsid w:val="00E85DB1"/>
    <w:rsid w:val="00E873FD"/>
    <w:rsid w:val="00EB0782"/>
    <w:rsid w:val="00EB0DEC"/>
    <w:rsid w:val="00EB44F5"/>
    <w:rsid w:val="00EB669A"/>
    <w:rsid w:val="00EC126C"/>
    <w:rsid w:val="00EC13FB"/>
    <w:rsid w:val="00EC48D4"/>
    <w:rsid w:val="00ED5226"/>
    <w:rsid w:val="00EE2AA0"/>
    <w:rsid w:val="00EE3596"/>
    <w:rsid w:val="00EF1554"/>
    <w:rsid w:val="00EF1AC2"/>
    <w:rsid w:val="00F033FC"/>
    <w:rsid w:val="00F05498"/>
    <w:rsid w:val="00F15E93"/>
    <w:rsid w:val="00F45181"/>
    <w:rsid w:val="00F45972"/>
    <w:rsid w:val="00F53236"/>
    <w:rsid w:val="00F56917"/>
    <w:rsid w:val="00F576F6"/>
    <w:rsid w:val="00F806F6"/>
    <w:rsid w:val="00F80D9D"/>
    <w:rsid w:val="00FA13BA"/>
    <w:rsid w:val="00FA3BFC"/>
    <w:rsid w:val="00FA4548"/>
    <w:rsid w:val="00FC2A67"/>
    <w:rsid w:val="00FC3F95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  <w:style w:type="paragraph" w:customStyle="1" w:styleId="PS">
    <w:name w:val="PS"/>
    <w:basedOn w:val="a"/>
    <w:rsid w:val="00A3549C"/>
    <w:pPr>
      <w:bidi w:val="0"/>
      <w:ind w:firstLine="432"/>
    </w:pPr>
    <w:rPr>
      <w:szCs w:val="20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DA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A5CCD"/>
    <w:rPr>
      <w:rFonts w:ascii="Courier New" w:hAnsi="Courier New" w:cs="Courier New"/>
    </w:rPr>
  </w:style>
  <w:style w:type="character" w:customStyle="1" w:styleId="y2iqfc">
    <w:name w:val="y2iqfc"/>
    <w:basedOn w:val="a0"/>
    <w:rsid w:val="00DA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272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6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3335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EFE2-BE98-4A06-A479-B405A418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2194</Characters>
  <Application>Microsoft Office Word</Application>
  <DocSecurity>4</DocSecurity>
  <Lines>43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2622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2023-11-07T07:01:00Z</dcterms:created>
  <dcterms:modified xsi:type="dcterms:W3CDTF">2023-11-07T07:01:00Z</dcterms:modified>
</cp:coreProperties>
</file>