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rawings/drawing3.xml" ContentType="application/vnd.openxmlformats-officedocument.drawingml.chartshapes+xml"/>
  <Override PartName="/word/drawings/drawing2.xml" ContentType="application/vnd.openxmlformats-officedocument.drawingml.chartshapes+xml"/>
  <Override PartName="/word/drawings/drawing4.xml" ContentType="application/vnd.openxmlformats-officedocument.drawingml.chartshap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charts/style3.xml" ContentType="application/vnd.ms-office.chartstyl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38"/>
        <w:bidiVisual/>
        <w:tblW w:w="8520" w:type="dxa"/>
        <w:tblLayout w:type="fixed"/>
        <w:tblLook w:val="0000" w:firstRow="0" w:lastRow="0" w:firstColumn="0" w:lastColumn="0" w:noHBand="0" w:noVBand="0"/>
        <w:tblCaption w:val="כותרת בנק ישראל"/>
        <w:tblDescription w:val="כותרת בנק ישראל"/>
      </w:tblPr>
      <w:tblGrid>
        <w:gridCol w:w="2840"/>
        <w:gridCol w:w="2596"/>
        <w:gridCol w:w="3084"/>
      </w:tblGrid>
      <w:tr w:rsidR="00FA4585" w:rsidRPr="00876E85" w:rsidTr="00FA4585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585" w:rsidRPr="000A54F7" w:rsidRDefault="00FA4585" w:rsidP="00206D9B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0A54F7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0A54F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0A54F7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0A54F7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A4585" w:rsidRPr="000A54F7" w:rsidRDefault="00FA4585" w:rsidP="00206D9B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876E85">
              <w:rPr>
                <w:rFonts w:cs="David"/>
                <w:sz w:val="24"/>
                <w:szCs w:val="24"/>
                <w:rtl/>
              </w:rPr>
              <w:t>דו</w:t>
            </w:r>
            <w:r w:rsidRPr="00876E85">
              <w:rPr>
                <w:rFonts w:cs="David" w:hint="cs"/>
                <w:sz w:val="24"/>
                <w:szCs w:val="24"/>
                <w:rtl/>
              </w:rPr>
              <w:t>בר</w:t>
            </w:r>
            <w:r w:rsidRPr="00876E85">
              <w:rPr>
                <w:rFonts w:cs="David"/>
                <w:sz w:val="24"/>
                <w:szCs w:val="24"/>
                <w:rtl/>
              </w:rPr>
              <w:t>ות</w:t>
            </w:r>
            <w:r w:rsidRPr="00876E85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A4585" w:rsidRPr="000A54F7" w:rsidRDefault="00FA4585" w:rsidP="00206D9B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  <w:noProof/>
              </w:rPr>
              <w:drawing>
                <wp:inline distT="0" distB="0" distL="0" distR="0" wp14:anchorId="0098E873" wp14:editId="051A2161">
                  <wp:extent cx="1048385" cy="1054735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585" w:rsidRPr="00D938D4" w:rsidRDefault="00FA4585" w:rsidP="00206D9B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D938D4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D938D4">
              <w:rPr>
                <w:rFonts w:cs="David"/>
                <w:sz w:val="24"/>
                <w:szCs w:val="24"/>
                <w:rtl/>
              </w:rPr>
              <w:t xml:space="preserve"> ירושלים, </w:t>
            </w:r>
            <w:r>
              <w:rPr>
                <w:rFonts w:cs="David" w:hint="cs"/>
                <w:sz w:val="24"/>
                <w:szCs w:val="24"/>
                <w:rtl/>
              </w:rPr>
              <w:t>כ"ב בטבת</w:t>
            </w:r>
            <w:r w:rsidRPr="00D938D4">
              <w:rPr>
                <w:rFonts w:cs="David"/>
                <w:sz w:val="24"/>
                <w:szCs w:val="24"/>
                <w:rtl/>
              </w:rPr>
              <w:t>, תש</w:t>
            </w:r>
            <w:r>
              <w:rPr>
                <w:rFonts w:cs="David" w:hint="cs"/>
                <w:sz w:val="24"/>
                <w:szCs w:val="24"/>
                <w:rtl/>
              </w:rPr>
              <w:t>פ"א</w:t>
            </w:r>
          </w:p>
          <w:p w:rsidR="00FA4585" w:rsidRPr="00D938D4" w:rsidRDefault="00FA4585" w:rsidP="00206D9B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D938D4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6</w:t>
            </w:r>
            <w:r w:rsidRPr="00D938D4">
              <w:rPr>
                <w:rFonts w:cs="David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ינואר</w:t>
            </w:r>
            <w:r w:rsidRPr="00D938D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938D4">
              <w:rPr>
                <w:rFonts w:cs="David" w:hint="cs"/>
                <w:sz w:val="24"/>
                <w:szCs w:val="24"/>
                <w:rtl/>
              </w:rPr>
              <w:t>20</w:t>
            </w:r>
            <w:r>
              <w:rPr>
                <w:rFonts w:cs="David" w:hint="cs"/>
                <w:sz w:val="24"/>
                <w:szCs w:val="24"/>
                <w:rtl/>
              </w:rPr>
              <w:t>21</w:t>
            </w:r>
          </w:p>
        </w:tc>
      </w:tr>
    </w:tbl>
    <w:p w:rsidR="00FA4585" w:rsidRPr="003F5C09" w:rsidRDefault="00FA4585" w:rsidP="00FA4585">
      <w:pPr>
        <w:tabs>
          <w:tab w:val="left" w:pos="2315"/>
        </w:tabs>
        <w:spacing w:line="360" w:lineRule="auto"/>
        <w:jc w:val="both"/>
        <w:rPr>
          <w:rFonts w:cs="David"/>
          <w:rtl/>
        </w:rPr>
      </w:pPr>
      <w:r w:rsidRPr="003F5C09">
        <w:rPr>
          <w:rFonts w:cs="David" w:hint="cs"/>
          <w:sz w:val="24"/>
          <w:szCs w:val="24"/>
          <w:rtl/>
        </w:rPr>
        <w:t>הודעה לעיתונות</w:t>
      </w:r>
      <w:r>
        <w:rPr>
          <w:rFonts w:cs="David" w:hint="cs"/>
          <w:sz w:val="24"/>
          <w:szCs w:val="24"/>
          <w:rtl/>
        </w:rPr>
        <w:t>:</w:t>
      </w:r>
    </w:p>
    <w:p w:rsidR="00A860C7" w:rsidRPr="00374260" w:rsidRDefault="00486F1B" w:rsidP="0037426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74260">
        <w:rPr>
          <w:rFonts w:ascii="David" w:hAnsi="David" w:cs="David" w:hint="cs"/>
          <w:b/>
          <w:bCs/>
          <w:sz w:val="28"/>
          <w:szCs w:val="28"/>
          <w:rtl/>
        </w:rPr>
        <w:t xml:space="preserve">תיבה מתוך דו"ח היציבות הפיננסית למחצית השנייה של 2020: </w:t>
      </w:r>
      <w:bookmarkStart w:id="0" w:name="_GoBack"/>
      <w:r w:rsidR="00162354" w:rsidRPr="00374260">
        <w:rPr>
          <w:rFonts w:ascii="David" w:hAnsi="David" w:cs="David"/>
          <w:b/>
          <w:bCs/>
          <w:sz w:val="28"/>
          <w:szCs w:val="28"/>
          <w:rtl/>
        </w:rPr>
        <w:t xml:space="preserve">השפעת משבר הקורונה על </w:t>
      </w:r>
      <w:r w:rsidR="001B6B5F" w:rsidRPr="00374260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162354" w:rsidRPr="00374260">
        <w:rPr>
          <w:rFonts w:ascii="David" w:hAnsi="David" w:cs="David"/>
          <w:b/>
          <w:bCs/>
          <w:sz w:val="28"/>
          <w:szCs w:val="28"/>
          <w:rtl/>
        </w:rPr>
        <w:t xml:space="preserve">חברות </w:t>
      </w:r>
      <w:r w:rsidR="001B6B5F" w:rsidRPr="00374260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162354" w:rsidRPr="00374260">
        <w:rPr>
          <w:rFonts w:ascii="David" w:hAnsi="David" w:cs="David"/>
          <w:b/>
          <w:bCs/>
          <w:sz w:val="28"/>
          <w:szCs w:val="28"/>
          <w:rtl/>
        </w:rPr>
        <w:t>ביטוח אשראי</w:t>
      </w:r>
      <w:bookmarkEnd w:id="0"/>
      <w:r w:rsidR="00777DCC" w:rsidRPr="00374260">
        <w:rPr>
          <w:rStyle w:val="a5"/>
          <w:rFonts w:ascii="David" w:hAnsi="David" w:cs="David"/>
          <w:b/>
          <w:bCs/>
          <w:sz w:val="28"/>
          <w:szCs w:val="28"/>
          <w:rtl/>
        </w:rPr>
        <w:footnoteReference w:id="1"/>
      </w:r>
    </w:p>
    <w:p w:rsidR="00D829B5" w:rsidRPr="002752CC" w:rsidRDefault="00D829B5" w:rsidP="00FA4585">
      <w:pPr>
        <w:pStyle w:val="aa"/>
        <w:numPr>
          <w:ilvl w:val="0"/>
          <w:numId w:val="3"/>
        </w:numPr>
        <w:spacing w:line="360" w:lineRule="auto"/>
        <w:ind w:left="-58"/>
        <w:jc w:val="both"/>
        <w:rPr>
          <w:rFonts w:cs="David"/>
          <w:sz w:val="24"/>
          <w:szCs w:val="24"/>
        </w:rPr>
      </w:pPr>
      <w:r w:rsidRPr="002752CC">
        <w:rPr>
          <w:rFonts w:cs="David"/>
          <w:sz w:val="24"/>
          <w:szCs w:val="24"/>
          <w:rtl/>
        </w:rPr>
        <w:t xml:space="preserve">ביטוח אשראי נועד לבטח </w:t>
      </w:r>
      <w:r w:rsidRPr="002752CC">
        <w:rPr>
          <w:rFonts w:cs="David" w:hint="cs"/>
          <w:sz w:val="24"/>
          <w:szCs w:val="24"/>
          <w:rtl/>
        </w:rPr>
        <w:t>יצואנים/ספקים מקומיים</w:t>
      </w:r>
      <w:r w:rsidRPr="002752CC">
        <w:rPr>
          <w:rFonts w:cs="David"/>
          <w:sz w:val="24"/>
          <w:szCs w:val="24"/>
          <w:rtl/>
        </w:rPr>
        <w:t xml:space="preserve"> בעסקאות שבהן הלקוחות אינם משלמים תמורת הסחורה </w:t>
      </w:r>
      <w:r w:rsidR="00CC0426" w:rsidRPr="002752CC">
        <w:rPr>
          <w:rFonts w:cs="David" w:hint="cs"/>
          <w:sz w:val="24"/>
          <w:szCs w:val="24"/>
          <w:rtl/>
        </w:rPr>
        <w:t>לאחר</w:t>
      </w:r>
      <w:r w:rsidR="00CC0426" w:rsidRPr="002752CC">
        <w:rPr>
          <w:rFonts w:cs="David"/>
          <w:sz w:val="24"/>
          <w:szCs w:val="24"/>
          <w:rtl/>
        </w:rPr>
        <w:t xml:space="preserve"> </w:t>
      </w:r>
      <w:r w:rsidR="00833142" w:rsidRPr="002752CC">
        <w:rPr>
          <w:rFonts w:cs="David" w:hint="eastAsia"/>
          <w:sz w:val="24"/>
          <w:szCs w:val="24"/>
          <w:rtl/>
        </w:rPr>
        <w:t>קבלתה</w:t>
      </w:r>
      <w:r w:rsidRPr="002752CC">
        <w:rPr>
          <w:rFonts w:cs="David"/>
          <w:sz w:val="24"/>
          <w:szCs w:val="24"/>
          <w:rtl/>
        </w:rPr>
        <w:t>.</w:t>
      </w:r>
      <w:r w:rsidR="00E74CD1" w:rsidRPr="002752CC">
        <w:rPr>
          <w:rFonts w:cs="David" w:hint="cs"/>
          <w:sz w:val="24"/>
          <w:szCs w:val="24"/>
          <w:rtl/>
        </w:rPr>
        <w:t xml:space="preserve"> </w:t>
      </w:r>
    </w:p>
    <w:p w:rsidR="00516518" w:rsidRPr="00516518" w:rsidRDefault="008F30E6" w:rsidP="00FA4585">
      <w:pPr>
        <w:pStyle w:val="aa"/>
        <w:numPr>
          <w:ilvl w:val="0"/>
          <w:numId w:val="3"/>
        </w:numPr>
        <w:spacing w:line="360" w:lineRule="auto"/>
        <w:ind w:left="-58"/>
        <w:jc w:val="both"/>
        <w:rPr>
          <w:rFonts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בעקבות משבר הקורונה</w:t>
      </w:r>
      <w:r w:rsidR="00601CC2">
        <w:rPr>
          <w:rFonts w:ascii="David" w:hAnsi="David" w:cs="David" w:hint="cs"/>
          <w:sz w:val="24"/>
          <w:szCs w:val="24"/>
          <w:rtl/>
        </w:rPr>
        <w:t xml:space="preserve"> ו</w:t>
      </w:r>
      <w:r w:rsidR="00302E7B">
        <w:rPr>
          <w:rFonts w:ascii="David" w:hAnsi="David" w:cs="David" w:hint="cs"/>
          <w:sz w:val="24"/>
          <w:szCs w:val="24"/>
          <w:rtl/>
        </w:rPr>
        <w:t>על רקע עליית הסיכון</w:t>
      </w:r>
      <w:r w:rsidR="001B6B5F">
        <w:rPr>
          <w:rFonts w:ascii="David" w:hAnsi="David" w:cs="David" w:hint="cs"/>
          <w:sz w:val="24"/>
          <w:szCs w:val="24"/>
          <w:rtl/>
        </w:rPr>
        <w:t xml:space="preserve"> הקטינו ה</w:t>
      </w:r>
      <w:r w:rsidR="00601CC2">
        <w:rPr>
          <w:rFonts w:ascii="David" w:hAnsi="David" w:cs="David" w:hint="cs"/>
          <w:sz w:val="24"/>
          <w:szCs w:val="24"/>
          <w:rtl/>
        </w:rPr>
        <w:t xml:space="preserve">חברות </w:t>
      </w:r>
      <w:r w:rsidR="001B6B5F">
        <w:rPr>
          <w:rFonts w:ascii="David" w:hAnsi="David" w:cs="David" w:hint="cs"/>
          <w:sz w:val="24"/>
          <w:szCs w:val="24"/>
          <w:rtl/>
        </w:rPr>
        <w:t>ל</w:t>
      </w:r>
      <w:r w:rsidR="00601CC2">
        <w:rPr>
          <w:rFonts w:ascii="David" w:hAnsi="David" w:cs="David" w:hint="cs"/>
          <w:sz w:val="24"/>
          <w:szCs w:val="24"/>
          <w:rtl/>
        </w:rPr>
        <w:t xml:space="preserve">ביטוח </w:t>
      </w:r>
      <w:r w:rsidR="00E74CD1">
        <w:rPr>
          <w:rFonts w:ascii="David" w:hAnsi="David" w:cs="David" w:hint="cs"/>
          <w:sz w:val="24"/>
          <w:szCs w:val="24"/>
          <w:rtl/>
        </w:rPr>
        <w:t>א</w:t>
      </w:r>
      <w:r w:rsidR="00601CC2">
        <w:rPr>
          <w:rFonts w:ascii="David" w:hAnsi="David" w:cs="David" w:hint="cs"/>
          <w:sz w:val="24"/>
          <w:szCs w:val="24"/>
          <w:rtl/>
        </w:rPr>
        <w:t>שראי</w:t>
      </w:r>
      <w:r w:rsidR="00302E7B">
        <w:rPr>
          <w:rFonts w:ascii="David" w:hAnsi="David" w:cs="David" w:hint="cs"/>
          <w:sz w:val="24"/>
          <w:szCs w:val="24"/>
          <w:rtl/>
        </w:rPr>
        <w:t xml:space="preserve"> </w:t>
      </w:r>
      <w:r w:rsidR="00D23148" w:rsidRPr="00D23148">
        <w:rPr>
          <w:rFonts w:ascii="David" w:hAnsi="David" w:cs="David" w:hint="cs"/>
          <w:sz w:val="24"/>
          <w:szCs w:val="24"/>
          <w:rtl/>
        </w:rPr>
        <w:t xml:space="preserve">את הכיסוי </w:t>
      </w:r>
      <w:proofErr w:type="spellStart"/>
      <w:r w:rsidR="00D23148" w:rsidRPr="00D23148">
        <w:rPr>
          <w:rFonts w:ascii="David" w:hAnsi="David" w:cs="David" w:hint="cs"/>
          <w:sz w:val="24"/>
          <w:szCs w:val="24"/>
          <w:rtl/>
        </w:rPr>
        <w:t>הביטוחי</w:t>
      </w:r>
      <w:proofErr w:type="spellEnd"/>
      <w:r w:rsidR="00D23148" w:rsidRPr="00D23148">
        <w:rPr>
          <w:rFonts w:ascii="David" w:hAnsi="David" w:cs="David" w:hint="cs"/>
          <w:sz w:val="24"/>
          <w:szCs w:val="24"/>
          <w:rtl/>
        </w:rPr>
        <w:t xml:space="preserve"> </w:t>
      </w:r>
      <w:r w:rsidR="001B6B5F" w:rsidRPr="00D23148">
        <w:rPr>
          <w:rFonts w:ascii="David" w:hAnsi="David" w:cs="David" w:hint="cs"/>
          <w:sz w:val="24"/>
          <w:szCs w:val="24"/>
          <w:rtl/>
        </w:rPr>
        <w:t>שה</w:t>
      </w:r>
      <w:r w:rsidR="001B6B5F">
        <w:rPr>
          <w:rFonts w:ascii="David" w:hAnsi="David" w:cs="David" w:hint="cs"/>
          <w:sz w:val="24"/>
          <w:szCs w:val="24"/>
          <w:rtl/>
        </w:rPr>
        <w:t xml:space="preserve">ן </w:t>
      </w:r>
      <w:r w:rsidR="001B6B5F" w:rsidRPr="00D23148">
        <w:rPr>
          <w:rFonts w:ascii="David" w:hAnsi="David" w:cs="David" w:hint="cs"/>
          <w:sz w:val="24"/>
          <w:szCs w:val="24"/>
          <w:rtl/>
        </w:rPr>
        <w:t>מספק</w:t>
      </w:r>
      <w:r w:rsidR="001B6B5F">
        <w:rPr>
          <w:rFonts w:ascii="David" w:hAnsi="David" w:cs="David" w:hint="cs"/>
          <w:sz w:val="24"/>
          <w:szCs w:val="24"/>
          <w:rtl/>
        </w:rPr>
        <w:t>ות</w:t>
      </w:r>
      <w:r w:rsidR="001B6B5F" w:rsidRPr="00D23148">
        <w:rPr>
          <w:rFonts w:ascii="David" w:hAnsi="David" w:cs="David" w:hint="cs"/>
          <w:sz w:val="24"/>
          <w:szCs w:val="24"/>
          <w:rtl/>
        </w:rPr>
        <w:t xml:space="preserve"> </w:t>
      </w:r>
      <w:r w:rsidR="001B6B5F">
        <w:rPr>
          <w:rFonts w:ascii="David" w:hAnsi="David" w:cs="David" w:hint="cs"/>
          <w:sz w:val="24"/>
          <w:szCs w:val="24"/>
          <w:rtl/>
        </w:rPr>
        <w:t xml:space="preserve">בגין </w:t>
      </w:r>
      <w:r w:rsidR="001B6B5F" w:rsidRPr="00D23148">
        <w:rPr>
          <w:rFonts w:ascii="David" w:hAnsi="David" w:cs="David" w:hint="cs"/>
          <w:sz w:val="24"/>
          <w:szCs w:val="24"/>
          <w:rtl/>
        </w:rPr>
        <w:t>עסקאות</w:t>
      </w:r>
      <w:r w:rsidR="00E74CD1">
        <w:rPr>
          <w:rFonts w:ascii="David" w:hAnsi="David" w:cs="David" w:hint="cs"/>
          <w:sz w:val="24"/>
          <w:szCs w:val="24"/>
          <w:rtl/>
        </w:rPr>
        <w:t>,</w:t>
      </w:r>
      <w:r w:rsidR="001B6B5F">
        <w:rPr>
          <w:rFonts w:ascii="David" w:hAnsi="David" w:cs="David" w:hint="cs"/>
          <w:sz w:val="24"/>
          <w:szCs w:val="24"/>
          <w:rtl/>
        </w:rPr>
        <w:t xml:space="preserve"> </w:t>
      </w:r>
      <w:r w:rsidR="00516518">
        <w:rPr>
          <w:rFonts w:ascii="David" w:hAnsi="David" w:cs="David" w:hint="cs"/>
          <w:sz w:val="24"/>
          <w:szCs w:val="24"/>
          <w:rtl/>
        </w:rPr>
        <w:t xml:space="preserve">ואף </w:t>
      </w:r>
      <w:r w:rsidR="00E74CD1">
        <w:rPr>
          <w:rFonts w:ascii="David" w:hAnsi="David" w:cs="David" w:hint="cs"/>
          <w:sz w:val="24"/>
          <w:szCs w:val="24"/>
          <w:rtl/>
        </w:rPr>
        <w:t xml:space="preserve">הפסיקו </w:t>
      </w:r>
      <w:r w:rsidR="00516518">
        <w:rPr>
          <w:rFonts w:ascii="David" w:hAnsi="David" w:cs="David" w:hint="cs"/>
          <w:sz w:val="24"/>
          <w:szCs w:val="24"/>
          <w:rtl/>
        </w:rPr>
        <w:t xml:space="preserve">באופן גורף </w:t>
      </w:r>
      <w:r w:rsidR="00E74CD1">
        <w:rPr>
          <w:rFonts w:ascii="David" w:hAnsi="David" w:cs="David" w:hint="cs"/>
          <w:sz w:val="24"/>
          <w:szCs w:val="24"/>
          <w:rtl/>
        </w:rPr>
        <w:t xml:space="preserve">לספק </w:t>
      </w:r>
      <w:r w:rsidR="00516518">
        <w:rPr>
          <w:rFonts w:ascii="David" w:hAnsi="David" w:cs="David" w:hint="cs"/>
          <w:sz w:val="24"/>
          <w:szCs w:val="24"/>
          <w:rtl/>
        </w:rPr>
        <w:t xml:space="preserve">כיסוי ביטוחי </w:t>
      </w:r>
      <w:r w:rsidR="00E74CD1">
        <w:rPr>
          <w:rFonts w:ascii="David" w:hAnsi="David" w:cs="David" w:hint="cs"/>
          <w:sz w:val="24"/>
          <w:szCs w:val="24"/>
          <w:rtl/>
        </w:rPr>
        <w:t>ב</w:t>
      </w:r>
      <w:r w:rsidR="00516518">
        <w:rPr>
          <w:rFonts w:ascii="David" w:hAnsi="David" w:cs="David" w:hint="cs"/>
          <w:sz w:val="24"/>
          <w:szCs w:val="24"/>
          <w:rtl/>
        </w:rPr>
        <w:t>ענפים מסוימים שנפגעו קשות מהמשבר</w:t>
      </w:r>
      <w:r w:rsidR="00EB121A">
        <w:rPr>
          <w:rFonts w:ascii="David" w:hAnsi="David" w:cs="David" w:hint="cs"/>
          <w:sz w:val="24"/>
          <w:szCs w:val="24"/>
          <w:rtl/>
        </w:rPr>
        <w:t xml:space="preserve">, כגון </w:t>
      </w:r>
      <w:r w:rsidR="00E74CD1">
        <w:rPr>
          <w:rFonts w:ascii="David" w:hAnsi="David" w:cs="David" w:hint="cs"/>
          <w:sz w:val="24"/>
          <w:szCs w:val="24"/>
          <w:rtl/>
        </w:rPr>
        <w:t xml:space="preserve">ענפי </w:t>
      </w:r>
      <w:r w:rsidR="00DC3E1C">
        <w:rPr>
          <w:rFonts w:ascii="David" w:hAnsi="David" w:cs="David" w:hint="cs"/>
          <w:sz w:val="24"/>
          <w:szCs w:val="24"/>
          <w:rtl/>
        </w:rPr>
        <w:t>ה</w:t>
      </w:r>
      <w:r w:rsidR="00EB121A">
        <w:rPr>
          <w:rFonts w:ascii="David" w:hAnsi="David" w:cs="David" w:hint="cs"/>
          <w:sz w:val="24"/>
          <w:szCs w:val="24"/>
          <w:rtl/>
        </w:rPr>
        <w:t>תעופה ו</w:t>
      </w:r>
      <w:r w:rsidR="00DC3E1C">
        <w:rPr>
          <w:rFonts w:ascii="David" w:hAnsi="David" w:cs="David" w:hint="cs"/>
          <w:sz w:val="24"/>
          <w:szCs w:val="24"/>
          <w:rtl/>
        </w:rPr>
        <w:t>ה</w:t>
      </w:r>
      <w:r w:rsidR="00EB121A">
        <w:rPr>
          <w:rFonts w:ascii="David" w:hAnsi="David" w:cs="David" w:hint="cs"/>
          <w:sz w:val="24"/>
          <w:szCs w:val="24"/>
          <w:rtl/>
        </w:rPr>
        <w:t>מלונאות</w:t>
      </w:r>
      <w:r w:rsidR="00516518">
        <w:rPr>
          <w:rFonts w:ascii="David" w:hAnsi="David" w:cs="David" w:hint="cs"/>
          <w:sz w:val="24"/>
          <w:szCs w:val="24"/>
          <w:rtl/>
        </w:rPr>
        <w:t>.</w:t>
      </w:r>
    </w:p>
    <w:p w:rsidR="00B26EB4" w:rsidRDefault="00B26EB4" w:rsidP="00FA4585">
      <w:pPr>
        <w:pStyle w:val="aa"/>
        <w:numPr>
          <w:ilvl w:val="0"/>
          <w:numId w:val="3"/>
        </w:numPr>
        <w:spacing w:line="360" w:lineRule="auto"/>
        <w:ind w:left="-58"/>
        <w:jc w:val="both"/>
        <w:rPr>
          <w:rFonts w:cs="David"/>
          <w:sz w:val="24"/>
          <w:szCs w:val="24"/>
        </w:rPr>
      </w:pPr>
      <w:r w:rsidRPr="00516518">
        <w:rPr>
          <w:rFonts w:ascii="David" w:hAnsi="David" w:cs="David"/>
          <w:sz w:val="24"/>
          <w:szCs w:val="24"/>
          <w:rtl/>
        </w:rPr>
        <w:t xml:space="preserve">במטרה לסייע ליצואנים ולספקים </w:t>
      </w:r>
      <w:r w:rsidRPr="00516518">
        <w:rPr>
          <w:rFonts w:ascii="David" w:hAnsi="David" w:cs="David" w:hint="cs"/>
          <w:sz w:val="24"/>
          <w:szCs w:val="24"/>
          <w:rtl/>
        </w:rPr>
        <w:t xml:space="preserve">בשוק המקומי בהמשך הפעילות </w:t>
      </w:r>
      <w:r>
        <w:rPr>
          <w:rFonts w:ascii="David" w:hAnsi="David" w:cs="David" w:hint="cs"/>
          <w:sz w:val="24"/>
          <w:szCs w:val="24"/>
          <w:rtl/>
        </w:rPr>
        <w:t>החליטה</w:t>
      </w:r>
      <w:r w:rsidRPr="00516518">
        <w:rPr>
          <w:rFonts w:ascii="David" w:hAnsi="David" w:cs="David" w:hint="cs"/>
          <w:sz w:val="24"/>
          <w:szCs w:val="24"/>
          <w:rtl/>
        </w:rPr>
        <w:t xml:space="preserve"> המדינה </w:t>
      </w:r>
      <w:r>
        <w:rPr>
          <w:rFonts w:ascii="David" w:hAnsi="David" w:cs="David" w:hint="cs"/>
          <w:sz w:val="24"/>
          <w:szCs w:val="24"/>
          <w:rtl/>
        </w:rPr>
        <w:t>לה</w:t>
      </w:r>
      <w:r w:rsidRPr="00516518">
        <w:rPr>
          <w:rFonts w:ascii="David" w:hAnsi="David" w:cs="David" w:hint="cs"/>
          <w:sz w:val="24"/>
          <w:szCs w:val="24"/>
          <w:rtl/>
        </w:rPr>
        <w:t xml:space="preserve">עמיד </w:t>
      </w:r>
      <w:r w:rsidRPr="00516518">
        <w:rPr>
          <w:rFonts w:ascii="David" w:hAnsi="David" w:cs="David"/>
          <w:sz w:val="24"/>
          <w:szCs w:val="24"/>
          <w:rtl/>
        </w:rPr>
        <w:t xml:space="preserve">ערבות </w:t>
      </w:r>
      <w:r w:rsidRPr="00516518">
        <w:rPr>
          <w:rFonts w:ascii="David" w:hAnsi="David" w:cs="David" w:hint="cs"/>
          <w:sz w:val="24"/>
          <w:szCs w:val="24"/>
          <w:rtl/>
        </w:rPr>
        <w:t xml:space="preserve">בגובה של 750 מיליוני דולרים כדי </w:t>
      </w:r>
      <w:r w:rsidRPr="00516518">
        <w:rPr>
          <w:rFonts w:ascii="David" w:hAnsi="David" w:cs="David"/>
          <w:sz w:val="24"/>
          <w:szCs w:val="24"/>
          <w:rtl/>
        </w:rPr>
        <w:t>ל</w:t>
      </w:r>
      <w:r w:rsidRPr="00516518">
        <w:rPr>
          <w:rFonts w:ascii="David" w:hAnsi="David" w:cs="David" w:hint="cs"/>
          <w:sz w:val="24"/>
          <w:szCs w:val="24"/>
          <w:rtl/>
        </w:rPr>
        <w:t xml:space="preserve">הגדיל </w:t>
      </w:r>
      <w:r>
        <w:rPr>
          <w:rFonts w:ascii="David" w:hAnsi="David" w:cs="David" w:hint="cs"/>
          <w:sz w:val="24"/>
          <w:szCs w:val="24"/>
          <w:rtl/>
        </w:rPr>
        <w:t xml:space="preserve">בחזרה </w:t>
      </w:r>
      <w:r w:rsidRPr="00516518">
        <w:rPr>
          <w:rFonts w:ascii="David" w:hAnsi="David" w:cs="David" w:hint="cs"/>
          <w:sz w:val="24"/>
          <w:szCs w:val="24"/>
          <w:rtl/>
        </w:rPr>
        <w:t>את</w:t>
      </w:r>
      <w:r w:rsidRPr="00516518">
        <w:rPr>
          <w:rFonts w:ascii="David" w:hAnsi="David" w:cs="David"/>
          <w:sz w:val="24"/>
          <w:szCs w:val="24"/>
          <w:rtl/>
        </w:rPr>
        <w:t xml:space="preserve"> ביטוחי האשראי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601CC2" w:rsidRDefault="00601CC2" w:rsidP="00FA4585">
      <w:pPr>
        <w:pStyle w:val="aa"/>
        <w:numPr>
          <w:ilvl w:val="0"/>
          <w:numId w:val="3"/>
        </w:numPr>
        <w:spacing w:line="360" w:lineRule="auto"/>
        <w:ind w:left="-58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אחוז הערבות </w:t>
      </w:r>
      <w:r w:rsidR="001B6B5F">
        <w:rPr>
          <w:rFonts w:cs="David" w:hint="cs"/>
          <w:sz w:val="24"/>
          <w:szCs w:val="24"/>
          <w:rtl/>
        </w:rPr>
        <w:t>יהיה</w:t>
      </w:r>
      <w:r w:rsidR="003B1713">
        <w:rPr>
          <w:rFonts w:cs="David" w:hint="cs"/>
          <w:sz w:val="24"/>
          <w:szCs w:val="24"/>
          <w:rtl/>
        </w:rPr>
        <w:t xml:space="preserve"> עד</w:t>
      </w:r>
      <w:r>
        <w:rPr>
          <w:rFonts w:cs="David" w:hint="cs"/>
          <w:sz w:val="24"/>
          <w:szCs w:val="24"/>
          <w:rtl/>
        </w:rPr>
        <w:t xml:space="preserve"> 100 אחוזים</w:t>
      </w:r>
      <w:r w:rsidR="003B1713">
        <w:rPr>
          <w:rFonts w:cs="David" w:hint="cs"/>
          <w:sz w:val="24"/>
          <w:szCs w:val="24"/>
          <w:rtl/>
        </w:rPr>
        <w:t xml:space="preserve"> מהכיסוי </w:t>
      </w:r>
      <w:r w:rsidR="00D57F94">
        <w:rPr>
          <w:rFonts w:cs="David" w:hint="cs"/>
          <w:sz w:val="24"/>
          <w:szCs w:val="24"/>
          <w:rtl/>
        </w:rPr>
        <w:t>הראשוני שחברת הביטוח מספקת</w:t>
      </w:r>
      <w:r>
        <w:rPr>
          <w:rFonts w:cs="David" w:hint="cs"/>
          <w:sz w:val="24"/>
          <w:szCs w:val="24"/>
          <w:rtl/>
        </w:rPr>
        <w:t xml:space="preserve">, עם השתתפות עצמית של 10 אחוזים לחברות </w:t>
      </w:r>
      <w:r w:rsidRPr="007F238C">
        <w:rPr>
          <w:rFonts w:cs="David" w:hint="cs"/>
          <w:sz w:val="24"/>
          <w:szCs w:val="24"/>
          <w:rtl/>
        </w:rPr>
        <w:t>מייצאות ו-15 אחוזים ל</w:t>
      </w:r>
      <w:r w:rsidR="00E74CD1">
        <w:rPr>
          <w:rFonts w:cs="David" w:hint="cs"/>
          <w:sz w:val="24"/>
          <w:szCs w:val="24"/>
          <w:rtl/>
        </w:rPr>
        <w:t>חברות ש</w:t>
      </w:r>
      <w:r w:rsidRPr="007F238C">
        <w:rPr>
          <w:rFonts w:cs="David" w:hint="cs"/>
          <w:sz w:val="24"/>
          <w:szCs w:val="24"/>
          <w:rtl/>
        </w:rPr>
        <w:t>פעילות</w:t>
      </w:r>
      <w:r w:rsidR="00E74CD1">
        <w:rPr>
          <w:rFonts w:cs="David" w:hint="cs"/>
          <w:sz w:val="24"/>
          <w:szCs w:val="24"/>
          <w:rtl/>
        </w:rPr>
        <w:t>ן</w:t>
      </w:r>
      <w:r w:rsidRPr="007F238C">
        <w:rPr>
          <w:rFonts w:cs="David" w:hint="cs"/>
          <w:sz w:val="24"/>
          <w:szCs w:val="24"/>
          <w:rtl/>
        </w:rPr>
        <w:t xml:space="preserve"> מקומית.</w:t>
      </w:r>
    </w:p>
    <w:p w:rsidR="00D90E01" w:rsidRPr="00575DEB" w:rsidRDefault="00D90E01" w:rsidP="00FA4585">
      <w:pPr>
        <w:pStyle w:val="aa"/>
        <w:numPr>
          <w:ilvl w:val="0"/>
          <w:numId w:val="3"/>
        </w:numPr>
        <w:spacing w:line="360" w:lineRule="auto"/>
        <w:ind w:left="-58"/>
        <w:jc w:val="both"/>
        <w:rPr>
          <w:rFonts w:cs="David"/>
          <w:sz w:val="24"/>
          <w:szCs w:val="24"/>
        </w:rPr>
      </w:pPr>
      <w:r w:rsidRPr="002752CC">
        <w:rPr>
          <w:rFonts w:cs="David" w:hint="cs"/>
          <w:sz w:val="24"/>
          <w:szCs w:val="24"/>
          <w:rtl/>
        </w:rPr>
        <w:t xml:space="preserve">מנתוני </w:t>
      </w:r>
      <w:r w:rsidR="00E74CD1" w:rsidRPr="00575DEB">
        <w:rPr>
          <w:rFonts w:cs="David" w:hint="eastAsia"/>
          <w:sz w:val="24"/>
          <w:szCs w:val="24"/>
          <w:rtl/>
        </w:rPr>
        <w:t>חברת</w:t>
      </w:r>
      <w:r w:rsidR="00E74CD1" w:rsidRPr="00575DEB">
        <w:rPr>
          <w:rFonts w:cs="David" w:hint="cs"/>
          <w:sz w:val="24"/>
          <w:szCs w:val="24"/>
          <w:rtl/>
        </w:rPr>
        <w:t xml:space="preserve"> </w:t>
      </w:r>
      <w:r w:rsidR="00844A8E" w:rsidRPr="00575DEB">
        <w:rPr>
          <w:rFonts w:cs="David"/>
          <w:sz w:val="24"/>
          <w:szCs w:val="24"/>
          <w:rtl/>
        </w:rPr>
        <w:t>"</w:t>
      </w:r>
      <w:r w:rsidR="00844A8E" w:rsidRPr="00575DEB">
        <w:rPr>
          <w:rFonts w:cs="David" w:hint="cs"/>
          <w:sz w:val="24"/>
          <w:szCs w:val="24"/>
          <w:rtl/>
        </w:rPr>
        <w:t>"</w:t>
      </w:r>
      <w:proofErr w:type="spellStart"/>
      <w:r w:rsidR="00844A8E" w:rsidRPr="00575DEB">
        <w:rPr>
          <w:rFonts w:cs="David" w:hint="eastAsia"/>
          <w:sz w:val="24"/>
          <w:szCs w:val="24"/>
          <w:rtl/>
        </w:rPr>
        <w:t>בססח</w:t>
      </w:r>
      <w:proofErr w:type="spellEnd"/>
      <w:r w:rsidR="00844A8E" w:rsidRPr="00575DEB">
        <w:rPr>
          <w:rFonts w:cs="David"/>
          <w:sz w:val="24"/>
          <w:szCs w:val="24"/>
          <w:rtl/>
        </w:rPr>
        <w:t>"</w:t>
      </w:r>
      <w:r w:rsidR="00E74CD1" w:rsidRPr="00575DEB">
        <w:rPr>
          <w:rFonts w:cs="David"/>
          <w:sz w:val="24"/>
          <w:szCs w:val="24"/>
          <w:rtl/>
        </w:rPr>
        <w:t xml:space="preserve"> </w:t>
      </w:r>
      <w:r w:rsidRPr="00575DEB">
        <w:rPr>
          <w:rFonts w:cs="David" w:hint="cs"/>
          <w:sz w:val="24"/>
          <w:szCs w:val="24"/>
          <w:rtl/>
        </w:rPr>
        <w:t xml:space="preserve">עולה כי הירידה </w:t>
      </w:r>
      <w:r w:rsidR="00E74CD1" w:rsidRPr="00575DEB">
        <w:rPr>
          <w:rFonts w:cs="David" w:hint="cs"/>
          <w:sz w:val="24"/>
          <w:szCs w:val="24"/>
          <w:rtl/>
        </w:rPr>
        <w:t xml:space="preserve">של שיעור </w:t>
      </w:r>
      <w:r w:rsidRPr="00575DEB">
        <w:rPr>
          <w:rFonts w:cs="David" w:hint="cs"/>
          <w:sz w:val="24"/>
          <w:szCs w:val="24"/>
          <w:rtl/>
        </w:rPr>
        <w:t>המענה</w:t>
      </w:r>
      <w:r w:rsidR="00394503" w:rsidRPr="00575DEB">
        <w:rPr>
          <w:rFonts w:cs="David" w:hint="cs"/>
          <w:sz w:val="24"/>
          <w:szCs w:val="24"/>
          <w:rtl/>
        </w:rPr>
        <w:t xml:space="preserve">, </w:t>
      </w:r>
      <w:r w:rsidR="00607DB1" w:rsidRPr="00575DEB">
        <w:rPr>
          <w:rFonts w:cs="David" w:hint="eastAsia"/>
          <w:sz w:val="24"/>
          <w:szCs w:val="24"/>
          <w:rtl/>
        </w:rPr>
        <w:t>שהוא</w:t>
      </w:r>
      <w:r w:rsidR="00607DB1" w:rsidRPr="00575DEB">
        <w:rPr>
          <w:rFonts w:cs="David" w:hint="cs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שיעורו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של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סכום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הביטוח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שהחברה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נותנת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מתוך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היקף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הביטוח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שהלקוח</w:t>
      </w:r>
      <w:r w:rsidR="00394503" w:rsidRPr="00575DEB">
        <w:rPr>
          <w:rFonts w:cs="David"/>
          <w:sz w:val="24"/>
          <w:szCs w:val="24"/>
          <w:rtl/>
        </w:rPr>
        <w:t xml:space="preserve"> </w:t>
      </w:r>
      <w:r w:rsidR="00394503" w:rsidRPr="00575DEB">
        <w:rPr>
          <w:rFonts w:cs="David" w:hint="eastAsia"/>
          <w:sz w:val="24"/>
          <w:szCs w:val="24"/>
          <w:rtl/>
        </w:rPr>
        <w:t>מבקש</w:t>
      </w:r>
      <w:r w:rsidR="00394503" w:rsidRPr="00575DEB">
        <w:rPr>
          <w:rFonts w:cs="David" w:hint="cs"/>
          <w:sz w:val="24"/>
          <w:szCs w:val="24"/>
          <w:rtl/>
        </w:rPr>
        <w:t>,</w:t>
      </w:r>
      <w:r w:rsidRPr="00575DEB">
        <w:rPr>
          <w:rFonts w:cs="David" w:hint="cs"/>
          <w:sz w:val="24"/>
          <w:szCs w:val="24"/>
          <w:rtl/>
        </w:rPr>
        <w:t xml:space="preserve"> </w:t>
      </w:r>
      <w:r w:rsidR="00E74CD1" w:rsidRPr="00575DEB">
        <w:rPr>
          <w:rFonts w:cs="David" w:hint="cs"/>
          <w:sz w:val="24"/>
          <w:szCs w:val="24"/>
          <w:rtl/>
        </w:rPr>
        <w:t xml:space="preserve">בשל </w:t>
      </w:r>
      <w:r w:rsidRPr="00575DEB">
        <w:rPr>
          <w:rFonts w:cs="David" w:hint="cs"/>
          <w:sz w:val="24"/>
          <w:szCs w:val="24"/>
          <w:rtl/>
        </w:rPr>
        <w:t xml:space="preserve">משבר הקורונה תוקנה כלפי מעלה </w:t>
      </w:r>
      <w:r w:rsidR="00E74CD1" w:rsidRPr="00575DEB">
        <w:rPr>
          <w:rFonts w:cs="David" w:hint="cs"/>
          <w:sz w:val="24"/>
          <w:szCs w:val="24"/>
          <w:rtl/>
        </w:rPr>
        <w:t xml:space="preserve">בזכות </w:t>
      </w:r>
      <w:r w:rsidRPr="00575DEB">
        <w:rPr>
          <w:rFonts w:cs="David" w:hint="cs"/>
          <w:sz w:val="24"/>
          <w:szCs w:val="24"/>
          <w:rtl/>
        </w:rPr>
        <w:t xml:space="preserve">הערבות, אך </w:t>
      </w:r>
      <w:r w:rsidR="001B6B5F" w:rsidRPr="00575DEB">
        <w:rPr>
          <w:rFonts w:cs="David" w:hint="eastAsia"/>
          <w:sz w:val="24"/>
          <w:szCs w:val="24"/>
          <w:rtl/>
        </w:rPr>
        <w:t>הכיסוי</w:t>
      </w:r>
      <w:r w:rsidR="001B6B5F" w:rsidRPr="00575DEB">
        <w:rPr>
          <w:rFonts w:cs="David" w:hint="cs"/>
          <w:sz w:val="24"/>
          <w:szCs w:val="24"/>
          <w:rtl/>
        </w:rPr>
        <w:t xml:space="preserve"> </w:t>
      </w:r>
      <w:r w:rsidRPr="00575DEB">
        <w:rPr>
          <w:rFonts w:cs="David" w:hint="cs"/>
          <w:sz w:val="24"/>
          <w:szCs w:val="24"/>
          <w:rtl/>
        </w:rPr>
        <w:t xml:space="preserve">טרם חזר לשיעורים </w:t>
      </w:r>
      <w:r w:rsidR="00844A8E" w:rsidRPr="00575DEB">
        <w:rPr>
          <w:rFonts w:cs="David" w:hint="eastAsia"/>
          <w:sz w:val="24"/>
          <w:szCs w:val="24"/>
          <w:rtl/>
        </w:rPr>
        <w:t>שנרשמו</w:t>
      </w:r>
      <w:r w:rsidR="001B6B5F" w:rsidRPr="00575DEB">
        <w:rPr>
          <w:rFonts w:cs="David" w:hint="cs"/>
          <w:sz w:val="24"/>
          <w:szCs w:val="24"/>
          <w:rtl/>
        </w:rPr>
        <w:t xml:space="preserve"> לפני </w:t>
      </w:r>
      <w:r w:rsidRPr="00575DEB">
        <w:rPr>
          <w:rFonts w:cs="David" w:hint="cs"/>
          <w:sz w:val="24"/>
          <w:szCs w:val="24"/>
          <w:rtl/>
        </w:rPr>
        <w:t xml:space="preserve">המשבר. </w:t>
      </w:r>
      <w:r w:rsidR="00F17C73" w:rsidRPr="00575DEB">
        <w:rPr>
          <w:rFonts w:cs="David" w:hint="cs"/>
          <w:sz w:val="24"/>
          <w:szCs w:val="24"/>
          <w:rtl/>
        </w:rPr>
        <w:t>מ</w:t>
      </w:r>
      <w:r w:rsidR="00113E11" w:rsidRPr="00575DEB">
        <w:rPr>
          <w:rFonts w:cs="David" w:hint="cs"/>
          <w:sz w:val="24"/>
          <w:szCs w:val="24"/>
          <w:rtl/>
        </w:rPr>
        <w:t xml:space="preserve">מרץ עד יוני </w:t>
      </w:r>
      <w:r w:rsidR="001B6B5F" w:rsidRPr="00575DEB">
        <w:rPr>
          <w:rFonts w:cs="David" w:hint="cs"/>
          <w:sz w:val="24"/>
          <w:szCs w:val="24"/>
          <w:rtl/>
        </w:rPr>
        <w:t>עלה</w:t>
      </w:r>
      <w:r w:rsidRPr="00575DEB">
        <w:rPr>
          <w:rFonts w:cs="David" w:hint="cs"/>
          <w:sz w:val="24"/>
          <w:szCs w:val="24"/>
          <w:rtl/>
        </w:rPr>
        <w:t xml:space="preserve"> </w:t>
      </w:r>
      <w:r w:rsidR="007D6B68" w:rsidRPr="00575DEB">
        <w:rPr>
          <w:rFonts w:cs="David" w:hint="cs"/>
          <w:sz w:val="24"/>
          <w:szCs w:val="24"/>
          <w:rtl/>
        </w:rPr>
        <w:t xml:space="preserve">משמעותית מספר העסקאות </w:t>
      </w:r>
      <w:r w:rsidR="001B6B5F" w:rsidRPr="00575DEB">
        <w:rPr>
          <w:rFonts w:cs="David" w:hint="cs"/>
          <w:sz w:val="24"/>
          <w:szCs w:val="24"/>
          <w:rtl/>
        </w:rPr>
        <w:t>ש</w:t>
      </w:r>
      <w:r w:rsidR="007D6B68" w:rsidRPr="00575DEB">
        <w:rPr>
          <w:rFonts w:cs="David" w:hint="cs"/>
          <w:sz w:val="24"/>
          <w:szCs w:val="24"/>
          <w:rtl/>
        </w:rPr>
        <w:t xml:space="preserve">בהן הקונה פיגר בתשלום, </w:t>
      </w:r>
      <w:r w:rsidR="001B6B5F" w:rsidRPr="00575DEB">
        <w:rPr>
          <w:rFonts w:cs="David" w:hint="cs"/>
          <w:sz w:val="24"/>
          <w:szCs w:val="24"/>
          <w:rtl/>
        </w:rPr>
        <w:t>ו</w:t>
      </w:r>
      <w:r w:rsidR="001B6B5F" w:rsidRPr="00575DEB">
        <w:rPr>
          <w:rFonts w:cs="David" w:hint="eastAsia"/>
          <w:sz w:val="24"/>
          <w:szCs w:val="24"/>
          <w:rtl/>
        </w:rPr>
        <w:t>בכ</w:t>
      </w:r>
      <w:r w:rsidR="001B6B5F" w:rsidRPr="00575DEB">
        <w:rPr>
          <w:rFonts w:cs="David" w:hint="cs"/>
          <w:sz w:val="24"/>
          <w:szCs w:val="24"/>
          <w:rtl/>
        </w:rPr>
        <w:t xml:space="preserve">-70 </w:t>
      </w:r>
      <w:r w:rsidR="007D6B68" w:rsidRPr="00575DEB">
        <w:rPr>
          <w:rFonts w:cs="David" w:hint="cs"/>
          <w:sz w:val="24"/>
          <w:szCs w:val="24"/>
          <w:rtl/>
        </w:rPr>
        <w:t xml:space="preserve">אחוזים מאותן עסקאות עדיין </w:t>
      </w:r>
      <w:r w:rsidR="00E74CD1" w:rsidRPr="00575DEB">
        <w:rPr>
          <w:rFonts w:cs="David" w:hint="cs"/>
          <w:sz w:val="24"/>
          <w:szCs w:val="24"/>
          <w:rtl/>
        </w:rPr>
        <w:t xml:space="preserve">דווח </w:t>
      </w:r>
      <w:r w:rsidR="001B6B5F" w:rsidRPr="00575DEB">
        <w:rPr>
          <w:rFonts w:cs="David" w:hint="eastAsia"/>
          <w:sz w:val="24"/>
          <w:szCs w:val="24"/>
          <w:rtl/>
        </w:rPr>
        <w:t>על</w:t>
      </w:r>
      <w:r w:rsidR="001B6B5F" w:rsidRPr="00575DEB">
        <w:rPr>
          <w:rFonts w:cs="David"/>
          <w:sz w:val="24"/>
          <w:szCs w:val="24"/>
          <w:rtl/>
        </w:rPr>
        <w:t xml:space="preserve"> פיגור</w:t>
      </w:r>
      <w:r w:rsidR="001B6B5F" w:rsidRPr="00575DEB">
        <w:rPr>
          <w:rFonts w:cs="David" w:hint="cs"/>
          <w:sz w:val="24"/>
          <w:szCs w:val="24"/>
          <w:rtl/>
        </w:rPr>
        <w:t xml:space="preserve"> </w:t>
      </w:r>
      <w:r w:rsidR="007D6B68" w:rsidRPr="00575DEB">
        <w:rPr>
          <w:rFonts w:cs="David" w:hint="cs"/>
          <w:sz w:val="24"/>
          <w:szCs w:val="24"/>
          <w:rtl/>
        </w:rPr>
        <w:t>גם בסוף חודש אוקטובר.</w:t>
      </w:r>
    </w:p>
    <w:p w:rsidR="0013685D" w:rsidRPr="00575DEB" w:rsidRDefault="0013685D" w:rsidP="00FA4585">
      <w:pPr>
        <w:pStyle w:val="aa"/>
        <w:numPr>
          <w:ilvl w:val="0"/>
          <w:numId w:val="3"/>
        </w:numPr>
        <w:spacing w:line="360" w:lineRule="auto"/>
        <w:ind w:left="-58"/>
        <w:jc w:val="both"/>
        <w:rPr>
          <w:rFonts w:cs="David"/>
          <w:sz w:val="24"/>
          <w:szCs w:val="24"/>
          <w:rtl/>
        </w:rPr>
      </w:pPr>
      <w:r w:rsidRPr="00575DEB">
        <w:rPr>
          <w:rFonts w:cs="David" w:hint="eastAsia"/>
          <w:sz w:val="24"/>
          <w:szCs w:val="24"/>
          <w:rtl/>
        </w:rPr>
        <w:t>ערבות</w:t>
      </w:r>
      <w:r w:rsidRPr="00575DEB">
        <w:rPr>
          <w:rFonts w:cs="David"/>
          <w:sz w:val="24"/>
          <w:szCs w:val="24"/>
          <w:rtl/>
        </w:rPr>
        <w:t xml:space="preserve"> זו </w:t>
      </w:r>
      <w:r w:rsidR="00607DB1" w:rsidRPr="00575DEB">
        <w:rPr>
          <w:rFonts w:cs="David" w:hint="cs"/>
          <w:sz w:val="24"/>
          <w:szCs w:val="24"/>
          <w:rtl/>
        </w:rPr>
        <w:t xml:space="preserve">היא </w:t>
      </w:r>
      <w:r w:rsidR="00607DB1" w:rsidRPr="00575DEB">
        <w:rPr>
          <w:rFonts w:cs="David"/>
          <w:sz w:val="24"/>
          <w:szCs w:val="24"/>
          <w:rtl/>
        </w:rPr>
        <w:t>דוגמ</w:t>
      </w:r>
      <w:r w:rsidR="00607DB1" w:rsidRPr="00575DEB">
        <w:rPr>
          <w:rFonts w:cs="David" w:hint="cs"/>
          <w:sz w:val="24"/>
          <w:szCs w:val="24"/>
          <w:rtl/>
        </w:rPr>
        <w:t>ה</w:t>
      </w:r>
      <w:r w:rsidR="00607DB1" w:rsidRPr="00575DEB">
        <w:rPr>
          <w:rFonts w:cs="David"/>
          <w:sz w:val="24"/>
          <w:szCs w:val="24"/>
          <w:rtl/>
        </w:rPr>
        <w:t xml:space="preserve"> </w:t>
      </w:r>
      <w:r w:rsidRPr="00575DEB">
        <w:rPr>
          <w:rFonts w:cs="David"/>
          <w:sz w:val="24"/>
          <w:szCs w:val="24"/>
          <w:rtl/>
        </w:rPr>
        <w:t xml:space="preserve">לסיוע </w:t>
      </w:r>
      <w:r w:rsidR="00277900" w:rsidRPr="00575DEB">
        <w:rPr>
          <w:rFonts w:cs="David" w:hint="eastAsia"/>
          <w:sz w:val="24"/>
          <w:szCs w:val="24"/>
          <w:rtl/>
        </w:rPr>
        <w:t>ממשלתי</w:t>
      </w:r>
      <w:r w:rsidR="00607DB1" w:rsidRPr="00575DEB">
        <w:rPr>
          <w:rFonts w:cs="David" w:hint="cs"/>
          <w:sz w:val="24"/>
          <w:szCs w:val="24"/>
          <w:rtl/>
        </w:rPr>
        <w:t>,</w:t>
      </w:r>
      <w:r w:rsidR="00277900" w:rsidRPr="00575DEB">
        <w:rPr>
          <w:rFonts w:cs="David"/>
          <w:sz w:val="24"/>
          <w:szCs w:val="24"/>
          <w:rtl/>
        </w:rPr>
        <w:t xml:space="preserve"> </w:t>
      </w:r>
      <w:r w:rsidR="00607DB1" w:rsidRPr="00575DEB">
        <w:rPr>
          <w:rFonts w:cs="David" w:hint="cs"/>
          <w:sz w:val="24"/>
          <w:szCs w:val="24"/>
          <w:rtl/>
        </w:rPr>
        <w:t xml:space="preserve">שנועד </w:t>
      </w:r>
      <w:r w:rsidR="00277900" w:rsidRPr="00575DEB">
        <w:rPr>
          <w:rFonts w:cs="David"/>
          <w:sz w:val="24"/>
          <w:szCs w:val="24"/>
          <w:rtl/>
        </w:rPr>
        <w:t xml:space="preserve">להתגבר על כשל שוק בזמן המשבר, </w:t>
      </w:r>
      <w:r w:rsidR="00607DB1" w:rsidRPr="00575DEB">
        <w:rPr>
          <w:rFonts w:cs="David" w:hint="cs"/>
          <w:sz w:val="24"/>
          <w:szCs w:val="24"/>
          <w:rtl/>
        </w:rPr>
        <w:t xml:space="preserve">ויש לו </w:t>
      </w:r>
      <w:r w:rsidR="00411A4D" w:rsidRPr="00575DEB">
        <w:rPr>
          <w:rFonts w:cs="David" w:hint="eastAsia"/>
          <w:sz w:val="24"/>
          <w:szCs w:val="24"/>
          <w:rtl/>
        </w:rPr>
        <w:t>השפעה</w:t>
      </w:r>
      <w:r w:rsidR="00411A4D" w:rsidRPr="00575DEB">
        <w:rPr>
          <w:rFonts w:cs="David"/>
          <w:sz w:val="24"/>
          <w:szCs w:val="24"/>
          <w:rtl/>
        </w:rPr>
        <w:t xml:space="preserve"> </w:t>
      </w:r>
      <w:r w:rsidR="00411A4D" w:rsidRPr="00575DEB">
        <w:rPr>
          <w:rFonts w:cs="David" w:hint="eastAsia"/>
          <w:sz w:val="24"/>
          <w:szCs w:val="24"/>
          <w:rtl/>
        </w:rPr>
        <w:t>משמעותית</w:t>
      </w:r>
      <w:r w:rsidR="00607DB1" w:rsidRPr="00575DEB">
        <w:rPr>
          <w:rFonts w:cs="David" w:hint="cs"/>
          <w:sz w:val="24"/>
          <w:szCs w:val="24"/>
          <w:rtl/>
        </w:rPr>
        <w:t xml:space="preserve"> מאוד </w:t>
      </w:r>
      <w:r w:rsidR="00411A4D" w:rsidRPr="00575DEB">
        <w:rPr>
          <w:rFonts w:cs="David"/>
          <w:sz w:val="24"/>
          <w:szCs w:val="24"/>
          <w:rtl/>
        </w:rPr>
        <w:t xml:space="preserve"> </w:t>
      </w:r>
      <w:r w:rsidR="00411A4D" w:rsidRPr="00575DEB">
        <w:rPr>
          <w:rFonts w:cs="David" w:hint="eastAsia"/>
          <w:sz w:val="24"/>
          <w:szCs w:val="24"/>
          <w:rtl/>
        </w:rPr>
        <w:t>על</w:t>
      </w:r>
      <w:r w:rsidR="00411A4D" w:rsidRPr="00575DEB">
        <w:rPr>
          <w:rFonts w:cs="David"/>
          <w:sz w:val="24"/>
          <w:szCs w:val="24"/>
          <w:rtl/>
        </w:rPr>
        <w:t xml:space="preserve"> </w:t>
      </w:r>
      <w:r w:rsidR="00411A4D" w:rsidRPr="00575DEB">
        <w:rPr>
          <w:rFonts w:cs="David" w:hint="eastAsia"/>
          <w:sz w:val="24"/>
          <w:szCs w:val="24"/>
          <w:rtl/>
        </w:rPr>
        <w:t>המשך</w:t>
      </w:r>
      <w:r w:rsidR="00411A4D" w:rsidRPr="00575DEB">
        <w:rPr>
          <w:rFonts w:cs="David"/>
          <w:sz w:val="24"/>
          <w:szCs w:val="24"/>
          <w:rtl/>
        </w:rPr>
        <w:t xml:space="preserve"> </w:t>
      </w:r>
      <w:r w:rsidR="00411A4D" w:rsidRPr="00575DEB">
        <w:rPr>
          <w:rFonts w:cs="David" w:hint="eastAsia"/>
          <w:sz w:val="24"/>
          <w:szCs w:val="24"/>
          <w:rtl/>
        </w:rPr>
        <w:t>הפעילות</w:t>
      </w:r>
      <w:r w:rsidR="00411A4D" w:rsidRPr="00575DEB">
        <w:rPr>
          <w:rFonts w:cs="David"/>
          <w:sz w:val="24"/>
          <w:szCs w:val="24"/>
          <w:rtl/>
        </w:rPr>
        <w:t xml:space="preserve"> </w:t>
      </w:r>
      <w:r w:rsidR="00411A4D" w:rsidRPr="00575DEB">
        <w:rPr>
          <w:rFonts w:cs="David" w:hint="eastAsia"/>
          <w:sz w:val="24"/>
          <w:szCs w:val="24"/>
          <w:rtl/>
        </w:rPr>
        <w:t>במשק</w:t>
      </w:r>
      <w:r w:rsidR="00411A4D" w:rsidRPr="00575DEB">
        <w:rPr>
          <w:rFonts w:cs="David"/>
          <w:sz w:val="24"/>
          <w:szCs w:val="24"/>
          <w:rtl/>
        </w:rPr>
        <w:t>.</w:t>
      </w:r>
    </w:p>
    <w:p w:rsidR="007C33D7" w:rsidRDefault="007C33D7" w:rsidP="00030D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33D7">
        <w:rPr>
          <w:rFonts w:cs="David"/>
          <w:sz w:val="24"/>
          <w:szCs w:val="24"/>
          <w:rtl/>
        </w:rPr>
        <w:t xml:space="preserve">ביטוח אשראי נועד לבטח את הספקים בעסקאות שבהן הלקוחות אינם משלמים תמורת הסחורה </w:t>
      </w:r>
      <w:r w:rsidR="00030D02" w:rsidRPr="005E5BB6">
        <w:rPr>
          <w:rFonts w:cs="David" w:hint="cs"/>
          <w:sz w:val="24"/>
          <w:szCs w:val="24"/>
          <w:rtl/>
        </w:rPr>
        <w:t>לאחר</w:t>
      </w:r>
      <w:r w:rsidR="00030D02" w:rsidRPr="005E5BB6">
        <w:rPr>
          <w:rFonts w:cs="David"/>
          <w:sz w:val="24"/>
          <w:szCs w:val="24"/>
          <w:rtl/>
        </w:rPr>
        <w:t xml:space="preserve"> </w:t>
      </w:r>
      <w:r w:rsidR="00135BC3" w:rsidRPr="005E5BB6">
        <w:rPr>
          <w:rFonts w:cs="David" w:hint="eastAsia"/>
          <w:sz w:val="24"/>
          <w:szCs w:val="24"/>
          <w:rtl/>
        </w:rPr>
        <w:t>קבלתה</w:t>
      </w:r>
      <w:r w:rsidR="00844A8E" w:rsidRPr="005E5BB6">
        <w:rPr>
          <w:rFonts w:cs="David" w:hint="cs"/>
          <w:sz w:val="24"/>
          <w:szCs w:val="24"/>
          <w:rtl/>
        </w:rPr>
        <w:t>.</w:t>
      </w:r>
      <w:r w:rsidR="00E74CD1">
        <w:rPr>
          <w:rFonts w:cs="David" w:hint="cs"/>
          <w:sz w:val="24"/>
          <w:szCs w:val="24"/>
          <w:rtl/>
        </w:rPr>
        <w:t xml:space="preserve"> </w:t>
      </w:r>
      <w:r w:rsidR="001B6B5F">
        <w:rPr>
          <w:rFonts w:cs="David" w:hint="cs"/>
          <w:sz w:val="24"/>
          <w:szCs w:val="24"/>
          <w:rtl/>
        </w:rPr>
        <w:t>אל ה</w:t>
      </w:r>
      <w:r w:rsidR="001B6B5F" w:rsidRPr="007C33D7">
        <w:rPr>
          <w:rFonts w:cs="David"/>
          <w:sz w:val="24"/>
          <w:szCs w:val="24"/>
          <w:rtl/>
        </w:rPr>
        <w:t xml:space="preserve">חברות </w:t>
      </w:r>
      <w:r w:rsidRPr="007C33D7">
        <w:rPr>
          <w:rFonts w:cs="David"/>
          <w:sz w:val="24"/>
          <w:szCs w:val="24"/>
          <w:rtl/>
        </w:rPr>
        <w:t xml:space="preserve">לביטוח אשראי פונים הן יצואנים והן ספקים מקומיים. במקרה הראשון מדובר בביטוח אשראי לסחר חוץ; הלקוחות יכולים לבטח </w:t>
      </w:r>
      <w:r w:rsidR="001B6B5F">
        <w:rPr>
          <w:rFonts w:cs="David" w:hint="cs"/>
          <w:sz w:val="24"/>
          <w:szCs w:val="24"/>
          <w:rtl/>
        </w:rPr>
        <w:t xml:space="preserve">את </w:t>
      </w:r>
      <w:r w:rsidRPr="007C33D7">
        <w:rPr>
          <w:rFonts w:cs="David"/>
          <w:sz w:val="24"/>
          <w:szCs w:val="24"/>
          <w:rtl/>
        </w:rPr>
        <w:t xml:space="preserve">עצמם מפני סיכונים מסחריים ו/או פוליטיים, ומחקרים מראים שהביטוח מעודד יצוא, בעיקר </w:t>
      </w:r>
      <w:r w:rsidR="00ED5252">
        <w:rPr>
          <w:rFonts w:cs="David" w:hint="cs"/>
          <w:sz w:val="24"/>
          <w:szCs w:val="24"/>
          <w:rtl/>
        </w:rPr>
        <w:t>במדינות קטנות</w:t>
      </w:r>
      <w:r w:rsidR="003123F4">
        <w:rPr>
          <w:rStyle w:val="a5"/>
          <w:rFonts w:cs="David"/>
          <w:sz w:val="24"/>
          <w:szCs w:val="24"/>
          <w:rtl/>
        </w:rPr>
        <w:footnoteReference w:id="2"/>
      </w:r>
      <w:r w:rsidRPr="007C33D7">
        <w:rPr>
          <w:rFonts w:cs="David"/>
          <w:sz w:val="24"/>
          <w:szCs w:val="24"/>
          <w:rtl/>
        </w:rPr>
        <w:t xml:space="preserve"> (</w:t>
      </w:r>
      <w:proofErr w:type="spellStart"/>
      <w:r w:rsidRPr="007C33D7">
        <w:rPr>
          <w:rFonts w:cs="David"/>
          <w:sz w:val="24"/>
          <w:szCs w:val="24"/>
        </w:rPr>
        <w:t>Auboin</w:t>
      </w:r>
      <w:proofErr w:type="spellEnd"/>
      <w:r w:rsidRPr="007C33D7">
        <w:rPr>
          <w:rFonts w:cs="David"/>
          <w:sz w:val="24"/>
          <w:szCs w:val="24"/>
        </w:rPr>
        <w:t xml:space="preserve"> and </w:t>
      </w:r>
      <w:proofErr w:type="spellStart"/>
      <w:r w:rsidRPr="007C33D7">
        <w:rPr>
          <w:rFonts w:cs="David"/>
          <w:sz w:val="24"/>
          <w:szCs w:val="24"/>
        </w:rPr>
        <w:t>Engemann</w:t>
      </w:r>
      <w:proofErr w:type="spellEnd"/>
      <w:r w:rsidRPr="007C33D7">
        <w:rPr>
          <w:rFonts w:cs="David"/>
          <w:sz w:val="24"/>
          <w:szCs w:val="24"/>
        </w:rPr>
        <w:t>, 2014; van der Veer, 2015</w:t>
      </w:r>
      <w:r w:rsidRPr="007C33D7">
        <w:rPr>
          <w:rFonts w:cs="David"/>
          <w:sz w:val="24"/>
          <w:szCs w:val="24"/>
          <w:rtl/>
        </w:rPr>
        <w:t xml:space="preserve">). במקרה של ספקים מקומיים מדובר באשראי ספקים; הלקוחות יכולים לבטח </w:t>
      </w:r>
      <w:r w:rsidR="001B6B5F">
        <w:rPr>
          <w:rFonts w:cs="David" w:hint="cs"/>
          <w:sz w:val="24"/>
          <w:szCs w:val="24"/>
          <w:rtl/>
        </w:rPr>
        <w:t xml:space="preserve">את </w:t>
      </w:r>
      <w:r w:rsidRPr="007C33D7">
        <w:rPr>
          <w:rFonts w:cs="David"/>
          <w:sz w:val="24"/>
          <w:szCs w:val="24"/>
          <w:rtl/>
        </w:rPr>
        <w:t xml:space="preserve">עצמם מפני סיכונים מסחריים, </w:t>
      </w:r>
      <w:r w:rsidR="001B6B5F">
        <w:rPr>
          <w:rFonts w:cs="David" w:hint="cs"/>
          <w:sz w:val="24"/>
          <w:szCs w:val="24"/>
          <w:rtl/>
        </w:rPr>
        <w:t>וזוהי</w:t>
      </w:r>
      <w:r w:rsidRPr="007C33D7">
        <w:rPr>
          <w:rFonts w:cs="David"/>
          <w:sz w:val="24"/>
          <w:szCs w:val="24"/>
          <w:rtl/>
        </w:rPr>
        <w:t xml:space="preserve"> דרך נפוצה לממן את פעילותם. סיכון מסחרי מתממש כאשר לקוח נקלע לחדלות פירעון או לקושי כלכלי ואינו משלם את התמורה במשך תקופה </w:t>
      </w:r>
      <w:r w:rsidR="00E74CD1">
        <w:rPr>
          <w:rFonts w:cs="David" w:hint="cs"/>
          <w:sz w:val="24"/>
          <w:szCs w:val="24"/>
          <w:rtl/>
        </w:rPr>
        <w:t>שהוגדרה</w:t>
      </w:r>
      <w:r w:rsidR="00E74CD1" w:rsidRPr="007C33D7">
        <w:rPr>
          <w:rFonts w:cs="David"/>
          <w:sz w:val="24"/>
          <w:szCs w:val="24"/>
          <w:rtl/>
        </w:rPr>
        <w:t xml:space="preserve"> </w:t>
      </w:r>
      <w:r w:rsidRPr="007C33D7">
        <w:rPr>
          <w:rFonts w:cs="David"/>
          <w:sz w:val="24"/>
          <w:szCs w:val="24"/>
          <w:rtl/>
        </w:rPr>
        <w:t xml:space="preserve">מראש מיום הפירעון המוסכם; סיכון פוליטי מתממש כאשר לקוח אינו משלם את התמורה משום שבארצו התרחש אירוע פוליטי </w:t>
      </w:r>
      <w:r w:rsidR="00256E1C">
        <w:rPr>
          <w:rFonts w:cs="David" w:hint="cs"/>
          <w:sz w:val="24"/>
          <w:szCs w:val="24"/>
          <w:rtl/>
        </w:rPr>
        <w:t>–</w:t>
      </w:r>
      <w:r w:rsidR="00256E1C" w:rsidRPr="007C33D7">
        <w:rPr>
          <w:rFonts w:cs="David"/>
          <w:sz w:val="24"/>
          <w:szCs w:val="24"/>
          <w:rtl/>
        </w:rPr>
        <w:t xml:space="preserve"> </w:t>
      </w:r>
      <w:r w:rsidRPr="007C33D7">
        <w:rPr>
          <w:rFonts w:cs="David"/>
          <w:sz w:val="24"/>
          <w:szCs w:val="24"/>
          <w:rtl/>
        </w:rPr>
        <w:t>הפיכה, הטלת איסור על הוצאת מט"ח, הלאמה, ביטול רישיונות יבוא ועוד.</w:t>
      </w:r>
    </w:p>
    <w:p w:rsidR="00937042" w:rsidRDefault="00937042" w:rsidP="007C33D7">
      <w:pPr>
        <w:spacing w:after="0" w:line="480" w:lineRule="auto"/>
        <w:jc w:val="center"/>
        <w:rPr>
          <w:rFonts w:cs="David"/>
          <w:b/>
          <w:bCs/>
          <w:noProof/>
          <w:sz w:val="24"/>
          <w:szCs w:val="24"/>
          <w:rtl/>
        </w:rPr>
      </w:pPr>
    </w:p>
    <w:p w:rsidR="007C33D7" w:rsidRDefault="003F5EAA" w:rsidP="007C33D7">
      <w:pPr>
        <w:spacing w:after="0" w:line="480" w:lineRule="auto"/>
        <w:jc w:val="center"/>
        <w:rPr>
          <w:rFonts w:cs="David"/>
          <w:b/>
          <w:bCs/>
          <w:noProof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w:lastRenderedPageBreak/>
        <w:t>איור</w:t>
      </w:r>
      <w:r w:rsidR="007C33D7" w:rsidRPr="00041B66">
        <w:rPr>
          <w:rFonts w:cs="David"/>
          <w:b/>
          <w:bCs/>
          <w:noProof/>
          <w:sz w:val="24"/>
          <w:szCs w:val="24"/>
          <w:rtl/>
        </w:rPr>
        <w:t xml:space="preserve"> 1: סיכום </w:t>
      </w:r>
      <w:r w:rsidR="007C33D7">
        <w:rPr>
          <w:rFonts w:cs="David"/>
          <w:b/>
          <w:bCs/>
          <w:noProof/>
          <w:sz w:val="24"/>
          <w:szCs w:val="24"/>
          <w:rtl/>
        </w:rPr>
        <w:t>ה</w:t>
      </w:r>
      <w:r w:rsidR="007C33D7" w:rsidRPr="00041B66">
        <w:rPr>
          <w:rFonts w:cs="David"/>
          <w:b/>
          <w:bCs/>
          <w:noProof/>
          <w:sz w:val="24"/>
          <w:szCs w:val="24"/>
          <w:rtl/>
        </w:rPr>
        <w:t xml:space="preserve">פעילות </w:t>
      </w:r>
      <w:r w:rsidR="007C33D7">
        <w:rPr>
          <w:rFonts w:cs="David"/>
          <w:b/>
          <w:bCs/>
          <w:noProof/>
          <w:sz w:val="24"/>
          <w:szCs w:val="24"/>
          <w:rtl/>
        </w:rPr>
        <w:t>ב</w:t>
      </w:r>
      <w:r w:rsidR="007C33D7" w:rsidRPr="00041B66">
        <w:rPr>
          <w:rFonts w:cs="David"/>
          <w:b/>
          <w:bCs/>
          <w:noProof/>
          <w:sz w:val="24"/>
          <w:szCs w:val="24"/>
          <w:rtl/>
        </w:rPr>
        <w:t>ביטוח האשראי</w:t>
      </w:r>
    </w:p>
    <w:p w:rsidR="007C33D7" w:rsidRDefault="007C33D7" w:rsidP="007C33D7">
      <w:pPr>
        <w:spacing w:after="0" w:line="480" w:lineRule="auto"/>
        <w:jc w:val="center"/>
        <w:rPr>
          <w:rFonts w:cs="David"/>
          <w:b/>
          <w:bCs/>
          <w:noProof/>
          <w:sz w:val="24"/>
          <w:szCs w:val="24"/>
          <w:rtl/>
        </w:rPr>
      </w:pPr>
      <w:r w:rsidRPr="00E124F4">
        <w:rPr>
          <w:rFonts w:cs="David"/>
          <w:b/>
          <w:bCs/>
          <w:noProof/>
          <w:sz w:val="24"/>
          <w:szCs w:val="24"/>
        </w:rPr>
        <w:drawing>
          <wp:inline distT="0" distB="0" distL="0" distR="0" wp14:anchorId="22AC30AF" wp14:editId="42D47BB2">
            <wp:extent cx="5278120" cy="2520547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E4901" w:rsidRDefault="00D10572" w:rsidP="005B4BC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B4BCF">
        <w:rPr>
          <w:rFonts w:cs="David" w:hint="cs"/>
          <w:sz w:val="24"/>
          <w:szCs w:val="24"/>
          <w:rtl/>
        </w:rPr>
        <w:t xml:space="preserve">בישראל פועלות שלוש חברות </w:t>
      </w:r>
      <w:r w:rsidR="00256E1C" w:rsidRPr="005B4BCF">
        <w:rPr>
          <w:rFonts w:cs="David" w:hint="cs"/>
          <w:sz w:val="24"/>
          <w:szCs w:val="24"/>
          <w:rtl/>
        </w:rPr>
        <w:t>פרטיות ל</w:t>
      </w:r>
      <w:r w:rsidRPr="005B4BCF">
        <w:rPr>
          <w:rFonts w:cs="David" w:hint="cs"/>
          <w:sz w:val="24"/>
          <w:szCs w:val="24"/>
          <w:rtl/>
        </w:rPr>
        <w:t xml:space="preserve">ביטוח אשראי: </w:t>
      </w:r>
      <w:r w:rsidR="00135BC3" w:rsidRPr="005B4BCF">
        <w:rPr>
          <w:rFonts w:cs="David" w:hint="cs"/>
          <w:sz w:val="24"/>
          <w:szCs w:val="24"/>
          <w:rtl/>
        </w:rPr>
        <w:t>"</w:t>
      </w:r>
      <w:proofErr w:type="spellStart"/>
      <w:r w:rsidR="00844A8E" w:rsidRPr="005B4BCF">
        <w:rPr>
          <w:rFonts w:cs="David" w:hint="cs"/>
          <w:sz w:val="24"/>
          <w:szCs w:val="24"/>
          <w:rtl/>
        </w:rPr>
        <w:t>בססח</w:t>
      </w:r>
      <w:proofErr w:type="spellEnd"/>
      <w:r w:rsidR="005B4BCF">
        <w:rPr>
          <w:rFonts w:cs="David" w:hint="cs"/>
          <w:sz w:val="24"/>
          <w:szCs w:val="24"/>
          <w:rtl/>
        </w:rPr>
        <w:t>, החברה הישראלית לביטוח אשראי</w:t>
      </w:r>
      <w:r w:rsidR="00135BC3" w:rsidRPr="005B4BCF">
        <w:rPr>
          <w:rFonts w:cs="David" w:hint="cs"/>
          <w:sz w:val="24"/>
          <w:szCs w:val="24"/>
          <w:rtl/>
        </w:rPr>
        <w:t>"</w:t>
      </w:r>
      <w:r w:rsidRPr="005B4BCF">
        <w:rPr>
          <w:rFonts w:cs="David" w:hint="cs"/>
          <w:sz w:val="24"/>
          <w:szCs w:val="24"/>
          <w:rtl/>
        </w:rPr>
        <w:t xml:space="preserve">, </w:t>
      </w:r>
      <w:r w:rsidR="00E74CD1" w:rsidRPr="005B4BCF">
        <w:rPr>
          <w:rFonts w:cs="David" w:hint="cs"/>
          <w:sz w:val="24"/>
          <w:szCs w:val="24"/>
          <w:rtl/>
        </w:rPr>
        <w:t>"</w:t>
      </w:r>
      <w:r w:rsidRPr="005B4BCF">
        <w:rPr>
          <w:rFonts w:cs="David" w:hint="cs"/>
          <w:sz w:val="24"/>
          <w:szCs w:val="24"/>
          <w:rtl/>
        </w:rPr>
        <w:t>כלל ביטוח אשראי</w:t>
      </w:r>
      <w:r w:rsidR="00E74CD1" w:rsidRPr="005B4BCF">
        <w:rPr>
          <w:rFonts w:cs="David" w:hint="cs"/>
          <w:sz w:val="24"/>
          <w:szCs w:val="24"/>
          <w:rtl/>
        </w:rPr>
        <w:t>"</w:t>
      </w:r>
      <w:r w:rsidRPr="005B4BCF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5B4BCF">
        <w:rPr>
          <w:rFonts w:cs="David" w:hint="cs"/>
          <w:sz w:val="24"/>
          <w:szCs w:val="24"/>
          <w:rtl/>
        </w:rPr>
        <w:t>ו</w:t>
      </w:r>
      <w:r w:rsidR="006D1CFA" w:rsidRPr="005B4BCF">
        <w:rPr>
          <w:rFonts w:cs="David" w:hint="cs"/>
          <w:sz w:val="24"/>
          <w:szCs w:val="24"/>
          <w:rtl/>
        </w:rPr>
        <w:t>"קופאס</w:t>
      </w:r>
      <w:proofErr w:type="spellEnd"/>
      <w:r w:rsidRPr="005B4BCF">
        <w:rPr>
          <w:rFonts w:cs="David" w:hint="cs"/>
          <w:sz w:val="24"/>
          <w:szCs w:val="24"/>
          <w:rtl/>
        </w:rPr>
        <w:t xml:space="preserve"> ישראל</w:t>
      </w:r>
      <w:r w:rsidR="006D1CFA" w:rsidRPr="005B4BCF">
        <w:rPr>
          <w:rFonts w:cs="David" w:hint="cs"/>
          <w:sz w:val="24"/>
          <w:szCs w:val="24"/>
          <w:rtl/>
        </w:rPr>
        <w:t>"</w:t>
      </w:r>
      <w:r w:rsidRPr="005B4BCF">
        <w:rPr>
          <w:rFonts w:cs="David" w:hint="cs"/>
          <w:sz w:val="24"/>
          <w:szCs w:val="24"/>
          <w:rtl/>
        </w:rPr>
        <w:t xml:space="preserve">. </w:t>
      </w:r>
      <w:r w:rsidR="00135BC3" w:rsidRPr="005B4BCF">
        <w:rPr>
          <w:rFonts w:cs="David" w:hint="cs"/>
          <w:sz w:val="24"/>
          <w:szCs w:val="24"/>
          <w:rtl/>
        </w:rPr>
        <w:t>"</w:t>
      </w:r>
      <w:proofErr w:type="spellStart"/>
      <w:r w:rsidR="00844A8E" w:rsidRPr="005B4BCF">
        <w:rPr>
          <w:rFonts w:cs="David"/>
          <w:sz w:val="24"/>
          <w:szCs w:val="24"/>
          <w:rtl/>
        </w:rPr>
        <w:t>בססח</w:t>
      </w:r>
      <w:proofErr w:type="spellEnd"/>
      <w:r w:rsidR="00135BC3" w:rsidRPr="005B4BCF">
        <w:rPr>
          <w:rFonts w:cs="David" w:hint="cs"/>
          <w:sz w:val="24"/>
          <w:szCs w:val="24"/>
          <w:rtl/>
        </w:rPr>
        <w:t>"</w:t>
      </w:r>
      <w:r w:rsidR="006A3BCF" w:rsidRPr="005B4BCF">
        <w:rPr>
          <w:rFonts w:cs="David"/>
          <w:sz w:val="24"/>
          <w:szCs w:val="24"/>
          <w:rtl/>
        </w:rPr>
        <w:t xml:space="preserve"> הוקמה ב-1957 כחברה ממשלתית, ובשנת 2000 פוצלה </w:t>
      </w:r>
      <w:r w:rsidR="00256E1C" w:rsidRPr="005B4BCF">
        <w:rPr>
          <w:rFonts w:cs="David"/>
          <w:sz w:val="24"/>
          <w:szCs w:val="24"/>
          <w:rtl/>
        </w:rPr>
        <w:t>לש</w:t>
      </w:r>
      <w:r w:rsidR="00256E1C" w:rsidRPr="005B4BCF">
        <w:rPr>
          <w:rFonts w:cs="David" w:hint="cs"/>
          <w:sz w:val="24"/>
          <w:szCs w:val="24"/>
          <w:rtl/>
        </w:rPr>
        <w:t>ת</w:t>
      </w:r>
      <w:r w:rsidR="00256E1C" w:rsidRPr="005B4BCF">
        <w:rPr>
          <w:rFonts w:cs="David"/>
          <w:sz w:val="24"/>
          <w:szCs w:val="24"/>
          <w:rtl/>
        </w:rPr>
        <w:t>יים</w:t>
      </w:r>
      <w:r w:rsidR="00256E1C" w:rsidRPr="005B4BCF">
        <w:rPr>
          <w:rFonts w:cs="David" w:hint="cs"/>
          <w:sz w:val="24"/>
          <w:szCs w:val="24"/>
          <w:rtl/>
        </w:rPr>
        <w:t xml:space="preserve">: </w:t>
      </w:r>
      <w:r w:rsidR="006A3BCF" w:rsidRPr="005B4BCF">
        <w:rPr>
          <w:rFonts w:cs="David"/>
          <w:sz w:val="24"/>
          <w:szCs w:val="24"/>
          <w:rtl/>
        </w:rPr>
        <w:t>פעילות הביטוח לטווחים הבינוני והארוך נותרה בבעלות ממשלתית ומתנהלת בחברת "</w:t>
      </w:r>
      <w:proofErr w:type="spellStart"/>
      <w:r w:rsidR="006A3BCF" w:rsidRPr="005B4BCF">
        <w:rPr>
          <w:rFonts w:cs="David"/>
          <w:sz w:val="24"/>
          <w:szCs w:val="24"/>
          <w:rtl/>
        </w:rPr>
        <w:t>אשרא</w:t>
      </w:r>
      <w:proofErr w:type="spellEnd"/>
      <w:r w:rsidR="006A3BCF" w:rsidRPr="005B4BCF">
        <w:rPr>
          <w:rFonts w:cs="David"/>
          <w:sz w:val="24"/>
          <w:szCs w:val="24"/>
          <w:rtl/>
        </w:rPr>
        <w:t>"</w:t>
      </w:r>
      <w:r w:rsidR="00073401" w:rsidRPr="005B4BCF">
        <w:rPr>
          <w:rStyle w:val="a5"/>
          <w:rFonts w:cs="David"/>
          <w:sz w:val="24"/>
          <w:szCs w:val="24"/>
          <w:rtl/>
        </w:rPr>
        <w:footnoteReference w:id="3"/>
      </w:r>
      <w:r w:rsidR="00256E1C" w:rsidRPr="005B4BCF">
        <w:rPr>
          <w:rFonts w:cs="David" w:hint="cs"/>
          <w:sz w:val="24"/>
          <w:szCs w:val="24"/>
          <w:rtl/>
        </w:rPr>
        <w:t>,</w:t>
      </w:r>
      <w:r w:rsidR="006A3BCF" w:rsidRPr="005B4BCF">
        <w:rPr>
          <w:rFonts w:cs="David"/>
          <w:sz w:val="24"/>
          <w:szCs w:val="24"/>
          <w:rtl/>
        </w:rPr>
        <w:t xml:space="preserve"> ופעילות הביטוח לטווח הקצר (עד שנה) הופרטה ומתנהלת בחברה </w:t>
      </w:r>
      <w:r w:rsidR="00135BC3" w:rsidRPr="005B4BCF">
        <w:rPr>
          <w:rFonts w:cs="David" w:hint="cs"/>
          <w:sz w:val="24"/>
          <w:szCs w:val="24"/>
          <w:rtl/>
        </w:rPr>
        <w:t>"</w:t>
      </w:r>
      <w:proofErr w:type="spellStart"/>
      <w:r w:rsidR="00844A8E" w:rsidRPr="005B4BCF">
        <w:rPr>
          <w:rFonts w:cs="David"/>
          <w:sz w:val="24"/>
          <w:szCs w:val="24"/>
          <w:rtl/>
        </w:rPr>
        <w:t>בססח</w:t>
      </w:r>
      <w:proofErr w:type="spellEnd"/>
      <w:r w:rsidR="00135BC3" w:rsidRPr="005B4BCF">
        <w:rPr>
          <w:rFonts w:cs="David" w:hint="cs"/>
          <w:sz w:val="24"/>
          <w:szCs w:val="24"/>
          <w:rtl/>
        </w:rPr>
        <w:t>"</w:t>
      </w:r>
      <w:r w:rsidR="006A3BCF" w:rsidRPr="005B4BCF">
        <w:rPr>
          <w:rFonts w:cs="David"/>
          <w:sz w:val="24"/>
          <w:szCs w:val="24"/>
          <w:rtl/>
        </w:rPr>
        <w:t>.</w:t>
      </w:r>
      <w:r w:rsidR="006A3BCF" w:rsidRPr="005B4BCF">
        <w:rPr>
          <w:rFonts w:cs="David" w:hint="cs"/>
          <w:sz w:val="24"/>
          <w:szCs w:val="24"/>
          <w:rtl/>
        </w:rPr>
        <w:t xml:space="preserve"> </w:t>
      </w:r>
      <w:r w:rsidR="00364570" w:rsidRPr="005B4BCF">
        <w:rPr>
          <w:rFonts w:cs="David"/>
          <w:sz w:val="24"/>
          <w:szCs w:val="24"/>
          <w:rtl/>
        </w:rPr>
        <w:t>ב-</w:t>
      </w:r>
      <w:r w:rsidR="00364570" w:rsidRPr="005B4BCF">
        <w:rPr>
          <w:rFonts w:cs="David"/>
          <w:sz w:val="24"/>
          <w:szCs w:val="24"/>
        </w:rPr>
        <w:t>2019</w:t>
      </w:r>
      <w:r w:rsidR="00364570" w:rsidRPr="005B4BCF">
        <w:rPr>
          <w:rFonts w:cs="David"/>
          <w:sz w:val="24"/>
          <w:szCs w:val="24"/>
          <w:rtl/>
        </w:rPr>
        <w:t xml:space="preserve"> ביטחה </w:t>
      </w:r>
      <w:r w:rsidR="00135BC3" w:rsidRPr="005B4BCF">
        <w:rPr>
          <w:rFonts w:cs="David" w:hint="cs"/>
          <w:sz w:val="24"/>
          <w:szCs w:val="24"/>
          <w:rtl/>
        </w:rPr>
        <w:t>"</w:t>
      </w:r>
      <w:proofErr w:type="spellStart"/>
      <w:r w:rsidR="00844A8E" w:rsidRPr="005B4BCF">
        <w:rPr>
          <w:rFonts w:cs="David"/>
          <w:sz w:val="24"/>
          <w:szCs w:val="24"/>
          <w:rtl/>
        </w:rPr>
        <w:t>בססח</w:t>
      </w:r>
      <w:proofErr w:type="spellEnd"/>
      <w:r w:rsidR="00135BC3" w:rsidRPr="005B4BCF">
        <w:rPr>
          <w:rFonts w:cs="David" w:hint="cs"/>
          <w:sz w:val="24"/>
          <w:szCs w:val="24"/>
          <w:rtl/>
        </w:rPr>
        <w:t>"</w:t>
      </w:r>
      <w:r w:rsidR="00364570" w:rsidRPr="005B4BCF">
        <w:rPr>
          <w:rFonts w:cs="David"/>
          <w:sz w:val="24"/>
          <w:szCs w:val="24"/>
          <w:rtl/>
        </w:rPr>
        <w:t xml:space="preserve"> עסקאות שהיקפן כ-</w:t>
      </w:r>
      <w:r w:rsidR="00364570" w:rsidRPr="005B4BCF">
        <w:rPr>
          <w:rFonts w:ascii="David" w:hAnsi="David" w:cs="David"/>
          <w:sz w:val="24"/>
          <w:szCs w:val="24"/>
        </w:rPr>
        <w:t>20</w:t>
      </w:r>
      <w:r w:rsidR="00364570" w:rsidRPr="005B4BCF">
        <w:rPr>
          <w:rFonts w:cs="David"/>
          <w:sz w:val="24"/>
          <w:szCs w:val="24"/>
          <w:rtl/>
        </w:rPr>
        <w:t xml:space="preserve"> מיליארדי דולרים</w:t>
      </w:r>
      <w:r w:rsidR="00256E1C" w:rsidRPr="005B4BCF">
        <w:rPr>
          <w:rFonts w:cs="David" w:hint="cs"/>
          <w:sz w:val="24"/>
          <w:szCs w:val="24"/>
          <w:rtl/>
        </w:rPr>
        <w:t xml:space="preserve"> – </w:t>
      </w:r>
      <w:r w:rsidR="00364570" w:rsidRPr="005B4BCF">
        <w:rPr>
          <w:rFonts w:cs="David"/>
          <w:sz w:val="24"/>
          <w:szCs w:val="24"/>
          <w:rtl/>
        </w:rPr>
        <w:t xml:space="preserve">כ-40 </w:t>
      </w:r>
      <w:r w:rsidR="00256E1C" w:rsidRPr="005B4BCF">
        <w:rPr>
          <w:rFonts w:cs="David" w:hint="cs"/>
          <w:sz w:val="24"/>
          <w:szCs w:val="24"/>
          <w:rtl/>
        </w:rPr>
        <w:t xml:space="preserve">אחוזים </w:t>
      </w:r>
      <w:r w:rsidR="00364570" w:rsidRPr="005B4BCF">
        <w:rPr>
          <w:rFonts w:cs="David"/>
          <w:sz w:val="24"/>
          <w:szCs w:val="24"/>
          <w:rtl/>
        </w:rPr>
        <w:t xml:space="preserve">מתוכן </w:t>
      </w:r>
      <w:r w:rsidR="00256E1C" w:rsidRPr="005B4BCF">
        <w:rPr>
          <w:rFonts w:cs="David" w:hint="cs"/>
          <w:sz w:val="24"/>
          <w:szCs w:val="24"/>
          <w:rtl/>
        </w:rPr>
        <w:t>עם חו"ל,</w:t>
      </w:r>
      <w:r w:rsidR="00364570" w:rsidRPr="005B4BCF">
        <w:rPr>
          <w:rFonts w:cs="David"/>
          <w:sz w:val="24"/>
          <w:szCs w:val="24"/>
          <w:rtl/>
        </w:rPr>
        <w:t xml:space="preserve"> והשאר (כ-12 מיליארדי דולר</w:t>
      </w:r>
      <w:r w:rsidR="00256E1C" w:rsidRPr="005B4BCF">
        <w:rPr>
          <w:rFonts w:cs="David" w:hint="cs"/>
          <w:sz w:val="24"/>
          <w:szCs w:val="24"/>
          <w:rtl/>
        </w:rPr>
        <w:t>ים</w:t>
      </w:r>
      <w:r w:rsidR="00364570" w:rsidRPr="005B4BCF">
        <w:rPr>
          <w:rFonts w:cs="David"/>
          <w:sz w:val="24"/>
          <w:szCs w:val="24"/>
          <w:rtl/>
        </w:rPr>
        <w:t>) בשוק המקומי.</w:t>
      </w:r>
      <w:r w:rsidR="00364570" w:rsidRPr="005B4BCF">
        <w:rPr>
          <w:rFonts w:cs="David" w:hint="cs"/>
          <w:sz w:val="24"/>
          <w:szCs w:val="24"/>
          <w:rtl/>
        </w:rPr>
        <w:t xml:space="preserve"> </w:t>
      </w:r>
      <w:r w:rsidR="00AE1B86" w:rsidRPr="005B4BCF">
        <w:rPr>
          <w:rFonts w:cs="David" w:hint="cs"/>
          <w:sz w:val="24"/>
          <w:szCs w:val="24"/>
          <w:rtl/>
        </w:rPr>
        <w:t>בעסקות יצו</w:t>
      </w:r>
      <w:r w:rsidR="00C46EC3" w:rsidRPr="005B4BCF">
        <w:rPr>
          <w:rFonts w:cs="David" w:hint="cs"/>
          <w:sz w:val="24"/>
          <w:szCs w:val="24"/>
          <w:rtl/>
        </w:rPr>
        <w:t>א</w:t>
      </w:r>
      <w:r w:rsidR="00073401" w:rsidRPr="005B4BCF">
        <w:rPr>
          <w:rFonts w:cs="David" w:hint="cs"/>
          <w:sz w:val="24"/>
          <w:szCs w:val="24"/>
          <w:rtl/>
        </w:rPr>
        <w:t xml:space="preserve"> לטווח קצר (עד שנה)</w:t>
      </w:r>
      <w:r w:rsidR="00C46EC3" w:rsidRPr="005B4BCF">
        <w:rPr>
          <w:rFonts w:cs="David" w:hint="cs"/>
          <w:sz w:val="24"/>
          <w:szCs w:val="24"/>
          <w:rtl/>
        </w:rPr>
        <w:t xml:space="preserve"> </w:t>
      </w:r>
      <w:r w:rsidR="00135BC3" w:rsidRPr="005B4BCF">
        <w:rPr>
          <w:rFonts w:cs="David" w:hint="cs"/>
          <w:sz w:val="24"/>
          <w:szCs w:val="24"/>
          <w:rtl/>
        </w:rPr>
        <w:t>"</w:t>
      </w:r>
      <w:proofErr w:type="spellStart"/>
      <w:r w:rsidR="00844A8E" w:rsidRPr="005B4BCF">
        <w:rPr>
          <w:rFonts w:cs="David" w:hint="cs"/>
          <w:sz w:val="24"/>
          <w:szCs w:val="24"/>
          <w:rtl/>
        </w:rPr>
        <w:t>בססח</w:t>
      </w:r>
      <w:proofErr w:type="spellEnd"/>
      <w:r w:rsidR="00135BC3" w:rsidRPr="005B4BCF">
        <w:rPr>
          <w:rFonts w:cs="David" w:hint="cs"/>
          <w:sz w:val="24"/>
          <w:szCs w:val="24"/>
          <w:rtl/>
        </w:rPr>
        <w:t>"</w:t>
      </w:r>
      <w:r w:rsidR="00016BB6" w:rsidRPr="005B4BCF">
        <w:rPr>
          <w:rFonts w:cs="David" w:hint="cs"/>
          <w:sz w:val="24"/>
          <w:szCs w:val="24"/>
          <w:rtl/>
        </w:rPr>
        <w:t xml:space="preserve"> </w:t>
      </w:r>
      <w:r w:rsidR="00C46EC3" w:rsidRPr="005B4BCF">
        <w:rPr>
          <w:rFonts w:cs="David" w:hint="cs"/>
          <w:sz w:val="24"/>
          <w:szCs w:val="24"/>
          <w:rtl/>
        </w:rPr>
        <w:t xml:space="preserve">היא מבטחת </w:t>
      </w:r>
      <w:r w:rsidR="00256E1C" w:rsidRPr="005B4BCF">
        <w:rPr>
          <w:rFonts w:cs="David" w:hint="cs"/>
          <w:sz w:val="24"/>
          <w:szCs w:val="24"/>
          <w:rtl/>
        </w:rPr>
        <w:t>ה</w:t>
      </w:r>
      <w:r w:rsidR="00C46EC3" w:rsidRPr="005B4BCF">
        <w:rPr>
          <w:rFonts w:cs="David" w:hint="cs"/>
          <w:sz w:val="24"/>
          <w:szCs w:val="24"/>
          <w:rtl/>
        </w:rPr>
        <w:t>אשראי הגדולה ביותר</w:t>
      </w:r>
      <w:r w:rsidR="006D1CFA" w:rsidRPr="005B4BCF">
        <w:rPr>
          <w:rFonts w:cs="David" w:hint="cs"/>
          <w:sz w:val="24"/>
          <w:szCs w:val="24"/>
          <w:rtl/>
        </w:rPr>
        <w:t xml:space="preserve">: </w:t>
      </w:r>
      <w:r w:rsidR="006D1CFA" w:rsidRPr="005B4BCF">
        <w:rPr>
          <w:rFonts w:cs="David" w:hint="eastAsia"/>
          <w:sz w:val="24"/>
          <w:szCs w:val="24"/>
          <w:rtl/>
        </w:rPr>
        <w:t>היא</w:t>
      </w:r>
      <w:r w:rsidR="006D1CFA" w:rsidRPr="005B4BCF">
        <w:rPr>
          <w:rFonts w:cs="David"/>
          <w:sz w:val="24"/>
          <w:szCs w:val="24"/>
          <w:rtl/>
        </w:rPr>
        <w:t xml:space="preserve"> מבטחת </w:t>
      </w:r>
      <w:r w:rsidR="00C46EC3" w:rsidRPr="005B4BCF">
        <w:rPr>
          <w:rFonts w:cs="David"/>
          <w:sz w:val="24"/>
          <w:szCs w:val="24"/>
          <w:rtl/>
        </w:rPr>
        <w:t xml:space="preserve"> כ-</w:t>
      </w:r>
      <w:r w:rsidR="00073401" w:rsidRPr="005B4BCF">
        <w:rPr>
          <w:rFonts w:cs="David" w:hint="cs"/>
          <w:sz w:val="24"/>
          <w:szCs w:val="24"/>
          <w:rtl/>
        </w:rPr>
        <w:t>65</w:t>
      </w:r>
      <w:r w:rsidR="00C46EC3" w:rsidRPr="005B4BCF">
        <w:rPr>
          <w:rFonts w:cs="David"/>
          <w:sz w:val="24"/>
          <w:szCs w:val="24"/>
          <w:rtl/>
        </w:rPr>
        <w:t xml:space="preserve"> </w:t>
      </w:r>
      <w:r w:rsidR="00256E1C" w:rsidRPr="005B4BCF">
        <w:rPr>
          <w:rFonts w:cs="David" w:hint="eastAsia"/>
          <w:sz w:val="24"/>
          <w:szCs w:val="24"/>
          <w:rtl/>
        </w:rPr>
        <w:t>אחוזים</w:t>
      </w:r>
      <w:r w:rsidR="006D1CFA" w:rsidRPr="005B4BCF">
        <w:rPr>
          <w:rFonts w:cs="David"/>
          <w:sz w:val="24"/>
          <w:szCs w:val="24"/>
          <w:rtl/>
        </w:rPr>
        <w:t xml:space="preserve"> מ</w:t>
      </w:r>
      <w:r w:rsidR="006D1CFA" w:rsidRPr="005B4BCF">
        <w:rPr>
          <w:rFonts w:cs="David" w:hint="eastAsia"/>
          <w:sz w:val="24"/>
          <w:szCs w:val="24"/>
          <w:rtl/>
        </w:rPr>
        <w:t>יצוא</w:t>
      </w:r>
      <w:r w:rsidR="006D1CFA" w:rsidRPr="005B4BCF">
        <w:rPr>
          <w:rFonts w:cs="David"/>
          <w:sz w:val="24"/>
          <w:szCs w:val="24"/>
          <w:rtl/>
        </w:rPr>
        <w:t xml:space="preserve"> </w:t>
      </w:r>
      <w:r w:rsidR="006D1CFA" w:rsidRPr="005B4BCF">
        <w:rPr>
          <w:rFonts w:cs="David" w:hint="eastAsia"/>
          <w:sz w:val="24"/>
          <w:szCs w:val="24"/>
          <w:rtl/>
        </w:rPr>
        <w:t>הסחורות</w:t>
      </w:r>
      <w:r w:rsidR="006D1CFA" w:rsidRPr="005B4BCF">
        <w:rPr>
          <w:rFonts w:cs="David"/>
          <w:sz w:val="24"/>
          <w:szCs w:val="24"/>
          <w:rtl/>
        </w:rPr>
        <w:t xml:space="preserve"> </w:t>
      </w:r>
      <w:r w:rsidR="006D1CFA" w:rsidRPr="005B4BCF">
        <w:rPr>
          <w:rFonts w:cs="David" w:hint="eastAsia"/>
          <w:sz w:val="24"/>
          <w:szCs w:val="24"/>
          <w:rtl/>
        </w:rPr>
        <w:t>המבוטח</w:t>
      </w:r>
      <w:r w:rsidR="006D1CFA" w:rsidRPr="005B4BCF">
        <w:rPr>
          <w:rFonts w:cs="David"/>
          <w:sz w:val="24"/>
          <w:szCs w:val="24"/>
          <w:rtl/>
        </w:rPr>
        <w:t xml:space="preserve"> (</w:t>
      </w:r>
      <w:r w:rsidR="00833142" w:rsidRPr="005B4BCF">
        <w:rPr>
          <w:rFonts w:cs="David" w:hint="cs"/>
          <w:sz w:val="24"/>
          <w:szCs w:val="24"/>
          <w:rtl/>
        </w:rPr>
        <w:t xml:space="preserve">אשר </w:t>
      </w:r>
      <w:r w:rsidR="006D1CFA" w:rsidRPr="005B4BCF">
        <w:rPr>
          <w:rFonts w:cs="David" w:hint="eastAsia"/>
          <w:sz w:val="24"/>
          <w:szCs w:val="24"/>
          <w:rtl/>
        </w:rPr>
        <w:t>מגיע</w:t>
      </w:r>
      <w:r w:rsidR="006D1CFA" w:rsidRPr="005B4BCF">
        <w:rPr>
          <w:rFonts w:cs="David"/>
          <w:sz w:val="24"/>
          <w:szCs w:val="24"/>
          <w:rtl/>
        </w:rPr>
        <w:t xml:space="preserve"> ל-50 אחוזים </w:t>
      </w:r>
      <w:r w:rsidR="006D1CFA" w:rsidRPr="005B4BCF">
        <w:rPr>
          <w:rFonts w:cs="David" w:hint="eastAsia"/>
          <w:sz w:val="24"/>
          <w:szCs w:val="24"/>
          <w:rtl/>
        </w:rPr>
        <w:t>מסך</w:t>
      </w:r>
      <w:r w:rsidR="006D1CFA" w:rsidRPr="005B4BCF">
        <w:rPr>
          <w:rFonts w:cs="David"/>
          <w:sz w:val="24"/>
          <w:szCs w:val="24"/>
          <w:rtl/>
        </w:rPr>
        <w:t xml:space="preserve"> </w:t>
      </w:r>
      <w:r w:rsidR="006D1CFA" w:rsidRPr="005B4BCF">
        <w:rPr>
          <w:rFonts w:cs="David" w:hint="eastAsia"/>
          <w:sz w:val="24"/>
          <w:szCs w:val="24"/>
          <w:rtl/>
        </w:rPr>
        <w:t>היצוא</w:t>
      </w:r>
      <w:r w:rsidR="006D1CFA" w:rsidRPr="005B4BCF">
        <w:rPr>
          <w:rFonts w:cs="David"/>
          <w:sz w:val="24"/>
          <w:szCs w:val="24"/>
          <w:rtl/>
        </w:rPr>
        <w:t xml:space="preserve"> </w:t>
      </w:r>
      <w:r w:rsidR="006D1CFA" w:rsidRPr="005B4BCF">
        <w:rPr>
          <w:rFonts w:cs="David" w:hint="eastAsia"/>
          <w:sz w:val="24"/>
          <w:szCs w:val="24"/>
          <w:rtl/>
        </w:rPr>
        <w:t>הישראלי</w:t>
      </w:r>
      <w:r w:rsidR="006D1CFA" w:rsidRPr="005B4BCF">
        <w:rPr>
          <w:rFonts w:cs="David" w:hint="cs"/>
          <w:sz w:val="24"/>
          <w:szCs w:val="24"/>
          <w:rtl/>
        </w:rPr>
        <w:t>)</w:t>
      </w:r>
      <w:r w:rsidR="006E0BF4" w:rsidRPr="005B4BCF">
        <w:rPr>
          <w:rStyle w:val="a5"/>
          <w:rFonts w:cs="David"/>
          <w:sz w:val="24"/>
          <w:szCs w:val="24"/>
          <w:rtl/>
        </w:rPr>
        <w:footnoteReference w:id="4"/>
      </w:r>
      <w:r w:rsidR="00DC3E1C" w:rsidRPr="005B4BCF">
        <w:rPr>
          <w:rFonts w:cs="David" w:hint="cs"/>
          <w:sz w:val="24"/>
          <w:szCs w:val="24"/>
          <w:rtl/>
        </w:rPr>
        <w:t xml:space="preserve"> (איור 2). </w:t>
      </w:r>
      <w:r w:rsidR="00AE1B86" w:rsidRPr="005B4BCF">
        <w:rPr>
          <w:rFonts w:cs="David" w:hint="cs"/>
          <w:sz w:val="24"/>
          <w:szCs w:val="24"/>
          <w:rtl/>
        </w:rPr>
        <w:t xml:space="preserve">בעסקאות מקומיות </w:t>
      </w:r>
      <w:r w:rsidR="00BE5A00" w:rsidRPr="005B4BCF">
        <w:rPr>
          <w:rFonts w:cs="David" w:hint="cs"/>
          <w:sz w:val="24"/>
          <w:szCs w:val="24"/>
          <w:rtl/>
        </w:rPr>
        <w:t>"</w:t>
      </w:r>
      <w:r w:rsidR="00AE1B86" w:rsidRPr="005B4BCF">
        <w:rPr>
          <w:rFonts w:cs="David" w:hint="cs"/>
          <w:sz w:val="24"/>
          <w:szCs w:val="24"/>
          <w:rtl/>
        </w:rPr>
        <w:t>כלל ביטוח אשראי</w:t>
      </w:r>
      <w:r w:rsidR="00BE5A00" w:rsidRPr="005B4BCF">
        <w:rPr>
          <w:rFonts w:cs="David" w:hint="cs"/>
          <w:sz w:val="24"/>
          <w:szCs w:val="24"/>
          <w:rtl/>
        </w:rPr>
        <w:t>"</w:t>
      </w:r>
      <w:r w:rsidR="00AE1B86" w:rsidRPr="005B4BCF">
        <w:rPr>
          <w:rFonts w:cs="David" w:hint="cs"/>
          <w:sz w:val="24"/>
          <w:szCs w:val="24"/>
          <w:rtl/>
        </w:rPr>
        <w:t xml:space="preserve"> </w:t>
      </w:r>
      <w:r w:rsidR="00C86AB7" w:rsidRPr="005B4BCF">
        <w:rPr>
          <w:rFonts w:cs="David" w:hint="cs"/>
          <w:sz w:val="24"/>
          <w:szCs w:val="24"/>
          <w:rtl/>
        </w:rPr>
        <w:t xml:space="preserve">היא </w:t>
      </w:r>
      <w:r w:rsidR="006D1CFA" w:rsidRPr="005B4BCF">
        <w:rPr>
          <w:rFonts w:cs="David" w:hint="cs"/>
          <w:sz w:val="24"/>
          <w:szCs w:val="24"/>
          <w:rtl/>
        </w:rPr>
        <w:t xml:space="preserve">חברת הביטוח </w:t>
      </w:r>
      <w:r w:rsidR="00C86AB7" w:rsidRPr="005B4BCF">
        <w:rPr>
          <w:rFonts w:cs="David" w:hint="cs"/>
          <w:sz w:val="24"/>
          <w:szCs w:val="24"/>
          <w:rtl/>
        </w:rPr>
        <w:t>הגדולה ביותר</w:t>
      </w:r>
      <w:r w:rsidR="006D1CFA" w:rsidRPr="005B4BCF">
        <w:rPr>
          <w:rFonts w:cs="David" w:hint="cs"/>
          <w:sz w:val="24"/>
          <w:szCs w:val="24"/>
          <w:rtl/>
        </w:rPr>
        <w:t>,</w:t>
      </w:r>
      <w:r w:rsidR="00C86AB7" w:rsidRPr="005B4BCF">
        <w:rPr>
          <w:rFonts w:cs="David" w:hint="cs"/>
          <w:sz w:val="24"/>
          <w:szCs w:val="24"/>
          <w:rtl/>
        </w:rPr>
        <w:t xml:space="preserve"> ו</w:t>
      </w:r>
      <w:r w:rsidR="006D1CFA" w:rsidRPr="005B4BCF">
        <w:rPr>
          <w:rFonts w:cs="David" w:hint="cs"/>
          <w:sz w:val="24"/>
          <w:szCs w:val="24"/>
          <w:rtl/>
        </w:rPr>
        <w:t xml:space="preserve">היא </w:t>
      </w:r>
      <w:r w:rsidR="00C86AB7" w:rsidRPr="005B4BCF">
        <w:rPr>
          <w:rFonts w:cs="David" w:hint="cs"/>
          <w:sz w:val="24"/>
          <w:szCs w:val="24"/>
          <w:rtl/>
        </w:rPr>
        <w:t>מבטחת כ-45 אחוזים</w:t>
      </w:r>
      <w:r w:rsidR="0097685F" w:rsidRPr="005B4BCF">
        <w:rPr>
          <w:rFonts w:cs="David" w:hint="cs"/>
          <w:sz w:val="24"/>
          <w:szCs w:val="24"/>
          <w:rtl/>
        </w:rPr>
        <w:t xml:space="preserve"> מהשוק</w:t>
      </w:r>
      <w:r w:rsidR="0074409C" w:rsidRPr="005B4BCF">
        <w:rPr>
          <w:rFonts w:cs="David" w:hint="cs"/>
          <w:sz w:val="24"/>
          <w:szCs w:val="24"/>
          <w:rtl/>
        </w:rPr>
        <w:t xml:space="preserve"> (</w:t>
      </w:r>
      <w:r w:rsidR="0074409C" w:rsidRPr="005B4BCF">
        <w:rPr>
          <w:rFonts w:ascii="David" w:hAnsi="David" w:cs="David"/>
          <w:sz w:val="24"/>
          <w:szCs w:val="24"/>
          <w:rtl/>
        </w:rPr>
        <w:t>כ-7</w:t>
      </w:r>
      <w:r w:rsidR="005B4BCF" w:rsidRPr="005B4BCF">
        <w:rPr>
          <w:rFonts w:ascii="David" w:hAnsi="David" w:cs="David" w:hint="cs"/>
          <w:sz w:val="24"/>
          <w:szCs w:val="24"/>
          <w:rtl/>
        </w:rPr>
        <w:t>9</w:t>
      </w:r>
      <w:r w:rsidR="0074409C" w:rsidRPr="005B4BCF">
        <w:rPr>
          <w:rFonts w:ascii="David" w:hAnsi="David" w:cs="David"/>
          <w:sz w:val="24"/>
          <w:szCs w:val="24"/>
          <w:rtl/>
        </w:rPr>
        <w:t xml:space="preserve"> אחוזים מ</w:t>
      </w:r>
      <w:r w:rsidR="006D1CFA" w:rsidRPr="005B4BCF">
        <w:rPr>
          <w:rFonts w:ascii="David" w:hAnsi="David" w:cs="David" w:hint="eastAsia"/>
          <w:sz w:val="24"/>
          <w:szCs w:val="24"/>
          <w:rtl/>
        </w:rPr>
        <w:t>כלל</w:t>
      </w:r>
      <w:r w:rsidR="006D1CFA" w:rsidRPr="005B4BCF">
        <w:rPr>
          <w:rFonts w:ascii="David" w:hAnsi="David" w:cs="David" w:hint="cs"/>
          <w:sz w:val="24"/>
          <w:szCs w:val="24"/>
          <w:rtl/>
        </w:rPr>
        <w:t xml:space="preserve"> </w:t>
      </w:r>
      <w:r w:rsidR="0074409C" w:rsidRPr="005B4BCF">
        <w:rPr>
          <w:rFonts w:ascii="David" w:hAnsi="David" w:cs="David"/>
          <w:sz w:val="24"/>
          <w:szCs w:val="24"/>
          <w:rtl/>
        </w:rPr>
        <w:t>המבוטחים שלה</w:t>
      </w:r>
      <w:r w:rsidR="0074409C" w:rsidRPr="005B4BCF">
        <w:rPr>
          <w:rFonts w:ascii="David" w:hAnsi="David" w:cs="David" w:hint="cs"/>
          <w:sz w:val="24"/>
          <w:szCs w:val="24"/>
          <w:rtl/>
        </w:rPr>
        <w:t>)</w:t>
      </w:r>
      <w:r w:rsidR="00FE56F9" w:rsidRPr="005B4BCF">
        <w:rPr>
          <w:rFonts w:cs="David" w:hint="cs"/>
          <w:sz w:val="24"/>
          <w:szCs w:val="24"/>
          <w:rtl/>
        </w:rPr>
        <w:t xml:space="preserve">, </w:t>
      </w:r>
      <w:r w:rsidR="006D1CFA" w:rsidRPr="005B4BCF">
        <w:rPr>
          <w:rFonts w:cs="David" w:hint="cs"/>
          <w:sz w:val="24"/>
          <w:szCs w:val="24"/>
          <w:rtl/>
        </w:rPr>
        <w:t>"</w:t>
      </w:r>
      <w:proofErr w:type="spellStart"/>
      <w:r w:rsidR="00844A8E" w:rsidRPr="005B4BCF">
        <w:rPr>
          <w:rFonts w:cs="David" w:hint="cs"/>
          <w:sz w:val="24"/>
          <w:szCs w:val="24"/>
          <w:rtl/>
        </w:rPr>
        <w:t>בססח</w:t>
      </w:r>
      <w:proofErr w:type="spellEnd"/>
      <w:r w:rsidR="006D1CFA" w:rsidRPr="005B4BCF">
        <w:rPr>
          <w:rFonts w:cs="David" w:hint="cs"/>
          <w:sz w:val="24"/>
          <w:szCs w:val="24"/>
          <w:rtl/>
        </w:rPr>
        <w:t>"</w:t>
      </w:r>
      <w:r w:rsidR="00833142" w:rsidRPr="005B4BCF">
        <w:rPr>
          <w:rFonts w:cs="David" w:hint="cs"/>
          <w:sz w:val="24"/>
          <w:szCs w:val="24"/>
          <w:rtl/>
        </w:rPr>
        <w:t xml:space="preserve"> </w:t>
      </w:r>
      <w:r w:rsidR="00FE56F9" w:rsidRPr="005B4BCF">
        <w:rPr>
          <w:rFonts w:cs="David" w:hint="cs"/>
          <w:sz w:val="24"/>
          <w:szCs w:val="24"/>
          <w:rtl/>
        </w:rPr>
        <w:t>מחזיקה כ-35 אחוזים</w:t>
      </w:r>
      <w:r w:rsidR="006E1702" w:rsidRPr="005B4BCF">
        <w:rPr>
          <w:rStyle w:val="a5"/>
          <w:rFonts w:cs="David"/>
          <w:sz w:val="24"/>
          <w:szCs w:val="24"/>
          <w:rtl/>
        </w:rPr>
        <w:footnoteReference w:id="5"/>
      </w:r>
      <w:r w:rsidR="00614AF1" w:rsidRPr="005B4BCF">
        <w:rPr>
          <w:rFonts w:cs="David" w:hint="cs"/>
          <w:sz w:val="24"/>
          <w:szCs w:val="24"/>
          <w:rtl/>
        </w:rPr>
        <w:t xml:space="preserve">, </w:t>
      </w:r>
      <w:proofErr w:type="spellStart"/>
      <w:r w:rsidR="00FE56F9" w:rsidRPr="005B4BCF">
        <w:rPr>
          <w:rFonts w:cs="David" w:hint="cs"/>
          <w:sz w:val="24"/>
          <w:szCs w:val="24"/>
          <w:rtl/>
        </w:rPr>
        <w:t>ו</w:t>
      </w:r>
      <w:r w:rsidR="00BE5A00" w:rsidRPr="005B4BCF">
        <w:rPr>
          <w:rFonts w:cs="David" w:hint="cs"/>
          <w:sz w:val="24"/>
          <w:szCs w:val="24"/>
          <w:rtl/>
        </w:rPr>
        <w:t>"</w:t>
      </w:r>
      <w:r w:rsidR="00FE56F9" w:rsidRPr="005B4BCF">
        <w:rPr>
          <w:rFonts w:cs="David" w:hint="cs"/>
          <w:sz w:val="24"/>
          <w:szCs w:val="24"/>
          <w:rtl/>
        </w:rPr>
        <w:t>קופאס</w:t>
      </w:r>
      <w:proofErr w:type="spellEnd"/>
      <w:r w:rsidR="00FE56F9" w:rsidRPr="005B4BCF">
        <w:rPr>
          <w:rFonts w:cs="David" w:hint="cs"/>
          <w:sz w:val="24"/>
          <w:szCs w:val="24"/>
          <w:rtl/>
        </w:rPr>
        <w:t xml:space="preserve"> ישראל</w:t>
      </w:r>
      <w:r w:rsidR="00BE5A00" w:rsidRPr="005B4BCF">
        <w:rPr>
          <w:rFonts w:cs="David" w:hint="cs"/>
          <w:sz w:val="24"/>
          <w:szCs w:val="24"/>
          <w:rtl/>
        </w:rPr>
        <w:t>"</w:t>
      </w:r>
      <w:r w:rsidR="006E1702" w:rsidRPr="005B4BCF">
        <w:rPr>
          <w:rFonts w:cs="David" w:hint="cs"/>
          <w:sz w:val="24"/>
          <w:szCs w:val="24"/>
          <w:rtl/>
        </w:rPr>
        <w:t xml:space="preserve">, אשר נכנסה לשוק המקומי </w:t>
      </w:r>
      <w:r w:rsidR="006705F3" w:rsidRPr="005B4BCF">
        <w:rPr>
          <w:rFonts w:cs="David" w:hint="cs"/>
          <w:sz w:val="24"/>
          <w:szCs w:val="24"/>
          <w:rtl/>
        </w:rPr>
        <w:t>בשנת 2015</w:t>
      </w:r>
      <w:r w:rsidR="006E1702" w:rsidRPr="005B4BCF">
        <w:rPr>
          <w:rFonts w:cs="David" w:hint="cs"/>
          <w:sz w:val="24"/>
          <w:szCs w:val="24"/>
          <w:rtl/>
        </w:rPr>
        <w:t>,</w:t>
      </w:r>
      <w:r w:rsidR="00FE56F9" w:rsidRPr="005B4BCF">
        <w:rPr>
          <w:rFonts w:cs="David" w:hint="cs"/>
          <w:sz w:val="24"/>
          <w:szCs w:val="24"/>
          <w:rtl/>
        </w:rPr>
        <w:t xml:space="preserve"> מבטחת את השאר (כ-20 אחוזים).</w:t>
      </w:r>
      <w:r w:rsidR="00C86AB7">
        <w:rPr>
          <w:rFonts w:cs="David" w:hint="cs"/>
          <w:sz w:val="24"/>
          <w:szCs w:val="24"/>
          <w:rtl/>
        </w:rPr>
        <w:t xml:space="preserve"> </w:t>
      </w:r>
    </w:p>
    <w:p w:rsidR="00DC3E1C" w:rsidRDefault="00DC3E1C" w:rsidP="0036457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C3E1C" w:rsidRDefault="00DC3E1C" w:rsidP="0036457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C3E1C" w:rsidRDefault="00DC3E1C" w:rsidP="0036457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C3E1C" w:rsidRDefault="00DC3E1C" w:rsidP="0036457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C3E1C" w:rsidRDefault="00DC3E1C" w:rsidP="0036457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C3E1C" w:rsidRDefault="00DC3E1C" w:rsidP="0036457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C3E1C" w:rsidRDefault="00DC3E1C" w:rsidP="00364570">
      <w:pPr>
        <w:spacing w:line="36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4087"/>
        <w:gridCol w:w="4209"/>
      </w:tblGrid>
      <w:tr w:rsidR="00DE4EED" w:rsidTr="00DE4EED">
        <w:tc>
          <w:tcPr>
            <w:tcW w:w="4087" w:type="dxa"/>
          </w:tcPr>
          <w:p w:rsidR="00DC3E1C" w:rsidRDefault="00DE4EED" w:rsidP="000D5AC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C9A387F" wp14:editId="7376625C">
                  <wp:extent cx="2411730" cy="3616325"/>
                  <wp:effectExtent l="0" t="0" r="7620" b="3175"/>
                  <wp:docPr id="6" name="תרשים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209" w:type="dxa"/>
          </w:tcPr>
          <w:p w:rsidR="00DC3E1C" w:rsidRDefault="00DE4EED" w:rsidP="000D5AC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FA857F0" wp14:editId="1842570D">
                  <wp:extent cx="2535555" cy="3616325"/>
                  <wp:effectExtent l="0" t="0" r="0" b="3175"/>
                  <wp:docPr id="7" name="תרשים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2C25C7" w:rsidRDefault="002C25C7" w:rsidP="00DC3E1C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462326" w:rsidRDefault="00462326" w:rsidP="0034329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פעילותן של </w:t>
      </w:r>
      <w:r w:rsidR="00614AF1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חברות </w:t>
      </w:r>
      <w:r w:rsidR="00614AF1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ביטוח אשראי ב</w:t>
      </w:r>
      <w:r w:rsidR="00614AF1">
        <w:rPr>
          <w:rFonts w:cs="David" w:hint="cs"/>
          <w:sz w:val="24"/>
          <w:szCs w:val="24"/>
          <w:rtl/>
        </w:rPr>
        <w:t>מ</w:t>
      </w:r>
      <w:r>
        <w:rPr>
          <w:rFonts w:cs="David" w:hint="cs"/>
          <w:sz w:val="24"/>
          <w:szCs w:val="24"/>
          <w:rtl/>
        </w:rPr>
        <w:t>חצי</w:t>
      </w:r>
      <w:r w:rsidR="00614AF1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השנה האחרונה יכולה ל</w:t>
      </w:r>
      <w:r w:rsidR="00481BA6">
        <w:rPr>
          <w:rFonts w:cs="David" w:hint="cs"/>
          <w:sz w:val="24"/>
          <w:szCs w:val="24"/>
          <w:rtl/>
        </w:rPr>
        <w:t xml:space="preserve">תת אינדיקציה להשלכות הכלכליות של משבר הקורונה. </w:t>
      </w:r>
      <w:r w:rsidR="003F5EAA">
        <w:rPr>
          <w:rFonts w:cs="David" w:hint="cs"/>
          <w:sz w:val="24"/>
          <w:szCs w:val="24"/>
          <w:rtl/>
        </w:rPr>
        <w:t>מ</w:t>
      </w:r>
      <w:r w:rsidR="00D811EA">
        <w:rPr>
          <w:rFonts w:cs="David" w:hint="cs"/>
          <w:sz w:val="24"/>
          <w:szCs w:val="24"/>
          <w:rtl/>
        </w:rPr>
        <w:t xml:space="preserve">איור </w:t>
      </w:r>
      <w:r w:rsidR="00DC3E1C">
        <w:rPr>
          <w:rFonts w:cs="David" w:hint="cs"/>
          <w:sz w:val="24"/>
          <w:szCs w:val="24"/>
          <w:rtl/>
        </w:rPr>
        <w:t>3</w:t>
      </w:r>
      <w:r w:rsidR="00AC6D01">
        <w:rPr>
          <w:rFonts w:cs="David" w:hint="cs"/>
          <w:sz w:val="24"/>
          <w:szCs w:val="24"/>
          <w:rtl/>
        </w:rPr>
        <w:t xml:space="preserve"> </w:t>
      </w:r>
      <w:r w:rsidR="003F5EAA">
        <w:rPr>
          <w:rFonts w:cs="David" w:hint="cs"/>
          <w:sz w:val="24"/>
          <w:szCs w:val="24"/>
          <w:rtl/>
        </w:rPr>
        <w:t xml:space="preserve">עולה כי </w:t>
      </w:r>
      <w:r w:rsidR="007D6B68">
        <w:rPr>
          <w:rFonts w:cs="David" w:hint="cs"/>
          <w:sz w:val="24"/>
          <w:szCs w:val="24"/>
          <w:rtl/>
        </w:rPr>
        <w:t xml:space="preserve">במחצית הראשונה של שנת 2020 </w:t>
      </w:r>
      <w:r w:rsidR="00614AF1">
        <w:rPr>
          <w:rFonts w:cs="David" w:hint="cs"/>
          <w:sz w:val="24"/>
          <w:szCs w:val="24"/>
          <w:rtl/>
        </w:rPr>
        <w:t xml:space="preserve">נרשם </w:t>
      </w:r>
      <w:r w:rsidR="003F5EAA">
        <w:rPr>
          <w:rFonts w:cs="David" w:hint="cs"/>
          <w:sz w:val="24"/>
          <w:szCs w:val="24"/>
          <w:rtl/>
        </w:rPr>
        <w:t xml:space="preserve">זינוק </w:t>
      </w:r>
      <w:r w:rsidR="00500728">
        <w:rPr>
          <w:rFonts w:cs="David" w:hint="cs"/>
          <w:sz w:val="24"/>
          <w:szCs w:val="24"/>
          <w:rtl/>
        </w:rPr>
        <w:t xml:space="preserve">של למעלה משבעים אחוזים </w:t>
      </w:r>
      <w:r w:rsidR="00375E58">
        <w:rPr>
          <w:rFonts w:cs="David" w:hint="cs"/>
          <w:sz w:val="24"/>
          <w:szCs w:val="24"/>
          <w:rtl/>
        </w:rPr>
        <w:t>בסעיף</w:t>
      </w:r>
      <w:r w:rsidR="00D811EA">
        <w:rPr>
          <w:rFonts w:cs="David" w:hint="cs"/>
          <w:sz w:val="24"/>
          <w:szCs w:val="24"/>
          <w:rtl/>
        </w:rPr>
        <w:t xml:space="preserve"> </w:t>
      </w:r>
      <w:r w:rsidR="00D811EA" w:rsidRPr="00676886">
        <w:rPr>
          <w:rFonts w:cs="David"/>
          <w:sz w:val="24"/>
          <w:szCs w:val="24"/>
          <w:rtl/>
        </w:rPr>
        <w:t>"תשלומים ושינוי בהתחייבויות"</w:t>
      </w:r>
      <w:r w:rsidR="0007627B">
        <w:rPr>
          <w:rStyle w:val="a5"/>
          <w:rFonts w:cs="David"/>
          <w:sz w:val="24"/>
          <w:szCs w:val="24"/>
          <w:rtl/>
        </w:rPr>
        <w:footnoteReference w:id="6"/>
      </w:r>
      <w:r w:rsidR="00500728">
        <w:rPr>
          <w:rFonts w:cs="David" w:hint="cs"/>
          <w:sz w:val="24"/>
          <w:szCs w:val="24"/>
          <w:rtl/>
        </w:rPr>
        <w:t xml:space="preserve"> (מתוך סך ההתחייבויות בגין חוזי ביטוח</w:t>
      </w:r>
      <w:r w:rsidR="00F12AF7">
        <w:rPr>
          <w:rFonts w:cs="David" w:hint="cs"/>
          <w:sz w:val="24"/>
          <w:szCs w:val="24"/>
          <w:rtl/>
        </w:rPr>
        <w:t xml:space="preserve">) – התביעות </w:t>
      </w:r>
      <w:r w:rsidR="00D811EA">
        <w:rPr>
          <w:rFonts w:cs="David" w:hint="cs"/>
          <w:sz w:val="24"/>
          <w:szCs w:val="24"/>
          <w:rtl/>
        </w:rPr>
        <w:t xml:space="preserve">בפועל </w:t>
      </w:r>
      <w:r w:rsidR="004B66C5">
        <w:rPr>
          <w:rFonts w:cs="David" w:hint="cs"/>
          <w:sz w:val="24"/>
          <w:szCs w:val="24"/>
          <w:rtl/>
        </w:rPr>
        <w:t>פלוס</w:t>
      </w:r>
      <w:r w:rsidR="00D811EA">
        <w:rPr>
          <w:rFonts w:cs="David" w:hint="cs"/>
          <w:sz w:val="24"/>
          <w:szCs w:val="24"/>
          <w:rtl/>
        </w:rPr>
        <w:t xml:space="preserve"> ההפרשות של </w:t>
      </w:r>
      <w:r w:rsidR="00614AF1">
        <w:rPr>
          <w:rFonts w:cs="David" w:hint="cs"/>
          <w:sz w:val="24"/>
          <w:szCs w:val="24"/>
          <w:rtl/>
        </w:rPr>
        <w:t>ה</w:t>
      </w:r>
      <w:r w:rsidR="00D811EA">
        <w:rPr>
          <w:rFonts w:cs="David" w:hint="cs"/>
          <w:sz w:val="24"/>
          <w:szCs w:val="24"/>
          <w:rtl/>
        </w:rPr>
        <w:t xml:space="preserve">חברות </w:t>
      </w:r>
      <w:r w:rsidR="00614AF1">
        <w:rPr>
          <w:rFonts w:cs="David" w:hint="cs"/>
          <w:sz w:val="24"/>
          <w:szCs w:val="24"/>
          <w:rtl/>
        </w:rPr>
        <w:t>ל</w:t>
      </w:r>
      <w:r w:rsidR="00D811EA">
        <w:rPr>
          <w:rFonts w:cs="David" w:hint="cs"/>
          <w:sz w:val="24"/>
          <w:szCs w:val="24"/>
          <w:rtl/>
        </w:rPr>
        <w:t xml:space="preserve">ביטוח </w:t>
      </w:r>
      <w:r w:rsidR="00F12AF7">
        <w:rPr>
          <w:rFonts w:cs="David" w:hint="cs"/>
          <w:sz w:val="24"/>
          <w:szCs w:val="24"/>
          <w:rtl/>
        </w:rPr>
        <w:t>א</w:t>
      </w:r>
      <w:r w:rsidR="00D811EA">
        <w:rPr>
          <w:rFonts w:cs="David" w:hint="cs"/>
          <w:sz w:val="24"/>
          <w:szCs w:val="24"/>
          <w:rtl/>
        </w:rPr>
        <w:t>שראי לתביעות עתידיות</w:t>
      </w:r>
      <w:r w:rsidR="00F12AF7">
        <w:rPr>
          <w:rFonts w:cs="David" w:hint="cs"/>
          <w:sz w:val="24"/>
          <w:szCs w:val="24"/>
          <w:rtl/>
        </w:rPr>
        <w:t xml:space="preserve"> –  </w:t>
      </w:r>
      <w:r w:rsidR="00614AF1">
        <w:rPr>
          <w:rFonts w:cs="David" w:hint="cs"/>
          <w:sz w:val="24"/>
          <w:szCs w:val="24"/>
          <w:rtl/>
        </w:rPr>
        <w:t xml:space="preserve">ביחס </w:t>
      </w:r>
      <w:r w:rsidR="00375E58">
        <w:rPr>
          <w:rFonts w:cs="David" w:hint="cs"/>
          <w:sz w:val="24"/>
          <w:szCs w:val="24"/>
          <w:rtl/>
        </w:rPr>
        <w:t>למחצי</w:t>
      </w:r>
      <w:r w:rsidR="00614AF1">
        <w:rPr>
          <w:rFonts w:cs="David" w:hint="cs"/>
          <w:sz w:val="24"/>
          <w:szCs w:val="24"/>
          <w:rtl/>
        </w:rPr>
        <w:t>ו</w:t>
      </w:r>
      <w:r w:rsidR="00375E58">
        <w:rPr>
          <w:rFonts w:cs="David" w:hint="cs"/>
          <w:sz w:val="24"/>
          <w:szCs w:val="24"/>
          <w:rtl/>
        </w:rPr>
        <w:t xml:space="preserve">ת </w:t>
      </w:r>
      <w:r w:rsidR="00614AF1">
        <w:rPr>
          <w:rFonts w:cs="David" w:hint="cs"/>
          <w:sz w:val="24"/>
          <w:szCs w:val="24"/>
          <w:rtl/>
        </w:rPr>
        <w:t xml:space="preserve">הראשונות של חמש </w:t>
      </w:r>
      <w:r w:rsidR="00D91C14">
        <w:rPr>
          <w:rFonts w:cs="David" w:hint="cs"/>
          <w:sz w:val="24"/>
          <w:szCs w:val="24"/>
          <w:rtl/>
        </w:rPr>
        <w:t>השנים האחרונות.</w:t>
      </w:r>
      <w:r w:rsidR="003F5EAA">
        <w:rPr>
          <w:rFonts w:cs="David" w:hint="cs"/>
          <w:sz w:val="24"/>
          <w:szCs w:val="24"/>
          <w:rtl/>
        </w:rPr>
        <w:t xml:space="preserve"> </w:t>
      </w:r>
      <w:r w:rsidR="00723903">
        <w:rPr>
          <w:rFonts w:cs="David" w:hint="cs"/>
          <w:sz w:val="24"/>
          <w:szCs w:val="24"/>
          <w:rtl/>
        </w:rPr>
        <w:t xml:space="preserve">זינוק זה </w:t>
      </w:r>
      <w:r w:rsidR="00614AF1">
        <w:rPr>
          <w:rFonts w:cs="David" w:hint="cs"/>
          <w:sz w:val="24"/>
          <w:szCs w:val="24"/>
          <w:rtl/>
        </w:rPr>
        <w:t>מלמד כי ה</w:t>
      </w:r>
      <w:r w:rsidR="00723903">
        <w:rPr>
          <w:rFonts w:cs="David" w:hint="cs"/>
          <w:sz w:val="24"/>
          <w:szCs w:val="24"/>
          <w:rtl/>
        </w:rPr>
        <w:t xml:space="preserve">חברות </w:t>
      </w:r>
      <w:r w:rsidR="00614AF1">
        <w:rPr>
          <w:rFonts w:cs="David" w:hint="cs"/>
          <w:sz w:val="24"/>
          <w:szCs w:val="24"/>
          <w:rtl/>
        </w:rPr>
        <w:t>ל</w:t>
      </w:r>
      <w:r w:rsidR="00723903">
        <w:rPr>
          <w:rFonts w:cs="David" w:hint="cs"/>
          <w:sz w:val="24"/>
          <w:szCs w:val="24"/>
          <w:rtl/>
        </w:rPr>
        <w:t>ביטוח אשראי</w:t>
      </w:r>
      <w:r w:rsidR="00723903" w:rsidRPr="00723903">
        <w:rPr>
          <w:rFonts w:cs="David"/>
          <w:sz w:val="24"/>
          <w:szCs w:val="24"/>
          <w:rtl/>
        </w:rPr>
        <w:t xml:space="preserve"> </w:t>
      </w:r>
      <w:r w:rsidR="00614AF1">
        <w:rPr>
          <w:rFonts w:cs="David" w:hint="cs"/>
          <w:sz w:val="24"/>
          <w:szCs w:val="24"/>
          <w:rtl/>
        </w:rPr>
        <w:t xml:space="preserve">צופות </w:t>
      </w:r>
      <w:r w:rsidR="00614AF1" w:rsidRPr="00723903">
        <w:rPr>
          <w:rFonts w:cs="David"/>
          <w:sz w:val="24"/>
          <w:szCs w:val="24"/>
          <w:rtl/>
        </w:rPr>
        <w:t xml:space="preserve">גידול </w:t>
      </w:r>
      <w:r w:rsidR="00723903" w:rsidRPr="00723903">
        <w:rPr>
          <w:rFonts w:cs="David"/>
          <w:sz w:val="24"/>
          <w:szCs w:val="24"/>
          <w:rtl/>
        </w:rPr>
        <w:t xml:space="preserve">משמעותי </w:t>
      </w:r>
      <w:r w:rsidR="00614AF1">
        <w:rPr>
          <w:rFonts w:cs="David" w:hint="cs"/>
          <w:sz w:val="24"/>
          <w:szCs w:val="24"/>
          <w:rtl/>
        </w:rPr>
        <w:t xml:space="preserve">של </w:t>
      </w:r>
      <w:r w:rsidR="00614AF1" w:rsidRPr="00723903">
        <w:rPr>
          <w:rFonts w:cs="David"/>
          <w:sz w:val="24"/>
          <w:szCs w:val="24"/>
          <w:rtl/>
        </w:rPr>
        <w:t xml:space="preserve">תשלומי </w:t>
      </w:r>
      <w:r w:rsidR="00723903" w:rsidRPr="00723903">
        <w:rPr>
          <w:rFonts w:cs="David"/>
          <w:sz w:val="24"/>
          <w:szCs w:val="24"/>
          <w:rtl/>
        </w:rPr>
        <w:t xml:space="preserve">התביעות למבוטחים שלא יקבלו </w:t>
      </w:r>
      <w:r w:rsidR="00614AF1">
        <w:rPr>
          <w:rFonts w:cs="David" w:hint="cs"/>
          <w:sz w:val="24"/>
          <w:szCs w:val="24"/>
          <w:rtl/>
        </w:rPr>
        <w:t>את התשלומים</w:t>
      </w:r>
      <w:r w:rsidR="00614AF1" w:rsidRPr="00723903">
        <w:rPr>
          <w:rFonts w:cs="David"/>
          <w:sz w:val="24"/>
          <w:szCs w:val="24"/>
          <w:rtl/>
        </w:rPr>
        <w:t xml:space="preserve"> </w:t>
      </w:r>
      <w:r w:rsidR="00915441">
        <w:rPr>
          <w:rFonts w:cs="David" w:hint="cs"/>
          <w:sz w:val="24"/>
          <w:szCs w:val="24"/>
          <w:rtl/>
        </w:rPr>
        <w:t>מ</w:t>
      </w:r>
      <w:r w:rsidR="00723903" w:rsidRPr="00723903">
        <w:rPr>
          <w:rFonts w:cs="David"/>
          <w:sz w:val="24"/>
          <w:szCs w:val="24"/>
          <w:rtl/>
        </w:rPr>
        <w:t xml:space="preserve">לקוחות </w:t>
      </w:r>
      <w:r w:rsidR="00777999" w:rsidRPr="00723903">
        <w:rPr>
          <w:rFonts w:cs="David" w:hint="cs"/>
          <w:sz w:val="24"/>
          <w:szCs w:val="24"/>
          <w:rtl/>
        </w:rPr>
        <w:t>שנקלעו</w:t>
      </w:r>
      <w:r w:rsidR="00723903" w:rsidRPr="00723903">
        <w:rPr>
          <w:rFonts w:cs="David"/>
          <w:sz w:val="24"/>
          <w:szCs w:val="24"/>
          <w:rtl/>
        </w:rPr>
        <w:t xml:space="preserve"> לקשיים.</w:t>
      </w:r>
      <w:r w:rsidR="006777EC">
        <w:rPr>
          <w:rFonts w:cs="David" w:hint="cs"/>
          <w:sz w:val="24"/>
          <w:szCs w:val="24"/>
          <w:rtl/>
        </w:rPr>
        <w:t xml:space="preserve"> </w:t>
      </w:r>
      <w:r w:rsidR="00500728">
        <w:rPr>
          <w:rFonts w:cs="David" w:hint="cs"/>
          <w:sz w:val="24"/>
          <w:szCs w:val="24"/>
          <w:rtl/>
        </w:rPr>
        <w:t xml:space="preserve">עוד עולה מן </w:t>
      </w:r>
      <w:r w:rsidR="00614AF1">
        <w:rPr>
          <w:rFonts w:cs="David" w:hint="cs"/>
          <w:sz w:val="24"/>
          <w:szCs w:val="24"/>
          <w:rtl/>
        </w:rPr>
        <w:t xml:space="preserve">האיור </w:t>
      </w:r>
      <w:r w:rsidR="00500728">
        <w:rPr>
          <w:rFonts w:cs="David" w:hint="cs"/>
          <w:sz w:val="24"/>
          <w:szCs w:val="24"/>
          <w:rtl/>
        </w:rPr>
        <w:t xml:space="preserve">כי לאחר מספר שנים </w:t>
      </w:r>
      <w:r w:rsidR="00614AF1">
        <w:rPr>
          <w:rFonts w:cs="David" w:hint="cs"/>
          <w:sz w:val="24"/>
          <w:szCs w:val="24"/>
          <w:rtl/>
        </w:rPr>
        <w:t>של</w:t>
      </w:r>
      <w:r w:rsidR="00500728">
        <w:rPr>
          <w:rFonts w:cs="David" w:hint="cs"/>
          <w:sz w:val="24"/>
          <w:szCs w:val="24"/>
          <w:rtl/>
        </w:rPr>
        <w:t xml:space="preserve"> עלייה ביחס בין הפרמיות לתביעות </w:t>
      </w:r>
      <w:r w:rsidR="00614AF1">
        <w:rPr>
          <w:rFonts w:cs="David" w:hint="cs"/>
          <w:sz w:val="24"/>
          <w:szCs w:val="24"/>
          <w:rtl/>
        </w:rPr>
        <w:t xml:space="preserve">ירד יחס זה </w:t>
      </w:r>
      <w:r w:rsidR="00500728">
        <w:rPr>
          <w:rFonts w:cs="David" w:hint="cs"/>
          <w:sz w:val="24"/>
          <w:szCs w:val="24"/>
          <w:rtl/>
        </w:rPr>
        <w:t xml:space="preserve">במחצית הראשונה של 2020 ירידה משמעותית. </w:t>
      </w:r>
      <w:r w:rsidR="00A620D7">
        <w:rPr>
          <w:rFonts w:cs="David" w:hint="cs"/>
          <w:sz w:val="24"/>
          <w:szCs w:val="24"/>
          <w:rtl/>
        </w:rPr>
        <w:t xml:space="preserve">הערכות אלו מקבלות חיזוק גם מדיווחיהן של חברות </w:t>
      </w:r>
      <w:r w:rsidR="00614AF1">
        <w:rPr>
          <w:rFonts w:cs="David" w:hint="cs"/>
          <w:sz w:val="24"/>
          <w:szCs w:val="24"/>
          <w:rtl/>
        </w:rPr>
        <w:t>בין-לאומיות ל</w:t>
      </w:r>
      <w:r w:rsidR="00A620D7">
        <w:rPr>
          <w:rFonts w:cs="David" w:hint="cs"/>
          <w:sz w:val="24"/>
          <w:szCs w:val="24"/>
          <w:rtl/>
        </w:rPr>
        <w:t xml:space="preserve">ביטוח אשראי. </w:t>
      </w:r>
      <w:r w:rsidR="00A620D7">
        <w:rPr>
          <w:rFonts w:cs="David"/>
          <w:sz w:val="24"/>
          <w:szCs w:val="24"/>
        </w:rPr>
        <w:t>Euler Hermes</w:t>
      </w:r>
      <w:r w:rsidR="00A620D7">
        <w:rPr>
          <w:rFonts w:cs="David" w:hint="cs"/>
          <w:sz w:val="24"/>
          <w:szCs w:val="24"/>
          <w:rtl/>
        </w:rPr>
        <w:t>, אחת מ</w:t>
      </w:r>
      <w:r w:rsidR="00F12AF7">
        <w:rPr>
          <w:rFonts w:cs="David" w:hint="cs"/>
          <w:sz w:val="24"/>
          <w:szCs w:val="24"/>
          <w:rtl/>
        </w:rPr>
        <w:t>ה</w:t>
      </w:r>
      <w:r w:rsidR="00A620D7">
        <w:rPr>
          <w:rFonts w:cs="David" w:hint="cs"/>
          <w:sz w:val="24"/>
          <w:szCs w:val="24"/>
          <w:rtl/>
        </w:rPr>
        <w:t xml:space="preserve">חברות </w:t>
      </w:r>
      <w:r w:rsidR="00F12AF7">
        <w:rPr>
          <w:rFonts w:cs="David" w:hint="cs"/>
          <w:sz w:val="24"/>
          <w:szCs w:val="24"/>
          <w:rtl/>
        </w:rPr>
        <w:t xml:space="preserve">המובילות בעולם בתחום זה, </w:t>
      </w:r>
      <w:r w:rsidR="00A620D7">
        <w:rPr>
          <w:rFonts w:cs="David" w:hint="cs"/>
          <w:sz w:val="24"/>
          <w:szCs w:val="24"/>
          <w:rtl/>
        </w:rPr>
        <w:t xml:space="preserve">דיווחה בחודש יולי כי </w:t>
      </w:r>
      <w:r w:rsidR="007D6B68">
        <w:rPr>
          <w:rFonts w:cs="David" w:hint="cs"/>
          <w:sz w:val="24"/>
          <w:szCs w:val="24"/>
          <w:rtl/>
        </w:rPr>
        <w:t xml:space="preserve">ברבעון השני של שנת 2020 </w:t>
      </w:r>
      <w:r w:rsidR="00614AF1">
        <w:rPr>
          <w:rFonts w:cs="David" w:hint="cs"/>
          <w:sz w:val="24"/>
          <w:szCs w:val="24"/>
          <w:rtl/>
        </w:rPr>
        <w:t xml:space="preserve">גדל </w:t>
      </w:r>
      <w:r w:rsidR="003E6063">
        <w:rPr>
          <w:rFonts w:cs="David" w:hint="cs"/>
          <w:sz w:val="24"/>
          <w:szCs w:val="24"/>
          <w:rtl/>
        </w:rPr>
        <w:t xml:space="preserve">מספר החברות הגדולות </w:t>
      </w:r>
      <w:r w:rsidR="003E6063" w:rsidRPr="003E6063">
        <w:rPr>
          <w:rFonts w:cs="David"/>
          <w:sz w:val="24"/>
          <w:szCs w:val="24"/>
          <w:rtl/>
        </w:rPr>
        <w:t>(</w:t>
      </w:r>
      <w:r w:rsidR="00614AF1">
        <w:rPr>
          <w:rFonts w:cs="David" w:hint="cs"/>
          <w:sz w:val="24"/>
          <w:szCs w:val="24"/>
          <w:rtl/>
        </w:rPr>
        <w:t>חברות שה</w:t>
      </w:r>
      <w:r w:rsidR="00885E25">
        <w:rPr>
          <w:rFonts w:cs="David" w:hint="cs"/>
          <w:sz w:val="24"/>
          <w:szCs w:val="24"/>
          <w:rtl/>
        </w:rPr>
        <w:t xml:space="preserve">מחזור </w:t>
      </w:r>
      <w:r w:rsidR="00614AF1">
        <w:rPr>
          <w:rFonts w:cs="David" w:hint="cs"/>
          <w:sz w:val="24"/>
          <w:szCs w:val="24"/>
          <w:rtl/>
        </w:rPr>
        <w:t>ה</w:t>
      </w:r>
      <w:r w:rsidR="00885E25">
        <w:rPr>
          <w:rFonts w:cs="David" w:hint="cs"/>
          <w:sz w:val="24"/>
          <w:szCs w:val="24"/>
          <w:rtl/>
        </w:rPr>
        <w:t xml:space="preserve">כספי </w:t>
      </w:r>
      <w:r w:rsidR="00614AF1">
        <w:rPr>
          <w:rFonts w:cs="David" w:hint="cs"/>
          <w:sz w:val="24"/>
          <w:szCs w:val="24"/>
          <w:rtl/>
        </w:rPr>
        <w:t xml:space="preserve">שלהן </w:t>
      </w:r>
      <w:r w:rsidR="00885E25">
        <w:rPr>
          <w:rFonts w:cs="David" w:hint="cs"/>
          <w:sz w:val="24"/>
          <w:szCs w:val="24"/>
          <w:rtl/>
        </w:rPr>
        <w:t>50</w:t>
      </w:r>
      <w:r w:rsidR="003E6063">
        <w:rPr>
          <w:rFonts w:cs="David"/>
          <w:sz w:val="24"/>
          <w:szCs w:val="24"/>
          <w:rtl/>
        </w:rPr>
        <w:t xml:space="preserve"> מיליון </w:t>
      </w:r>
      <w:r w:rsidR="00614AF1">
        <w:rPr>
          <w:rFonts w:cs="David" w:hint="cs"/>
          <w:sz w:val="24"/>
          <w:szCs w:val="24"/>
          <w:rtl/>
        </w:rPr>
        <w:t>אירו ומעלה)</w:t>
      </w:r>
      <w:r w:rsidR="003E6063">
        <w:rPr>
          <w:rFonts w:cs="David" w:hint="cs"/>
          <w:sz w:val="24"/>
          <w:szCs w:val="24"/>
          <w:rtl/>
        </w:rPr>
        <w:t xml:space="preserve"> אשר</w:t>
      </w:r>
      <w:r w:rsidR="009C34FE">
        <w:rPr>
          <w:rFonts w:cs="David" w:hint="cs"/>
          <w:sz w:val="24"/>
          <w:szCs w:val="24"/>
          <w:rtl/>
        </w:rPr>
        <w:t xml:space="preserve"> </w:t>
      </w:r>
      <w:r w:rsidR="00614AF1">
        <w:rPr>
          <w:rFonts w:cs="David" w:hint="cs"/>
          <w:sz w:val="24"/>
          <w:szCs w:val="24"/>
          <w:rtl/>
        </w:rPr>
        <w:t xml:space="preserve">נקלעו </w:t>
      </w:r>
      <w:r w:rsidR="009C34FE">
        <w:rPr>
          <w:rFonts w:cs="David" w:hint="cs"/>
          <w:sz w:val="24"/>
          <w:szCs w:val="24"/>
          <w:rtl/>
        </w:rPr>
        <w:t>לחדלות פירעון</w:t>
      </w:r>
      <w:r w:rsidR="003E6063">
        <w:rPr>
          <w:rFonts w:cs="David" w:hint="cs"/>
          <w:sz w:val="24"/>
          <w:szCs w:val="24"/>
          <w:rtl/>
        </w:rPr>
        <w:t xml:space="preserve"> ב</w:t>
      </w:r>
      <w:r w:rsidR="00AE3131">
        <w:rPr>
          <w:rFonts w:cs="David" w:hint="cs"/>
          <w:sz w:val="24"/>
          <w:szCs w:val="24"/>
          <w:rtl/>
        </w:rPr>
        <w:t>-99 אחוזים ב</w:t>
      </w:r>
      <w:r w:rsidR="00F12AF7">
        <w:rPr>
          <w:rFonts w:cs="David" w:hint="cs"/>
          <w:sz w:val="24"/>
          <w:szCs w:val="24"/>
          <w:rtl/>
        </w:rPr>
        <w:t>יחס</w:t>
      </w:r>
      <w:r w:rsidR="00AE3131">
        <w:rPr>
          <w:rFonts w:cs="David" w:hint="cs"/>
          <w:sz w:val="24"/>
          <w:szCs w:val="24"/>
          <w:rtl/>
        </w:rPr>
        <w:t xml:space="preserve"> </w:t>
      </w:r>
      <w:r w:rsidR="003E6063">
        <w:rPr>
          <w:rFonts w:cs="David" w:hint="cs"/>
          <w:sz w:val="24"/>
          <w:szCs w:val="24"/>
          <w:rtl/>
        </w:rPr>
        <w:t xml:space="preserve">לרבעון השני </w:t>
      </w:r>
      <w:r w:rsidR="00AE3131">
        <w:rPr>
          <w:rFonts w:cs="David" w:hint="cs"/>
          <w:sz w:val="24"/>
          <w:szCs w:val="24"/>
          <w:rtl/>
        </w:rPr>
        <w:t>של 2019</w:t>
      </w:r>
      <w:r w:rsidR="0034329E">
        <w:rPr>
          <w:rFonts w:cs="David" w:hint="cs"/>
          <w:sz w:val="24"/>
          <w:szCs w:val="24"/>
          <w:rtl/>
        </w:rPr>
        <w:t xml:space="preserve"> (147 חברות בהשוואה ל-74 חברות). ב</w:t>
      </w:r>
      <w:r w:rsidR="003E6063">
        <w:rPr>
          <w:rFonts w:cs="David" w:hint="cs"/>
          <w:sz w:val="24"/>
          <w:szCs w:val="24"/>
          <w:rtl/>
        </w:rPr>
        <w:t xml:space="preserve">השוואה לרבעון הראשון של השנה </w:t>
      </w:r>
      <w:r w:rsidR="00AE3131">
        <w:rPr>
          <w:rFonts w:cs="David" w:hint="cs"/>
          <w:sz w:val="24"/>
          <w:szCs w:val="24"/>
          <w:rtl/>
        </w:rPr>
        <w:t xml:space="preserve">נרשם </w:t>
      </w:r>
      <w:r w:rsidR="003E6063">
        <w:rPr>
          <w:rFonts w:cs="David" w:hint="cs"/>
          <w:sz w:val="24"/>
          <w:szCs w:val="24"/>
          <w:rtl/>
        </w:rPr>
        <w:t xml:space="preserve">גידול של 91 אחוזים. </w:t>
      </w:r>
      <w:r w:rsidR="00BF6379">
        <w:rPr>
          <w:rFonts w:cs="David" w:hint="cs"/>
          <w:sz w:val="24"/>
          <w:szCs w:val="24"/>
          <w:rtl/>
        </w:rPr>
        <w:t>לפי דיווחה</w:t>
      </w:r>
      <w:r w:rsidR="00AE3131">
        <w:rPr>
          <w:rFonts w:cs="David" w:hint="cs"/>
          <w:sz w:val="24"/>
          <w:szCs w:val="24"/>
          <w:rtl/>
        </w:rPr>
        <w:t xml:space="preserve"> של </w:t>
      </w:r>
      <w:r w:rsidR="00AE3131">
        <w:rPr>
          <w:rFonts w:cs="David"/>
          <w:sz w:val="24"/>
          <w:szCs w:val="24"/>
        </w:rPr>
        <w:t>Euler Hermes</w:t>
      </w:r>
      <w:r w:rsidR="00A96C6A">
        <w:rPr>
          <w:rFonts w:cs="David" w:hint="cs"/>
          <w:sz w:val="24"/>
          <w:szCs w:val="24"/>
          <w:rtl/>
        </w:rPr>
        <w:t>,</w:t>
      </w:r>
      <w:r w:rsidR="00BF6379">
        <w:rPr>
          <w:rFonts w:cs="David" w:hint="cs"/>
          <w:sz w:val="24"/>
          <w:szCs w:val="24"/>
          <w:rtl/>
        </w:rPr>
        <w:t xml:space="preserve"> גם המחזור הכספי הממוצע של </w:t>
      </w:r>
      <w:r w:rsidR="00966548">
        <w:rPr>
          <w:rFonts w:cs="David" w:hint="cs"/>
          <w:sz w:val="24"/>
          <w:szCs w:val="24"/>
          <w:rtl/>
        </w:rPr>
        <w:t xml:space="preserve">החברות </w:t>
      </w:r>
      <w:r w:rsidR="00AE3131">
        <w:rPr>
          <w:rFonts w:cs="David" w:hint="cs"/>
          <w:sz w:val="24"/>
          <w:szCs w:val="24"/>
          <w:rtl/>
        </w:rPr>
        <w:t xml:space="preserve">שהפכו </w:t>
      </w:r>
      <w:r w:rsidR="00966548">
        <w:rPr>
          <w:rFonts w:cs="David" w:hint="cs"/>
          <w:sz w:val="24"/>
          <w:szCs w:val="24"/>
          <w:rtl/>
        </w:rPr>
        <w:t>לחדלו</w:t>
      </w:r>
      <w:r w:rsidR="00AE3131">
        <w:rPr>
          <w:rFonts w:cs="David" w:hint="cs"/>
          <w:sz w:val="24"/>
          <w:szCs w:val="24"/>
          <w:rtl/>
        </w:rPr>
        <w:t>ֹ</w:t>
      </w:r>
      <w:r w:rsidR="00966548">
        <w:rPr>
          <w:rFonts w:cs="David" w:hint="cs"/>
          <w:sz w:val="24"/>
          <w:szCs w:val="24"/>
          <w:rtl/>
        </w:rPr>
        <w:t xml:space="preserve">ת פירעון ברבעון השני של השנה עלה הן בהשוואה לרבעון השני </w:t>
      </w:r>
      <w:r w:rsidR="00AE3131">
        <w:rPr>
          <w:rFonts w:cs="David" w:hint="cs"/>
          <w:sz w:val="24"/>
          <w:szCs w:val="24"/>
          <w:rtl/>
        </w:rPr>
        <w:t xml:space="preserve">של </w:t>
      </w:r>
      <w:r w:rsidR="00F12AF7">
        <w:rPr>
          <w:rFonts w:cs="David" w:hint="cs"/>
          <w:sz w:val="24"/>
          <w:szCs w:val="24"/>
          <w:rtl/>
        </w:rPr>
        <w:t>א</w:t>
      </w:r>
      <w:r w:rsidR="00966548">
        <w:rPr>
          <w:rFonts w:cs="David" w:hint="cs"/>
          <w:sz w:val="24"/>
          <w:szCs w:val="24"/>
          <w:rtl/>
        </w:rPr>
        <w:t>שתקד והן בהשוואה לרבעון הראשון של השנה</w:t>
      </w:r>
      <w:r w:rsidR="00F12AF7">
        <w:rPr>
          <w:rFonts w:cs="David" w:hint="cs"/>
          <w:sz w:val="24"/>
          <w:szCs w:val="24"/>
          <w:rtl/>
        </w:rPr>
        <w:t xml:space="preserve"> הנוכחית </w:t>
      </w:r>
      <w:r w:rsidR="00966548">
        <w:rPr>
          <w:rFonts w:cs="David" w:hint="cs"/>
          <w:sz w:val="24"/>
          <w:szCs w:val="24"/>
          <w:rtl/>
        </w:rPr>
        <w:t xml:space="preserve"> </w:t>
      </w:r>
      <w:r w:rsidR="00966548">
        <w:rPr>
          <w:rFonts w:cs="David"/>
          <w:sz w:val="24"/>
          <w:szCs w:val="24"/>
          <w:rtl/>
        </w:rPr>
        <w:t>–</w:t>
      </w:r>
      <w:r w:rsidR="00966548">
        <w:rPr>
          <w:rFonts w:cs="David" w:hint="cs"/>
          <w:sz w:val="24"/>
          <w:szCs w:val="24"/>
          <w:rtl/>
        </w:rPr>
        <w:t xml:space="preserve"> ב-21 אחוזים וב-34 אחוזים</w:t>
      </w:r>
      <w:r w:rsidR="00AE3131">
        <w:rPr>
          <w:rFonts w:cs="David" w:hint="cs"/>
          <w:sz w:val="24"/>
          <w:szCs w:val="24"/>
          <w:rtl/>
        </w:rPr>
        <w:t>,</w:t>
      </w:r>
      <w:r w:rsidR="00966548">
        <w:rPr>
          <w:rFonts w:cs="David" w:hint="cs"/>
          <w:sz w:val="24"/>
          <w:szCs w:val="24"/>
          <w:rtl/>
        </w:rPr>
        <w:t xml:space="preserve"> בהתאמה. </w:t>
      </w:r>
      <w:r w:rsidR="00C83FAF">
        <w:rPr>
          <w:rFonts w:cs="David" w:hint="cs"/>
          <w:sz w:val="24"/>
          <w:szCs w:val="24"/>
          <w:rtl/>
        </w:rPr>
        <w:t xml:space="preserve">עוד עולה מאותו דיווח כי הענפים </w:t>
      </w:r>
      <w:r w:rsidR="00AE3131">
        <w:rPr>
          <w:rFonts w:cs="David" w:hint="cs"/>
          <w:sz w:val="24"/>
          <w:szCs w:val="24"/>
          <w:rtl/>
        </w:rPr>
        <w:t xml:space="preserve">שבהם העלייה של מספר פשיטות הרגל ברבעון השני הייתה </w:t>
      </w:r>
      <w:r w:rsidR="00AF1C1B">
        <w:rPr>
          <w:rFonts w:cs="David" w:hint="cs"/>
          <w:sz w:val="24"/>
          <w:szCs w:val="24"/>
          <w:rtl/>
        </w:rPr>
        <w:t xml:space="preserve">הגבוהה ביותר </w:t>
      </w:r>
      <w:r w:rsidR="00AE3131">
        <w:rPr>
          <w:rFonts w:cs="David" w:hint="cs"/>
          <w:sz w:val="24"/>
          <w:szCs w:val="24"/>
          <w:rtl/>
        </w:rPr>
        <w:t xml:space="preserve">הם </w:t>
      </w:r>
      <w:r w:rsidR="00C83FAF">
        <w:rPr>
          <w:rFonts w:cs="David" w:hint="cs"/>
          <w:sz w:val="24"/>
          <w:szCs w:val="24"/>
          <w:rtl/>
        </w:rPr>
        <w:t xml:space="preserve">הקמעונאות, השירותים, </w:t>
      </w:r>
      <w:r w:rsidR="004D4ACF">
        <w:rPr>
          <w:rFonts w:cs="David" w:hint="cs"/>
          <w:sz w:val="24"/>
          <w:szCs w:val="24"/>
          <w:rtl/>
        </w:rPr>
        <w:t>האנרגיה והרכב.</w:t>
      </w:r>
    </w:p>
    <w:p w:rsidR="00DC3E1C" w:rsidRDefault="00DC3E1C" w:rsidP="00DC3E1C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375E58" w:rsidRDefault="00DE4EED" w:rsidP="00375E58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DE4E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123E6D" wp14:editId="0AF1B7FD">
            <wp:extent cx="5184140" cy="2905125"/>
            <wp:effectExtent l="0" t="0" r="0" b="9525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6F1B" w:rsidRDefault="00486F1B" w:rsidP="00D636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B407E" w:rsidRDefault="00C4074E" w:rsidP="008F2A5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אחת מתוך שלוש </w:t>
      </w:r>
      <w:r w:rsidR="00F12AF7">
        <w:rPr>
          <w:rFonts w:ascii="David" w:hAnsi="David" w:cs="David" w:hint="cs"/>
          <w:sz w:val="24"/>
          <w:szCs w:val="24"/>
          <w:rtl/>
        </w:rPr>
        <w:t>ה</w:t>
      </w:r>
      <w:r w:rsidR="009831EA">
        <w:rPr>
          <w:rFonts w:ascii="David" w:hAnsi="David" w:cs="David" w:hint="cs"/>
          <w:sz w:val="24"/>
          <w:szCs w:val="24"/>
          <w:rtl/>
        </w:rPr>
        <w:t>חבר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9831EA">
        <w:rPr>
          <w:rFonts w:ascii="David" w:hAnsi="David" w:cs="David" w:hint="cs"/>
          <w:sz w:val="24"/>
          <w:szCs w:val="24"/>
          <w:rtl/>
        </w:rPr>
        <w:t xml:space="preserve">ת </w:t>
      </w:r>
      <w:r w:rsidR="00F12AF7">
        <w:rPr>
          <w:rFonts w:ascii="David" w:hAnsi="David" w:cs="David" w:hint="cs"/>
          <w:sz w:val="24"/>
          <w:szCs w:val="24"/>
          <w:rtl/>
        </w:rPr>
        <w:t>ל</w:t>
      </w:r>
      <w:r w:rsidR="009831EA">
        <w:rPr>
          <w:rFonts w:ascii="David" w:hAnsi="David" w:cs="David" w:hint="cs"/>
          <w:sz w:val="24"/>
          <w:szCs w:val="24"/>
          <w:rtl/>
        </w:rPr>
        <w:t>ביטוח אשראי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831EA">
        <w:rPr>
          <w:rFonts w:ascii="David" w:hAnsi="David" w:cs="David"/>
          <w:sz w:val="24"/>
          <w:szCs w:val="24"/>
          <w:rtl/>
        </w:rPr>
        <w:t>–</w:t>
      </w:r>
      <w:r w:rsidR="009831EA">
        <w:rPr>
          <w:rFonts w:ascii="David" w:hAnsi="David" w:cs="David" w:hint="cs"/>
          <w:sz w:val="24"/>
          <w:szCs w:val="24"/>
          <w:rtl/>
        </w:rPr>
        <w:t xml:space="preserve"> חברת </w:t>
      </w:r>
      <w:r w:rsidR="0025517C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844A8E">
        <w:rPr>
          <w:rFonts w:ascii="David" w:hAnsi="David" w:cs="David" w:hint="cs"/>
          <w:sz w:val="24"/>
          <w:szCs w:val="24"/>
          <w:rtl/>
        </w:rPr>
        <w:t>בססח</w:t>
      </w:r>
      <w:proofErr w:type="spellEnd"/>
      <w:r w:rsidR="0025517C">
        <w:rPr>
          <w:rFonts w:ascii="David" w:hAnsi="David" w:cs="David" w:hint="cs"/>
          <w:sz w:val="24"/>
          <w:szCs w:val="24"/>
          <w:rtl/>
        </w:rPr>
        <w:t>"</w:t>
      </w:r>
      <w:r w:rsidR="009831EA">
        <w:rPr>
          <w:rFonts w:ascii="David" w:hAnsi="David" w:cs="David" w:hint="cs"/>
          <w:sz w:val="24"/>
          <w:szCs w:val="24"/>
          <w:rtl/>
        </w:rPr>
        <w:t xml:space="preserve"> </w:t>
      </w:r>
      <w:r w:rsidR="009831EA">
        <w:rPr>
          <w:rFonts w:ascii="David" w:hAnsi="David" w:cs="David"/>
          <w:sz w:val="24"/>
          <w:szCs w:val="24"/>
          <w:rtl/>
        </w:rPr>
        <w:t>–</w:t>
      </w:r>
      <w:r w:rsidR="009831EA">
        <w:rPr>
          <w:rFonts w:ascii="David" w:hAnsi="David" w:cs="David" w:hint="cs"/>
          <w:sz w:val="24"/>
          <w:szCs w:val="24"/>
          <w:rtl/>
        </w:rPr>
        <w:t xml:space="preserve"> העבירה לנו </w:t>
      </w:r>
      <w:r w:rsidR="00004B98">
        <w:rPr>
          <w:rFonts w:ascii="David" w:hAnsi="David" w:cs="David" w:hint="cs"/>
          <w:sz w:val="24"/>
          <w:szCs w:val="24"/>
          <w:rtl/>
        </w:rPr>
        <w:t xml:space="preserve">נתונים </w:t>
      </w:r>
      <w:r w:rsidR="00F650E9">
        <w:rPr>
          <w:rFonts w:ascii="David" w:hAnsi="David" w:cs="David" w:hint="cs"/>
          <w:sz w:val="24"/>
          <w:szCs w:val="24"/>
          <w:rtl/>
        </w:rPr>
        <w:t xml:space="preserve">על הכיסויים </w:t>
      </w:r>
      <w:proofErr w:type="spellStart"/>
      <w:r w:rsidR="00004B98">
        <w:rPr>
          <w:rFonts w:ascii="David" w:hAnsi="David" w:cs="David" w:hint="cs"/>
          <w:sz w:val="24"/>
          <w:szCs w:val="24"/>
          <w:rtl/>
        </w:rPr>
        <w:t>הביטוחיים</w:t>
      </w:r>
      <w:proofErr w:type="spellEnd"/>
      <w:r w:rsidR="00004B98">
        <w:rPr>
          <w:rFonts w:ascii="David" w:hAnsi="David" w:cs="David" w:hint="cs"/>
          <w:sz w:val="24"/>
          <w:szCs w:val="24"/>
          <w:rtl/>
        </w:rPr>
        <w:t xml:space="preserve"> שהיא מספקת</w:t>
      </w:r>
      <w:r w:rsidR="009831EA">
        <w:rPr>
          <w:rFonts w:ascii="David" w:hAnsi="David" w:cs="David" w:hint="cs"/>
          <w:sz w:val="24"/>
          <w:szCs w:val="24"/>
          <w:rtl/>
        </w:rPr>
        <w:t xml:space="preserve">, </w:t>
      </w:r>
      <w:r w:rsidR="00503619">
        <w:rPr>
          <w:rFonts w:ascii="David" w:hAnsi="David" w:cs="David" w:hint="cs"/>
          <w:sz w:val="24"/>
          <w:szCs w:val="24"/>
          <w:rtl/>
        </w:rPr>
        <w:t xml:space="preserve">כך שהייתה בידינו </w:t>
      </w:r>
      <w:r w:rsidR="00777DCC">
        <w:rPr>
          <w:rFonts w:ascii="David" w:hAnsi="David" w:cs="David" w:hint="cs"/>
          <w:sz w:val="24"/>
          <w:szCs w:val="24"/>
          <w:rtl/>
        </w:rPr>
        <w:t xml:space="preserve">דרך נוספת </w:t>
      </w:r>
      <w:r w:rsidR="009831EA">
        <w:rPr>
          <w:rFonts w:ascii="David" w:hAnsi="David" w:cs="David" w:hint="cs"/>
          <w:sz w:val="24"/>
          <w:szCs w:val="24"/>
          <w:rtl/>
        </w:rPr>
        <w:t>ללמוד על השינוי בפעילות</w:t>
      </w:r>
      <w:r w:rsidR="00503619">
        <w:rPr>
          <w:rFonts w:ascii="David" w:hAnsi="David" w:cs="David" w:hint="cs"/>
          <w:sz w:val="24"/>
          <w:szCs w:val="24"/>
          <w:rtl/>
        </w:rPr>
        <w:t xml:space="preserve"> </w:t>
      </w:r>
      <w:r w:rsidR="00F12AF7">
        <w:rPr>
          <w:rFonts w:ascii="David" w:hAnsi="David" w:cs="David" w:hint="cs"/>
          <w:sz w:val="24"/>
          <w:szCs w:val="24"/>
          <w:rtl/>
        </w:rPr>
        <w:t>ה</w:t>
      </w:r>
      <w:r w:rsidR="00503619">
        <w:rPr>
          <w:rFonts w:ascii="David" w:hAnsi="David" w:cs="David" w:hint="cs"/>
          <w:sz w:val="24"/>
          <w:szCs w:val="24"/>
          <w:rtl/>
        </w:rPr>
        <w:t xml:space="preserve">חברות </w:t>
      </w:r>
      <w:r w:rsidR="00F12AF7">
        <w:rPr>
          <w:rFonts w:ascii="David" w:hAnsi="David" w:cs="David" w:hint="cs"/>
          <w:sz w:val="24"/>
          <w:szCs w:val="24"/>
          <w:rtl/>
        </w:rPr>
        <w:t xml:space="preserve">האלה </w:t>
      </w:r>
      <w:r w:rsidR="00503619">
        <w:rPr>
          <w:rFonts w:ascii="David" w:hAnsi="David" w:cs="David" w:hint="cs"/>
          <w:sz w:val="24"/>
          <w:szCs w:val="24"/>
          <w:rtl/>
        </w:rPr>
        <w:t xml:space="preserve">בתקופה זו. </w:t>
      </w:r>
      <w:r w:rsidR="0025517C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844A8E">
        <w:rPr>
          <w:rFonts w:ascii="David" w:hAnsi="David" w:cs="David" w:hint="cs"/>
          <w:sz w:val="24"/>
          <w:szCs w:val="24"/>
          <w:rtl/>
        </w:rPr>
        <w:t>בססח</w:t>
      </w:r>
      <w:proofErr w:type="spellEnd"/>
      <w:r w:rsidR="0025517C">
        <w:rPr>
          <w:rFonts w:ascii="David" w:hAnsi="David" w:cs="David" w:hint="cs"/>
          <w:sz w:val="24"/>
          <w:szCs w:val="24"/>
          <w:rtl/>
        </w:rPr>
        <w:t xml:space="preserve">" </w:t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מחייבת את מבוטחיה לדווח לה </w:t>
      </w:r>
      <w:r w:rsidR="00F650E9">
        <w:rPr>
          <w:rFonts w:ascii="David" w:hAnsi="David" w:cs="David" w:hint="cs"/>
          <w:sz w:val="24"/>
          <w:szCs w:val="24"/>
          <w:rtl/>
        </w:rPr>
        <w:t xml:space="preserve">כאשר </w:t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קונה מפגר בתשלום ב-30 יום. פיגור עשוי להסתיים </w:t>
      </w:r>
      <w:r w:rsidR="00F650E9">
        <w:rPr>
          <w:rFonts w:ascii="David" w:hAnsi="David" w:cs="David" w:hint="cs"/>
          <w:sz w:val="24"/>
          <w:szCs w:val="24"/>
          <w:rtl/>
        </w:rPr>
        <w:t>או בתשלום של</w:t>
      </w:r>
      <w:r w:rsidR="00F650E9" w:rsidRPr="00DB407E">
        <w:rPr>
          <w:rFonts w:ascii="David" w:hAnsi="David" w:cs="David" w:hint="cs"/>
          <w:sz w:val="24"/>
          <w:szCs w:val="24"/>
          <w:rtl/>
        </w:rPr>
        <w:t xml:space="preserve"> </w:t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הקונה </w:t>
      </w:r>
      <w:r w:rsidR="00F650E9">
        <w:rPr>
          <w:rFonts w:ascii="David" w:hAnsi="David" w:cs="David" w:hint="cs"/>
          <w:sz w:val="24"/>
          <w:szCs w:val="24"/>
          <w:rtl/>
        </w:rPr>
        <w:t>או</w:t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 </w:t>
      </w:r>
      <w:r w:rsidR="00F650E9" w:rsidRPr="00DB407E">
        <w:rPr>
          <w:rFonts w:ascii="David" w:hAnsi="David" w:cs="David" w:hint="cs"/>
          <w:sz w:val="24"/>
          <w:szCs w:val="24"/>
          <w:rtl/>
        </w:rPr>
        <w:t>ב</w:t>
      </w:r>
      <w:r w:rsidR="00F650E9">
        <w:rPr>
          <w:rFonts w:ascii="David" w:hAnsi="David" w:cs="David" w:hint="cs"/>
          <w:sz w:val="24"/>
          <w:szCs w:val="24"/>
          <w:rtl/>
        </w:rPr>
        <w:t>הגשת תביעה של</w:t>
      </w:r>
      <w:r w:rsidR="00F650E9" w:rsidRPr="00DB407E">
        <w:rPr>
          <w:rFonts w:ascii="David" w:hAnsi="David" w:cs="David" w:hint="cs"/>
          <w:sz w:val="24"/>
          <w:szCs w:val="24"/>
          <w:rtl/>
        </w:rPr>
        <w:t xml:space="preserve"> </w:t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המבוטח </w:t>
      </w:r>
      <w:proofErr w:type="spellStart"/>
      <w:r w:rsidR="00DB407E" w:rsidRPr="00DB407E">
        <w:rPr>
          <w:rFonts w:ascii="David" w:hAnsi="David" w:cs="David" w:hint="cs"/>
          <w:sz w:val="24"/>
          <w:szCs w:val="24"/>
          <w:rtl/>
        </w:rPr>
        <w:t>ל</w:t>
      </w:r>
      <w:r w:rsidR="0025517C">
        <w:rPr>
          <w:rFonts w:ascii="David" w:hAnsi="David" w:cs="David" w:hint="cs"/>
          <w:sz w:val="24"/>
          <w:szCs w:val="24"/>
          <w:rtl/>
        </w:rPr>
        <w:t>"</w:t>
      </w:r>
      <w:r w:rsidR="00844A8E">
        <w:rPr>
          <w:rFonts w:ascii="David" w:hAnsi="David" w:cs="David" w:hint="cs"/>
          <w:sz w:val="24"/>
          <w:szCs w:val="24"/>
          <w:rtl/>
        </w:rPr>
        <w:t>בססח</w:t>
      </w:r>
      <w:proofErr w:type="spellEnd"/>
      <w:r w:rsidR="0025517C">
        <w:rPr>
          <w:rFonts w:ascii="David" w:hAnsi="David" w:cs="David" w:hint="cs"/>
          <w:sz w:val="24"/>
          <w:szCs w:val="24"/>
          <w:rtl/>
        </w:rPr>
        <w:t>"</w:t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. </w:t>
      </w:r>
      <w:r w:rsidR="00DB407E">
        <w:rPr>
          <w:rFonts w:ascii="David" w:hAnsi="David" w:cs="David" w:hint="cs"/>
          <w:sz w:val="24"/>
          <w:szCs w:val="24"/>
        </w:rPr>
        <w:t>G</w:t>
      </w:r>
      <w:r w:rsidR="00DB407E">
        <w:rPr>
          <w:rFonts w:ascii="David" w:hAnsi="David" w:cs="David"/>
          <w:sz w:val="24"/>
          <w:szCs w:val="24"/>
        </w:rPr>
        <w:t>raham-</w:t>
      </w:r>
      <w:r w:rsidR="00F12AF7">
        <w:rPr>
          <w:rFonts w:ascii="David" w:hAnsi="David" w:cs="David"/>
          <w:sz w:val="24"/>
          <w:szCs w:val="24"/>
        </w:rPr>
        <w:t xml:space="preserve"> </w:t>
      </w:r>
      <w:r w:rsidR="00DB407E">
        <w:rPr>
          <w:rFonts w:ascii="David" w:hAnsi="David" w:cs="David"/>
          <w:sz w:val="24"/>
          <w:szCs w:val="24"/>
        </w:rPr>
        <w:t>Rozen and Michelson (2020)</w:t>
      </w:r>
      <w:r w:rsidR="00437E87">
        <w:rPr>
          <w:rStyle w:val="a5"/>
          <w:rFonts w:ascii="David" w:hAnsi="David" w:cs="David"/>
          <w:sz w:val="24"/>
          <w:szCs w:val="24"/>
        </w:rPr>
        <w:footnoteReference w:id="7"/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 </w:t>
      </w:r>
      <w:r w:rsidR="005C1BB2">
        <w:rPr>
          <w:rFonts w:ascii="David" w:hAnsi="David" w:cs="David" w:hint="cs"/>
          <w:sz w:val="24"/>
          <w:szCs w:val="24"/>
          <w:rtl/>
        </w:rPr>
        <w:t xml:space="preserve">מצאו </w:t>
      </w:r>
      <w:r w:rsidR="00DB407E" w:rsidRPr="00DB407E">
        <w:rPr>
          <w:rFonts w:ascii="David" w:hAnsi="David" w:cs="David" w:hint="cs"/>
          <w:sz w:val="24"/>
          <w:szCs w:val="24"/>
          <w:rtl/>
        </w:rPr>
        <w:t>התאמה בין התקופות שהצטברו בהן פיגורים רבים לבין אירועי משבר ידועים (מלחמת לבנון השנייה, המשבר של 2008, משבר החובות באירופה</w:t>
      </w:r>
      <w:r w:rsidR="005C1BB2">
        <w:rPr>
          <w:rFonts w:ascii="David" w:hAnsi="David" w:cs="David" w:hint="cs"/>
          <w:sz w:val="24"/>
          <w:szCs w:val="24"/>
          <w:rtl/>
        </w:rPr>
        <w:t xml:space="preserve"> וכו'</w:t>
      </w:r>
      <w:r w:rsidR="00DB407E" w:rsidRPr="00DB407E">
        <w:rPr>
          <w:rFonts w:ascii="David" w:hAnsi="David" w:cs="David" w:hint="cs"/>
          <w:sz w:val="24"/>
          <w:szCs w:val="24"/>
          <w:rtl/>
        </w:rPr>
        <w:t xml:space="preserve">). </w:t>
      </w:r>
      <w:r w:rsidR="005C1BB2">
        <w:rPr>
          <w:rFonts w:ascii="David" w:hAnsi="David" w:cs="David" w:hint="cs"/>
          <w:sz w:val="24"/>
          <w:szCs w:val="24"/>
          <w:rtl/>
        </w:rPr>
        <w:t xml:space="preserve">עוד עולה </w:t>
      </w:r>
      <w:r w:rsidR="00F650E9">
        <w:rPr>
          <w:rFonts w:ascii="David" w:hAnsi="David" w:cs="David" w:hint="cs"/>
          <w:sz w:val="24"/>
          <w:szCs w:val="24"/>
          <w:rtl/>
        </w:rPr>
        <w:t xml:space="preserve">ממחקרם </w:t>
      </w:r>
      <w:r w:rsidR="005C1BB2" w:rsidRPr="00357CE9">
        <w:rPr>
          <w:rFonts w:ascii="David" w:hAnsi="David" w:cs="David" w:hint="cs"/>
          <w:sz w:val="24"/>
          <w:szCs w:val="24"/>
          <w:rtl/>
        </w:rPr>
        <w:t>כי סדרת הפיגורים</w:t>
      </w:r>
      <w:r w:rsidR="004351E6">
        <w:rPr>
          <w:rFonts w:ascii="David" w:hAnsi="David" w:cs="David" w:hint="cs"/>
          <w:sz w:val="24"/>
          <w:szCs w:val="24"/>
          <w:rtl/>
        </w:rPr>
        <w:t xml:space="preserve"> מהווה אינדיקטור מ</w:t>
      </w:r>
      <w:r w:rsidR="00DE4EED">
        <w:rPr>
          <w:rFonts w:ascii="David" w:hAnsi="David" w:cs="David" w:hint="cs"/>
          <w:sz w:val="24"/>
          <w:szCs w:val="24"/>
          <w:rtl/>
        </w:rPr>
        <w:t>קדים</w:t>
      </w:r>
      <w:r w:rsidR="005C1BB2" w:rsidRPr="00357CE9">
        <w:rPr>
          <w:rFonts w:ascii="David" w:hAnsi="David" w:cs="David" w:hint="cs"/>
          <w:sz w:val="24"/>
          <w:szCs w:val="24"/>
          <w:rtl/>
        </w:rPr>
        <w:t xml:space="preserve"> </w:t>
      </w:r>
      <w:r w:rsidR="004351E6">
        <w:rPr>
          <w:rFonts w:ascii="David" w:hAnsi="David" w:cs="David" w:hint="cs"/>
          <w:sz w:val="24"/>
          <w:szCs w:val="24"/>
          <w:rtl/>
        </w:rPr>
        <w:t>ל</w:t>
      </w:r>
      <w:r w:rsidR="005C1BB2" w:rsidRPr="00357CE9">
        <w:rPr>
          <w:rFonts w:ascii="David" w:hAnsi="David" w:cs="David" w:hint="cs"/>
          <w:sz w:val="24"/>
          <w:szCs w:val="24"/>
          <w:rtl/>
        </w:rPr>
        <w:t xml:space="preserve">קשיי המימון של החברות </w:t>
      </w:r>
      <w:r w:rsidR="004351E6">
        <w:rPr>
          <w:rFonts w:ascii="David" w:hAnsi="David" w:cs="David" w:hint="cs"/>
          <w:sz w:val="24"/>
          <w:szCs w:val="24"/>
          <w:rtl/>
        </w:rPr>
        <w:t>ברבעון הבא</w:t>
      </w:r>
      <w:r w:rsidR="005C1BB2" w:rsidRPr="00357CE9">
        <w:rPr>
          <w:rFonts w:ascii="David" w:hAnsi="David" w:cs="David" w:hint="cs"/>
          <w:sz w:val="24"/>
          <w:szCs w:val="24"/>
          <w:rtl/>
        </w:rPr>
        <w:t xml:space="preserve"> </w:t>
      </w:r>
      <w:r w:rsidR="0025517C" w:rsidRPr="00357CE9">
        <w:rPr>
          <w:rFonts w:ascii="David" w:hAnsi="David" w:cs="David" w:hint="cs"/>
          <w:sz w:val="24"/>
          <w:szCs w:val="24"/>
          <w:rtl/>
        </w:rPr>
        <w:t>(</w:t>
      </w:r>
      <w:r w:rsidR="0025517C" w:rsidRPr="00357CE9">
        <w:rPr>
          <w:rFonts w:ascii="David" w:hAnsi="David" w:cs="David" w:hint="eastAsia"/>
          <w:sz w:val="24"/>
          <w:szCs w:val="24"/>
          <w:rtl/>
        </w:rPr>
        <w:t>מקדם</w:t>
      </w:r>
      <w:r w:rsidR="0025517C" w:rsidRPr="00357CE9">
        <w:rPr>
          <w:rFonts w:ascii="David" w:hAnsi="David" w:cs="David"/>
          <w:sz w:val="24"/>
          <w:szCs w:val="24"/>
          <w:rtl/>
        </w:rPr>
        <w:t xml:space="preserve"> </w:t>
      </w:r>
      <w:r w:rsidR="0025517C" w:rsidRPr="00357CE9">
        <w:rPr>
          <w:rFonts w:ascii="David" w:hAnsi="David" w:cs="David" w:hint="eastAsia"/>
          <w:sz w:val="24"/>
          <w:szCs w:val="24"/>
          <w:rtl/>
        </w:rPr>
        <w:t>המתאם</w:t>
      </w:r>
      <w:r w:rsidR="0025517C" w:rsidRPr="00357CE9">
        <w:rPr>
          <w:rFonts w:ascii="David" w:hAnsi="David" w:cs="David" w:hint="cs"/>
          <w:sz w:val="24"/>
          <w:szCs w:val="24"/>
          <w:rtl/>
        </w:rPr>
        <w:t xml:space="preserve"> </w:t>
      </w:r>
      <w:r w:rsidR="005C1BB2" w:rsidRPr="00357CE9">
        <w:rPr>
          <w:rFonts w:ascii="David" w:hAnsi="David" w:cs="David" w:hint="cs"/>
          <w:sz w:val="24"/>
          <w:szCs w:val="24"/>
          <w:rtl/>
        </w:rPr>
        <w:t>0.62</w:t>
      </w:r>
      <w:r w:rsidR="00611CC0" w:rsidRPr="00357CE9">
        <w:rPr>
          <w:rFonts w:ascii="David" w:hAnsi="David" w:cs="David" w:hint="cs"/>
          <w:sz w:val="24"/>
          <w:szCs w:val="24"/>
          <w:rtl/>
        </w:rPr>
        <w:t>), ו</w:t>
      </w:r>
      <w:r w:rsidR="004351E6">
        <w:rPr>
          <w:rFonts w:ascii="David" w:hAnsi="David" w:cs="David" w:hint="cs"/>
          <w:sz w:val="24"/>
          <w:szCs w:val="24"/>
          <w:rtl/>
        </w:rPr>
        <w:t>כן אינדיקטור מ</w:t>
      </w:r>
      <w:r w:rsidR="00DE4EED">
        <w:rPr>
          <w:rFonts w:ascii="David" w:hAnsi="David" w:cs="David" w:hint="cs"/>
          <w:sz w:val="24"/>
          <w:szCs w:val="24"/>
          <w:rtl/>
        </w:rPr>
        <w:t>קדים</w:t>
      </w:r>
      <w:r w:rsidR="00611CC0" w:rsidRPr="00357CE9">
        <w:rPr>
          <w:rFonts w:ascii="David" w:hAnsi="David" w:cs="David" w:hint="cs"/>
          <w:sz w:val="24"/>
          <w:szCs w:val="24"/>
          <w:rtl/>
        </w:rPr>
        <w:t xml:space="preserve"> </w:t>
      </w:r>
      <w:r w:rsidR="00611CC0" w:rsidRPr="00357CE9">
        <w:rPr>
          <w:rFonts w:ascii="David" w:hAnsi="David" w:cs="David" w:hint="eastAsia"/>
          <w:sz w:val="24"/>
          <w:szCs w:val="24"/>
          <w:rtl/>
        </w:rPr>
        <w:t>ל</w:t>
      </w:r>
      <w:r w:rsidR="00F650E9" w:rsidRPr="00357CE9">
        <w:rPr>
          <w:rFonts w:ascii="David" w:hAnsi="David" w:cs="David" w:hint="cs"/>
          <w:sz w:val="24"/>
          <w:szCs w:val="24"/>
          <w:rtl/>
        </w:rPr>
        <w:t>מצב המשק</w:t>
      </w:r>
      <w:r w:rsidR="004351E6">
        <w:rPr>
          <w:rFonts w:ascii="David" w:hAnsi="David" w:cs="David" w:hint="cs"/>
          <w:sz w:val="24"/>
          <w:szCs w:val="24"/>
          <w:rtl/>
        </w:rPr>
        <w:t xml:space="preserve"> שני רבעונים קדימה</w:t>
      </w:r>
      <w:r w:rsidR="0025517C" w:rsidRPr="00357CE9">
        <w:rPr>
          <w:rFonts w:ascii="David" w:hAnsi="David" w:cs="David" w:hint="cs"/>
          <w:sz w:val="24"/>
          <w:szCs w:val="24"/>
          <w:rtl/>
        </w:rPr>
        <w:t>,</w:t>
      </w:r>
      <w:r w:rsidR="00F650E9" w:rsidRPr="00357CE9">
        <w:rPr>
          <w:rFonts w:ascii="David" w:hAnsi="David" w:cs="David" w:hint="cs"/>
          <w:sz w:val="24"/>
          <w:szCs w:val="24"/>
          <w:rtl/>
        </w:rPr>
        <w:t xml:space="preserve"> לפי </w:t>
      </w:r>
      <w:r w:rsidR="0025517C" w:rsidRPr="00357CE9">
        <w:rPr>
          <w:rFonts w:ascii="David" w:hAnsi="David" w:cs="David" w:hint="cs"/>
          <w:sz w:val="24"/>
          <w:szCs w:val="24"/>
          <w:rtl/>
        </w:rPr>
        <w:t>ה</w:t>
      </w:r>
      <w:r w:rsidR="005C1BB2" w:rsidRPr="00357CE9">
        <w:rPr>
          <w:rFonts w:ascii="David" w:hAnsi="David" w:cs="David" w:hint="cs"/>
          <w:sz w:val="24"/>
          <w:szCs w:val="24"/>
          <w:rtl/>
        </w:rPr>
        <w:t>מדד המשולב לבחינת מצבו</w:t>
      </w:r>
      <w:r w:rsidR="0025517C" w:rsidRPr="00357CE9" w:rsidDel="0025517C">
        <w:rPr>
          <w:rFonts w:ascii="David" w:hAnsi="David" w:cs="David" w:hint="cs"/>
          <w:sz w:val="24"/>
          <w:szCs w:val="24"/>
          <w:rtl/>
        </w:rPr>
        <w:t xml:space="preserve"> </w:t>
      </w:r>
      <w:r w:rsidR="00611CC0" w:rsidRPr="00357CE9">
        <w:rPr>
          <w:rFonts w:ascii="David" w:hAnsi="David" w:cs="David" w:hint="cs"/>
          <w:sz w:val="24"/>
          <w:szCs w:val="24"/>
          <w:rtl/>
        </w:rPr>
        <w:t>(0</w:t>
      </w:r>
      <w:r w:rsidR="00611CC0" w:rsidRPr="00357CE9">
        <w:rPr>
          <w:rFonts w:ascii="David" w:hAnsi="David" w:cs="David"/>
          <w:sz w:val="24"/>
          <w:szCs w:val="24"/>
          <w:rtl/>
        </w:rPr>
        <w:t>.5-</w:t>
      </w:r>
      <w:r w:rsidR="00611CC0" w:rsidRPr="00357CE9">
        <w:rPr>
          <w:rFonts w:ascii="David" w:hAnsi="David" w:cs="David" w:hint="cs"/>
          <w:sz w:val="24"/>
          <w:szCs w:val="24"/>
          <w:rtl/>
        </w:rPr>
        <w:t>).</w:t>
      </w:r>
      <w:r w:rsidR="00364570" w:rsidRPr="00357CE9">
        <w:rPr>
          <w:rFonts w:ascii="David" w:hAnsi="David" w:cs="David" w:hint="cs"/>
          <w:sz w:val="24"/>
          <w:szCs w:val="24"/>
          <w:rtl/>
        </w:rPr>
        <w:t xml:space="preserve"> איור </w:t>
      </w:r>
      <w:r w:rsidR="00DC3E1C" w:rsidRPr="00357CE9">
        <w:rPr>
          <w:rFonts w:ascii="David" w:hAnsi="David" w:cs="David" w:hint="cs"/>
          <w:sz w:val="24"/>
          <w:szCs w:val="24"/>
          <w:rtl/>
        </w:rPr>
        <w:t>4</w:t>
      </w:r>
      <w:r w:rsidR="00DB407E" w:rsidRPr="00357CE9">
        <w:rPr>
          <w:rFonts w:ascii="David" w:hAnsi="David" w:cs="David" w:hint="cs"/>
          <w:sz w:val="24"/>
          <w:szCs w:val="24"/>
          <w:rtl/>
        </w:rPr>
        <w:t xml:space="preserve"> מציג את שיעור הפיגורים מתוך מספר הביטוחים הפעילים </w:t>
      </w:r>
      <w:r w:rsidR="000633BF" w:rsidRPr="00357CE9">
        <w:rPr>
          <w:rFonts w:ascii="David" w:hAnsi="David" w:cs="David" w:hint="cs"/>
          <w:sz w:val="24"/>
          <w:szCs w:val="24"/>
          <w:rtl/>
        </w:rPr>
        <w:t>בשוק המקומי (</w:t>
      </w:r>
      <w:r w:rsidR="00DB407E" w:rsidRPr="00357CE9">
        <w:rPr>
          <w:rFonts w:ascii="David" w:hAnsi="David" w:cs="David" w:hint="cs"/>
          <w:sz w:val="24"/>
          <w:szCs w:val="24"/>
          <w:rtl/>
        </w:rPr>
        <w:t>בחודש נתון</w:t>
      </w:r>
      <w:r w:rsidR="000633BF" w:rsidRPr="00357CE9">
        <w:rPr>
          <w:rFonts w:ascii="David" w:hAnsi="David" w:cs="David" w:hint="cs"/>
          <w:sz w:val="24"/>
          <w:szCs w:val="24"/>
          <w:rtl/>
        </w:rPr>
        <w:t>)</w:t>
      </w:r>
      <w:r w:rsidR="00DB407E" w:rsidRPr="00357CE9">
        <w:rPr>
          <w:rFonts w:ascii="David" w:hAnsi="David" w:cs="David" w:hint="cs"/>
          <w:sz w:val="24"/>
          <w:szCs w:val="24"/>
          <w:rtl/>
        </w:rPr>
        <w:t xml:space="preserve"> </w:t>
      </w:r>
      <w:r w:rsidR="00364570" w:rsidRPr="00357CE9">
        <w:rPr>
          <w:rFonts w:ascii="David" w:hAnsi="David" w:cs="David" w:hint="cs"/>
          <w:sz w:val="24"/>
          <w:szCs w:val="24"/>
          <w:rtl/>
        </w:rPr>
        <w:t xml:space="preserve">מתחילת </w:t>
      </w:r>
      <w:r w:rsidR="000633BF" w:rsidRPr="00357CE9">
        <w:rPr>
          <w:rFonts w:ascii="David" w:hAnsi="David" w:cs="David" w:hint="cs"/>
          <w:sz w:val="24"/>
          <w:szCs w:val="24"/>
          <w:rtl/>
        </w:rPr>
        <w:t>2015.</w:t>
      </w:r>
      <w:r w:rsidR="00DB407E" w:rsidRPr="00357CE9">
        <w:rPr>
          <w:rFonts w:ascii="David" w:hAnsi="David" w:cs="David" w:hint="cs"/>
          <w:sz w:val="24"/>
          <w:szCs w:val="24"/>
          <w:rtl/>
        </w:rPr>
        <w:t xml:space="preserve"> </w:t>
      </w:r>
      <w:r w:rsidR="000633BF" w:rsidRPr="00357CE9">
        <w:rPr>
          <w:rFonts w:ascii="David" w:hAnsi="David" w:cs="David" w:hint="cs"/>
          <w:sz w:val="24"/>
          <w:szCs w:val="24"/>
          <w:rtl/>
        </w:rPr>
        <w:t>ניתן לראות שבחודשים מרץ</w:t>
      </w:r>
      <w:r w:rsidR="00F650E9" w:rsidRPr="00357CE9">
        <w:rPr>
          <w:rFonts w:ascii="David" w:hAnsi="David" w:cs="David" w:hint="cs"/>
          <w:sz w:val="24"/>
          <w:szCs w:val="24"/>
          <w:rtl/>
        </w:rPr>
        <w:t xml:space="preserve"> עד </w:t>
      </w:r>
      <w:r w:rsidR="000633BF" w:rsidRPr="00357CE9">
        <w:rPr>
          <w:rFonts w:ascii="David" w:hAnsi="David" w:cs="David" w:hint="cs"/>
          <w:sz w:val="24"/>
          <w:szCs w:val="24"/>
          <w:rtl/>
        </w:rPr>
        <w:t xml:space="preserve">יוני </w:t>
      </w:r>
      <w:r w:rsidR="00F650E9" w:rsidRPr="00357CE9">
        <w:rPr>
          <w:rFonts w:ascii="David" w:hAnsi="David" w:cs="David" w:hint="cs"/>
          <w:sz w:val="24"/>
          <w:szCs w:val="24"/>
          <w:rtl/>
        </w:rPr>
        <w:t xml:space="preserve">עלה </w:t>
      </w:r>
      <w:r w:rsidR="000633BF" w:rsidRPr="00357CE9">
        <w:rPr>
          <w:rFonts w:ascii="David" w:hAnsi="David" w:cs="David" w:hint="cs"/>
          <w:sz w:val="24"/>
          <w:szCs w:val="24"/>
          <w:rtl/>
        </w:rPr>
        <w:t xml:space="preserve">משמעותית מספר הפיגורים שדווחו, ואילו בחודשים האחרונים לא </w:t>
      </w:r>
      <w:r w:rsidR="00930B1F" w:rsidRPr="00357CE9">
        <w:rPr>
          <w:rFonts w:ascii="David" w:hAnsi="David" w:cs="David" w:hint="cs"/>
          <w:sz w:val="24"/>
          <w:szCs w:val="24"/>
          <w:rtl/>
        </w:rPr>
        <w:t xml:space="preserve">נרשמה תוספת משמעותית </w:t>
      </w:r>
      <w:r w:rsidR="00786CD8" w:rsidRPr="00357CE9">
        <w:rPr>
          <w:rFonts w:ascii="David" w:hAnsi="David" w:cs="David" w:hint="cs"/>
          <w:sz w:val="24"/>
          <w:szCs w:val="24"/>
          <w:rtl/>
        </w:rPr>
        <w:t>לעסקאות-</w:t>
      </w:r>
      <w:r w:rsidR="00930B1F" w:rsidRPr="00357CE9">
        <w:rPr>
          <w:rFonts w:ascii="David" w:hAnsi="David" w:cs="David" w:hint="cs"/>
          <w:sz w:val="24"/>
          <w:szCs w:val="24"/>
          <w:rtl/>
        </w:rPr>
        <w:t>בפיגור כתוצאה מהסגר השני.</w:t>
      </w:r>
      <w:r w:rsidR="000633BF" w:rsidRPr="00357CE9">
        <w:rPr>
          <w:rFonts w:ascii="David" w:hAnsi="David" w:cs="David" w:hint="cs"/>
          <w:sz w:val="24"/>
          <w:szCs w:val="24"/>
          <w:rtl/>
        </w:rPr>
        <w:t xml:space="preserve"> עם זאת </w:t>
      </w:r>
      <w:r w:rsidR="00F12AF7" w:rsidRPr="00357CE9">
        <w:rPr>
          <w:rFonts w:ascii="David" w:hAnsi="David" w:cs="David" w:hint="cs"/>
          <w:sz w:val="24"/>
          <w:szCs w:val="24"/>
          <w:rtl/>
        </w:rPr>
        <w:t xml:space="preserve">נדגיש </w:t>
      </w:r>
      <w:r w:rsidR="000633BF" w:rsidRPr="00357CE9">
        <w:rPr>
          <w:rFonts w:ascii="David" w:hAnsi="David" w:cs="David" w:hint="cs"/>
          <w:sz w:val="24"/>
          <w:szCs w:val="24"/>
          <w:rtl/>
        </w:rPr>
        <w:t xml:space="preserve">כי נכון לאוקטובר 2020 </w:t>
      </w:r>
      <w:r w:rsidR="00930B1F" w:rsidRPr="00357CE9">
        <w:rPr>
          <w:rFonts w:ascii="David" w:hAnsi="David" w:cs="David" w:hint="cs"/>
          <w:sz w:val="24"/>
          <w:szCs w:val="24"/>
          <w:rtl/>
        </w:rPr>
        <w:t>רק כ-30 אחוזים מן העסקאות שדווחו כפיגורים מחודש מרץ הסתיימו בתשלום של הלקוחות. במילים אחרות</w:t>
      </w:r>
      <w:r w:rsidR="00786CD8" w:rsidRPr="00357CE9">
        <w:rPr>
          <w:rFonts w:ascii="David" w:hAnsi="David" w:cs="David" w:hint="cs"/>
          <w:sz w:val="24"/>
          <w:szCs w:val="24"/>
          <w:rtl/>
        </w:rPr>
        <w:t xml:space="preserve">: </w:t>
      </w:r>
      <w:r w:rsidR="00930B1F" w:rsidRPr="00357CE9">
        <w:rPr>
          <w:rFonts w:ascii="David" w:hAnsi="David" w:cs="David" w:hint="cs"/>
          <w:sz w:val="24"/>
          <w:szCs w:val="24"/>
          <w:rtl/>
        </w:rPr>
        <w:t>70 אחוזים מאותן עסקאות שהוגדרו כעסקאות</w:t>
      </w:r>
      <w:r w:rsidR="00786CD8" w:rsidRPr="00357CE9">
        <w:rPr>
          <w:rFonts w:ascii="David" w:hAnsi="David" w:cs="David" w:hint="cs"/>
          <w:sz w:val="24"/>
          <w:szCs w:val="24"/>
          <w:rtl/>
        </w:rPr>
        <w:t xml:space="preserve">-בפיגור </w:t>
      </w:r>
      <w:r w:rsidR="00930B1F" w:rsidRPr="00357CE9">
        <w:rPr>
          <w:rFonts w:ascii="David" w:hAnsi="David" w:cs="David" w:hint="cs"/>
          <w:sz w:val="24"/>
          <w:szCs w:val="24"/>
          <w:rtl/>
        </w:rPr>
        <w:t xml:space="preserve">מחודש מרץ עדיין מוגדרות </w:t>
      </w:r>
      <w:r w:rsidR="00F12AF7" w:rsidRPr="00357CE9">
        <w:rPr>
          <w:rFonts w:ascii="David" w:hAnsi="David" w:cs="David" w:hint="cs"/>
          <w:sz w:val="24"/>
          <w:szCs w:val="24"/>
          <w:rtl/>
        </w:rPr>
        <w:t>כ</w:t>
      </w:r>
      <w:r w:rsidRPr="00357CE9">
        <w:rPr>
          <w:rFonts w:ascii="David" w:hAnsi="David" w:cs="David" w:hint="cs"/>
          <w:sz w:val="24"/>
          <w:szCs w:val="24"/>
          <w:rtl/>
        </w:rPr>
        <w:t>כאלה גם בסוף אוקטובר</w:t>
      </w:r>
      <w:r w:rsidR="00930B1F" w:rsidRPr="00357CE9">
        <w:rPr>
          <w:rFonts w:ascii="David" w:hAnsi="David" w:cs="David" w:hint="cs"/>
          <w:sz w:val="24"/>
          <w:szCs w:val="24"/>
          <w:rtl/>
        </w:rPr>
        <w:t xml:space="preserve">. </w:t>
      </w:r>
      <w:r w:rsidR="00FD2F14" w:rsidRPr="00357CE9">
        <w:rPr>
          <w:rFonts w:ascii="David" w:hAnsi="David" w:cs="David" w:hint="cs"/>
          <w:sz w:val="24"/>
          <w:szCs w:val="24"/>
          <w:rtl/>
        </w:rPr>
        <w:t xml:space="preserve">עוד ניתן ללמוד כי אחוז העסקאות </w:t>
      </w:r>
      <w:r w:rsidR="00FD2F14" w:rsidRPr="00357CE9">
        <w:rPr>
          <w:rFonts w:ascii="David" w:hAnsi="David" w:cs="David" w:hint="eastAsia"/>
          <w:sz w:val="24"/>
          <w:szCs w:val="24"/>
          <w:rtl/>
        </w:rPr>
        <w:t>בפיגורים</w:t>
      </w:r>
      <w:r w:rsidR="00FD2F14" w:rsidRPr="00357CE9">
        <w:rPr>
          <w:rFonts w:ascii="David" w:hAnsi="David" w:cs="David"/>
          <w:sz w:val="24"/>
          <w:szCs w:val="24"/>
          <w:rtl/>
        </w:rPr>
        <w:t xml:space="preserve"> </w:t>
      </w:r>
      <w:r w:rsidR="0025517C" w:rsidRPr="00357CE9">
        <w:rPr>
          <w:rFonts w:ascii="David" w:hAnsi="David" w:cs="David" w:hint="cs"/>
          <w:sz w:val="24"/>
          <w:szCs w:val="24"/>
          <w:rtl/>
        </w:rPr>
        <w:t xml:space="preserve">הגיע </w:t>
      </w:r>
      <w:r w:rsidR="00FD2F14" w:rsidRPr="00357CE9">
        <w:rPr>
          <w:rFonts w:ascii="David" w:hAnsi="David" w:cs="David" w:hint="eastAsia"/>
          <w:sz w:val="24"/>
          <w:szCs w:val="24"/>
          <w:rtl/>
        </w:rPr>
        <w:t>במקסימום</w:t>
      </w:r>
      <w:r w:rsidR="0025517C" w:rsidRPr="00357CE9">
        <w:rPr>
          <w:rFonts w:ascii="David" w:hAnsi="David" w:cs="David" w:hint="cs"/>
          <w:sz w:val="24"/>
          <w:szCs w:val="24"/>
          <w:rtl/>
        </w:rPr>
        <w:t xml:space="preserve"> (סביב אמצע </w:t>
      </w:r>
      <w:r w:rsidR="008F2A5E" w:rsidRPr="00FA4585">
        <w:rPr>
          <w:rFonts w:ascii="David" w:hAnsi="David" w:cs="David" w:hint="cs"/>
          <w:sz w:val="24"/>
          <w:szCs w:val="24"/>
          <w:rtl/>
        </w:rPr>
        <w:t>מרץ</w:t>
      </w:r>
      <w:r w:rsidR="0025517C" w:rsidRPr="00357CE9">
        <w:rPr>
          <w:rFonts w:ascii="David" w:hAnsi="David" w:cs="David" w:hint="cs"/>
          <w:sz w:val="24"/>
          <w:szCs w:val="24"/>
          <w:rtl/>
        </w:rPr>
        <w:t>)</w:t>
      </w:r>
      <w:r w:rsidR="00FD2F14" w:rsidRPr="00357CE9">
        <w:rPr>
          <w:rFonts w:ascii="David" w:hAnsi="David" w:cs="David" w:hint="cs"/>
          <w:sz w:val="24"/>
          <w:szCs w:val="24"/>
          <w:rtl/>
        </w:rPr>
        <w:t xml:space="preserve"> לאחוז אחד בלבד.</w:t>
      </w:r>
    </w:p>
    <w:p w:rsidR="00DC3E1C" w:rsidRDefault="00DC3E1C" w:rsidP="00DC3E1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C3E1C" w:rsidRDefault="00DC3E1C" w:rsidP="00DC3E1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47D11" w:rsidRDefault="00847D11" w:rsidP="00DC3E1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47D11" w:rsidRDefault="00847D11" w:rsidP="00DC3E1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B407E" w:rsidRDefault="00847D11" w:rsidP="00930B1F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847D1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62C16F6" wp14:editId="1479C219">
            <wp:extent cx="4962525" cy="2914650"/>
            <wp:effectExtent l="0" t="0" r="0" b="0"/>
            <wp:docPr id="26" name="תרשים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074E" w:rsidRDefault="00C4074E" w:rsidP="00582F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12D99">
        <w:rPr>
          <w:rFonts w:ascii="David" w:hAnsi="David" w:cs="David" w:hint="eastAsia"/>
          <w:sz w:val="24"/>
          <w:szCs w:val="24"/>
          <w:rtl/>
        </w:rPr>
        <w:t>שיעור</w:t>
      </w:r>
      <w:r w:rsidRPr="00312D99">
        <w:rPr>
          <w:rFonts w:ascii="David" w:hAnsi="David" w:cs="David"/>
          <w:sz w:val="24"/>
          <w:szCs w:val="24"/>
          <w:rtl/>
        </w:rPr>
        <w:t xml:space="preserve"> המענה של </w:t>
      </w:r>
      <w:r w:rsidR="00786CD8" w:rsidRPr="00312D99">
        <w:rPr>
          <w:rFonts w:ascii="David" w:hAnsi="David" w:cs="David" w:hint="eastAsia"/>
          <w:sz w:val="24"/>
          <w:szCs w:val="24"/>
          <w:rtl/>
        </w:rPr>
        <w:t>חברה</w:t>
      </w:r>
      <w:r w:rsidR="00786CD8" w:rsidRPr="00312D99">
        <w:rPr>
          <w:rFonts w:ascii="David" w:hAnsi="David" w:cs="David"/>
          <w:sz w:val="24"/>
          <w:szCs w:val="24"/>
          <w:rtl/>
        </w:rPr>
        <w:t xml:space="preserve"> </w:t>
      </w:r>
      <w:r w:rsidR="00786CD8" w:rsidRPr="00312D99">
        <w:rPr>
          <w:rFonts w:ascii="David" w:hAnsi="David" w:cs="David" w:hint="eastAsia"/>
          <w:sz w:val="24"/>
          <w:szCs w:val="24"/>
          <w:rtl/>
        </w:rPr>
        <w:t>לביטוח</w:t>
      </w:r>
      <w:r w:rsidR="00786CD8"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אשראי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="00786CD8" w:rsidRPr="00312D99">
        <w:rPr>
          <w:rFonts w:ascii="David" w:hAnsi="David" w:cs="David" w:hint="eastAsia"/>
          <w:sz w:val="24"/>
          <w:szCs w:val="24"/>
          <w:rtl/>
        </w:rPr>
        <w:t>הוא</w:t>
      </w:r>
      <w:r w:rsidR="00786CD8"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שיעור</w:t>
      </w:r>
      <w:r w:rsidR="00312D99" w:rsidRPr="001259AC">
        <w:rPr>
          <w:rFonts w:cs="David" w:hint="eastAsia"/>
          <w:sz w:val="24"/>
          <w:szCs w:val="24"/>
          <w:rtl/>
        </w:rPr>
        <w:t>ו</w:t>
      </w:r>
      <w:r w:rsidR="00312D99" w:rsidRPr="001259AC">
        <w:rPr>
          <w:rFonts w:cs="David"/>
          <w:sz w:val="24"/>
          <w:szCs w:val="24"/>
          <w:rtl/>
        </w:rPr>
        <w:t xml:space="preserve"> </w:t>
      </w:r>
      <w:r w:rsidR="00312D99" w:rsidRPr="001259AC">
        <w:rPr>
          <w:rFonts w:cs="David" w:hint="eastAsia"/>
          <w:sz w:val="24"/>
          <w:szCs w:val="24"/>
          <w:rtl/>
        </w:rPr>
        <w:t>של</w:t>
      </w:r>
      <w:r w:rsidR="00312D99" w:rsidRPr="001259AC">
        <w:rPr>
          <w:rFonts w:cs="David"/>
          <w:sz w:val="24"/>
          <w:szCs w:val="24"/>
          <w:rtl/>
        </w:rPr>
        <w:t xml:space="preserve"> </w:t>
      </w:r>
      <w:r w:rsidR="00312D99" w:rsidRPr="001259AC">
        <w:rPr>
          <w:rFonts w:cs="David" w:hint="eastAsia"/>
          <w:sz w:val="24"/>
          <w:szCs w:val="24"/>
          <w:rtl/>
        </w:rPr>
        <w:t>סכום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הביטוח</w:t>
      </w:r>
      <w:r w:rsidRPr="00312D99">
        <w:rPr>
          <w:rFonts w:cs="David"/>
          <w:sz w:val="24"/>
          <w:szCs w:val="24"/>
          <w:rtl/>
        </w:rPr>
        <w:t xml:space="preserve"> </w:t>
      </w:r>
      <w:r w:rsidR="00312D99" w:rsidRPr="00312D99">
        <w:rPr>
          <w:rFonts w:cs="David" w:hint="eastAsia"/>
          <w:sz w:val="24"/>
          <w:szCs w:val="24"/>
          <w:rtl/>
        </w:rPr>
        <w:t>ש</w:t>
      </w:r>
      <w:r w:rsidR="00312D99" w:rsidRPr="001259AC">
        <w:rPr>
          <w:rFonts w:cs="David" w:hint="eastAsia"/>
          <w:sz w:val="24"/>
          <w:szCs w:val="24"/>
          <w:rtl/>
        </w:rPr>
        <w:t>ה</w:t>
      </w:r>
      <w:r w:rsidR="00312D99" w:rsidRPr="00312D99">
        <w:rPr>
          <w:rFonts w:cs="David" w:hint="eastAsia"/>
          <w:sz w:val="24"/>
          <w:szCs w:val="24"/>
          <w:rtl/>
        </w:rPr>
        <w:t>חבר</w:t>
      </w:r>
      <w:r w:rsidR="00312D99" w:rsidRPr="001259AC">
        <w:rPr>
          <w:rFonts w:cs="David" w:hint="eastAsia"/>
          <w:sz w:val="24"/>
          <w:szCs w:val="24"/>
          <w:rtl/>
        </w:rPr>
        <w:t>ה</w:t>
      </w:r>
      <w:r w:rsidR="00312D99"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נותנת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מתוך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היקף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הביטוח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שהלקוח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מבקש</w:t>
      </w:r>
      <w:r w:rsidRPr="00312D99">
        <w:rPr>
          <w:rFonts w:ascii="David" w:hAnsi="David" w:cs="David"/>
          <w:sz w:val="24"/>
          <w:szCs w:val="24"/>
          <w:rtl/>
        </w:rPr>
        <w:t xml:space="preserve">. </w:t>
      </w:r>
      <w:r w:rsidRPr="00312D99">
        <w:rPr>
          <w:rFonts w:cs="David" w:hint="eastAsia"/>
          <w:sz w:val="24"/>
          <w:szCs w:val="24"/>
          <w:rtl/>
        </w:rPr>
        <w:t>מאחר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שמחיר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הביטוח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לרוב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קבוע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ושווה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לשיעור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מסוים</w:t>
      </w:r>
      <w:r w:rsidRPr="00312D99">
        <w:rPr>
          <w:rFonts w:cs="David"/>
          <w:sz w:val="24"/>
          <w:szCs w:val="24"/>
          <w:rtl/>
        </w:rPr>
        <w:t xml:space="preserve"> </w:t>
      </w:r>
      <w:r w:rsidR="00312D99" w:rsidRPr="00312D99">
        <w:rPr>
          <w:rFonts w:cs="David" w:hint="eastAsia"/>
          <w:sz w:val="24"/>
          <w:szCs w:val="24"/>
          <w:rtl/>
        </w:rPr>
        <w:t>מה</w:t>
      </w:r>
      <w:r w:rsidR="00312D99" w:rsidRPr="001259AC">
        <w:rPr>
          <w:rFonts w:cs="David" w:hint="eastAsia"/>
          <w:sz w:val="24"/>
          <w:szCs w:val="24"/>
          <w:rtl/>
        </w:rPr>
        <w:t>סכום</w:t>
      </w:r>
      <w:r w:rsidR="00312D99" w:rsidRPr="001259AC">
        <w:rPr>
          <w:rFonts w:cs="David"/>
          <w:sz w:val="24"/>
          <w:szCs w:val="24"/>
          <w:rtl/>
        </w:rPr>
        <w:t xml:space="preserve"> </w:t>
      </w:r>
      <w:r w:rsidR="00312D99" w:rsidRPr="001259AC">
        <w:rPr>
          <w:rFonts w:cs="David" w:hint="eastAsia"/>
          <w:sz w:val="24"/>
          <w:szCs w:val="24"/>
          <w:rtl/>
        </w:rPr>
        <w:t>המוצהר</w:t>
      </w:r>
      <w:r w:rsidR="00312D99" w:rsidRPr="001259AC">
        <w:rPr>
          <w:rFonts w:cs="David"/>
          <w:sz w:val="24"/>
          <w:szCs w:val="24"/>
          <w:rtl/>
        </w:rPr>
        <w:t xml:space="preserve"> </w:t>
      </w:r>
      <w:r w:rsidR="00312D99" w:rsidRPr="001259AC">
        <w:rPr>
          <w:rFonts w:cs="David" w:hint="eastAsia"/>
          <w:sz w:val="24"/>
          <w:szCs w:val="24"/>
          <w:rtl/>
        </w:rPr>
        <w:t>של</w:t>
      </w:r>
      <w:r w:rsidR="00312D99"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המשלוחים</w:t>
      </w:r>
      <w:r w:rsidRPr="00312D99">
        <w:rPr>
          <w:rFonts w:cs="David"/>
          <w:sz w:val="24"/>
          <w:szCs w:val="24"/>
          <w:rtl/>
        </w:rPr>
        <w:t xml:space="preserve">, </w:t>
      </w:r>
      <w:r w:rsidR="00786CD8" w:rsidRPr="00312D99">
        <w:rPr>
          <w:rFonts w:cs="David" w:hint="eastAsia"/>
          <w:sz w:val="24"/>
          <w:szCs w:val="24"/>
          <w:rtl/>
        </w:rPr>
        <w:t>היקף</w:t>
      </w:r>
      <w:r w:rsidR="00786CD8" w:rsidRPr="00312D99">
        <w:rPr>
          <w:rFonts w:cs="David"/>
          <w:sz w:val="24"/>
          <w:szCs w:val="24"/>
          <w:rtl/>
        </w:rPr>
        <w:t xml:space="preserve"> </w:t>
      </w:r>
      <w:r w:rsidR="00786CD8" w:rsidRPr="00312D99">
        <w:rPr>
          <w:rFonts w:cs="David" w:hint="eastAsia"/>
          <w:sz w:val="24"/>
          <w:szCs w:val="24"/>
          <w:rtl/>
        </w:rPr>
        <w:t>הסיכון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הנשקף</w:t>
      </w:r>
      <w:r w:rsidRPr="00312D99">
        <w:rPr>
          <w:rFonts w:cs="David"/>
          <w:sz w:val="24"/>
          <w:szCs w:val="24"/>
          <w:rtl/>
        </w:rPr>
        <w:t xml:space="preserve"> </w:t>
      </w:r>
      <w:r w:rsidRPr="00312D99">
        <w:rPr>
          <w:rFonts w:cs="David" w:hint="eastAsia"/>
          <w:sz w:val="24"/>
          <w:szCs w:val="24"/>
          <w:rtl/>
        </w:rPr>
        <w:t>מלקוחות</w:t>
      </w:r>
      <w:r w:rsidR="00786CD8" w:rsidRPr="00312D99">
        <w:rPr>
          <w:rFonts w:cs="David" w:hint="eastAsia"/>
          <w:sz w:val="24"/>
          <w:szCs w:val="24"/>
          <w:rtl/>
        </w:rPr>
        <w:t>יו</w:t>
      </w:r>
      <w:r w:rsidR="00786CD8" w:rsidRPr="00312D99">
        <w:rPr>
          <w:rFonts w:cs="David"/>
          <w:sz w:val="24"/>
          <w:szCs w:val="24"/>
          <w:rtl/>
        </w:rPr>
        <w:t xml:space="preserve"> </w:t>
      </w:r>
      <w:r w:rsidR="00786CD8" w:rsidRPr="00312D99">
        <w:rPr>
          <w:rFonts w:cs="David" w:hint="eastAsia"/>
          <w:sz w:val="24"/>
          <w:szCs w:val="24"/>
          <w:rtl/>
        </w:rPr>
        <w:t>של</w:t>
      </w:r>
      <w:r w:rsidRPr="00312D99">
        <w:rPr>
          <w:rFonts w:cs="David"/>
          <w:sz w:val="24"/>
          <w:szCs w:val="24"/>
          <w:rtl/>
        </w:rPr>
        <w:t xml:space="preserve"> המבוטח</w:t>
      </w:r>
      <w:r w:rsidR="00786CD8" w:rsidRPr="00312D99">
        <w:rPr>
          <w:rFonts w:cs="David"/>
          <w:sz w:val="24"/>
          <w:szCs w:val="24"/>
          <w:rtl/>
        </w:rPr>
        <w:t xml:space="preserve"> בעיני </w:t>
      </w:r>
      <w:r w:rsidR="0025517C">
        <w:rPr>
          <w:rFonts w:cs="David" w:hint="cs"/>
          <w:sz w:val="24"/>
          <w:szCs w:val="24"/>
          <w:rtl/>
        </w:rPr>
        <w:t>"</w:t>
      </w:r>
      <w:proofErr w:type="spellStart"/>
      <w:r w:rsidR="00844A8E">
        <w:rPr>
          <w:rFonts w:cs="David" w:hint="eastAsia"/>
          <w:sz w:val="24"/>
          <w:szCs w:val="24"/>
          <w:rtl/>
        </w:rPr>
        <w:t>בססח</w:t>
      </w:r>
      <w:proofErr w:type="spellEnd"/>
      <w:r w:rsidR="0025517C">
        <w:rPr>
          <w:rFonts w:cs="David" w:hint="cs"/>
          <w:sz w:val="24"/>
          <w:szCs w:val="24"/>
          <w:rtl/>
        </w:rPr>
        <w:t>"</w:t>
      </w:r>
      <w:r w:rsidR="00833142">
        <w:rPr>
          <w:rFonts w:cs="David" w:hint="cs"/>
          <w:sz w:val="24"/>
          <w:szCs w:val="24"/>
          <w:rtl/>
        </w:rPr>
        <w:t xml:space="preserve"> </w:t>
      </w:r>
      <w:r w:rsidR="00786CD8" w:rsidRPr="00312D99">
        <w:rPr>
          <w:rFonts w:cs="David" w:hint="eastAsia"/>
          <w:sz w:val="24"/>
          <w:szCs w:val="24"/>
          <w:rtl/>
        </w:rPr>
        <w:t>מתבטא</w:t>
      </w:r>
      <w:r w:rsidRPr="00312D99">
        <w:rPr>
          <w:rFonts w:cs="David"/>
          <w:sz w:val="24"/>
          <w:szCs w:val="24"/>
          <w:rtl/>
        </w:rPr>
        <w:t xml:space="preserve"> בעיקר בשיעור המענה.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/>
          <w:sz w:val="24"/>
          <w:szCs w:val="24"/>
        </w:rPr>
        <w:t>Graham-Rozen and Michelson (2020)</w:t>
      </w:r>
      <w:r w:rsidRPr="00312D99">
        <w:rPr>
          <w:rFonts w:ascii="David" w:hAnsi="David" w:cs="David"/>
          <w:sz w:val="24"/>
          <w:szCs w:val="24"/>
          <w:rtl/>
        </w:rPr>
        <w:t xml:space="preserve"> מוצאים כי שיעור המענה בעסקאות מקומיות מושפע בעיקר מגודל המבוטח ומסיכון הקונים שהוא פועל מולם. וכך</w:t>
      </w:r>
      <w:r w:rsidR="00312D99" w:rsidRPr="001259AC">
        <w:rPr>
          <w:rFonts w:ascii="David" w:hAnsi="David" w:cs="David"/>
          <w:sz w:val="24"/>
          <w:szCs w:val="24"/>
          <w:rtl/>
        </w:rPr>
        <w:t>,</w:t>
      </w:r>
      <w:r w:rsidRPr="00312D99">
        <w:rPr>
          <w:rFonts w:ascii="David" w:hAnsi="David" w:cs="David"/>
          <w:sz w:val="24"/>
          <w:szCs w:val="24"/>
          <w:rtl/>
        </w:rPr>
        <w:t xml:space="preserve"> החל מחודש מרץ, בעקבות משבר הקורונה, אנו עדים לירידה </w:t>
      </w:r>
      <w:r w:rsidR="00786CD8" w:rsidRPr="00312D99">
        <w:rPr>
          <w:rFonts w:ascii="David" w:hAnsi="David" w:cs="David" w:hint="eastAsia"/>
          <w:sz w:val="24"/>
          <w:szCs w:val="24"/>
          <w:rtl/>
        </w:rPr>
        <w:t>של</w:t>
      </w:r>
      <w:r w:rsidR="00786CD8" w:rsidRPr="00312D99">
        <w:rPr>
          <w:rFonts w:ascii="David" w:hAnsi="David" w:cs="David"/>
          <w:sz w:val="24"/>
          <w:szCs w:val="24"/>
          <w:rtl/>
        </w:rPr>
        <w:t xml:space="preserve"> </w:t>
      </w:r>
      <w:r w:rsidR="00F66C9D" w:rsidRPr="00312D99">
        <w:rPr>
          <w:rFonts w:ascii="David" w:hAnsi="David" w:cs="David" w:hint="eastAsia"/>
          <w:sz w:val="24"/>
          <w:szCs w:val="24"/>
          <w:rtl/>
        </w:rPr>
        <w:t>שיעור</w:t>
      </w:r>
      <w:r w:rsidR="00F66C9D"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המענה</w:t>
      </w:r>
      <w:r w:rsidRPr="00312D99">
        <w:rPr>
          <w:rFonts w:ascii="David" w:hAnsi="David" w:cs="David"/>
          <w:sz w:val="24"/>
          <w:szCs w:val="24"/>
          <w:rtl/>
        </w:rPr>
        <w:t xml:space="preserve"> – משיעור </w:t>
      </w:r>
      <w:r w:rsidRPr="00312D99">
        <w:rPr>
          <w:rFonts w:ascii="David" w:hAnsi="David" w:cs="David" w:hint="eastAsia"/>
          <w:sz w:val="24"/>
          <w:szCs w:val="24"/>
          <w:rtl/>
        </w:rPr>
        <w:t>ממוצע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של</w:t>
      </w:r>
      <w:r w:rsidRPr="00312D99">
        <w:rPr>
          <w:rFonts w:ascii="David" w:hAnsi="David" w:cs="David"/>
          <w:sz w:val="24"/>
          <w:szCs w:val="24"/>
          <w:rtl/>
        </w:rPr>
        <w:t xml:space="preserve"> 83 </w:t>
      </w:r>
      <w:r w:rsidRPr="00312D99">
        <w:rPr>
          <w:rFonts w:ascii="David" w:hAnsi="David" w:cs="David" w:hint="eastAsia"/>
          <w:sz w:val="24"/>
          <w:szCs w:val="24"/>
          <w:rtl/>
        </w:rPr>
        <w:t>אחוזים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מתחילת</w:t>
      </w:r>
      <w:r w:rsidRPr="00312D99">
        <w:rPr>
          <w:rFonts w:ascii="David" w:hAnsi="David" w:cs="David"/>
          <w:sz w:val="24"/>
          <w:szCs w:val="24"/>
          <w:rtl/>
        </w:rPr>
        <w:t xml:space="preserve"> 2019 </w:t>
      </w:r>
      <w:r w:rsidRPr="00312D99">
        <w:rPr>
          <w:rFonts w:ascii="David" w:hAnsi="David" w:cs="David" w:hint="eastAsia"/>
          <w:sz w:val="24"/>
          <w:szCs w:val="24"/>
          <w:rtl/>
        </w:rPr>
        <w:t>עד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פברואר</w:t>
      </w:r>
      <w:r w:rsidRPr="00312D99">
        <w:rPr>
          <w:rFonts w:ascii="David" w:hAnsi="David" w:cs="David"/>
          <w:sz w:val="24"/>
          <w:szCs w:val="24"/>
          <w:rtl/>
        </w:rPr>
        <w:t xml:space="preserve"> 2020 </w:t>
      </w:r>
      <w:r w:rsidRPr="00312D99">
        <w:rPr>
          <w:rFonts w:ascii="David" w:hAnsi="David" w:cs="David" w:hint="eastAsia"/>
          <w:sz w:val="24"/>
          <w:szCs w:val="24"/>
          <w:rtl/>
        </w:rPr>
        <w:t>לשיעור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של</w:t>
      </w:r>
      <w:r w:rsidRPr="00312D99">
        <w:rPr>
          <w:rFonts w:ascii="David" w:hAnsi="David" w:cs="David"/>
          <w:sz w:val="24"/>
          <w:szCs w:val="24"/>
          <w:rtl/>
        </w:rPr>
        <w:t xml:space="preserve"> 77 </w:t>
      </w:r>
      <w:r w:rsidRPr="00312D99">
        <w:rPr>
          <w:rFonts w:ascii="David" w:hAnsi="David" w:cs="David" w:hint="eastAsia"/>
          <w:sz w:val="24"/>
          <w:szCs w:val="24"/>
          <w:rtl/>
        </w:rPr>
        <w:t>אחוזים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בחודשים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מרץ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312D99">
        <w:rPr>
          <w:rFonts w:ascii="David" w:hAnsi="David" w:cs="David" w:hint="eastAsia"/>
          <w:sz w:val="24"/>
          <w:szCs w:val="24"/>
          <w:rtl/>
        </w:rPr>
        <w:t>עד</w:t>
      </w:r>
      <w:r w:rsidRPr="00312D99">
        <w:rPr>
          <w:rFonts w:ascii="David" w:hAnsi="David" w:cs="David"/>
          <w:sz w:val="24"/>
          <w:szCs w:val="24"/>
          <w:rtl/>
        </w:rPr>
        <w:t xml:space="preserve"> </w:t>
      </w:r>
      <w:r w:rsidRPr="00582FC5">
        <w:rPr>
          <w:rFonts w:ascii="David" w:hAnsi="David" w:cs="David" w:hint="eastAsia"/>
          <w:sz w:val="24"/>
          <w:szCs w:val="24"/>
          <w:rtl/>
        </w:rPr>
        <w:t>מאי</w:t>
      </w:r>
      <w:r w:rsidRPr="00582FC5">
        <w:rPr>
          <w:rFonts w:ascii="David" w:hAnsi="David" w:cs="David"/>
          <w:sz w:val="24"/>
          <w:szCs w:val="24"/>
          <w:rtl/>
        </w:rPr>
        <w:t xml:space="preserve">. </w:t>
      </w:r>
      <w:r w:rsidRPr="00582FC5">
        <w:rPr>
          <w:rFonts w:ascii="David" w:hAnsi="David" w:cs="David" w:hint="eastAsia"/>
          <w:sz w:val="24"/>
          <w:szCs w:val="24"/>
          <w:rtl/>
        </w:rPr>
        <w:t>שיעור</w:t>
      </w:r>
      <w:r w:rsidRPr="00582FC5">
        <w:rPr>
          <w:rFonts w:ascii="David" w:hAnsi="David" w:cs="David"/>
          <w:sz w:val="24"/>
          <w:szCs w:val="24"/>
          <w:rtl/>
        </w:rPr>
        <w:t xml:space="preserve"> </w:t>
      </w:r>
      <w:r w:rsidRPr="00582FC5">
        <w:rPr>
          <w:rFonts w:ascii="David" w:hAnsi="David" w:cs="David" w:hint="eastAsia"/>
          <w:sz w:val="24"/>
          <w:szCs w:val="24"/>
          <w:rtl/>
        </w:rPr>
        <w:t>מענה</w:t>
      </w:r>
      <w:r w:rsidRPr="00582FC5">
        <w:rPr>
          <w:rFonts w:ascii="David" w:hAnsi="David" w:cs="David"/>
          <w:sz w:val="24"/>
          <w:szCs w:val="24"/>
          <w:rtl/>
        </w:rPr>
        <w:t xml:space="preserve"> </w:t>
      </w:r>
      <w:r w:rsidRPr="00582FC5">
        <w:rPr>
          <w:rFonts w:ascii="David" w:hAnsi="David" w:cs="David" w:hint="eastAsia"/>
          <w:sz w:val="24"/>
          <w:szCs w:val="24"/>
          <w:rtl/>
        </w:rPr>
        <w:t>נמוך</w:t>
      </w:r>
      <w:r w:rsidRPr="00582FC5">
        <w:rPr>
          <w:rFonts w:ascii="David" w:hAnsi="David" w:cs="David"/>
          <w:sz w:val="24"/>
          <w:szCs w:val="24"/>
          <w:rtl/>
        </w:rPr>
        <w:t xml:space="preserve"> </w:t>
      </w:r>
      <w:r w:rsidRPr="00582FC5">
        <w:rPr>
          <w:rFonts w:ascii="David" w:hAnsi="David" w:cs="David" w:hint="eastAsia"/>
          <w:sz w:val="24"/>
          <w:szCs w:val="24"/>
          <w:rtl/>
        </w:rPr>
        <w:t>יותר</w:t>
      </w:r>
      <w:r w:rsidRPr="00582FC5">
        <w:rPr>
          <w:rFonts w:ascii="David" w:hAnsi="David" w:cs="David"/>
          <w:sz w:val="24"/>
          <w:szCs w:val="24"/>
          <w:rtl/>
        </w:rPr>
        <w:t xml:space="preserve"> </w:t>
      </w:r>
      <w:r w:rsidR="00582FC5" w:rsidRPr="00582FC5">
        <w:rPr>
          <w:rFonts w:ascii="David" w:hAnsi="David" w:cs="David" w:hint="cs"/>
          <w:sz w:val="24"/>
          <w:szCs w:val="24"/>
          <w:rtl/>
        </w:rPr>
        <w:t>מקטין</w:t>
      </w:r>
      <w:r w:rsidR="00786CD8" w:rsidRPr="00582FC5">
        <w:rPr>
          <w:rFonts w:ascii="David" w:hAnsi="David" w:cs="David"/>
          <w:sz w:val="24"/>
          <w:szCs w:val="24"/>
          <w:rtl/>
        </w:rPr>
        <w:t>,</w:t>
      </w:r>
      <w:r w:rsidRPr="00582FC5">
        <w:rPr>
          <w:rFonts w:ascii="David" w:hAnsi="David" w:cs="David"/>
          <w:sz w:val="24"/>
          <w:szCs w:val="24"/>
          <w:rtl/>
        </w:rPr>
        <w:t xml:space="preserve"> מבחינת המבוטח</w:t>
      </w:r>
      <w:r w:rsidR="00786CD8" w:rsidRPr="00582FC5">
        <w:rPr>
          <w:rFonts w:ascii="David" w:hAnsi="David" w:cs="David"/>
          <w:sz w:val="24"/>
          <w:szCs w:val="24"/>
          <w:rtl/>
        </w:rPr>
        <w:t>,</w:t>
      </w:r>
      <w:r w:rsidRPr="00582FC5">
        <w:rPr>
          <w:rFonts w:ascii="David" w:hAnsi="David" w:cs="David"/>
          <w:sz w:val="24"/>
          <w:szCs w:val="24"/>
          <w:rtl/>
        </w:rPr>
        <w:t xml:space="preserve"> את תוחלת הרווח הצפוי בעסקה מול לקוח ועלול להשפיע על המכירות לאותו לקוח</w:t>
      </w:r>
      <w:r w:rsidR="00312D99" w:rsidRPr="00582FC5">
        <w:rPr>
          <w:rFonts w:ascii="David" w:hAnsi="David" w:cs="David" w:hint="cs"/>
          <w:sz w:val="24"/>
          <w:szCs w:val="24"/>
          <w:rtl/>
        </w:rPr>
        <w:t>,</w:t>
      </w:r>
      <w:r w:rsidRPr="00582FC5">
        <w:rPr>
          <w:rFonts w:ascii="David" w:hAnsi="David" w:cs="David"/>
          <w:sz w:val="24"/>
          <w:szCs w:val="24"/>
          <w:rtl/>
        </w:rPr>
        <w:t xml:space="preserve"> ובכך לפגוע בפעילות הכלכלית.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E3E8E" w:rsidRDefault="00E62476" w:rsidP="008A4EA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E6457">
        <w:rPr>
          <w:rFonts w:ascii="David" w:hAnsi="David" w:cs="David" w:hint="cs"/>
          <w:sz w:val="24"/>
          <w:szCs w:val="24"/>
          <w:rtl/>
        </w:rPr>
        <w:t>על רקע עליית הסיכון</w:t>
      </w:r>
      <w:r w:rsidR="00F66C9D" w:rsidRPr="00BE6457">
        <w:rPr>
          <w:rFonts w:ascii="David" w:hAnsi="David" w:cs="David" w:hint="cs"/>
          <w:sz w:val="24"/>
          <w:szCs w:val="24"/>
          <w:rtl/>
        </w:rPr>
        <w:t>,</w:t>
      </w:r>
      <w:r w:rsidRPr="00BE6457">
        <w:rPr>
          <w:rFonts w:ascii="David" w:hAnsi="David" w:cs="David" w:hint="cs"/>
          <w:sz w:val="24"/>
          <w:szCs w:val="24"/>
          <w:rtl/>
        </w:rPr>
        <w:t xml:space="preserve"> המתבטאת בעיקר בהקטנת </w:t>
      </w:r>
      <w:r w:rsidR="001007D1">
        <w:rPr>
          <w:rFonts w:ascii="David" w:hAnsi="David" w:cs="David" w:hint="cs"/>
          <w:sz w:val="24"/>
          <w:szCs w:val="24"/>
          <w:rtl/>
        </w:rPr>
        <w:t xml:space="preserve">הכיסוי </w:t>
      </w:r>
      <w:proofErr w:type="spellStart"/>
      <w:r w:rsidR="001007D1">
        <w:rPr>
          <w:rFonts w:ascii="David" w:hAnsi="David" w:cs="David" w:hint="cs"/>
          <w:sz w:val="24"/>
          <w:szCs w:val="24"/>
          <w:rtl/>
        </w:rPr>
        <w:t>הביטוחי</w:t>
      </w:r>
      <w:proofErr w:type="spellEnd"/>
      <w:r w:rsidRPr="00BE6457">
        <w:rPr>
          <w:rFonts w:ascii="David" w:hAnsi="David" w:cs="David" w:hint="cs"/>
          <w:sz w:val="24"/>
          <w:szCs w:val="24"/>
          <w:rtl/>
        </w:rPr>
        <w:t xml:space="preserve"> לספקים מקומיים וליצואנים כנגד הסיכון לכשל תשלום מצד </w:t>
      </w:r>
      <w:r w:rsidR="00F66C9D" w:rsidRPr="00BE6457">
        <w:rPr>
          <w:rFonts w:ascii="David" w:hAnsi="David" w:cs="David" w:hint="cs"/>
          <w:sz w:val="24"/>
          <w:szCs w:val="24"/>
          <w:rtl/>
        </w:rPr>
        <w:t>הקונים,</w:t>
      </w:r>
      <w:r w:rsidR="00F66C9D" w:rsidRPr="00BE6457">
        <w:rPr>
          <w:rFonts w:ascii="David" w:hAnsi="David" w:cs="David"/>
          <w:sz w:val="24"/>
          <w:szCs w:val="24"/>
          <w:rtl/>
        </w:rPr>
        <w:t xml:space="preserve"> </w:t>
      </w:r>
      <w:r w:rsidRPr="00BE6457">
        <w:rPr>
          <w:rFonts w:ascii="David" w:hAnsi="David" w:cs="David" w:hint="cs"/>
          <w:sz w:val="24"/>
          <w:szCs w:val="24"/>
          <w:rtl/>
        </w:rPr>
        <w:t>ו</w:t>
      </w:r>
      <w:r w:rsidR="00396F5B" w:rsidRPr="00BE6457">
        <w:rPr>
          <w:rFonts w:ascii="David" w:hAnsi="David" w:cs="David"/>
          <w:sz w:val="24"/>
          <w:szCs w:val="24"/>
          <w:rtl/>
        </w:rPr>
        <w:t xml:space="preserve">במטרה לסייע ליצואנים ולספקים </w:t>
      </w:r>
      <w:r w:rsidR="00ED654F" w:rsidRPr="00BE6457">
        <w:rPr>
          <w:rFonts w:ascii="David" w:hAnsi="David" w:cs="David" w:hint="cs"/>
          <w:sz w:val="24"/>
          <w:szCs w:val="24"/>
          <w:rtl/>
        </w:rPr>
        <w:t xml:space="preserve">בשוק המקומי </w:t>
      </w:r>
      <w:r w:rsidR="00187308" w:rsidRPr="00BE6457">
        <w:rPr>
          <w:rFonts w:ascii="David" w:hAnsi="David" w:cs="David" w:hint="cs"/>
          <w:sz w:val="24"/>
          <w:szCs w:val="24"/>
          <w:rtl/>
        </w:rPr>
        <w:t>ב</w:t>
      </w:r>
      <w:r w:rsidR="00DE46BF" w:rsidRPr="00BE6457">
        <w:rPr>
          <w:rFonts w:ascii="David" w:hAnsi="David" w:cs="David" w:hint="cs"/>
          <w:sz w:val="24"/>
          <w:szCs w:val="24"/>
          <w:rtl/>
        </w:rPr>
        <w:t xml:space="preserve">המשך </w:t>
      </w:r>
      <w:r w:rsidR="00D8375B" w:rsidRPr="00BE6457">
        <w:rPr>
          <w:rFonts w:ascii="David" w:hAnsi="David" w:cs="David" w:hint="cs"/>
          <w:sz w:val="24"/>
          <w:szCs w:val="24"/>
          <w:rtl/>
        </w:rPr>
        <w:t>ה</w:t>
      </w:r>
      <w:r w:rsidR="00DE46BF" w:rsidRPr="00BE6457">
        <w:rPr>
          <w:rFonts w:ascii="David" w:hAnsi="David" w:cs="David" w:hint="cs"/>
          <w:sz w:val="24"/>
          <w:szCs w:val="24"/>
          <w:rtl/>
        </w:rPr>
        <w:t>פעילות</w:t>
      </w:r>
      <w:r w:rsidR="00F66C9D" w:rsidRPr="00BE6457">
        <w:rPr>
          <w:rFonts w:ascii="David" w:hAnsi="David" w:cs="David" w:hint="cs"/>
          <w:sz w:val="24"/>
          <w:szCs w:val="24"/>
          <w:rtl/>
        </w:rPr>
        <w:t>,</w:t>
      </w:r>
      <w:r w:rsidR="00DE46BF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D86FEC" w:rsidRPr="00BE6457">
        <w:rPr>
          <w:rFonts w:ascii="David" w:hAnsi="David" w:cs="David" w:hint="cs"/>
          <w:sz w:val="24"/>
          <w:szCs w:val="24"/>
          <w:rtl/>
        </w:rPr>
        <w:t>הוחלט ב</w:t>
      </w:r>
      <w:r w:rsidR="000F6B99" w:rsidRPr="00BE6457">
        <w:rPr>
          <w:rFonts w:ascii="David" w:hAnsi="David" w:cs="David" w:hint="cs"/>
          <w:sz w:val="24"/>
          <w:szCs w:val="24"/>
          <w:rtl/>
        </w:rPr>
        <w:t xml:space="preserve">מהלך </w:t>
      </w:r>
      <w:r w:rsidR="00D86FEC" w:rsidRPr="00BE6457">
        <w:rPr>
          <w:rFonts w:ascii="David" w:hAnsi="David" w:cs="David" w:hint="cs"/>
          <w:sz w:val="24"/>
          <w:szCs w:val="24"/>
          <w:rtl/>
        </w:rPr>
        <w:t>חודש מאי</w:t>
      </w:r>
      <w:r w:rsidR="00396F5B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D86FEC" w:rsidRPr="00BE6457">
        <w:rPr>
          <w:rFonts w:ascii="David" w:hAnsi="David" w:cs="David" w:hint="cs"/>
          <w:sz w:val="24"/>
          <w:szCs w:val="24"/>
          <w:rtl/>
        </w:rPr>
        <w:t>על העמדת ערבות מדינה</w:t>
      </w:r>
      <w:r w:rsidR="00396F5B" w:rsidRPr="00BE6457">
        <w:rPr>
          <w:rFonts w:ascii="David" w:hAnsi="David" w:cs="David"/>
          <w:sz w:val="24"/>
          <w:szCs w:val="24"/>
          <w:rtl/>
        </w:rPr>
        <w:t xml:space="preserve"> </w:t>
      </w:r>
      <w:r w:rsidR="007403E7" w:rsidRPr="00BE6457">
        <w:rPr>
          <w:rFonts w:ascii="David" w:hAnsi="David" w:cs="David" w:hint="cs"/>
          <w:sz w:val="24"/>
          <w:szCs w:val="24"/>
          <w:rtl/>
        </w:rPr>
        <w:t xml:space="preserve">כדי </w:t>
      </w:r>
      <w:r w:rsidR="00396F5B" w:rsidRPr="00BE6457">
        <w:rPr>
          <w:rFonts w:ascii="David" w:hAnsi="David" w:cs="David"/>
          <w:sz w:val="24"/>
          <w:szCs w:val="24"/>
          <w:rtl/>
        </w:rPr>
        <w:t>ל</w:t>
      </w:r>
      <w:r w:rsidR="007403E7" w:rsidRPr="00BE6457">
        <w:rPr>
          <w:rFonts w:ascii="David" w:hAnsi="David" w:cs="David" w:hint="cs"/>
          <w:sz w:val="24"/>
          <w:szCs w:val="24"/>
          <w:rtl/>
        </w:rPr>
        <w:t>הגדיל את</w:t>
      </w:r>
      <w:r w:rsidR="00396F5B" w:rsidRPr="00BE6457">
        <w:rPr>
          <w:rFonts w:ascii="David" w:hAnsi="David" w:cs="David"/>
          <w:sz w:val="24"/>
          <w:szCs w:val="24"/>
          <w:rtl/>
        </w:rPr>
        <w:t xml:space="preserve"> ביטוחי האשראי </w:t>
      </w:r>
      <w:r w:rsidR="00D475E6" w:rsidRPr="00BE6457">
        <w:rPr>
          <w:rFonts w:ascii="David" w:hAnsi="David" w:cs="David" w:hint="cs"/>
          <w:sz w:val="24"/>
          <w:szCs w:val="24"/>
          <w:rtl/>
        </w:rPr>
        <w:t>הן בעסקות היצוא והן בעסקאות בשוק המקומי</w:t>
      </w:r>
      <w:r w:rsidR="009D2B7D" w:rsidRPr="00BE6457">
        <w:rPr>
          <w:rStyle w:val="a5"/>
          <w:rFonts w:ascii="David" w:hAnsi="David" w:cs="David"/>
          <w:sz w:val="24"/>
          <w:szCs w:val="24"/>
          <w:rtl/>
        </w:rPr>
        <w:footnoteReference w:id="8"/>
      </w:r>
      <w:r w:rsidR="00983437" w:rsidRPr="00BE6457">
        <w:rPr>
          <w:rFonts w:ascii="David" w:hAnsi="David" w:cs="David" w:hint="cs"/>
          <w:sz w:val="24"/>
          <w:szCs w:val="24"/>
          <w:rtl/>
        </w:rPr>
        <w:t>.</w:t>
      </w:r>
      <w:r w:rsidR="007403E7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F66C9D" w:rsidRPr="00BE6457">
        <w:rPr>
          <w:rFonts w:ascii="David" w:hAnsi="David" w:cs="David" w:hint="cs"/>
          <w:sz w:val="24"/>
          <w:szCs w:val="24"/>
          <w:rtl/>
        </w:rPr>
        <w:t>כך</w:t>
      </w:r>
      <w:r w:rsidR="008E59BF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F66C9D" w:rsidRPr="00BE6457">
        <w:rPr>
          <w:rFonts w:ascii="David" w:hAnsi="David" w:cs="David" w:hint="cs"/>
          <w:sz w:val="24"/>
          <w:szCs w:val="24"/>
          <w:rtl/>
        </w:rPr>
        <w:t>ה</w:t>
      </w:r>
      <w:r w:rsidR="008E59BF" w:rsidRPr="00BE6457">
        <w:rPr>
          <w:rFonts w:ascii="David" w:hAnsi="David" w:cs="David" w:hint="cs"/>
          <w:sz w:val="24"/>
          <w:szCs w:val="24"/>
          <w:rtl/>
        </w:rPr>
        <w:t xml:space="preserve">חברות </w:t>
      </w:r>
      <w:r w:rsidR="00F66C9D" w:rsidRPr="00BE6457">
        <w:rPr>
          <w:rFonts w:ascii="David" w:hAnsi="David" w:cs="David" w:hint="cs"/>
          <w:sz w:val="24"/>
          <w:szCs w:val="24"/>
          <w:rtl/>
        </w:rPr>
        <w:t>ל</w:t>
      </w:r>
      <w:r w:rsidR="008E59BF" w:rsidRPr="00BE6457">
        <w:rPr>
          <w:rFonts w:ascii="David" w:hAnsi="David" w:cs="David" w:hint="cs"/>
          <w:sz w:val="24"/>
          <w:szCs w:val="24"/>
          <w:rtl/>
        </w:rPr>
        <w:t xml:space="preserve">ביטוח אשראי תוכלנה להכניס את המדינה </w:t>
      </w:r>
      <w:r w:rsidR="00F66C9D" w:rsidRPr="00BE6457">
        <w:rPr>
          <w:rFonts w:ascii="David" w:hAnsi="David" w:cs="David" w:hint="eastAsia"/>
          <w:sz w:val="24"/>
          <w:szCs w:val="24"/>
          <w:rtl/>
        </w:rPr>
        <w:t>ל</w:t>
      </w:r>
      <w:r w:rsidR="00F66C9D" w:rsidRPr="00BE6457">
        <w:rPr>
          <w:rFonts w:ascii="David" w:hAnsi="David" w:cs="David" w:hint="cs"/>
          <w:sz w:val="24"/>
          <w:szCs w:val="24"/>
          <w:rtl/>
        </w:rPr>
        <w:t>עסקאות ש</w:t>
      </w:r>
      <w:r w:rsidR="008E59BF" w:rsidRPr="00BE6457">
        <w:rPr>
          <w:rFonts w:ascii="David" w:hAnsi="David" w:cs="David" w:hint="cs"/>
          <w:sz w:val="24"/>
          <w:szCs w:val="24"/>
          <w:rtl/>
        </w:rPr>
        <w:t xml:space="preserve">בהן הן הפחיתו את  </w:t>
      </w:r>
      <w:r w:rsidR="008E59BF" w:rsidRPr="00BE6457">
        <w:rPr>
          <w:rFonts w:ascii="David" w:hAnsi="David" w:cs="David" w:hint="eastAsia"/>
          <w:sz w:val="24"/>
          <w:szCs w:val="24"/>
          <w:rtl/>
        </w:rPr>
        <w:t>המכסה</w:t>
      </w:r>
      <w:r w:rsidR="008E59BF" w:rsidRPr="00BE6457">
        <w:rPr>
          <w:rFonts w:ascii="David" w:hAnsi="David" w:cs="David"/>
          <w:sz w:val="24"/>
          <w:szCs w:val="24"/>
          <w:rtl/>
        </w:rPr>
        <w:t xml:space="preserve"> </w:t>
      </w:r>
      <w:r w:rsidR="008E59BF" w:rsidRPr="00BE6457">
        <w:rPr>
          <w:rFonts w:ascii="David" w:hAnsi="David" w:cs="David" w:hint="cs"/>
          <w:sz w:val="24"/>
          <w:szCs w:val="24"/>
          <w:rtl/>
        </w:rPr>
        <w:t>בעקבות המשבר.</w:t>
      </w:r>
      <w:r w:rsidR="008E59BF">
        <w:rPr>
          <w:rFonts w:ascii="David" w:hAnsi="David" w:cs="David" w:hint="cs"/>
          <w:sz w:val="24"/>
          <w:szCs w:val="24"/>
          <w:rtl/>
        </w:rPr>
        <w:t xml:space="preserve"> </w:t>
      </w:r>
      <w:r w:rsidR="00312D99">
        <w:rPr>
          <w:rFonts w:ascii="David" w:hAnsi="David" w:cs="David" w:hint="cs"/>
          <w:sz w:val="24"/>
          <w:szCs w:val="24"/>
          <w:rtl/>
        </w:rPr>
        <w:t xml:space="preserve">נדגיש </w:t>
      </w:r>
      <w:r w:rsidR="008E59BF">
        <w:rPr>
          <w:rFonts w:ascii="David" w:hAnsi="David" w:cs="David" w:hint="cs"/>
          <w:sz w:val="24"/>
          <w:szCs w:val="24"/>
          <w:rtl/>
        </w:rPr>
        <w:t xml:space="preserve">כי </w:t>
      </w:r>
      <w:r w:rsidR="000F7630">
        <w:rPr>
          <w:rFonts w:ascii="David" w:hAnsi="David" w:cs="David" w:hint="cs"/>
          <w:sz w:val="24"/>
          <w:szCs w:val="24"/>
          <w:rtl/>
        </w:rPr>
        <w:t xml:space="preserve">ההחלטה להכניס את המדינה לעסקה </w:t>
      </w:r>
      <w:r w:rsidR="00F66C9D">
        <w:rPr>
          <w:rFonts w:ascii="David" w:hAnsi="David" w:cs="David" w:hint="cs"/>
          <w:sz w:val="24"/>
          <w:szCs w:val="24"/>
          <w:rtl/>
        </w:rPr>
        <w:t xml:space="preserve">כזאת </w:t>
      </w:r>
      <w:r w:rsidR="000F7630">
        <w:rPr>
          <w:rFonts w:ascii="David" w:hAnsi="David" w:cs="David" w:hint="cs"/>
          <w:sz w:val="24"/>
          <w:szCs w:val="24"/>
          <w:rtl/>
        </w:rPr>
        <w:t xml:space="preserve">או אחרת היא החלטתה של </w:t>
      </w:r>
      <w:r w:rsidR="00F66C9D">
        <w:rPr>
          <w:rFonts w:ascii="David" w:hAnsi="David" w:cs="David" w:hint="cs"/>
          <w:sz w:val="24"/>
          <w:szCs w:val="24"/>
          <w:rtl/>
        </w:rPr>
        <w:t>החברה ל</w:t>
      </w:r>
      <w:r w:rsidR="000F7630">
        <w:rPr>
          <w:rFonts w:ascii="David" w:hAnsi="David" w:cs="David" w:hint="cs"/>
          <w:sz w:val="24"/>
          <w:szCs w:val="24"/>
          <w:rtl/>
        </w:rPr>
        <w:t xml:space="preserve">ביטוח אשראי, </w:t>
      </w:r>
      <w:r w:rsidR="00312D99">
        <w:rPr>
          <w:rFonts w:ascii="David" w:hAnsi="David" w:cs="David" w:hint="cs"/>
          <w:sz w:val="24"/>
          <w:szCs w:val="24"/>
          <w:rtl/>
        </w:rPr>
        <w:t>ובעסקאות שבהן,</w:t>
      </w:r>
      <w:r w:rsidR="000A284F">
        <w:rPr>
          <w:rFonts w:ascii="David" w:hAnsi="David" w:cs="David" w:hint="cs"/>
          <w:sz w:val="24"/>
          <w:szCs w:val="24"/>
          <w:rtl/>
        </w:rPr>
        <w:t xml:space="preserve"> </w:t>
      </w:r>
      <w:r w:rsidR="00312D99">
        <w:rPr>
          <w:rFonts w:ascii="David" w:hAnsi="David" w:cs="David" w:hint="cs"/>
          <w:sz w:val="24"/>
          <w:szCs w:val="24"/>
          <w:rtl/>
        </w:rPr>
        <w:t>לדעתה,</w:t>
      </w:r>
      <w:r w:rsidR="000F7630">
        <w:rPr>
          <w:rFonts w:ascii="David" w:hAnsi="David" w:cs="David" w:hint="cs"/>
          <w:sz w:val="24"/>
          <w:szCs w:val="24"/>
          <w:rtl/>
        </w:rPr>
        <w:t xml:space="preserve"> </w:t>
      </w:r>
      <w:r w:rsidR="00312D99">
        <w:rPr>
          <w:rFonts w:ascii="David" w:hAnsi="David" w:cs="David" w:hint="cs"/>
          <w:sz w:val="24"/>
          <w:szCs w:val="24"/>
          <w:rtl/>
        </w:rPr>
        <w:t>ה</w:t>
      </w:r>
      <w:r w:rsidR="003C559A">
        <w:rPr>
          <w:rFonts w:ascii="David" w:hAnsi="David" w:cs="David" w:hint="cs"/>
          <w:sz w:val="24"/>
          <w:szCs w:val="24"/>
          <w:rtl/>
        </w:rPr>
        <w:t xml:space="preserve">הסתברות </w:t>
      </w:r>
      <w:r w:rsidR="00312D99">
        <w:rPr>
          <w:rFonts w:ascii="David" w:hAnsi="David" w:cs="David" w:hint="cs"/>
          <w:sz w:val="24"/>
          <w:szCs w:val="24"/>
          <w:rtl/>
        </w:rPr>
        <w:t xml:space="preserve">של חדלות </w:t>
      </w:r>
      <w:r w:rsidR="003C559A">
        <w:rPr>
          <w:rFonts w:ascii="David" w:hAnsi="David" w:cs="David" w:hint="cs"/>
          <w:sz w:val="24"/>
          <w:szCs w:val="24"/>
          <w:rtl/>
        </w:rPr>
        <w:t>פירעון</w:t>
      </w:r>
      <w:r w:rsidR="00312D99">
        <w:rPr>
          <w:rFonts w:ascii="David" w:hAnsi="David" w:cs="David" w:hint="cs"/>
          <w:sz w:val="24"/>
          <w:szCs w:val="24"/>
          <w:rtl/>
        </w:rPr>
        <w:t xml:space="preserve"> גבוהה</w:t>
      </w:r>
      <w:r w:rsidR="000F7630">
        <w:rPr>
          <w:rFonts w:ascii="David" w:hAnsi="David" w:cs="David" w:hint="cs"/>
          <w:sz w:val="24"/>
          <w:szCs w:val="24"/>
          <w:rtl/>
        </w:rPr>
        <w:t xml:space="preserve">, היא תבטל את הביטוח לחלוטין </w:t>
      </w:r>
      <w:r w:rsidR="00C6788C">
        <w:rPr>
          <w:rFonts w:ascii="David" w:hAnsi="David" w:cs="David" w:hint="cs"/>
          <w:sz w:val="24"/>
          <w:szCs w:val="24"/>
          <w:rtl/>
        </w:rPr>
        <w:t>במקום להשתמש בערבות המדינה</w:t>
      </w:r>
      <w:r w:rsidR="000F7630">
        <w:rPr>
          <w:rFonts w:ascii="David" w:hAnsi="David" w:cs="David" w:hint="cs"/>
          <w:sz w:val="24"/>
          <w:szCs w:val="24"/>
          <w:rtl/>
        </w:rPr>
        <w:t xml:space="preserve">. </w:t>
      </w:r>
      <w:r w:rsidR="00F66C9D">
        <w:rPr>
          <w:rFonts w:ascii="David" w:hAnsi="David" w:cs="David" w:hint="cs"/>
          <w:sz w:val="24"/>
          <w:szCs w:val="24"/>
          <w:rtl/>
        </w:rPr>
        <w:t>זאת ועוד,</w:t>
      </w:r>
      <w:r w:rsidR="000F7630">
        <w:rPr>
          <w:rFonts w:ascii="David" w:hAnsi="David" w:cs="David" w:hint="cs"/>
          <w:sz w:val="24"/>
          <w:szCs w:val="24"/>
          <w:rtl/>
        </w:rPr>
        <w:t xml:space="preserve"> אחד התנאים בהסכם הוא ש</w:t>
      </w:r>
      <w:r w:rsidR="008E59BF">
        <w:rPr>
          <w:rFonts w:ascii="David" w:hAnsi="David" w:cs="David" w:hint="cs"/>
          <w:sz w:val="24"/>
          <w:szCs w:val="24"/>
          <w:rtl/>
        </w:rPr>
        <w:t xml:space="preserve">הערבות תינתן רק ליצואנים </w:t>
      </w:r>
      <w:r w:rsidR="00F66C9D">
        <w:rPr>
          <w:rFonts w:ascii="David" w:hAnsi="David" w:cs="David" w:hint="cs"/>
          <w:sz w:val="24"/>
          <w:szCs w:val="24"/>
          <w:rtl/>
        </w:rPr>
        <w:t>ש-30</w:t>
      </w:r>
      <w:r w:rsidR="008E59BF">
        <w:rPr>
          <w:rFonts w:ascii="David" w:hAnsi="David" w:cs="David" w:hint="cs"/>
          <w:sz w:val="24"/>
          <w:szCs w:val="24"/>
          <w:rtl/>
        </w:rPr>
        <w:t xml:space="preserve"> אחוזים </w:t>
      </w:r>
      <w:r w:rsidR="00C6788C">
        <w:rPr>
          <w:rFonts w:ascii="David" w:hAnsi="David" w:cs="David" w:hint="cs"/>
          <w:sz w:val="24"/>
          <w:szCs w:val="24"/>
          <w:rtl/>
        </w:rPr>
        <w:t>מתוצרתם מיוצרת</w:t>
      </w:r>
      <w:r w:rsidR="008E59BF">
        <w:rPr>
          <w:rFonts w:ascii="David" w:hAnsi="David" w:cs="David" w:hint="cs"/>
          <w:sz w:val="24"/>
          <w:szCs w:val="24"/>
          <w:rtl/>
        </w:rPr>
        <w:t xml:space="preserve"> </w:t>
      </w:r>
      <w:r w:rsidR="00F66C9D">
        <w:rPr>
          <w:rFonts w:ascii="David" w:hAnsi="David" w:cs="David" w:hint="cs"/>
          <w:sz w:val="24"/>
          <w:szCs w:val="24"/>
          <w:rtl/>
        </w:rPr>
        <w:t xml:space="preserve">הוא </w:t>
      </w:r>
      <w:r w:rsidR="008E59BF">
        <w:rPr>
          <w:rFonts w:ascii="David" w:hAnsi="David" w:cs="David" w:hint="cs"/>
          <w:sz w:val="24"/>
          <w:szCs w:val="24"/>
          <w:rtl/>
        </w:rPr>
        <w:t xml:space="preserve">בישראל. כך המדינה רוצה להימנע מסיוע </w:t>
      </w:r>
      <w:r>
        <w:rPr>
          <w:rFonts w:ascii="David" w:hAnsi="David" w:cs="David" w:hint="cs"/>
          <w:sz w:val="24"/>
          <w:szCs w:val="24"/>
          <w:rtl/>
        </w:rPr>
        <w:t>לחברות/עסקים</w:t>
      </w:r>
      <w:r w:rsidR="008E59BF">
        <w:rPr>
          <w:rFonts w:ascii="David" w:hAnsi="David" w:cs="David" w:hint="cs"/>
          <w:sz w:val="24"/>
          <w:szCs w:val="24"/>
          <w:rtl/>
        </w:rPr>
        <w:t xml:space="preserve"> שאינם מייצרים בישראל. </w:t>
      </w:r>
      <w:r w:rsidR="00E3641F">
        <w:rPr>
          <w:rFonts w:ascii="David" w:hAnsi="David" w:cs="David" w:hint="cs"/>
          <w:sz w:val="24"/>
          <w:szCs w:val="24"/>
          <w:rtl/>
        </w:rPr>
        <w:t>סכום הערבות</w:t>
      </w:r>
      <w:r w:rsidR="00D8375B">
        <w:rPr>
          <w:rFonts w:ascii="David" w:hAnsi="David" w:cs="David" w:hint="cs"/>
          <w:sz w:val="24"/>
          <w:szCs w:val="24"/>
          <w:rtl/>
        </w:rPr>
        <w:t xml:space="preserve"> </w:t>
      </w:r>
      <w:r w:rsidR="00E3641F">
        <w:rPr>
          <w:rFonts w:ascii="David" w:hAnsi="David" w:cs="David" w:hint="cs"/>
          <w:sz w:val="24"/>
          <w:szCs w:val="24"/>
          <w:rtl/>
        </w:rPr>
        <w:t>שניתן</w:t>
      </w:r>
      <w:r w:rsidR="00E3641F" w:rsidRPr="00396F5B">
        <w:rPr>
          <w:rFonts w:ascii="David" w:hAnsi="David" w:cs="David"/>
          <w:sz w:val="24"/>
          <w:szCs w:val="24"/>
          <w:rtl/>
        </w:rPr>
        <w:t xml:space="preserve"> </w:t>
      </w:r>
      <w:r w:rsidR="00E3641F" w:rsidRPr="00BE6457">
        <w:rPr>
          <w:rFonts w:ascii="David" w:hAnsi="David" w:cs="David" w:hint="cs"/>
          <w:sz w:val="24"/>
          <w:szCs w:val="24"/>
          <w:rtl/>
        </w:rPr>
        <w:t xml:space="preserve">לשלוש </w:t>
      </w:r>
      <w:r w:rsidR="008058A3" w:rsidRPr="00BE6457">
        <w:rPr>
          <w:rFonts w:ascii="David" w:hAnsi="David" w:cs="David" w:hint="eastAsia"/>
          <w:sz w:val="24"/>
          <w:szCs w:val="24"/>
          <w:rtl/>
        </w:rPr>
        <w:t>החברות</w:t>
      </w:r>
      <w:r w:rsidR="008058A3" w:rsidRPr="00BE6457">
        <w:rPr>
          <w:rFonts w:ascii="David" w:hAnsi="David" w:cs="David"/>
          <w:sz w:val="24"/>
          <w:szCs w:val="24"/>
          <w:rtl/>
        </w:rPr>
        <w:t xml:space="preserve"> </w:t>
      </w:r>
      <w:r w:rsidR="000A284F" w:rsidRPr="00BE6457">
        <w:rPr>
          <w:rFonts w:ascii="David" w:hAnsi="David" w:cs="David" w:hint="eastAsia"/>
          <w:sz w:val="24"/>
          <w:szCs w:val="24"/>
          <w:rtl/>
        </w:rPr>
        <w:t>הפרטיות</w:t>
      </w:r>
      <w:r w:rsidR="000A284F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eastAsia"/>
          <w:sz w:val="24"/>
          <w:szCs w:val="24"/>
          <w:rtl/>
        </w:rPr>
        <w:t>לביטוח</w:t>
      </w:r>
      <w:r w:rsidR="008058A3" w:rsidRPr="00BE6457">
        <w:rPr>
          <w:rFonts w:ascii="David" w:hAnsi="David" w:cs="David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eastAsia"/>
          <w:sz w:val="24"/>
          <w:szCs w:val="24"/>
          <w:rtl/>
        </w:rPr>
        <w:t>אשראי</w:t>
      </w:r>
      <w:r w:rsidR="008058A3" w:rsidRPr="00BE6457">
        <w:rPr>
          <w:rFonts w:ascii="David" w:hAnsi="David" w:cs="David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eastAsia"/>
          <w:sz w:val="24"/>
          <w:szCs w:val="24"/>
          <w:rtl/>
        </w:rPr>
        <w:t>הפועלות</w:t>
      </w:r>
      <w:r w:rsidR="008058A3" w:rsidRPr="00BE6457">
        <w:rPr>
          <w:rFonts w:ascii="David" w:hAnsi="David" w:cs="David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eastAsia"/>
          <w:sz w:val="24"/>
          <w:szCs w:val="24"/>
          <w:rtl/>
        </w:rPr>
        <w:t>בישראל</w:t>
      </w:r>
      <w:r w:rsidR="008058A3" w:rsidRPr="00BE6457">
        <w:rPr>
          <w:rFonts w:ascii="David" w:hAnsi="David" w:cs="David" w:hint="cs"/>
          <w:sz w:val="24"/>
          <w:szCs w:val="24"/>
          <w:rtl/>
        </w:rPr>
        <w:t xml:space="preserve"> הוא</w:t>
      </w:r>
      <w:r w:rsidR="00FE4930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EB7E8F" w:rsidRPr="00BE6457">
        <w:rPr>
          <w:rFonts w:ascii="David" w:hAnsi="David" w:cs="David" w:hint="cs"/>
          <w:sz w:val="24"/>
          <w:szCs w:val="24"/>
          <w:rtl/>
        </w:rPr>
        <w:t>750 מיליוני דולרים</w:t>
      </w:r>
      <w:r w:rsidR="00FE4930" w:rsidRPr="00BE6457">
        <w:rPr>
          <w:rFonts w:ascii="David" w:hAnsi="David" w:cs="David" w:hint="cs"/>
          <w:sz w:val="24"/>
          <w:szCs w:val="24"/>
          <w:rtl/>
        </w:rPr>
        <w:t>,</w:t>
      </w:r>
      <w:r w:rsidR="00E3641F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cs"/>
          <w:sz w:val="24"/>
          <w:szCs w:val="24"/>
          <w:rtl/>
        </w:rPr>
        <w:t>והסכום</w:t>
      </w:r>
      <w:r w:rsidR="00E3641F" w:rsidRPr="00BE6457">
        <w:rPr>
          <w:rFonts w:ascii="David" w:hAnsi="David" w:cs="David" w:hint="cs"/>
          <w:sz w:val="24"/>
          <w:szCs w:val="24"/>
          <w:rtl/>
        </w:rPr>
        <w:t xml:space="preserve"> מחולק ביניהן</w:t>
      </w:r>
      <w:r w:rsidR="0074409C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C6788C" w:rsidRPr="00BE6457">
        <w:rPr>
          <w:rFonts w:ascii="David" w:hAnsi="David" w:cs="David" w:hint="cs"/>
          <w:sz w:val="24"/>
          <w:szCs w:val="24"/>
          <w:rtl/>
        </w:rPr>
        <w:t>שווה</w:t>
      </w:r>
      <w:r w:rsidR="00C6788C">
        <w:rPr>
          <w:rFonts w:ascii="David" w:hAnsi="David" w:cs="David" w:hint="cs"/>
          <w:sz w:val="24"/>
          <w:szCs w:val="24"/>
          <w:rtl/>
        </w:rPr>
        <w:t xml:space="preserve"> ב</w:t>
      </w:r>
      <w:r w:rsidR="007F238C">
        <w:rPr>
          <w:rFonts w:ascii="David" w:hAnsi="David" w:cs="David" w:hint="cs"/>
          <w:sz w:val="24"/>
          <w:szCs w:val="24"/>
          <w:rtl/>
        </w:rPr>
        <w:t>שווה</w:t>
      </w:r>
      <w:r w:rsidR="007F238C">
        <w:rPr>
          <w:rStyle w:val="a5"/>
          <w:rFonts w:ascii="David" w:hAnsi="David" w:cs="David"/>
          <w:sz w:val="24"/>
          <w:szCs w:val="24"/>
          <w:rtl/>
        </w:rPr>
        <w:footnoteReference w:id="9"/>
      </w:r>
      <w:r w:rsidR="0074409C">
        <w:rPr>
          <w:rFonts w:ascii="David" w:hAnsi="David" w:cs="David" w:hint="cs"/>
          <w:sz w:val="24"/>
          <w:szCs w:val="24"/>
          <w:rtl/>
        </w:rPr>
        <w:t>.</w:t>
      </w:r>
      <w:r w:rsidR="00D475E6">
        <w:rPr>
          <w:rFonts w:ascii="David" w:hAnsi="David" w:cs="David" w:hint="cs"/>
          <w:sz w:val="24"/>
          <w:szCs w:val="24"/>
          <w:rtl/>
        </w:rPr>
        <w:t xml:space="preserve"> ערבות זו ניתנת בצורת כיסוי עילי </w:t>
      </w:r>
      <w:r w:rsidR="00355EEB">
        <w:rPr>
          <w:rFonts w:ascii="David" w:hAnsi="David" w:cs="David" w:hint="cs"/>
          <w:sz w:val="24"/>
          <w:szCs w:val="24"/>
          <w:rtl/>
        </w:rPr>
        <w:t>(</w:t>
      </w:r>
      <w:r w:rsidR="0074409C">
        <w:rPr>
          <w:rStyle w:val="a5"/>
          <w:rFonts w:ascii="David" w:hAnsi="David" w:cs="David"/>
          <w:sz w:val="24"/>
          <w:szCs w:val="24"/>
        </w:rPr>
        <w:footnoteReference w:id="10"/>
      </w:r>
      <w:r w:rsidR="00D475E6">
        <w:rPr>
          <w:rFonts w:ascii="David" w:hAnsi="David" w:cs="David"/>
          <w:sz w:val="24"/>
          <w:szCs w:val="24"/>
        </w:rPr>
        <w:t>Top</w:t>
      </w:r>
      <w:r w:rsidR="00CD7BA0">
        <w:rPr>
          <w:rFonts w:ascii="David" w:hAnsi="David" w:cs="David"/>
          <w:sz w:val="24"/>
          <w:szCs w:val="24"/>
        </w:rPr>
        <w:t xml:space="preserve"> </w:t>
      </w:r>
      <w:r w:rsidR="00D475E6">
        <w:rPr>
          <w:rFonts w:ascii="David" w:hAnsi="David" w:cs="David"/>
          <w:sz w:val="24"/>
          <w:szCs w:val="24"/>
        </w:rPr>
        <w:t xml:space="preserve">up </w:t>
      </w:r>
      <w:r w:rsidR="00D475E6" w:rsidRPr="00BE6457">
        <w:rPr>
          <w:rFonts w:ascii="David" w:hAnsi="David" w:cs="David"/>
          <w:sz w:val="24"/>
          <w:szCs w:val="24"/>
        </w:rPr>
        <w:t>Cover</w:t>
      </w:r>
      <w:r w:rsidR="00D475E6" w:rsidRPr="00BE6457">
        <w:rPr>
          <w:rFonts w:ascii="David" w:hAnsi="David" w:cs="David" w:hint="cs"/>
          <w:sz w:val="24"/>
          <w:szCs w:val="24"/>
          <w:rtl/>
        </w:rPr>
        <w:t xml:space="preserve">), </w:t>
      </w:r>
      <w:r w:rsidR="008058A3" w:rsidRPr="00BE6457">
        <w:rPr>
          <w:rFonts w:ascii="David" w:hAnsi="David" w:cs="David" w:hint="cs"/>
          <w:sz w:val="24"/>
          <w:szCs w:val="24"/>
          <w:rtl/>
        </w:rPr>
        <w:t>ש</w:t>
      </w:r>
      <w:r w:rsidR="00D475E6" w:rsidRPr="00BE6457">
        <w:rPr>
          <w:rFonts w:ascii="David" w:hAnsi="David" w:cs="David" w:hint="cs"/>
          <w:sz w:val="24"/>
          <w:szCs w:val="24"/>
          <w:rtl/>
        </w:rPr>
        <w:t xml:space="preserve">לפיו </w:t>
      </w:r>
      <w:r w:rsidR="00D475E6" w:rsidRPr="00BE6457">
        <w:rPr>
          <w:rFonts w:ascii="David" w:hAnsi="David" w:cs="David"/>
          <w:sz w:val="24"/>
          <w:szCs w:val="24"/>
          <w:rtl/>
        </w:rPr>
        <w:t>על כל שקל שחברת הביטוח מכסה</w:t>
      </w:r>
      <w:r w:rsidR="00D475E6" w:rsidRPr="00BE6457">
        <w:rPr>
          <w:rFonts w:ascii="David" w:hAnsi="David" w:cs="David" w:hint="cs"/>
          <w:sz w:val="24"/>
          <w:szCs w:val="24"/>
          <w:rtl/>
        </w:rPr>
        <w:t xml:space="preserve"> בפוליסה מסוימת</w:t>
      </w:r>
      <w:r w:rsidR="00845931" w:rsidRPr="00BE6457">
        <w:rPr>
          <w:rFonts w:ascii="David" w:hAnsi="David" w:cs="David" w:hint="cs"/>
          <w:sz w:val="24"/>
          <w:szCs w:val="24"/>
          <w:rtl/>
        </w:rPr>
        <w:t xml:space="preserve"> בהתאם לכללי החיתום המקובלים אצלה</w:t>
      </w:r>
      <w:r w:rsidR="00D475E6" w:rsidRPr="00BE6457">
        <w:rPr>
          <w:rFonts w:ascii="David" w:hAnsi="David" w:cs="David"/>
          <w:sz w:val="24"/>
          <w:szCs w:val="24"/>
          <w:rtl/>
        </w:rPr>
        <w:t xml:space="preserve">, </w:t>
      </w:r>
      <w:r w:rsidR="00D475E6" w:rsidRPr="00BE6457">
        <w:rPr>
          <w:rFonts w:ascii="David" w:hAnsi="David" w:cs="David" w:hint="cs"/>
          <w:sz w:val="24"/>
          <w:szCs w:val="24"/>
          <w:rtl/>
        </w:rPr>
        <w:t xml:space="preserve">המדינה </w:t>
      </w:r>
      <w:r w:rsidR="00D475E6" w:rsidRPr="00BE6457">
        <w:rPr>
          <w:rFonts w:ascii="David" w:hAnsi="David" w:cs="David"/>
          <w:sz w:val="24"/>
          <w:szCs w:val="24"/>
          <w:rtl/>
        </w:rPr>
        <w:t xml:space="preserve">נותנת </w:t>
      </w:r>
      <w:r w:rsidR="0080483E" w:rsidRPr="00BE6457">
        <w:rPr>
          <w:rFonts w:ascii="David" w:hAnsi="David" w:cs="David" w:hint="cs"/>
          <w:sz w:val="24"/>
          <w:szCs w:val="24"/>
          <w:rtl/>
        </w:rPr>
        <w:t>תוספת</w:t>
      </w:r>
      <w:r w:rsidR="00C6788C" w:rsidRPr="00BE6457">
        <w:rPr>
          <w:rFonts w:ascii="David" w:hAnsi="David" w:cs="David" w:hint="cs"/>
          <w:sz w:val="24"/>
          <w:szCs w:val="24"/>
          <w:rtl/>
        </w:rPr>
        <w:t>,</w:t>
      </w:r>
      <w:r w:rsidR="0080483E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cs"/>
          <w:sz w:val="24"/>
          <w:szCs w:val="24"/>
          <w:rtl/>
        </w:rPr>
        <w:t>המשלי</w:t>
      </w:r>
      <w:r w:rsidR="00C6788C" w:rsidRPr="00BE6457">
        <w:rPr>
          <w:rFonts w:ascii="David" w:hAnsi="David" w:cs="David" w:hint="cs"/>
          <w:sz w:val="24"/>
          <w:szCs w:val="24"/>
          <w:rtl/>
        </w:rPr>
        <w:t>מה</w:t>
      </w:r>
      <w:r w:rsidR="008058A3" w:rsidRPr="00BE6457">
        <w:rPr>
          <w:rFonts w:ascii="David" w:hAnsi="David" w:cs="David" w:hint="cs"/>
          <w:sz w:val="24"/>
          <w:szCs w:val="24"/>
          <w:rtl/>
        </w:rPr>
        <w:t xml:space="preserve"> את הכיסוי </w:t>
      </w:r>
      <w:r w:rsidRPr="00BE6457">
        <w:rPr>
          <w:rFonts w:ascii="David" w:hAnsi="David" w:cs="David" w:hint="cs"/>
          <w:sz w:val="24"/>
          <w:szCs w:val="24"/>
          <w:rtl/>
        </w:rPr>
        <w:t>ל-100 אחוז</w:t>
      </w:r>
      <w:r w:rsidR="008058A3" w:rsidRPr="00BE6457">
        <w:rPr>
          <w:rFonts w:ascii="David" w:hAnsi="David" w:cs="David" w:hint="cs"/>
          <w:sz w:val="24"/>
          <w:szCs w:val="24"/>
          <w:rtl/>
        </w:rPr>
        <w:t>ים</w:t>
      </w:r>
      <w:r w:rsidRPr="00BE6457">
        <w:rPr>
          <w:rStyle w:val="a5"/>
          <w:rFonts w:ascii="David" w:hAnsi="David" w:cs="David"/>
          <w:sz w:val="24"/>
          <w:szCs w:val="24"/>
          <w:rtl/>
        </w:rPr>
        <w:footnoteReference w:id="11"/>
      </w:r>
      <w:r w:rsidRPr="00BE6457">
        <w:rPr>
          <w:rFonts w:ascii="David" w:hAnsi="David" w:cs="David" w:hint="cs"/>
          <w:sz w:val="24"/>
          <w:szCs w:val="24"/>
          <w:rtl/>
        </w:rPr>
        <w:t>.</w:t>
      </w:r>
      <w:r w:rsidR="00BE348E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845931" w:rsidRPr="00BE6457">
        <w:rPr>
          <w:rFonts w:ascii="David" w:hAnsi="David" w:cs="David" w:hint="cs"/>
          <w:sz w:val="24"/>
          <w:szCs w:val="24"/>
          <w:rtl/>
        </w:rPr>
        <w:t xml:space="preserve">התחייבות המדינה תחול רק </w:t>
      </w:r>
      <w:r w:rsidR="00D1236B" w:rsidRPr="00BE6457">
        <w:rPr>
          <w:rFonts w:ascii="David" w:hAnsi="David" w:cs="David" w:hint="cs"/>
          <w:sz w:val="24"/>
          <w:szCs w:val="24"/>
          <w:rtl/>
        </w:rPr>
        <w:t xml:space="preserve">על פוליסות ביטוח אשראי לטווח קצר </w:t>
      </w:r>
      <w:r w:rsidR="00D1236B" w:rsidRPr="00BE6457">
        <w:rPr>
          <w:rFonts w:ascii="David" w:hAnsi="David" w:cs="David"/>
          <w:sz w:val="24"/>
          <w:szCs w:val="24"/>
          <w:rtl/>
        </w:rPr>
        <w:t>–</w:t>
      </w:r>
      <w:r w:rsidR="00D1236B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cs"/>
          <w:sz w:val="24"/>
          <w:szCs w:val="24"/>
          <w:rtl/>
        </w:rPr>
        <w:t xml:space="preserve">כאלה שבהן </w:t>
      </w:r>
      <w:r w:rsidR="00D1236B" w:rsidRPr="00BE6457">
        <w:rPr>
          <w:rFonts w:ascii="David" w:hAnsi="David" w:cs="David" w:hint="cs"/>
          <w:sz w:val="24"/>
          <w:szCs w:val="24"/>
          <w:rtl/>
        </w:rPr>
        <w:t>מספר ימי האשראי אינו עולה על 365</w:t>
      </w:r>
      <w:r w:rsidR="00D1236B" w:rsidRPr="00BE6457">
        <w:rPr>
          <w:rFonts w:ascii="David" w:hAnsi="David" w:cs="David"/>
          <w:sz w:val="24"/>
          <w:szCs w:val="24"/>
          <w:rtl/>
        </w:rPr>
        <w:t>–</w:t>
      </w:r>
      <w:r w:rsidR="00D1236B" w:rsidRPr="00BE6457">
        <w:rPr>
          <w:rFonts w:ascii="David" w:hAnsi="David" w:cs="David" w:hint="cs"/>
          <w:sz w:val="24"/>
          <w:szCs w:val="24"/>
          <w:rtl/>
        </w:rPr>
        <w:t xml:space="preserve"> וכן רק </w:t>
      </w:r>
      <w:r w:rsidR="00C6788C" w:rsidRPr="00BE6457">
        <w:rPr>
          <w:rFonts w:ascii="David" w:hAnsi="David" w:cs="David" w:hint="eastAsia"/>
          <w:sz w:val="24"/>
          <w:szCs w:val="24"/>
          <w:rtl/>
        </w:rPr>
        <w:t>ל</w:t>
      </w:r>
      <w:r w:rsidR="00845931" w:rsidRPr="00BE6457">
        <w:rPr>
          <w:rFonts w:ascii="David" w:hAnsi="David" w:cs="David" w:hint="cs"/>
          <w:sz w:val="24"/>
          <w:szCs w:val="24"/>
          <w:rtl/>
        </w:rPr>
        <w:t xml:space="preserve">תוספת כיסוי עילי שהוצאה מיום 1.4.20 </w:t>
      </w:r>
      <w:r w:rsidR="00D903C9" w:rsidRPr="00BE6457">
        <w:rPr>
          <w:rFonts w:ascii="David" w:hAnsi="David" w:cs="David" w:hint="cs"/>
          <w:sz w:val="24"/>
          <w:szCs w:val="24"/>
          <w:rtl/>
        </w:rPr>
        <w:t xml:space="preserve">ועד </w:t>
      </w:r>
      <w:r w:rsidR="00BE3E8E" w:rsidRPr="00BE6457">
        <w:rPr>
          <w:rFonts w:ascii="David" w:hAnsi="David" w:cs="David" w:hint="cs"/>
          <w:sz w:val="24"/>
          <w:szCs w:val="24"/>
          <w:rtl/>
        </w:rPr>
        <w:t>31</w:t>
      </w:r>
      <w:r w:rsidR="00D903C9" w:rsidRPr="00BE6457">
        <w:rPr>
          <w:rFonts w:ascii="David" w:hAnsi="David" w:cs="David" w:hint="cs"/>
          <w:sz w:val="24"/>
          <w:szCs w:val="24"/>
          <w:rtl/>
        </w:rPr>
        <w:t>.</w:t>
      </w:r>
      <w:r w:rsidR="00AD3ADE">
        <w:rPr>
          <w:rFonts w:ascii="David" w:hAnsi="David" w:cs="David" w:hint="cs"/>
          <w:sz w:val="24"/>
          <w:szCs w:val="24"/>
          <w:rtl/>
        </w:rPr>
        <w:t>12</w:t>
      </w:r>
      <w:r w:rsidR="00D903C9" w:rsidRPr="00BE6457">
        <w:rPr>
          <w:rFonts w:ascii="David" w:hAnsi="David" w:cs="David" w:hint="cs"/>
          <w:sz w:val="24"/>
          <w:szCs w:val="24"/>
          <w:rtl/>
        </w:rPr>
        <w:t>.21</w:t>
      </w:r>
      <w:r w:rsidR="00BE6457">
        <w:rPr>
          <w:rFonts w:ascii="David" w:hAnsi="David" w:cs="David" w:hint="cs"/>
          <w:sz w:val="24"/>
          <w:szCs w:val="24"/>
          <w:rtl/>
        </w:rPr>
        <w:t>. כ</w:t>
      </w:r>
      <w:r w:rsidR="003375B1" w:rsidRPr="00BE6457">
        <w:rPr>
          <w:rFonts w:ascii="David" w:hAnsi="David" w:cs="David" w:hint="cs"/>
          <w:sz w:val="24"/>
          <w:szCs w:val="24"/>
          <w:rtl/>
        </w:rPr>
        <w:t xml:space="preserve">מו </w:t>
      </w:r>
      <w:r w:rsidR="00C6788C" w:rsidRPr="00BE6457">
        <w:rPr>
          <w:rFonts w:ascii="David" w:hAnsi="David" w:cs="David" w:hint="cs"/>
          <w:sz w:val="24"/>
          <w:szCs w:val="24"/>
          <w:rtl/>
        </w:rPr>
        <w:t xml:space="preserve">כן תוכל </w:t>
      </w:r>
      <w:r w:rsidR="008058A3" w:rsidRPr="00BE6457">
        <w:rPr>
          <w:rFonts w:ascii="David" w:hAnsi="David" w:cs="David" w:hint="eastAsia"/>
          <w:sz w:val="24"/>
          <w:szCs w:val="24"/>
          <w:rtl/>
        </w:rPr>
        <w:t>המדינה</w:t>
      </w:r>
      <w:r w:rsidR="008058A3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C6788C" w:rsidRPr="00BE6457">
        <w:rPr>
          <w:rFonts w:ascii="David" w:hAnsi="David" w:cs="David" w:hint="cs"/>
          <w:sz w:val="24"/>
          <w:szCs w:val="24"/>
          <w:rtl/>
        </w:rPr>
        <w:t>להקדים את</w:t>
      </w:r>
      <w:r w:rsidR="00D903C9" w:rsidRPr="00BE6457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BE6457">
        <w:rPr>
          <w:rFonts w:ascii="David" w:hAnsi="David" w:cs="David" w:hint="cs"/>
          <w:sz w:val="24"/>
          <w:szCs w:val="24"/>
          <w:rtl/>
        </w:rPr>
        <w:t xml:space="preserve">תפוגתו של </w:t>
      </w:r>
      <w:r w:rsidR="00D903C9" w:rsidRPr="00BE6457">
        <w:rPr>
          <w:rFonts w:ascii="David" w:hAnsi="David" w:cs="David" w:hint="cs"/>
          <w:sz w:val="24"/>
          <w:szCs w:val="24"/>
          <w:rtl/>
        </w:rPr>
        <w:t>תוקף כתב הערבות</w:t>
      </w:r>
      <w:r w:rsidR="008058A3" w:rsidRPr="00BE6457">
        <w:rPr>
          <w:rFonts w:ascii="David" w:hAnsi="David" w:cs="David" w:hint="cs"/>
          <w:sz w:val="24"/>
          <w:szCs w:val="24"/>
          <w:rtl/>
        </w:rPr>
        <w:t xml:space="preserve"> על פי שיקול דעתה.</w:t>
      </w:r>
      <w:r w:rsidR="008058A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475E6" w:rsidRDefault="00C6788C" w:rsidP="0045155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0545E">
        <w:rPr>
          <w:rFonts w:ascii="David" w:hAnsi="David" w:cs="David" w:hint="cs"/>
          <w:sz w:val="24"/>
          <w:szCs w:val="24"/>
          <w:rtl/>
        </w:rPr>
        <w:t xml:space="preserve">דוגמה </w:t>
      </w:r>
      <w:r w:rsidR="00BE3E8E" w:rsidRPr="00C0545E">
        <w:rPr>
          <w:rFonts w:ascii="David" w:hAnsi="David" w:cs="David" w:hint="cs"/>
          <w:sz w:val="24"/>
          <w:szCs w:val="24"/>
          <w:rtl/>
        </w:rPr>
        <w:t>לשם המחשה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: אם 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לפני משבר הקורונה </w:t>
      </w:r>
      <w:r w:rsidR="008058A3" w:rsidRPr="00C0545E">
        <w:rPr>
          <w:rFonts w:ascii="David" w:hAnsi="David" w:cs="David" w:hint="cs"/>
          <w:sz w:val="24"/>
          <w:szCs w:val="24"/>
          <w:rtl/>
        </w:rPr>
        <w:t>חברה ל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ביטוח אשראי נתנה 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לספק מסוים </w:t>
      </w:r>
      <w:r w:rsidR="00BE3E8E" w:rsidRPr="00C0545E">
        <w:rPr>
          <w:rFonts w:ascii="David" w:hAnsi="David" w:cs="David" w:hint="cs"/>
          <w:sz w:val="24"/>
          <w:szCs w:val="24"/>
          <w:rtl/>
        </w:rPr>
        <w:t>כיסוי של מיליון שקלים</w:t>
      </w:r>
      <w:r w:rsidR="008058A3" w:rsidRPr="00C0545E">
        <w:rPr>
          <w:rFonts w:ascii="David" w:hAnsi="David" w:cs="David" w:hint="cs"/>
          <w:sz w:val="24"/>
          <w:szCs w:val="24"/>
          <w:rtl/>
        </w:rPr>
        <w:t>,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 וכעת</w:t>
      </w:r>
      <w:r w:rsidR="008058A3" w:rsidRPr="00C0545E">
        <w:rPr>
          <w:rFonts w:ascii="David" w:hAnsi="David" w:cs="David" w:hint="cs"/>
          <w:sz w:val="24"/>
          <w:szCs w:val="24"/>
          <w:rtl/>
        </w:rPr>
        <w:t>,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C0545E">
        <w:rPr>
          <w:rFonts w:ascii="David" w:hAnsi="David" w:cs="David" w:hint="eastAsia"/>
          <w:sz w:val="24"/>
          <w:szCs w:val="24"/>
          <w:rtl/>
        </w:rPr>
        <w:t>בגלל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 המשבר, הסיכון מבחינת</w:t>
      </w:r>
      <w:r w:rsidRPr="00C0545E">
        <w:rPr>
          <w:rFonts w:ascii="David" w:hAnsi="David" w:cs="David" w:hint="cs"/>
          <w:sz w:val="24"/>
          <w:szCs w:val="24"/>
          <w:rtl/>
        </w:rPr>
        <w:t>ה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 עלה</w:t>
      </w:r>
      <w:r w:rsidR="008058A3" w:rsidRPr="00C0545E">
        <w:rPr>
          <w:rFonts w:ascii="David" w:hAnsi="David" w:cs="David" w:hint="cs"/>
          <w:sz w:val="24"/>
          <w:szCs w:val="24"/>
          <w:rtl/>
        </w:rPr>
        <w:t>,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 והיא מחליטה לתת כיסוי רק של חצי מיליון שקלים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C0545E">
        <w:rPr>
          <w:rFonts w:ascii="David" w:hAnsi="David" w:cs="David" w:hint="eastAsia"/>
          <w:sz w:val="24"/>
          <w:szCs w:val="24"/>
          <w:rtl/>
        </w:rPr>
        <w:t>–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 ה</w:t>
      </w:r>
      <w:r w:rsidR="00BE3E8E" w:rsidRPr="00C0545E">
        <w:rPr>
          <w:rFonts w:ascii="David" w:hAnsi="David" w:cs="David" w:hint="cs"/>
          <w:sz w:val="24"/>
          <w:szCs w:val="24"/>
          <w:rtl/>
        </w:rPr>
        <w:t xml:space="preserve">דבר עלול 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להניע </w:t>
      </w:r>
      <w:r w:rsidR="00BE3E8E" w:rsidRPr="00C0545E">
        <w:rPr>
          <w:rFonts w:ascii="David" w:hAnsi="David" w:cs="David" w:hint="cs"/>
          <w:sz w:val="24"/>
          <w:szCs w:val="24"/>
          <w:rtl/>
        </w:rPr>
        <w:t>את אותו הספק</w:t>
      </w:r>
      <w:r w:rsidR="00295EC1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1F0797" w:rsidRPr="00C0545E">
        <w:rPr>
          <w:rFonts w:ascii="David" w:hAnsi="David" w:cs="David" w:hint="cs"/>
          <w:sz w:val="24"/>
          <w:szCs w:val="24"/>
          <w:rtl/>
        </w:rPr>
        <w:t>למכור</w:t>
      </w:r>
      <w:r w:rsidR="00295EC1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C0545E">
        <w:rPr>
          <w:rFonts w:ascii="David" w:hAnsi="David" w:cs="David" w:hint="cs"/>
          <w:sz w:val="24"/>
          <w:szCs w:val="24"/>
          <w:rtl/>
        </w:rPr>
        <w:t>רק מ</w:t>
      </w:r>
      <w:r w:rsidR="001F0797" w:rsidRPr="00C0545E">
        <w:rPr>
          <w:rFonts w:ascii="David" w:hAnsi="David" w:cs="David" w:hint="cs"/>
          <w:sz w:val="24"/>
          <w:szCs w:val="24"/>
          <w:rtl/>
        </w:rPr>
        <w:t>חצי</w:t>
      </w:r>
      <w:r w:rsidR="008058A3" w:rsidRPr="00C0545E">
        <w:rPr>
          <w:rFonts w:ascii="David" w:hAnsi="David" w:cs="David" w:hint="cs"/>
          <w:sz w:val="24"/>
          <w:szCs w:val="24"/>
          <w:rtl/>
        </w:rPr>
        <w:t>ת</w:t>
      </w:r>
      <w:r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1F0797" w:rsidRPr="00C0545E">
        <w:rPr>
          <w:rFonts w:ascii="David" w:hAnsi="David" w:cs="David" w:hint="cs"/>
          <w:sz w:val="24"/>
          <w:szCs w:val="24"/>
          <w:rtl/>
        </w:rPr>
        <w:t xml:space="preserve">מהסחורה </w:t>
      </w:r>
      <w:r w:rsidR="008058A3" w:rsidRPr="00C0545E">
        <w:rPr>
          <w:rFonts w:ascii="David" w:hAnsi="David" w:cs="David" w:hint="cs"/>
          <w:sz w:val="24"/>
          <w:szCs w:val="24"/>
          <w:rtl/>
        </w:rPr>
        <w:t>ש</w:t>
      </w:r>
      <w:r w:rsidR="001F0797" w:rsidRPr="00C0545E">
        <w:rPr>
          <w:rFonts w:ascii="David" w:hAnsi="David" w:cs="David" w:hint="cs"/>
          <w:sz w:val="24"/>
          <w:szCs w:val="24"/>
          <w:rtl/>
        </w:rPr>
        <w:t>היה רגיל למכור</w:t>
      </w:r>
      <w:r w:rsidR="006D4A17" w:rsidRPr="00C0545E">
        <w:rPr>
          <w:rFonts w:ascii="David" w:hAnsi="David" w:cs="David" w:hint="cs"/>
          <w:sz w:val="24"/>
          <w:szCs w:val="24"/>
          <w:rtl/>
        </w:rPr>
        <w:t xml:space="preserve">. 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על פי </w:t>
      </w:r>
      <w:r w:rsidR="006D4A17" w:rsidRPr="00C0545E">
        <w:rPr>
          <w:rFonts w:ascii="David" w:hAnsi="David" w:cs="David" w:hint="cs"/>
          <w:sz w:val="24"/>
          <w:szCs w:val="24"/>
          <w:rtl/>
        </w:rPr>
        <w:t xml:space="preserve">ההסכם </w:t>
      </w:r>
      <w:r w:rsidR="001F0797" w:rsidRPr="00C0545E">
        <w:rPr>
          <w:rFonts w:ascii="David" w:hAnsi="David" w:cs="David" w:hint="cs"/>
          <w:sz w:val="24"/>
          <w:szCs w:val="24"/>
          <w:rtl/>
        </w:rPr>
        <w:t>המדינה מספקת</w:t>
      </w:r>
      <w:r w:rsidRPr="00C0545E">
        <w:rPr>
          <w:rFonts w:ascii="David" w:hAnsi="David" w:cs="David" w:hint="cs"/>
          <w:sz w:val="24"/>
          <w:szCs w:val="24"/>
          <w:rtl/>
        </w:rPr>
        <w:t>, במקרה כזה,</w:t>
      </w:r>
      <w:r w:rsidR="001F0797" w:rsidRPr="00C0545E">
        <w:rPr>
          <w:rFonts w:ascii="David" w:hAnsi="David" w:cs="David" w:hint="cs"/>
          <w:sz w:val="24"/>
          <w:szCs w:val="24"/>
          <w:rtl/>
        </w:rPr>
        <w:t xml:space="preserve"> ערבות עבור חצי מיליון שקלים</w:t>
      </w:r>
      <w:r w:rsidR="00AF578D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6D4A17" w:rsidRPr="00C0545E">
        <w:rPr>
          <w:rFonts w:ascii="David" w:hAnsi="David" w:cs="David" w:hint="eastAsia"/>
          <w:sz w:val="24"/>
          <w:szCs w:val="24"/>
          <w:rtl/>
        </w:rPr>
        <w:t>נוספים</w:t>
      </w:r>
      <w:r w:rsidR="00AF578D" w:rsidRPr="00C0545E">
        <w:rPr>
          <w:rFonts w:ascii="David" w:hAnsi="David" w:cs="David" w:hint="cs"/>
          <w:sz w:val="24"/>
          <w:szCs w:val="24"/>
          <w:rtl/>
        </w:rPr>
        <w:t xml:space="preserve">, </w:t>
      </w:r>
      <w:r w:rsidR="006D4A17" w:rsidRPr="00C0545E">
        <w:rPr>
          <w:rFonts w:ascii="David" w:hAnsi="David" w:cs="David" w:hint="cs"/>
          <w:sz w:val="24"/>
          <w:szCs w:val="24"/>
          <w:rtl/>
        </w:rPr>
        <w:t>ו</w:t>
      </w:r>
      <w:r w:rsidR="001F0797" w:rsidRPr="00C0545E">
        <w:rPr>
          <w:rFonts w:ascii="David" w:hAnsi="David" w:cs="David" w:hint="cs"/>
          <w:sz w:val="24"/>
          <w:szCs w:val="24"/>
          <w:rtl/>
        </w:rPr>
        <w:t xml:space="preserve">כך הספק המקומי </w:t>
      </w:r>
      <w:r w:rsidR="001F0797" w:rsidRPr="00C0545E">
        <w:rPr>
          <w:rFonts w:ascii="David" w:hAnsi="David" w:cs="David" w:hint="eastAsia"/>
          <w:sz w:val="24"/>
          <w:szCs w:val="24"/>
          <w:rtl/>
        </w:rPr>
        <w:t>ח</w:t>
      </w:r>
      <w:r w:rsidR="006D4A17" w:rsidRPr="00C0545E">
        <w:rPr>
          <w:rFonts w:ascii="David" w:hAnsi="David" w:cs="David" w:hint="eastAsia"/>
          <w:sz w:val="24"/>
          <w:szCs w:val="24"/>
          <w:rtl/>
        </w:rPr>
        <w:t>ו</w:t>
      </w:r>
      <w:r w:rsidR="001F0797" w:rsidRPr="00C0545E">
        <w:rPr>
          <w:rFonts w:ascii="David" w:hAnsi="David" w:cs="David" w:hint="eastAsia"/>
          <w:sz w:val="24"/>
          <w:szCs w:val="24"/>
          <w:rtl/>
        </w:rPr>
        <w:t>זר</w:t>
      </w:r>
      <w:r w:rsidR="001F0797" w:rsidRPr="00C0545E">
        <w:rPr>
          <w:rFonts w:ascii="David" w:hAnsi="David" w:cs="David"/>
          <w:sz w:val="24"/>
          <w:szCs w:val="24"/>
          <w:rtl/>
        </w:rPr>
        <w:t xml:space="preserve"> </w:t>
      </w:r>
      <w:r w:rsidR="00EC01B2" w:rsidRPr="00C0545E">
        <w:rPr>
          <w:rFonts w:ascii="David" w:hAnsi="David" w:cs="David" w:hint="eastAsia"/>
          <w:sz w:val="24"/>
          <w:szCs w:val="24"/>
          <w:rtl/>
        </w:rPr>
        <w:t>כמעט</w:t>
      </w:r>
      <w:r w:rsidR="00EC01B2" w:rsidRPr="00C0545E">
        <w:rPr>
          <w:rFonts w:ascii="David" w:hAnsi="David" w:cs="David"/>
          <w:sz w:val="24"/>
          <w:szCs w:val="24"/>
          <w:rtl/>
        </w:rPr>
        <w:t xml:space="preserve"> </w:t>
      </w:r>
      <w:r w:rsidR="001F0797" w:rsidRPr="00C0545E">
        <w:rPr>
          <w:rFonts w:ascii="David" w:hAnsi="David" w:cs="David" w:hint="eastAsia"/>
          <w:sz w:val="24"/>
          <w:szCs w:val="24"/>
          <w:rtl/>
        </w:rPr>
        <w:t>למצבו</w:t>
      </w:r>
      <w:r w:rsidR="001F0797" w:rsidRPr="00C0545E">
        <w:rPr>
          <w:rFonts w:ascii="David" w:hAnsi="David" w:cs="David"/>
          <w:sz w:val="24"/>
          <w:szCs w:val="24"/>
          <w:rtl/>
        </w:rPr>
        <w:t xml:space="preserve"> </w:t>
      </w:r>
      <w:r w:rsidR="001F0797" w:rsidRPr="00C0545E">
        <w:rPr>
          <w:rFonts w:ascii="David" w:hAnsi="David" w:cs="David" w:hint="eastAsia"/>
          <w:sz w:val="24"/>
          <w:szCs w:val="24"/>
          <w:rtl/>
        </w:rPr>
        <w:t>המקורי</w:t>
      </w:r>
      <w:r w:rsidR="00EC01B2" w:rsidRPr="00C0545E">
        <w:rPr>
          <w:rStyle w:val="a5"/>
          <w:rFonts w:ascii="David" w:hAnsi="David" w:cs="David"/>
          <w:sz w:val="24"/>
          <w:szCs w:val="24"/>
          <w:rtl/>
        </w:rPr>
        <w:footnoteReference w:id="12"/>
      </w:r>
      <w:r w:rsidR="001F0797" w:rsidRPr="00C0545E">
        <w:rPr>
          <w:rFonts w:ascii="David" w:hAnsi="David" w:cs="David" w:hint="cs"/>
          <w:sz w:val="24"/>
          <w:szCs w:val="24"/>
          <w:rtl/>
        </w:rPr>
        <w:t>.</w:t>
      </w:r>
      <w:r w:rsidR="006D4A17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במקרה של </w:t>
      </w:r>
      <w:r w:rsidR="001618B3" w:rsidRPr="00C0545E">
        <w:rPr>
          <w:rFonts w:ascii="David" w:hAnsi="David" w:cs="David" w:hint="cs"/>
          <w:sz w:val="24"/>
          <w:szCs w:val="24"/>
          <w:rtl/>
        </w:rPr>
        <w:t xml:space="preserve">כשל ביטוחי, המבוטח יתבע </w:t>
      </w:r>
      <w:r w:rsidR="008058A3" w:rsidRPr="00C0545E">
        <w:rPr>
          <w:rFonts w:ascii="David" w:hAnsi="David" w:cs="David" w:hint="cs"/>
          <w:sz w:val="24"/>
          <w:szCs w:val="24"/>
          <w:rtl/>
        </w:rPr>
        <w:t>תחילה</w:t>
      </w:r>
      <w:r w:rsidR="001618B3" w:rsidRPr="00C0545E">
        <w:rPr>
          <w:rFonts w:ascii="David" w:hAnsi="David" w:cs="David" w:hint="cs"/>
          <w:sz w:val="24"/>
          <w:szCs w:val="24"/>
          <w:rtl/>
        </w:rPr>
        <w:t xml:space="preserve"> את</w:t>
      </w:r>
      <w:r w:rsidR="0051195A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C0545E">
        <w:rPr>
          <w:rFonts w:ascii="David" w:hAnsi="David" w:cs="David" w:hint="cs"/>
          <w:sz w:val="24"/>
          <w:szCs w:val="24"/>
          <w:rtl/>
        </w:rPr>
        <w:t>החברה ל</w:t>
      </w:r>
      <w:r w:rsidR="0051195A" w:rsidRPr="00C0545E">
        <w:rPr>
          <w:rFonts w:ascii="David" w:hAnsi="David" w:cs="David" w:hint="cs"/>
          <w:sz w:val="24"/>
          <w:szCs w:val="24"/>
          <w:rtl/>
        </w:rPr>
        <w:t xml:space="preserve">ביטוח </w:t>
      </w:r>
      <w:r w:rsidR="003F72EE" w:rsidRPr="00C0545E">
        <w:rPr>
          <w:rFonts w:ascii="David" w:hAnsi="David" w:cs="David" w:hint="cs"/>
          <w:sz w:val="24"/>
          <w:szCs w:val="24"/>
          <w:rtl/>
        </w:rPr>
        <w:t>א</w:t>
      </w:r>
      <w:r w:rsidR="0051195A" w:rsidRPr="00C0545E">
        <w:rPr>
          <w:rFonts w:ascii="David" w:hAnsi="David" w:cs="David" w:hint="cs"/>
          <w:sz w:val="24"/>
          <w:szCs w:val="24"/>
          <w:rtl/>
        </w:rPr>
        <w:t>שראי</w:t>
      </w:r>
      <w:r w:rsidR="001618B3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בגין </w:t>
      </w:r>
      <w:r w:rsidR="0051195A" w:rsidRPr="00C0545E">
        <w:rPr>
          <w:rFonts w:ascii="David" w:hAnsi="David" w:cs="David" w:hint="cs"/>
          <w:sz w:val="24"/>
          <w:szCs w:val="24"/>
          <w:rtl/>
        </w:rPr>
        <w:t>הכיסוי הראשוני</w:t>
      </w:r>
      <w:r w:rsidR="008058A3" w:rsidRPr="00C0545E">
        <w:rPr>
          <w:rFonts w:ascii="David" w:hAnsi="David" w:cs="David" w:hint="cs"/>
          <w:sz w:val="24"/>
          <w:szCs w:val="24"/>
          <w:rtl/>
        </w:rPr>
        <w:t>,</w:t>
      </w:r>
      <w:r w:rsidR="0051195A" w:rsidRPr="00C0545E">
        <w:rPr>
          <w:rFonts w:ascii="David" w:hAnsi="David" w:cs="David" w:hint="cs"/>
          <w:sz w:val="24"/>
          <w:szCs w:val="24"/>
          <w:rtl/>
        </w:rPr>
        <w:t xml:space="preserve"> ורק לאחר מכן </w:t>
      </w:r>
      <w:r w:rsidR="008058A3" w:rsidRPr="00C0545E">
        <w:rPr>
          <w:rFonts w:ascii="David" w:hAnsi="David" w:cs="David" w:hint="eastAsia"/>
          <w:sz w:val="24"/>
          <w:szCs w:val="24"/>
          <w:rtl/>
        </w:rPr>
        <w:t>–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51195A" w:rsidRPr="00C0545E">
        <w:rPr>
          <w:rFonts w:ascii="David" w:hAnsi="David" w:cs="David" w:hint="cs"/>
          <w:sz w:val="24"/>
          <w:szCs w:val="24"/>
          <w:rtl/>
        </w:rPr>
        <w:t>את המדינה</w:t>
      </w:r>
      <w:r w:rsidR="008E1B08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51195A" w:rsidRPr="00C0545E">
        <w:rPr>
          <w:rFonts w:ascii="David" w:hAnsi="David" w:cs="David" w:hint="cs"/>
          <w:sz w:val="24"/>
          <w:szCs w:val="24"/>
          <w:rtl/>
        </w:rPr>
        <w:t>(עבור הכיסוי העילי)</w:t>
      </w:r>
      <w:r w:rsidR="00B0155C" w:rsidRPr="00C0545E">
        <w:rPr>
          <w:rFonts w:ascii="David" w:hAnsi="David" w:cs="David" w:hint="cs"/>
          <w:sz w:val="24"/>
          <w:szCs w:val="24"/>
          <w:rtl/>
        </w:rPr>
        <w:t xml:space="preserve">. </w:t>
      </w:r>
      <w:r w:rsidR="0044613C" w:rsidRPr="00C0545E">
        <w:rPr>
          <w:rFonts w:ascii="David" w:hAnsi="David" w:cs="David" w:hint="cs"/>
          <w:sz w:val="24"/>
          <w:szCs w:val="24"/>
          <w:rtl/>
        </w:rPr>
        <w:t xml:space="preserve">כן </w:t>
      </w:r>
      <w:r w:rsidR="008058A3" w:rsidRPr="00C0545E">
        <w:rPr>
          <w:rFonts w:ascii="David" w:hAnsi="David" w:cs="David" w:hint="cs"/>
          <w:sz w:val="24"/>
          <w:szCs w:val="24"/>
          <w:rtl/>
        </w:rPr>
        <w:t xml:space="preserve">נדגיש </w:t>
      </w:r>
      <w:r w:rsidR="003F72EE" w:rsidRPr="00C0545E">
        <w:rPr>
          <w:rFonts w:ascii="David" w:hAnsi="David" w:cs="David" w:hint="cs"/>
          <w:sz w:val="24"/>
          <w:szCs w:val="24"/>
          <w:rtl/>
        </w:rPr>
        <w:t xml:space="preserve">כי </w:t>
      </w:r>
      <w:r w:rsidR="003F72EE" w:rsidRPr="00C0545E">
        <w:rPr>
          <w:rFonts w:ascii="David" w:hAnsi="David" w:cs="David"/>
          <w:sz w:val="24"/>
          <w:szCs w:val="24"/>
          <w:rtl/>
        </w:rPr>
        <w:t xml:space="preserve">הפרמיה עוברת </w:t>
      </w:r>
      <w:r w:rsidR="009B70F6" w:rsidRPr="00C0545E">
        <w:rPr>
          <w:rFonts w:ascii="David" w:hAnsi="David" w:cs="David" w:hint="eastAsia"/>
          <w:sz w:val="24"/>
          <w:szCs w:val="24"/>
          <w:rtl/>
        </w:rPr>
        <w:t>מחברת</w:t>
      </w:r>
      <w:r w:rsidR="009B70F6" w:rsidRPr="00C0545E">
        <w:rPr>
          <w:rFonts w:ascii="David" w:hAnsi="David" w:cs="David"/>
          <w:sz w:val="24"/>
          <w:szCs w:val="24"/>
          <w:rtl/>
        </w:rPr>
        <w:t xml:space="preserve"> הביטוח </w:t>
      </w:r>
      <w:r w:rsidR="008058A3" w:rsidRPr="00C0545E">
        <w:rPr>
          <w:rFonts w:ascii="David" w:hAnsi="David" w:cs="David" w:hint="eastAsia"/>
          <w:sz w:val="24"/>
          <w:szCs w:val="24"/>
          <w:rtl/>
        </w:rPr>
        <w:t>אל</w:t>
      </w:r>
      <w:r w:rsidR="008058A3" w:rsidRPr="00C0545E">
        <w:rPr>
          <w:rFonts w:ascii="David" w:hAnsi="David" w:cs="David"/>
          <w:sz w:val="24"/>
          <w:szCs w:val="24"/>
          <w:rtl/>
        </w:rPr>
        <w:t xml:space="preserve"> </w:t>
      </w:r>
      <w:r w:rsidR="008058A3" w:rsidRPr="00C0545E">
        <w:rPr>
          <w:rFonts w:ascii="David" w:hAnsi="David" w:cs="David" w:hint="eastAsia"/>
          <w:sz w:val="24"/>
          <w:szCs w:val="24"/>
          <w:rtl/>
        </w:rPr>
        <w:t>ה</w:t>
      </w:r>
      <w:r w:rsidR="008058A3" w:rsidRPr="00C0545E">
        <w:rPr>
          <w:rFonts w:ascii="David" w:hAnsi="David" w:cs="David"/>
          <w:sz w:val="24"/>
          <w:szCs w:val="24"/>
          <w:rtl/>
        </w:rPr>
        <w:t>מדינה</w:t>
      </w:r>
      <w:r w:rsidR="009B70F6" w:rsidRPr="00C0545E">
        <w:rPr>
          <w:rFonts w:ascii="David" w:hAnsi="David" w:cs="David" w:hint="cs"/>
          <w:sz w:val="24"/>
          <w:szCs w:val="24"/>
          <w:rtl/>
        </w:rPr>
        <w:t>, וזאת</w:t>
      </w:r>
      <w:r w:rsidR="008058A3" w:rsidRPr="00C0545E">
        <w:rPr>
          <w:rFonts w:ascii="David" w:hAnsi="David" w:cs="David"/>
          <w:sz w:val="24"/>
          <w:szCs w:val="24"/>
          <w:rtl/>
        </w:rPr>
        <w:t xml:space="preserve"> </w:t>
      </w:r>
      <w:r w:rsidR="003F72EE" w:rsidRPr="00C0545E">
        <w:rPr>
          <w:rFonts w:ascii="David" w:hAnsi="David" w:cs="David"/>
          <w:sz w:val="24"/>
          <w:szCs w:val="24"/>
          <w:rtl/>
        </w:rPr>
        <w:t xml:space="preserve">בניכוי דמי </w:t>
      </w:r>
      <w:r w:rsidR="00EE13DF" w:rsidRPr="00C0545E">
        <w:rPr>
          <w:rFonts w:ascii="David" w:hAnsi="David" w:cs="David" w:hint="cs"/>
          <w:sz w:val="24"/>
          <w:szCs w:val="24"/>
          <w:rtl/>
        </w:rPr>
        <w:t>ה</w:t>
      </w:r>
      <w:r w:rsidR="003F72EE" w:rsidRPr="00C0545E">
        <w:rPr>
          <w:rFonts w:ascii="David" w:hAnsi="David" w:cs="David"/>
          <w:sz w:val="24"/>
          <w:szCs w:val="24"/>
          <w:rtl/>
        </w:rPr>
        <w:t>תפעול</w:t>
      </w:r>
      <w:r w:rsidR="008058A3" w:rsidRPr="00C0545E">
        <w:rPr>
          <w:rFonts w:ascii="David" w:hAnsi="David" w:cs="David"/>
          <w:sz w:val="24"/>
          <w:szCs w:val="24"/>
          <w:rtl/>
        </w:rPr>
        <w:t>,</w:t>
      </w:r>
      <w:r w:rsidR="003F72EE" w:rsidRPr="00C0545E">
        <w:rPr>
          <w:rFonts w:ascii="David" w:hAnsi="David" w:cs="David"/>
          <w:sz w:val="24"/>
          <w:szCs w:val="24"/>
          <w:rtl/>
        </w:rPr>
        <w:t xml:space="preserve"> </w:t>
      </w:r>
      <w:r w:rsidR="009B70F6" w:rsidRPr="00C0545E">
        <w:rPr>
          <w:rFonts w:ascii="David" w:hAnsi="David" w:cs="David" w:hint="eastAsia"/>
          <w:sz w:val="24"/>
          <w:szCs w:val="24"/>
          <w:rtl/>
        </w:rPr>
        <w:t>שנשארים</w:t>
      </w:r>
      <w:r w:rsidR="009B70F6" w:rsidRPr="00C0545E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C0545E">
        <w:rPr>
          <w:rFonts w:ascii="David" w:hAnsi="David" w:cs="David" w:hint="eastAsia"/>
          <w:sz w:val="24"/>
          <w:szCs w:val="24"/>
          <w:rtl/>
        </w:rPr>
        <w:t>אצל</w:t>
      </w:r>
      <w:r w:rsidR="00EE13DF" w:rsidRPr="00C0545E">
        <w:rPr>
          <w:rFonts w:ascii="David" w:hAnsi="David" w:cs="David"/>
          <w:sz w:val="24"/>
          <w:szCs w:val="24"/>
          <w:rtl/>
        </w:rPr>
        <w:t xml:space="preserve"> החברה</w:t>
      </w:r>
      <w:r w:rsidR="009B70F6" w:rsidRPr="00C0545E">
        <w:rPr>
          <w:rFonts w:ascii="David" w:hAnsi="David" w:cs="David"/>
          <w:sz w:val="24"/>
          <w:szCs w:val="24"/>
          <w:rtl/>
        </w:rPr>
        <w:t>.</w:t>
      </w:r>
      <w:r w:rsidR="009B70F6" w:rsidRPr="00C0545E">
        <w:rPr>
          <w:rFonts w:ascii="David" w:hAnsi="David" w:cs="David" w:hint="cs"/>
          <w:sz w:val="24"/>
          <w:szCs w:val="24"/>
          <w:rtl/>
        </w:rPr>
        <w:t xml:space="preserve"> </w:t>
      </w:r>
      <w:r w:rsidR="006D4A17" w:rsidRPr="00C0545E">
        <w:rPr>
          <w:rFonts w:ascii="David" w:hAnsi="David" w:cs="David" w:hint="cs"/>
          <w:sz w:val="24"/>
          <w:szCs w:val="24"/>
          <w:rtl/>
        </w:rPr>
        <w:t>נציין כי הסכם כזה היה קיים בין השנים 2008 ו-2014 בעקבות המשבר הפיננסי</w:t>
      </w:r>
      <w:r w:rsidR="00B530F6" w:rsidRPr="00C0545E">
        <w:rPr>
          <w:rFonts w:ascii="David" w:hAnsi="David" w:cs="David" w:hint="cs"/>
          <w:sz w:val="24"/>
          <w:szCs w:val="24"/>
          <w:rtl/>
        </w:rPr>
        <w:t xml:space="preserve">, </w:t>
      </w:r>
      <w:r w:rsidR="000D5AC9" w:rsidRPr="00C0545E">
        <w:rPr>
          <w:rFonts w:ascii="David" w:hAnsi="David" w:cs="David" w:hint="cs"/>
          <w:sz w:val="24"/>
          <w:szCs w:val="24"/>
          <w:rtl/>
        </w:rPr>
        <w:t xml:space="preserve">אך </w:t>
      </w:r>
      <w:r w:rsidR="00B530F6" w:rsidRPr="00C0545E">
        <w:rPr>
          <w:rFonts w:ascii="David" w:hAnsi="David" w:cs="David" w:hint="cs"/>
          <w:sz w:val="24"/>
          <w:szCs w:val="24"/>
          <w:rtl/>
        </w:rPr>
        <w:t xml:space="preserve">אז </w:t>
      </w:r>
      <w:r w:rsidR="000B602B" w:rsidRPr="00C0545E">
        <w:rPr>
          <w:rFonts w:ascii="David" w:hAnsi="David" w:cs="David"/>
          <w:sz w:val="24"/>
          <w:szCs w:val="24"/>
          <w:rtl/>
        </w:rPr>
        <w:t xml:space="preserve">המדינה </w:t>
      </w:r>
      <w:r w:rsidR="000B602B" w:rsidRPr="00C0545E">
        <w:rPr>
          <w:rFonts w:ascii="David" w:hAnsi="David" w:cs="David" w:hint="cs"/>
          <w:sz w:val="24"/>
          <w:szCs w:val="24"/>
          <w:rtl/>
        </w:rPr>
        <w:t>ייחדה</w:t>
      </w:r>
      <w:r w:rsidR="000B602B" w:rsidRPr="00C0545E">
        <w:rPr>
          <w:rFonts w:ascii="David" w:hAnsi="David" w:cs="David"/>
          <w:sz w:val="24"/>
          <w:szCs w:val="24"/>
          <w:rtl/>
        </w:rPr>
        <w:t xml:space="preserve"> את הת</w:t>
      </w:r>
      <w:r w:rsidR="000D5AC9" w:rsidRPr="00C0545E">
        <w:rPr>
          <w:rFonts w:ascii="David" w:hAnsi="David" w:cs="David" w:hint="cs"/>
          <w:sz w:val="24"/>
          <w:szCs w:val="24"/>
          <w:rtl/>
        </w:rPr>
        <w:t>ו</w:t>
      </w:r>
      <w:r w:rsidR="000B602B" w:rsidRPr="00C0545E">
        <w:rPr>
          <w:rFonts w:ascii="David" w:hAnsi="David" w:cs="David"/>
          <w:sz w:val="24"/>
          <w:szCs w:val="24"/>
          <w:rtl/>
        </w:rPr>
        <w:t>כנית ליצואנים בלבד</w:t>
      </w:r>
      <w:r w:rsidR="00AB325A" w:rsidRPr="00C0545E">
        <w:rPr>
          <w:rStyle w:val="a5"/>
          <w:rFonts w:ascii="David" w:hAnsi="David" w:cs="David"/>
          <w:sz w:val="24"/>
          <w:szCs w:val="24"/>
          <w:rtl/>
        </w:rPr>
        <w:footnoteReference w:id="13"/>
      </w:r>
      <w:r w:rsidR="00B530F6" w:rsidRPr="00C0545E">
        <w:rPr>
          <w:rFonts w:ascii="David" w:hAnsi="David" w:cs="David" w:hint="cs"/>
          <w:sz w:val="24"/>
          <w:szCs w:val="24"/>
          <w:rtl/>
        </w:rPr>
        <w:t>.</w:t>
      </w:r>
      <w:r w:rsidR="00B530F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F7630" w:rsidRDefault="000F7630" w:rsidP="00FB67B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747A1">
        <w:rPr>
          <w:rFonts w:ascii="David" w:hAnsi="David" w:cs="David" w:hint="cs"/>
          <w:sz w:val="24"/>
          <w:szCs w:val="24"/>
          <w:rtl/>
        </w:rPr>
        <w:t xml:space="preserve">מן הנתונים עולה כי בעקבות הסיוע המענה </w:t>
      </w:r>
      <w:r w:rsidR="00FE764C" w:rsidRPr="00D747A1">
        <w:rPr>
          <w:rFonts w:ascii="David" w:hAnsi="David" w:cs="David" w:hint="cs"/>
          <w:sz w:val="24"/>
          <w:szCs w:val="24"/>
          <w:rtl/>
        </w:rPr>
        <w:t xml:space="preserve">הממוצע בחברת </w:t>
      </w:r>
      <w:r w:rsidR="00EE13DF" w:rsidRPr="00D747A1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844A8E" w:rsidRPr="00D747A1">
        <w:rPr>
          <w:rFonts w:ascii="David" w:hAnsi="David" w:cs="David" w:hint="cs"/>
          <w:sz w:val="24"/>
          <w:szCs w:val="24"/>
          <w:rtl/>
        </w:rPr>
        <w:t>בססח</w:t>
      </w:r>
      <w:proofErr w:type="spellEnd"/>
      <w:r w:rsidR="00EE13DF" w:rsidRPr="00D747A1">
        <w:rPr>
          <w:rFonts w:ascii="David" w:hAnsi="David" w:cs="David" w:hint="cs"/>
          <w:sz w:val="24"/>
          <w:szCs w:val="24"/>
          <w:rtl/>
        </w:rPr>
        <w:t>"</w:t>
      </w:r>
      <w:r w:rsidR="00FE764C" w:rsidRPr="00D747A1">
        <w:rPr>
          <w:rFonts w:ascii="David" w:hAnsi="David" w:cs="David" w:hint="cs"/>
          <w:sz w:val="24"/>
          <w:szCs w:val="24"/>
          <w:rtl/>
        </w:rPr>
        <w:t xml:space="preserve"> </w:t>
      </w:r>
      <w:r w:rsidRPr="00D747A1">
        <w:rPr>
          <w:rFonts w:ascii="David" w:hAnsi="David" w:cs="David" w:hint="cs"/>
          <w:sz w:val="24"/>
          <w:szCs w:val="24"/>
          <w:rtl/>
        </w:rPr>
        <w:t>חזר לשיעורים גבוהים</w:t>
      </w:r>
      <w:r w:rsidR="00B66565">
        <w:rPr>
          <w:rFonts w:ascii="David" w:hAnsi="David" w:cs="David" w:hint="cs"/>
          <w:sz w:val="24"/>
          <w:szCs w:val="24"/>
          <w:rtl/>
        </w:rPr>
        <w:t>:</w:t>
      </w:r>
      <w:r w:rsidRPr="00D747A1">
        <w:rPr>
          <w:rFonts w:ascii="David" w:hAnsi="David" w:cs="David" w:hint="cs"/>
          <w:sz w:val="24"/>
          <w:szCs w:val="24"/>
          <w:rtl/>
        </w:rPr>
        <w:t xml:space="preserve"> בחודשים יוני עד אוקטובר שיעור המענה </w:t>
      </w:r>
      <w:r w:rsidR="00FE764C" w:rsidRPr="00D747A1">
        <w:rPr>
          <w:rFonts w:ascii="David" w:hAnsi="David" w:cs="David" w:hint="cs"/>
          <w:sz w:val="24"/>
          <w:szCs w:val="24"/>
          <w:rtl/>
        </w:rPr>
        <w:t xml:space="preserve">הממוצע </w:t>
      </w:r>
      <w:r w:rsidRPr="00D747A1">
        <w:rPr>
          <w:rFonts w:ascii="David" w:hAnsi="David" w:cs="David" w:hint="cs"/>
          <w:sz w:val="24"/>
          <w:szCs w:val="24"/>
          <w:rtl/>
        </w:rPr>
        <w:t xml:space="preserve">הגיע </w:t>
      </w:r>
      <w:r w:rsidR="00FE764C" w:rsidRPr="00D747A1">
        <w:rPr>
          <w:rFonts w:ascii="David" w:hAnsi="David" w:cs="David" w:hint="cs"/>
          <w:sz w:val="24"/>
          <w:szCs w:val="24"/>
          <w:rtl/>
        </w:rPr>
        <w:t xml:space="preserve">לשמונים אחוזים, </w:t>
      </w:r>
      <w:r w:rsidR="000D5AC9" w:rsidRPr="00D747A1">
        <w:rPr>
          <w:rFonts w:ascii="David" w:hAnsi="David" w:cs="David" w:hint="cs"/>
          <w:sz w:val="24"/>
          <w:szCs w:val="24"/>
          <w:rtl/>
        </w:rPr>
        <w:t xml:space="preserve">אף </w:t>
      </w:r>
      <w:r w:rsidR="00FE764C" w:rsidRPr="00D747A1">
        <w:rPr>
          <w:rFonts w:ascii="David" w:hAnsi="David" w:cs="David" w:hint="cs"/>
          <w:sz w:val="24"/>
          <w:szCs w:val="24"/>
          <w:rtl/>
        </w:rPr>
        <w:t xml:space="preserve">כי </w:t>
      </w:r>
      <w:r w:rsidR="000D5AC9" w:rsidRPr="00D747A1">
        <w:rPr>
          <w:rFonts w:ascii="David" w:hAnsi="David" w:cs="David" w:hint="cs"/>
          <w:sz w:val="24"/>
          <w:szCs w:val="24"/>
          <w:rtl/>
        </w:rPr>
        <w:t xml:space="preserve">הוא עדיין נמוך 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(ב-3 </w:t>
      </w:r>
      <w:r w:rsidR="008F2A5E" w:rsidRPr="00FA4585">
        <w:rPr>
          <w:rFonts w:ascii="David" w:hAnsi="David" w:cs="David" w:hint="cs"/>
          <w:sz w:val="24"/>
          <w:szCs w:val="24"/>
          <w:rtl/>
        </w:rPr>
        <w:t>נקודות האחוז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) מאשר בתקופה </w:t>
      </w:r>
      <w:r w:rsidR="00FE764C" w:rsidRPr="00FA4585">
        <w:rPr>
          <w:rFonts w:ascii="David" w:hAnsi="David" w:cs="David" w:hint="cs"/>
          <w:sz w:val="24"/>
          <w:szCs w:val="24"/>
          <w:rtl/>
        </w:rPr>
        <w:t>המקבילה אשתקד</w:t>
      </w:r>
      <w:r w:rsidR="000D5AC9" w:rsidRPr="00FA4585">
        <w:rPr>
          <w:rFonts w:ascii="David" w:hAnsi="David" w:cs="David" w:hint="cs"/>
          <w:sz w:val="24"/>
          <w:szCs w:val="24"/>
          <w:rtl/>
        </w:rPr>
        <w:t>.</w:t>
      </w:r>
      <w:r w:rsidR="009B70F6" w:rsidRPr="00FA4585">
        <w:rPr>
          <w:rFonts w:ascii="David" w:hAnsi="David" w:cs="David" w:hint="cs"/>
          <w:sz w:val="24"/>
          <w:szCs w:val="24"/>
          <w:rtl/>
        </w:rPr>
        <w:t xml:space="preserve"> 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בחלוקה לפי דירוג </w:t>
      </w:r>
      <w:r w:rsidR="00451557" w:rsidRPr="00FA4585">
        <w:rPr>
          <w:rFonts w:ascii="David" w:hAnsi="David" w:cs="David" w:hint="cs"/>
          <w:sz w:val="24"/>
          <w:szCs w:val="24"/>
          <w:rtl/>
        </w:rPr>
        <w:t xml:space="preserve">סיכון </w:t>
      </w:r>
      <w:r w:rsidR="00015512" w:rsidRPr="00FA4585">
        <w:rPr>
          <w:rFonts w:ascii="David" w:hAnsi="David" w:cs="David" w:hint="cs"/>
          <w:sz w:val="24"/>
          <w:szCs w:val="24"/>
          <w:rtl/>
        </w:rPr>
        <w:t>הקונה</w:t>
      </w:r>
      <w:r w:rsidR="00451557" w:rsidRPr="00FA4585">
        <w:rPr>
          <w:rStyle w:val="a5"/>
          <w:rFonts w:ascii="David" w:hAnsi="David" w:cs="David"/>
          <w:sz w:val="24"/>
          <w:szCs w:val="24"/>
          <w:rtl/>
        </w:rPr>
        <w:footnoteReference w:id="14"/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 ניתן להיווכח כי עלייה זו נרשמה 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לגבי </w:t>
      </w:r>
      <w:r w:rsidR="009B70F6" w:rsidRPr="00FA4585">
        <w:rPr>
          <w:rFonts w:ascii="David" w:hAnsi="David" w:cs="David" w:hint="eastAsia"/>
          <w:sz w:val="24"/>
          <w:szCs w:val="24"/>
          <w:rtl/>
        </w:rPr>
        <w:t>קונים</w:t>
      </w:r>
      <w:r w:rsidR="009B70F6" w:rsidRPr="00FA4585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FA4585">
        <w:rPr>
          <w:rFonts w:ascii="David" w:hAnsi="David" w:cs="David" w:hint="eastAsia"/>
          <w:sz w:val="24"/>
          <w:szCs w:val="24"/>
          <w:rtl/>
        </w:rPr>
        <w:t>ב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כל הדירוגים, </w:t>
      </w:r>
      <w:r w:rsidR="000D5AC9" w:rsidRPr="00FA4585">
        <w:rPr>
          <w:rFonts w:ascii="David" w:hAnsi="David" w:cs="David" w:hint="eastAsia"/>
          <w:sz w:val="24"/>
          <w:szCs w:val="24"/>
          <w:rtl/>
        </w:rPr>
        <w:t>פרט</w:t>
      </w:r>
      <w:r w:rsidR="000D5AC9" w:rsidRPr="00FA4585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FA4585">
        <w:rPr>
          <w:rFonts w:ascii="David" w:hAnsi="David" w:cs="David" w:hint="eastAsia"/>
          <w:sz w:val="24"/>
          <w:szCs w:val="24"/>
          <w:rtl/>
        </w:rPr>
        <w:t>לאלה</w:t>
      </w:r>
      <w:r w:rsidR="00EE13DF" w:rsidRPr="00FA4585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FA4585">
        <w:rPr>
          <w:rFonts w:ascii="David" w:hAnsi="David" w:cs="David" w:hint="eastAsia"/>
          <w:sz w:val="24"/>
          <w:szCs w:val="24"/>
          <w:rtl/>
        </w:rPr>
        <w:t>ב</w:t>
      </w:r>
      <w:r w:rsidR="009B70F6" w:rsidRPr="00FA4585">
        <w:rPr>
          <w:rFonts w:ascii="David" w:hAnsi="David" w:cs="David" w:hint="eastAsia"/>
          <w:sz w:val="24"/>
          <w:szCs w:val="24"/>
          <w:rtl/>
        </w:rPr>
        <w:t>שני</w:t>
      </w:r>
      <w:r w:rsidR="009B70F6" w:rsidRPr="00FA4585">
        <w:rPr>
          <w:rFonts w:ascii="David" w:hAnsi="David" w:cs="David"/>
          <w:sz w:val="24"/>
          <w:szCs w:val="24"/>
          <w:rtl/>
        </w:rPr>
        <w:t xml:space="preserve"> </w:t>
      </w:r>
      <w:r w:rsidR="009B70F6" w:rsidRPr="00FA4585">
        <w:rPr>
          <w:rFonts w:ascii="David" w:hAnsi="David" w:cs="David" w:hint="eastAsia"/>
          <w:sz w:val="24"/>
          <w:szCs w:val="24"/>
          <w:rtl/>
        </w:rPr>
        <w:t>הדירוגים</w:t>
      </w:r>
      <w:r w:rsidR="00015512" w:rsidRPr="00FA4585">
        <w:rPr>
          <w:rFonts w:ascii="David" w:hAnsi="David" w:cs="David"/>
          <w:sz w:val="24"/>
          <w:szCs w:val="24"/>
          <w:rtl/>
        </w:rPr>
        <w:t xml:space="preserve"> המסוכנים ביותר</w:t>
      </w:r>
      <w:r w:rsidR="00847B9F" w:rsidRPr="00FA4585">
        <w:rPr>
          <w:rFonts w:ascii="David" w:hAnsi="David" w:cs="David" w:hint="cs"/>
          <w:sz w:val="24"/>
          <w:szCs w:val="24"/>
          <w:rtl/>
        </w:rPr>
        <w:t xml:space="preserve"> (</w:t>
      </w:r>
      <w:r w:rsidR="000D5AC9" w:rsidRPr="00FA4585">
        <w:rPr>
          <w:rFonts w:ascii="David" w:hAnsi="David" w:cs="David" w:hint="eastAsia"/>
          <w:sz w:val="24"/>
          <w:szCs w:val="24"/>
          <w:rtl/>
        </w:rPr>
        <w:t>שהם</w:t>
      </w:r>
      <w:r w:rsidR="000D5AC9" w:rsidRPr="00FA4585">
        <w:rPr>
          <w:rFonts w:ascii="David" w:hAnsi="David" w:cs="David"/>
          <w:sz w:val="24"/>
          <w:szCs w:val="24"/>
          <w:rtl/>
        </w:rPr>
        <w:t xml:space="preserve"> </w:t>
      </w:r>
      <w:r w:rsidR="000D5AC9" w:rsidRPr="00FA4585">
        <w:rPr>
          <w:rFonts w:ascii="David" w:hAnsi="David" w:cs="David" w:hint="eastAsia"/>
          <w:sz w:val="24"/>
          <w:szCs w:val="24"/>
          <w:rtl/>
        </w:rPr>
        <w:t>של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 כ-2 </w:t>
      </w:r>
      <w:r w:rsidR="00847B9F" w:rsidRPr="00FA4585">
        <w:rPr>
          <w:rFonts w:ascii="David" w:hAnsi="David" w:cs="David" w:hint="cs"/>
          <w:sz w:val="24"/>
          <w:szCs w:val="24"/>
          <w:rtl/>
        </w:rPr>
        <w:t>אחוזים מכלל הקונים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); לגבי אלה 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שיעור המענה </w:t>
      </w:r>
      <w:r w:rsidR="00847B9F" w:rsidRPr="00FA4585">
        <w:rPr>
          <w:rFonts w:ascii="David" w:hAnsi="David" w:cs="David" w:hint="cs"/>
          <w:sz w:val="24"/>
          <w:szCs w:val="24"/>
          <w:rtl/>
        </w:rPr>
        <w:t xml:space="preserve">המשיך לרדת גם לאחר קבלת הערבות. 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גם כשמסתכלים על שיעור העסקאות </w:t>
      </w:r>
      <w:r w:rsidR="000D5AC9" w:rsidRPr="00FA4585">
        <w:rPr>
          <w:rFonts w:ascii="David" w:hAnsi="David" w:cs="David" w:hint="cs"/>
          <w:sz w:val="24"/>
          <w:szCs w:val="24"/>
          <w:rtl/>
        </w:rPr>
        <w:t>ש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בהן שיעור המענה הוא אפס רואים כי שיעור זה </w:t>
      </w:r>
      <w:r w:rsidR="00FB67B1" w:rsidRPr="00FA4585">
        <w:rPr>
          <w:rFonts w:ascii="David" w:hAnsi="David" w:cs="David" w:hint="cs"/>
          <w:sz w:val="24"/>
          <w:szCs w:val="24"/>
          <w:rtl/>
        </w:rPr>
        <w:t>ירד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 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במקצת 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לאחר קבלת ערבות המדינה (מ-14.3 אחוזים בחודשים מרץ עד מאי ל-13 אחוזים בחודשים יוני עד אוקטובר), 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אף 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כי 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הוא 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לא חזר לרמות </w:t>
      </w:r>
      <w:r w:rsidR="000D5AC9" w:rsidRPr="00FA4585">
        <w:rPr>
          <w:rFonts w:ascii="David" w:hAnsi="David" w:cs="David" w:hint="cs"/>
          <w:sz w:val="24"/>
          <w:szCs w:val="24"/>
          <w:rtl/>
        </w:rPr>
        <w:t xml:space="preserve">של </w:t>
      </w:r>
      <w:r w:rsidR="00015512" w:rsidRPr="00FA4585">
        <w:rPr>
          <w:rFonts w:ascii="David" w:hAnsi="David" w:cs="David" w:hint="cs"/>
          <w:sz w:val="24"/>
          <w:szCs w:val="24"/>
          <w:rtl/>
        </w:rPr>
        <w:t xml:space="preserve">אשתקד (11.8 אחוזים בממוצע). </w:t>
      </w:r>
      <w:r w:rsidR="00A92F83" w:rsidRPr="00FA4585">
        <w:rPr>
          <w:rFonts w:ascii="David" w:hAnsi="David" w:cs="David" w:hint="cs"/>
          <w:sz w:val="24"/>
          <w:szCs w:val="24"/>
          <w:rtl/>
        </w:rPr>
        <w:t>זאת</w:t>
      </w:r>
      <w:r w:rsidR="00A92F83" w:rsidRPr="00D747A1">
        <w:rPr>
          <w:rFonts w:ascii="David" w:hAnsi="David" w:cs="David" w:hint="cs"/>
          <w:sz w:val="24"/>
          <w:szCs w:val="24"/>
          <w:rtl/>
        </w:rPr>
        <w:t xml:space="preserve"> ככל הנראה על רקע עליית הסיכון בתקופה זו וההנחה </w:t>
      </w:r>
      <w:r w:rsidR="000D5AC9" w:rsidRPr="00D747A1">
        <w:rPr>
          <w:rFonts w:ascii="David" w:hAnsi="David" w:cs="David" w:hint="cs"/>
          <w:sz w:val="24"/>
          <w:szCs w:val="24"/>
          <w:rtl/>
        </w:rPr>
        <w:t xml:space="preserve">שלמרות קבלת הערבות </w:t>
      </w:r>
      <w:r w:rsidR="00A92F83" w:rsidRPr="00D747A1">
        <w:rPr>
          <w:rFonts w:ascii="David" w:hAnsi="David" w:cs="David" w:hint="cs"/>
          <w:sz w:val="24"/>
          <w:szCs w:val="24"/>
          <w:rtl/>
        </w:rPr>
        <w:t xml:space="preserve">חברת </w:t>
      </w:r>
      <w:r w:rsidR="00EE13DF" w:rsidRPr="00D747A1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844A8E" w:rsidRPr="00D747A1">
        <w:rPr>
          <w:rFonts w:ascii="David" w:hAnsi="David" w:cs="David" w:hint="cs"/>
          <w:sz w:val="24"/>
          <w:szCs w:val="24"/>
          <w:rtl/>
        </w:rPr>
        <w:t>בססח</w:t>
      </w:r>
      <w:proofErr w:type="spellEnd"/>
      <w:r w:rsidR="00EE13DF" w:rsidRPr="00D747A1">
        <w:rPr>
          <w:rFonts w:ascii="David" w:hAnsi="David" w:cs="David" w:hint="cs"/>
          <w:sz w:val="24"/>
          <w:szCs w:val="24"/>
          <w:rtl/>
        </w:rPr>
        <w:t>"</w:t>
      </w:r>
      <w:r w:rsidR="00A92F83" w:rsidRPr="00D747A1">
        <w:rPr>
          <w:rFonts w:ascii="David" w:hAnsi="David" w:cs="David" w:hint="cs"/>
          <w:sz w:val="24"/>
          <w:szCs w:val="24"/>
          <w:rtl/>
        </w:rPr>
        <w:t xml:space="preserve"> לא </w:t>
      </w:r>
      <w:r w:rsidR="00E03B9D" w:rsidRPr="00D747A1">
        <w:rPr>
          <w:rFonts w:ascii="David" w:hAnsi="David" w:cs="David" w:hint="cs"/>
          <w:sz w:val="24"/>
          <w:szCs w:val="24"/>
          <w:rtl/>
        </w:rPr>
        <w:t xml:space="preserve">תבטח עסקאות </w:t>
      </w:r>
      <w:r w:rsidR="009B70F6" w:rsidRPr="00D747A1">
        <w:rPr>
          <w:rFonts w:ascii="David" w:hAnsi="David" w:cs="David" w:hint="cs"/>
          <w:sz w:val="24"/>
          <w:szCs w:val="24"/>
          <w:rtl/>
        </w:rPr>
        <w:t xml:space="preserve">אשר הפכו </w:t>
      </w:r>
      <w:r w:rsidR="00E03B9D" w:rsidRPr="00D747A1">
        <w:rPr>
          <w:rFonts w:ascii="David" w:hAnsi="David" w:cs="David" w:hint="cs"/>
          <w:sz w:val="24"/>
          <w:szCs w:val="24"/>
          <w:rtl/>
        </w:rPr>
        <w:t>למסוכנות מדי</w:t>
      </w:r>
      <w:r w:rsidR="000D5AC9" w:rsidRPr="00D747A1">
        <w:rPr>
          <w:rFonts w:ascii="David" w:hAnsi="David" w:cs="David" w:hint="cs"/>
          <w:sz w:val="24"/>
          <w:szCs w:val="24"/>
          <w:rtl/>
        </w:rPr>
        <w:t>,</w:t>
      </w:r>
      <w:r w:rsidR="00E03B9D" w:rsidRPr="00D747A1">
        <w:rPr>
          <w:rFonts w:ascii="David" w:hAnsi="David" w:cs="David" w:hint="cs"/>
          <w:sz w:val="24"/>
          <w:szCs w:val="24"/>
          <w:rtl/>
        </w:rPr>
        <w:t xml:space="preserve"> </w:t>
      </w:r>
      <w:r w:rsidR="000D5AC9" w:rsidRPr="00D747A1">
        <w:rPr>
          <w:rFonts w:ascii="David" w:hAnsi="David" w:cs="David" w:hint="eastAsia"/>
          <w:sz w:val="24"/>
          <w:szCs w:val="24"/>
          <w:rtl/>
        </w:rPr>
        <w:t>שבהן</w:t>
      </w:r>
      <w:r w:rsidR="000D5AC9" w:rsidRPr="00D747A1">
        <w:rPr>
          <w:rFonts w:ascii="David" w:hAnsi="David" w:cs="David"/>
          <w:sz w:val="24"/>
          <w:szCs w:val="24"/>
          <w:rtl/>
        </w:rPr>
        <w:t>,</w:t>
      </w:r>
      <w:r w:rsidR="000D5AC9" w:rsidRPr="00D747A1">
        <w:rPr>
          <w:rFonts w:ascii="David" w:hAnsi="David" w:cs="David" w:hint="cs"/>
          <w:sz w:val="24"/>
          <w:szCs w:val="24"/>
          <w:rtl/>
        </w:rPr>
        <w:t xml:space="preserve"> לדעתה</w:t>
      </w:r>
      <w:r w:rsidR="00E3542A">
        <w:rPr>
          <w:rFonts w:ascii="David" w:hAnsi="David" w:cs="David" w:hint="cs"/>
          <w:sz w:val="24"/>
          <w:szCs w:val="24"/>
          <w:rtl/>
        </w:rPr>
        <w:t>,</w:t>
      </w:r>
      <w:r w:rsidR="000D5AC9" w:rsidRPr="00D747A1">
        <w:rPr>
          <w:rFonts w:ascii="David" w:hAnsi="David" w:cs="David" w:hint="cs"/>
          <w:sz w:val="24"/>
          <w:szCs w:val="24"/>
          <w:rtl/>
        </w:rPr>
        <w:t xml:space="preserve"> </w:t>
      </w:r>
      <w:r w:rsidR="00E03B9D" w:rsidRPr="00D747A1">
        <w:rPr>
          <w:rFonts w:ascii="David" w:hAnsi="David" w:cs="David" w:hint="cs"/>
          <w:sz w:val="24"/>
          <w:szCs w:val="24"/>
          <w:rtl/>
        </w:rPr>
        <w:t>הסיכוי שאותם לקוחות ישלמו למבוטח שלה קטן מאוד</w:t>
      </w:r>
      <w:r w:rsidR="009B70F6" w:rsidRPr="00D747A1">
        <w:rPr>
          <w:rFonts w:ascii="David" w:hAnsi="David" w:cs="David" w:hint="cs"/>
          <w:sz w:val="24"/>
          <w:szCs w:val="24"/>
          <w:rtl/>
        </w:rPr>
        <w:t>.</w:t>
      </w:r>
    </w:p>
    <w:p w:rsidR="00162CFE" w:rsidRPr="00D433E1" w:rsidRDefault="008E1F54" w:rsidP="00E055E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A1EAD">
        <w:rPr>
          <w:rFonts w:ascii="David" w:hAnsi="David" w:cs="David" w:hint="cs"/>
          <w:sz w:val="24"/>
          <w:szCs w:val="24"/>
          <w:rtl/>
        </w:rPr>
        <w:t xml:space="preserve">בתחילת אפריל </w:t>
      </w:r>
      <w:r w:rsidR="000D5AC9" w:rsidRPr="002A1EAD">
        <w:rPr>
          <w:rFonts w:ascii="David" w:hAnsi="David" w:cs="David" w:hint="cs"/>
          <w:sz w:val="24"/>
          <w:szCs w:val="24"/>
          <w:rtl/>
        </w:rPr>
        <w:t xml:space="preserve">פרסמה </w:t>
      </w:r>
      <w:r w:rsidRPr="002A1EAD">
        <w:rPr>
          <w:rFonts w:ascii="David" w:hAnsi="David" w:cs="David"/>
          <w:sz w:val="24"/>
          <w:szCs w:val="24"/>
          <w:rtl/>
        </w:rPr>
        <w:t xml:space="preserve">חברת דירוגי החוב העולמית </w:t>
      </w:r>
      <w:proofErr w:type="spellStart"/>
      <w:r w:rsidR="000D5AC9" w:rsidRPr="002A1EAD">
        <w:rPr>
          <w:rFonts w:ascii="David" w:hAnsi="David" w:cs="David"/>
          <w:sz w:val="24"/>
          <w:szCs w:val="24"/>
          <w:rtl/>
        </w:rPr>
        <w:t>מודי'ס</w:t>
      </w:r>
      <w:proofErr w:type="spellEnd"/>
      <w:r w:rsidR="000D5AC9" w:rsidRPr="002A1EAD">
        <w:rPr>
          <w:rFonts w:ascii="David" w:hAnsi="David" w:cs="David"/>
          <w:sz w:val="24"/>
          <w:szCs w:val="24"/>
          <w:rtl/>
        </w:rPr>
        <w:t xml:space="preserve"> </w:t>
      </w:r>
      <w:r w:rsidRPr="002A1EAD">
        <w:rPr>
          <w:rFonts w:ascii="David" w:hAnsi="David" w:cs="David"/>
          <w:sz w:val="24"/>
          <w:szCs w:val="24"/>
          <w:rtl/>
        </w:rPr>
        <w:t xml:space="preserve">בחינה שערכה לדירוגי </w:t>
      </w:r>
      <w:r w:rsidR="000D5AC9" w:rsidRPr="002A1EAD">
        <w:rPr>
          <w:rFonts w:ascii="David" w:hAnsi="David" w:cs="David" w:hint="cs"/>
          <w:sz w:val="24"/>
          <w:szCs w:val="24"/>
          <w:rtl/>
        </w:rPr>
        <w:t>ה</w:t>
      </w:r>
      <w:r w:rsidRPr="002A1EAD">
        <w:rPr>
          <w:rFonts w:ascii="David" w:hAnsi="David" w:cs="David"/>
          <w:sz w:val="24"/>
          <w:szCs w:val="24"/>
          <w:rtl/>
        </w:rPr>
        <w:t xml:space="preserve">חברות </w:t>
      </w:r>
      <w:r w:rsidR="000D5AC9" w:rsidRPr="002A1EAD">
        <w:rPr>
          <w:rFonts w:ascii="David" w:hAnsi="David" w:cs="David" w:hint="cs"/>
          <w:sz w:val="24"/>
          <w:szCs w:val="24"/>
          <w:rtl/>
        </w:rPr>
        <w:t>ל</w:t>
      </w:r>
      <w:r w:rsidRPr="002A1EAD">
        <w:rPr>
          <w:rFonts w:ascii="David" w:hAnsi="David" w:cs="David"/>
          <w:sz w:val="24"/>
          <w:szCs w:val="24"/>
          <w:rtl/>
        </w:rPr>
        <w:t xml:space="preserve">ביטוח אשראי </w:t>
      </w:r>
      <w:r w:rsidR="000D5AC9" w:rsidRPr="002A1EAD">
        <w:rPr>
          <w:rFonts w:ascii="David" w:hAnsi="David" w:cs="David" w:hint="cs"/>
          <w:sz w:val="24"/>
          <w:szCs w:val="24"/>
          <w:rtl/>
        </w:rPr>
        <w:t>ה</w:t>
      </w:r>
      <w:r w:rsidR="000D5AC9" w:rsidRPr="002A1EAD">
        <w:rPr>
          <w:rFonts w:ascii="David" w:hAnsi="David" w:cs="David"/>
          <w:sz w:val="24"/>
          <w:szCs w:val="24"/>
          <w:rtl/>
        </w:rPr>
        <w:t xml:space="preserve">פועלות </w:t>
      </w:r>
      <w:r w:rsidRPr="002A1EAD">
        <w:rPr>
          <w:rFonts w:ascii="David" w:hAnsi="David" w:cs="David"/>
          <w:sz w:val="24"/>
          <w:szCs w:val="24"/>
          <w:rtl/>
        </w:rPr>
        <w:t xml:space="preserve">ישירות בישראל, בצל משבר הקורונה. </w:t>
      </w:r>
      <w:r w:rsidR="00247BAC" w:rsidRPr="002A1EAD">
        <w:rPr>
          <w:rFonts w:ascii="David" w:hAnsi="David" w:cs="David" w:hint="cs"/>
          <w:sz w:val="24"/>
          <w:szCs w:val="24"/>
          <w:rtl/>
        </w:rPr>
        <w:t xml:space="preserve">על סמך הבדיקה החליטה </w:t>
      </w:r>
      <w:proofErr w:type="spellStart"/>
      <w:r w:rsidR="00247BAC" w:rsidRPr="002A1EAD">
        <w:rPr>
          <w:rFonts w:ascii="David" w:hAnsi="David" w:cs="David" w:hint="cs"/>
          <w:sz w:val="24"/>
          <w:szCs w:val="24"/>
          <w:rtl/>
        </w:rPr>
        <w:t>מודי'ס</w:t>
      </w:r>
      <w:proofErr w:type="spellEnd"/>
      <w:r w:rsidR="00247BAC" w:rsidRPr="002A1EAD">
        <w:rPr>
          <w:rFonts w:ascii="David" w:hAnsi="David" w:cs="David" w:hint="cs"/>
          <w:sz w:val="24"/>
          <w:szCs w:val="24"/>
          <w:rtl/>
        </w:rPr>
        <w:t xml:space="preserve"> להותיר את הדירוג </w:t>
      </w:r>
      <w:r w:rsidR="000D5AC9" w:rsidRPr="002A1EAD">
        <w:rPr>
          <w:rFonts w:ascii="David" w:hAnsi="David" w:cs="David" w:hint="cs"/>
          <w:sz w:val="24"/>
          <w:szCs w:val="24"/>
          <w:rtl/>
        </w:rPr>
        <w:t>בעינו,</w:t>
      </w:r>
      <w:r w:rsidR="00247BAC" w:rsidRPr="002A1EAD">
        <w:rPr>
          <w:rFonts w:ascii="David" w:hAnsi="David" w:cs="David" w:hint="cs"/>
          <w:sz w:val="24"/>
          <w:szCs w:val="24"/>
          <w:rtl/>
        </w:rPr>
        <w:t xml:space="preserve"> אך לשנות את </w:t>
      </w:r>
      <w:r w:rsidR="009B70F6" w:rsidRPr="002A1EAD">
        <w:rPr>
          <w:rFonts w:ascii="David" w:hAnsi="David" w:cs="David" w:hint="eastAsia"/>
          <w:sz w:val="24"/>
          <w:szCs w:val="24"/>
          <w:rtl/>
        </w:rPr>
        <w:t>אופק</w:t>
      </w:r>
      <w:r w:rsidR="009B70F6" w:rsidRPr="002A1EAD">
        <w:rPr>
          <w:rFonts w:ascii="David" w:hAnsi="David" w:cs="David"/>
          <w:sz w:val="24"/>
          <w:szCs w:val="24"/>
          <w:rtl/>
        </w:rPr>
        <w:t xml:space="preserve"> </w:t>
      </w:r>
      <w:r w:rsidR="00247BAC" w:rsidRPr="002A1EAD">
        <w:rPr>
          <w:rFonts w:ascii="David" w:hAnsi="David" w:cs="David" w:hint="eastAsia"/>
          <w:sz w:val="24"/>
          <w:szCs w:val="24"/>
          <w:rtl/>
        </w:rPr>
        <w:t>הדירוג</w:t>
      </w:r>
      <w:r w:rsidR="00247BAC" w:rsidRPr="002A1EAD">
        <w:rPr>
          <w:rFonts w:ascii="David" w:hAnsi="David" w:cs="David" w:hint="cs"/>
          <w:sz w:val="24"/>
          <w:szCs w:val="24"/>
          <w:rtl/>
        </w:rPr>
        <w:t xml:space="preserve"> של שתיים מהחברות (</w:t>
      </w:r>
      <w:r w:rsidR="000D5AC9" w:rsidRPr="002A1EAD">
        <w:rPr>
          <w:rFonts w:ascii="David" w:hAnsi="David" w:cs="David" w:hint="cs"/>
          <w:sz w:val="24"/>
          <w:szCs w:val="24"/>
          <w:rtl/>
        </w:rPr>
        <w:t>"</w:t>
      </w:r>
      <w:r w:rsidR="00247BAC" w:rsidRPr="002A1EAD">
        <w:rPr>
          <w:rFonts w:ascii="David" w:hAnsi="David" w:cs="David" w:hint="cs"/>
          <w:sz w:val="24"/>
          <w:szCs w:val="24"/>
          <w:rtl/>
        </w:rPr>
        <w:t>כלל ביטוח אשראי</w:t>
      </w:r>
      <w:r w:rsidR="000D5AC9" w:rsidRPr="002A1EAD">
        <w:rPr>
          <w:rFonts w:ascii="David" w:hAnsi="David" w:cs="David" w:hint="cs"/>
          <w:sz w:val="24"/>
          <w:szCs w:val="24"/>
          <w:rtl/>
        </w:rPr>
        <w:t>"</w:t>
      </w:r>
      <w:r w:rsidR="0060334D" w:rsidRPr="002A1EAD">
        <w:rPr>
          <w:rFonts w:ascii="David" w:hAnsi="David" w:cs="David" w:hint="cs"/>
          <w:sz w:val="24"/>
          <w:szCs w:val="24"/>
          <w:rtl/>
        </w:rPr>
        <w:t xml:space="preserve">, </w:t>
      </w:r>
      <w:r w:rsidR="00E055E2" w:rsidRPr="002A1EAD">
        <w:rPr>
          <w:rFonts w:ascii="David" w:hAnsi="David" w:cs="David" w:hint="cs"/>
          <w:sz w:val="24"/>
          <w:szCs w:val="24"/>
          <w:rtl/>
        </w:rPr>
        <w:t>אשר ב</w:t>
      </w:r>
      <w:r w:rsidR="0060334D" w:rsidRPr="002A1EAD">
        <w:rPr>
          <w:rFonts w:ascii="David" w:hAnsi="David" w:cs="David" w:hint="cs"/>
          <w:sz w:val="24"/>
          <w:szCs w:val="24"/>
          <w:rtl/>
        </w:rPr>
        <w:t xml:space="preserve">דירוג </w:t>
      </w:r>
      <w:r w:rsidR="0060334D" w:rsidRPr="002A1EAD">
        <w:rPr>
          <w:rFonts w:ascii="David" w:hAnsi="David" w:cs="David" w:hint="cs"/>
          <w:sz w:val="24"/>
          <w:szCs w:val="24"/>
        </w:rPr>
        <w:t>A</w:t>
      </w:r>
      <w:r w:rsidR="00E055E2" w:rsidRPr="002A1EAD">
        <w:rPr>
          <w:rFonts w:ascii="David" w:hAnsi="David" w:cs="David"/>
          <w:sz w:val="24"/>
          <w:szCs w:val="24"/>
        </w:rPr>
        <w:t>3</w:t>
      </w:r>
      <w:proofErr w:type="spellStart"/>
      <w:r w:rsidR="00247BAC" w:rsidRPr="002A1EAD">
        <w:rPr>
          <w:rFonts w:ascii="David" w:hAnsi="David" w:cs="David" w:hint="cs"/>
          <w:sz w:val="24"/>
          <w:szCs w:val="24"/>
          <w:rtl/>
        </w:rPr>
        <w:t>ו</w:t>
      </w:r>
      <w:r w:rsidR="000D5AC9" w:rsidRPr="002A1EAD">
        <w:rPr>
          <w:rFonts w:ascii="David" w:hAnsi="David" w:cs="David" w:hint="cs"/>
          <w:sz w:val="24"/>
          <w:szCs w:val="24"/>
          <w:rtl/>
        </w:rPr>
        <w:t>"</w:t>
      </w:r>
      <w:r w:rsidR="00247BAC" w:rsidRPr="002A1EAD">
        <w:rPr>
          <w:rFonts w:ascii="David" w:hAnsi="David" w:cs="David" w:hint="cs"/>
          <w:sz w:val="24"/>
          <w:szCs w:val="24"/>
          <w:rtl/>
        </w:rPr>
        <w:t>קופאס</w:t>
      </w:r>
      <w:proofErr w:type="spellEnd"/>
      <w:r w:rsidR="000D5AC9" w:rsidRPr="002A1EAD">
        <w:rPr>
          <w:rFonts w:ascii="David" w:hAnsi="David" w:cs="David" w:hint="cs"/>
          <w:sz w:val="24"/>
          <w:szCs w:val="24"/>
          <w:rtl/>
        </w:rPr>
        <w:t>"</w:t>
      </w:r>
      <w:r w:rsidR="00E055E2" w:rsidRPr="002A1EAD">
        <w:rPr>
          <w:rFonts w:ascii="David" w:hAnsi="David" w:cs="David" w:hint="cs"/>
          <w:sz w:val="24"/>
          <w:szCs w:val="24"/>
          <w:rtl/>
        </w:rPr>
        <w:t xml:space="preserve">, אשר בדירוג </w:t>
      </w:r>
      <w:r w:rsidR="00E055E2" w:rsidRPr="002A1EAD">
        <w:rPr>
          <w:rFonts w:ascii="David" w:hAnsi="David" w:cs="David" w:hint="cs"/>
          <w:sz w:val="24"/>
          <w:szCs w:val="24"/>
        </w:rPr>
        <w:t>A2</w:t>
      </w:r>
      <w:r w:rsidR="00247BAC" w:rsidRPr="002A1EAD">
        <w:rPr>
          <w:rFonts w:ascii="David" w:hAnsi="David" w:cs="David" w:hint="cs"/>
          <w:sz w:val="24"/>
          <w:szCs w:val="24"/>
          <w:rtl/>
        </w:rPr>
        <w:t xml:space="preserve">) </w:t>
      </w:r>
      <w:r w:rsidR="00247BAC" w:rsidRPr="002A1EAD">
        <w:rPr>
          <w:rFonts w:ascii="David" w:hAnsi="David" w:cs="David"/>
          <w:sz w:val="24"/>
          <w:szCs w:val="24"/>
          <w:rtl/>
        </w:rPr>
        <w:t>מחיובי לשלילי</w:t>
      </w:r>
      <w:r w:rsidR="009B70F6" w:rsidRPr="002A1EAD">
        <w:rPr>
          <w:rFonts w:ascii="David" w:hAnsi="David" w:cs="David" w:hint="cs"/>
          <w:sz w:val="24"/>
          <w:szCs w:val="24"/>
          <w:rtl/>
        </w:rPr>
        <w:t>.</w:t>
      </w:r>
      <w:r w:rsidR="000D5AC9" w:rsidRPr="002A1EAD">
        <w:rPr>
          <w:rFonts w:ascii="David" w:hAnsi="David" w:cs="David"/>
          <w:sz w:val="24"/>
          <w:szCs w:val="24"/>
          <w:rtl/>
        </w:rPr>
        <w:t xml:space="preserve"> </w:t>
      </w:r>
      <w:r w:rsidR="000D5AC9" w:rsidRPr="002A1EAD">
        <w:rPr>
          <w:rFonts w:ascii="David" w:hAnsi="David" w:cs="David" w:hint="cs"/>
          <w:sz w:val="24"/>
          <w:szCs w:val="24"/>
          <w:rtl/>
        </w:rPr>
        <w:t>לעומתן הושאר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 דירוג </w:t>
      </w:r>
      <w:r w:rsidR="004847E9" w:rsidRPr="002A1EAD">
        <w:rPr>
          <w:rFonts w:ascii="David" w:hAnsi="David" w:cs="David"/>
          <w:sz w:val="24"/>
          <w:szCs w:val="24"/>
        </w:rPr>
        <w:t xml:space="preserve"> A3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של </w:t>
      </w:r>
      <w:r w:rsidR="00EE13DF" w:rsidRPr="002A1EAD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844A8E" w:rsidRPr="002A1EAD">
        <w:rPr>
          <w:rFonts w:ascii="David" w:hAnsi="David" w:cs="David"/>
          <w:sz w:val="24"/>
          <w:szCs w:val="24"/>
          <w:rtl/>
        </w:rPr>
        <w:t>בססח</w:t>
      </w:r>
      <w:proofErr w:type="spellEnd"/>
      <w:r w:rsidR="00EE13DF" w:rsidRPr="002A1EAD">
        <w:rPr>
          <w:rFonts w:ascii="David" w:hAnsi="David" w:cs="David" w:hint="cs"/>
          <w:sz w:val="24"/>
          <w:szCs w:val="24"/>
          <w:rtl/>
        </w:rPr>
        <w:t>"</w:t>
      </w:r>
      <w:r w:rsidRPr="002A1EAD">
        <w:rPr>
          <w:rFonts w:ascii="David" w:hAnsi="David" w:cs="David"/>
          <w:sz w:val="24"/>
          <w:szCs w:val="24"/>
          <w:rtl/>
        </w:rPr>
        <w:t xml:space="preserve"> באופק </w:t>
      </w:r>
      <w:r w:rsidR="004847E9" w:rsidRPr="002A1EAD">
        <w:rPr>
          <w:rFonts w:ascii="David" w:hAnsi="David" w:cs="David" w:hint="cs"/>
          <w:sz w:val="24"/>
          <w:szCs w:val="24"/>
          <w:rtl/>
        </w:rPr>
        <w:t>ה</w:t>
      </w:r>
      <w:r w:rsidRPr="002A1EAD">
        <w:rPr>
          <w:rFonts w:ascii="David" w:hAnsi="David" w:cs="David"/>
          <w:sz w:val="24"/>
          <w:szCs w:val="24"/>
          <w:rtl/>
        </w:rPr>
        <w:t>יציב</w:t>
      </w:r>
      <w:r w:rsidR="004847E9" w:rsidRPr="002A1EAD">
        <w:rPr>
          <w:rFonts w:ascii="David" w:hAnsi="David" w:cs="David" w:hint="cs"/>
          <w:sz w:val="24"/>
          <w:szCs w:val="24"/>
          <w:rtl/>
        </w:rPr>
        <w:t>.</w:t>
      </w:r>
      <w:r w:rsidR="009B70F6" w:rsidRPr="002A1EAD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2A1EAD">
        <w:rPr>
          <w:rFonts w:ascii="David" w:hAnsi="David" w:cs="David"/>
          <w:sz w:val="24"/>
          <w:szCs w:val="24"/>
          <w:rtl/>
        </w:rPr>
        <w:t>מודי'ס</w:t>
      </w:r>
      <w:proofErr w:type="spellEnd"/>
      <w:r w:rsidRPr="002A1EAD">
        <w:rPr>
          <w:rFonts w:ascii="David" w:hAnsi="David" w:cs="David"/>
          <w:sz w:val="24"/>
          <w:szCs w:val="24"/>
          <w:rtl/>
        </w:rPr>
        <w:t xml:space="preserve"> </w:t>
      </w:r>
      <w:r w:rsidR="004847E9" w:rsidRPr="002A1EAD">
        <w:rPr>
          <w:rFonts w:ascii="David" w:hAnsi="David" w:cs="David" w:hint="eastAsia"/>
          <w:sz w:val="24"/>
          <w:szCs w:val="24"/>
          <w:rtl/>
        </w:rPr>
        <w:t>נימקה</w:t>
      </w:r>
      <w:r w:rsidR="004847E9" w:rsidRPr="002A1EAD">
        <w:rPr>
          <w:rFonts w:ascii="David" w:hAnsi="David" w:cs="David"/>
          <w:sz w:val="24"/>
          <w:szCs w:val="24"/>
          <w:rtl/>
        </w:rPr>
        <w:t xml:space="preserve"> </w:t>
      </w:r>
      <w:r w:rsidRPr="002A1EAD">
        <w:rPr>
          <w:rFonts w:ascii="David" w:hAnsi="David" w:cs="David" w:hint="eastAsia"/>
          <w:sz w:val="24"/>
          <w:szCs w:val="24"/>
          <w:rtl/>
        </w:rPr>
        <w:t>את</w:t>
      </w:r>
      <w:r w:rsidRPr="002A1EAD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2A1EAD">
        <w:rPr>
          <w:rFonts w:ascii="David" w:hAnsi="David" w:cs="David" w:hint="eastAsia"/>
          <w:sz w:val="24"/>
          <w:szCs w:val="24"/>
          <w:rtl/>
        </w:rPr>
        <w:t>שינוי</w:t>
      </w:r>
      <w:r w:rsidR="00EE13DF" w:rsidRPr="002A1EAD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2A1EAD">
        <w:rPr>
          <w:rFonts w:ascii="David" w:hAnsi="David" w:cs="David" w:hint="eastAsia"/>
          <w:sz w:val="24"/>
          <w:szCs w:val="24"/>
          <w:rtl/>
        </w:rPr>
        <w:t>האופק</w:t>
      </w:r>
      <w:r w:rsidR="0065291E" w:rsidRPr="002A1EAD">
        <w:rPr>
          <w:rFonts w:ascii="David" w:hAnsi="David" w:cs="David"/>
          <w:sz w:val="24"/>
          <w:szCs w:val="24"/>
          <w:rtl/>
        </w:rPr>
        <w:t>.</w:t>
      </w:r>
      <w:r w:rsidR="0065291E" w:rsidRPr="002A1EAD">
        <w:rPr>
          <w:rFonts w:ascii="David" w:hAnsi="David" w:cs="David" w:hint="cs"/>
          <w:sz w:val="24"/>
          <w:szCs w:val="24"/>
          <w:rtl/>
        </w:rPr>
        <w:t xml:space="preserve"> אופק הדירוג עבר מחיובי לשלילי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EE13DF" w:rsidRPr="002A1EAD">
        <w:rPr>
          <w:rFonts w:ascii="David" w:hAnsi="David" w:cs="David" w:hint="eastAsia"/>
          <w:sz w:val="24"/>
          <w:szCs w:val="24"/>
          <w:rtl/>
        </w:rPr>
        <w:t>בדירוג</w:t>
      </w:r>
      <w:r w:rsidR="00EE13DF" w:rsidRPr="002A1EAD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2A1EAD">
        <w:rPr>
          <w:rFonts w:ascii="David" w:hAnsi="David" w:cs="David" w:hint="eastAsia"/>
          <w:sz w:val="24"/>
          <w:szCs w:val="24"/>
          <w:rtl/>
        </w:rPr>
        <w:t>של</w:t>
      </w:r>
      <w:r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4847E9" w:rsidRPr="002A1EAD">
        <w:rPr>
          <w:rFonts w:ascii="David" w:hAnsi="David" w:cs="David" w:hint="cs"/>
          <w:sz w:val="24"/>
          <w:szCs w:val="24"/>
          <w:rtl/>
        </w:rPr>
        <w:t>"</w:t>
      </w:r>
      <w:r w:rsidRPr="002A1EAD">
        <w:rPr>
          <w:rFonts w:ascii="David" w:hAnsi="David" w:cs="David" w:hint="cs"/>
          <w:sz w:val="24"/>
          <w:szCs w:val="24"/>
          <w:rtl/>
        </w:rPr>
        <w:t>כלל ביטוח אשראי</w:t>
      </w:r>
      <w:r w:rsidR="004847E9" w:rsidRPr="002A1EAD">
        <w:rPr>
          <w:rFonts w:ascii="David" w:hAnsi="David" w:cs="David" w:hint="cs"/>
          <w:sz w:val="24"/>
          <w:szCs w:val="24"/>
          <w:rtl/>
        </w:rPr>
        <w:t>"</w:t>
      </w:r>
      <w:r w:rsidRPr="002A1EAD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2A1EAD">
        <w:rPr>
          <w:rFonts w:ascii="David" w:hAnsi="David" w:cs="David" w:hint="cs"/>
          <w:sz w:val="24"/>
          <w:szCs w:val="24"/>
          <w:rtl/>
        </w:rPr>
        <w:t>ו</w:t>
      </w:r>
      <w:r w:rsidR="004847E9" w:rsidRPr="002A1EAD">
        <w:rPr>
          <w:rFonts w:ascii="David" w:hAnsi="David" w:cs="David" w:hint="cs"/>
          <w:sz w:val="24"/>
          <w:szCs w:val="24"/>
          <w:rtl/>
        </w:rPr>
        <w:t>"</w:t>
      </w:r>
      <w:r w:rsidRPr="002A1EAD">
        <w:rPr>
          <w:rFonts w:ascii="David" w:hAnsi="David" w:cs="David" w:hint="cs"/>
          <w:sz w:val="24"/>
          <w:szCs w:val="24"/>
          <w:rtl/>
        </w:rPr>
        <w:t>קופאס</w:t>
      </w:r>
      <w:proofErr w:type="spellEnd"/>
      <w:r w:rsidR="004847E9" w:rsidRPr="002A1EAD">
        <w:rPr>
          <w:rFonts w:ascii="David" w:hAnsi="David" w:cs="David" w:hint="cs"/>
          <w:sz w:val="24"/>
          <w:szCs w:val="24"/>
          <w:rtl/>
        </w:rPr>
        <w:t>"</w:t>
      </w:r>
      <w:r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בהערכתה </w:t>
      </w:r>
      <w:r w:rsidRPr="002A1EAD">
        <w:rPr>
          <w:rFonts w:ascii="David" w:hAnsi="David" w:cs="David" w:hint="cs"/>
          <w:sz w:val="24"/>
          <w:szCs w:val="24"/>
          <w:rtl/>
        </w:rPr>
        <w:t xml:space="preserve">שחברות </w:t>
      </w:r>
      <w:r w:rsidR="007629B6" w:rsidRPr="002A1EAD">
        <w:rPr>
          <w:rFonts w:ascii="David" w:hAnsi="David" w:cs="David" w:hint="cs"/>
          <w:sz w:val="24"/>
          <w:szCs w:val="24"/>
          <w:rtl/>
        </w:rPr>
        <w:t xml:space="preserve">אלה </w:t>
      </w:r>
      <w:r w:rsidRPr="002A1EAD">
        <w:rPr>
          <w:rFonts w:ascii="David" w:hAnsi="David" w:cs="David" w:hint="cs"/>
          <w:sz w:val="24"/>
          <w:szCs w:val="24"/>
          <w:rtl/>
        </w:rPr>
        <w:t xml:space="preserve">יושפעו 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באופן </w:t>
      </w:r>
      <w:r w:rsidR="00AD4E7F" w:rsidRPr="002A1EAD">
        <w:rPr>
          <w:rFonts w:ascii="David" w:hAnsi="David" w:cs="David" w:hint="cs"/>
          <w:sz w:val="24"/>
          <w:szCs w:val="24"/>
          <w:rtl/>
        </w:rPr>
        <w:t>קשה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 יותר </w:t>
      </w:r>
      <w:r w:rsidR="007629B6" w:rsidRPr="002A1EAD">
        <w:rPr>
          <w:rFonts w:ascii="David" w:hAnsi="David" w:cs="David" w:hint="eastAsia"/>
          <w:sz w:val="24"/>
          <w:szCs w:val="24"/>
          <w:rtl/>
        </w:rPr>
        <w:t>מאשר</w:t>
      </w:r>
      <w:r w:rsidR="007629B6" w:rsidRPr="002A1EAD">
        <w:rPr>
          <w:rFonts w:ascii="David" w:hAnsi="David" w:cs="David"/>
          <w:sz w:val="24"/>
          <w:szCs w:val="24"/>
          <w:rtl/>
        </w:rPr>
        <w:t xml:space="preserve"> </w:t>
      </w:r>
      <w:r w:rsidR="00EE13DF" w:rsidRPr="002A1EAD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844A8E" w:rsidRPr="002A1EAD">
        <w:rPr>
          <w:rFonts w:ascii="David" w:hAnsi="David" w:cs="David" w:hint="eastAsia"/>
          <w:sz w:val="24"/>
          <w:szCs w:val="24"/>
          <w:rtl/>
        </w:rPr>
        <w:t>בססח</w:t>
      </w:r>
      <w:proofErr w:type="spellEnd"/>
      <w:r w:rsidR="00EE13DF" w:rsidRPr="002A1EAD">
        <w:rPr>
          <w:rFonts w:ascii="David" w:hAnsi="David" w:cs="David" w:hint="cs"/>
          <w:sz w:val="24"/>
          <w:szCs w:val="24"/>
          <w:rtl/>
        </w:rPr>
        <w:t>"</w:t>
      </w:r>
      <w:r w:rsidR="00833142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בהתממש 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תרחיש קיצון חמור </w:t>
      </w:r>
      <w:r w:rsidR="00EE13DF" w:rsidRPr="002A1EAD">
        <w:rPr>
          <w:rFonts w:ascii="David" w:hAnsi="David" w:cs="David" w:hint="eastAsia"/>
          <w:sz w:val="24"/>
          <w:szCs w:val="24"/>
          <w:rtl/>
        </w:rPr>
        <w:t>במיוחד</w:t>
      </w:r>
      <w:r w:rsidR="00833142" w:rsidRPr="002A1EAD">
        <w:rPr>
          <w:rFonts w:ascii="David" w:hAnsi="David" w:cs="David" w:hint="cs"/>
          <w:sz w:val="24"/>
          <w:szCs w:val="24"/>
          <w:rtl/>
        </w:rPr>
        <w:t>,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 הקשור למשבר הקורונה, 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שיכלול 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פגיעה ממושכת בעסקים </w:t>
      </w:r>
      <w:r w:rsidR="004847E9" w:rsidRPr="002A1EAD">
        <w:rPr>
          <w:rFonts w:ascii="David" w:hAnsi="David" w:cs="David" w:hint="cs"/>
          <w:sz w:val="24"/>
          <w:szCs w:val="24"/>
          <w:rtl/>
        </w:rPr>
        <w:t>ו</w:t>
      </w:r>
      <w:r w:rsidR="00A75ABD" w:rsidRPr="002A1EAD">
        <w:rPr>
          <w:rFonts w:ascii="David" w:hAnsi="David" w:cs="David" w:hint="cs"/>
          <w:sz w:val="24"/>
          <w:szCs w:val="24"/>
          <w:rtl/>
        </w:rPr>
        <w:t>בשווקים הפיננסי</w:t>
      </w:r>
      <w:r w:rsidR="004847E9" w:rsidRPr="002A1EAD">
        <w:rPr>
          <w:rFonts w:ascii="David" w:hAnsi="David" w:cs="David" w:hint="cs"/>
          <w:sz w:val="24"/>
          <w:szCs w:val="24"/>
          <w:rtl/>
        </w:rPr>
        <w:t>י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ם, וכן שיעור תביעות גבוה </w:t>
      </w:r>
      <w:r w:rsidR="00833142" w:rsidRPr="002A1EAD">
        <w:rPr>
          <w:rFonts w:ascii="David" w:hAnsi="David" w:cs="David" w:hint="eastAsia"/>
          <w:sz w:val="24"/>
          <w:szCs w:val="24"/>
          <w:rtl/>
        </w:rPr>
        <w:t>–</w:t>
      </w:r>
      <w:r w:rsidR="00833142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יותר 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מאשר במשבר </w:t>
      </w:r>
      <w:r w:rsidR="00A75ABD" w:rsidRPr="002A1EAD">
        <w:rPr>
          <w:rFonts w:ascii="David" w:hAnsi="David" w:cs="David" w:hint="cs"/>
          <w:sz w:val="24"/>
          <w:szCs w:val="24"/>
          <w:rtl/>
        </w:rPr>
        <w:t>2008</w:t>
      </w:r>
      <w:r w:rsidR="004847E9" w:rsidRPr="002A1EAD">
        <w:rPr>
          <w:rFonts w:ascii="David" w:hAnsi="David" w:cs="David" w:hint="eastAsia"/>
          <w:sz w:val="24"/>
          <w:szCs w:val="24"/>
          <w:rtl/>
        </w:rPr>
        <w:t>–</w:t>
      </w:r>
      <w:r w:rsidR="00A75ABD" w:rsidRPr="002A1EAD">
        <w:rPr>
          <w:rFonts w:ascii="David" w:hAnsi="David" w:cs="David" w:hint="cs"/>
          <w:sz w:val="24"/>
          <w:szCs w:val="24"/>
          <w:rtl/>
        </w:rPr>
        <w:t xml:space="preserve">2009. </w:t>
      </w:r>
      <w:r w:rsidR="00833142" w:rsidRPr="002A1EAD">
        <w:rPr>
          <w:rFonts w:ascii="David" w:hAnsi="David" w:cs="David" w:hint="cs"/>
          <w:sz w:val="24"/>
          <w:szCs w:val="24"/>
          <w:rtl/>
        </w:rPr>
        <w:t>"</w:t>
      </w:r>
      <w:proofErr w:type="spellStart"/>
      <w:r w:rsidR="00844A8E" w:rsidRPr="002A1EAD">
        <w:rPr>
          <w:rFonts w:ascii="David" w:hAnsi="David" w:cs="David" w:hint="cs"/>
          <w:sz w:val="24"/>
          <w:szCs w:val="24"/>
          <w:rtl/>
        </w:rPr>
        <w:t>בססח</w:t>
      </w:r>
      <w:proofErr w:type="spellEnd"/>
      <w:r w:rsidR="00833142" w:rsidRPr="002A1EAD">
        <w:rPr>
          <w:rFonts w:ascii="David" w:hAnsi="David" w:cs="David" w:hint="cs"/>
          <w:sz w:val="24"/>
          <w:szCs w:val="24"/>
          <w:rtl/>
        </w:rPr>
        <w:t>"</w:t>
      </w:r>
      <w:r w:rsidR="00AD4E7F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4847E9" w:rsidRPr="002A1EAD">
        <w:rPr>
          <w:rFonts w:ascii="David" w:hAnsi="David" w:cs="David" w:hint="eastAsia"/>
          <w:sz w:val="24"/>
          <w:szCs w:val="24"/>
          <w:rtl/>
        </w:rPr>
        <w:t>אמנם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AD4E7F" w:rsidRPr="002A1EAD">
        <w:rPr>
          <w:rFonts w:ascii="David" w:hAnsi="David" w:cs="David" w:hint="cs"/>
          <w:sz w:val="24"/>
          <w:szCs w:val="24"/>
          <w:rtl/>
        </w:rPr>
        <w:t xml:space="preserve">תושפע </w:t>
      </w:r>
      <w:r w:rsidR="00162CFE" w:rsidRPr="002A1EAD">
        <w:rPr>
          <w:rFonts w:ascii="David" w:hAnsi="David" w:cs="David" w:hint="cs"/>
          <w:sz w:val="24"/>
          <w:szCs w:val="24"/>
          <w:rtl/>
        </w:rPr>
        <w:t>מלחצים אלה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 באופן דומה</w:t>
      </w:r>
      <w:r w:rsidR="00162CFE" w:rsidRPr="002A1EAD">
        <w:rPr>
          <w:rFonts w:ascii="David" w:hAnsi="David" w:cs="David" w:hint="cs"/>
          <w:sz w:val="24"/>
          <w:szCs w:val="24"/>
          <w:rtl/>
        </w:rPr>
        <w:t xml:space="preserve">, אך </w:t>
      </w:r>
      <w:r w:rsidR="004847E9" w:rsidRPr="002A1EAD">
        <w:rPr>
          <w:rFonts w:ascii="David" w:hAnsi="David" w:cs="David" w:hint="cs"/>
          <w:sz w:val="24"/>
          <w:szCs w:val="24"/>
          <w:rtl/>
        </w:rPr>
        <w:t>היא נהנית</w:t>
      </w:r>
      <w:r w:rsidR="00162CFE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4847E9" w:rsidRPr="002A1EAD">
        <w:rPr>
          <w:rFonts w:ascii="David" w:hAnsi="David" w:cs="David" w:hint="cs"/>
          <w:sz w:val="24"/>
          <w:szCs w:val="24"/>
          <w:rtl/>
        </w:rPr>
        <w:t>מ</w:t>
      </w:r>
      <w:r w:rsidR="00162CFE" w:rsidRPr="002A1EAD">
        <w:rPr>
          <w:rFonts w:ascii="David" w:hAnsi="David" w:cs="David" w:hint="cs"/>
          <w:sz w:val="24"/>
          <w:szCs w:val="24"/>
          <w:rtl/>
        </w:rPr>
        <w:t>יתרון</w:t>
      </w:r>
      <w:r w:rsidR="007629B6" w:rsidRPr="002A1EAD">
        <w:rPr>
          <w:rFonts w:ascii="David" w:hAnsi="David" w:cs="David" w:hint="cs"/>
          <w:sz w:val="24"/>
          <w:szCs w:val="24"/>
          <w:rtl/>
        </w:rPr>
        <w:t>:</w:t>
      </w:r>
      <w:r w:rsidR="00162CFE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4847E9" w:rsidRPr="002A1EAD">
        <w:rPr>
          <w:rFonts w:ascii="David" w:hAnsi="David" w:cs="David" w:hint="cs"/>
          <w:sz w:val="24"/>
          <w:szCs w:val="24"/>
          <w:rtl/>
        </w:rPr>
        <w:t>בהיותה</w:t>
      </w:r>
      <w:r w:rsidR="00162CFE" w:rsidRPr="002A1EAD">
        <w:rPr>
          <w:rFonts w:ascii="David" w:hAnsi="David" w:cs="David" w:hint="cs"/>
          <w:sz w:val="24"/>
          <w:szCs w:val="24"/>
          <w:rtl/>
        </w:rPr>
        <w:t xml:space="preserve"> נתמכת על ידי חברת האם שלה </w:t>
      </w:r>
      <w:r w:rsidRPr="002A1EAD">
        <w:rPr>
          <w:rFonts w:ascii="Book Antiqua" w:hAnsi="Book Antiqua" w:cs="David"/>
          <w:sz w:val="24"/>
          <w:szCs w:val="24"/>
          <w:rtl/>
        </w:rPr>
        <w:t>(</w:t>
      </w:r>
      <w:r w:rsidR="0092181A" w:rsidRPr="002A1EAD">
        <w:rPr>
          <w:rFonts w:cs="David"/>
          <w:sz w:val="24"/>
          <w:szCs w:val="24"/>
        </w:rPr>
        <w:t>Euler Hermes</w:t>
      </w:r>
      <w:r w:rsidRPr="002A1EAD">
        <w:rPr>
          <w:rFonts w:ascii="Book Antiqua" w:hAnsi="Book Antiqua"/>
          <w:rtl/>
        </w:rPr>
        <w:t>)</w:t>
      </w:r>
      <w:r w:rsidR="00162CFE" w:rsidRPr="002A1EAD">
        <w:rPr>
          <w:rFonts w:ascii="David" w:hAnsi="David" w:cs="David" w:hint="cs"/>
          <w:sz w:val="24"/>
          <w:szCs w:val="24"/>
          <w:rtl/>
        </w:rPr>
        <w:t xml:space="preserve">, </w:t>
      </w:r>
      <w:r w:rsidR="007629B6" w:rsidRPr="002A1EAD">
        <w:rPr>
          <w:rFonts w:ascii="David" w:hAnsi="David" w:cs="David" w:hint="cs"/>
          <w:sz w:val="24"/>
          <w:szCs w:val="24"/>
          <w:rtl/>
        </w:rPr>
        <w:t xml:space="preserve">זו </w:t>
      </w:r>
      <w:r w:rsidR="00162CFE" w:rsidRPr="002A1EAD">
        <w:rPr>
          <w:rFonts w:ascii="David" w:hAnsi="David" w:cs="David" w:hint="cs"/>
          <w:sz w:val="24"/>
          <w:szCs w:val="24"/>
          <w:rtl/>
        </w:rPr>
        <w:t xml:space="preserve">תמתן את ההשפעות 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של </w:t>
      </w:r>
      <w:r w:rsidR="004847E9" w:rsidRPr="002A1EAD">
        <w:rPr>
          <w:rFonts w:ascii="David" w:hAnsi="David" w:cs="David" w:hint="eastAsia"/>
          <w:sz w:val="24"/>
          <w:szCs w:val="24"/>
          <w:rtl/>
        </w:rPr>
        <w:t>התממשות</w:t>
      </w:r>
      <w:r w:rsidR="004847E9" w:rsidRPr="002A1EAD">
        <w:rPr>
          <w:rFonts w:ascii="David" w:hAnsi="David" w:cs="David" w:hint="cs"/>
          <w:sz w:val="24"/>
          <w:szCs w:val="24"/>
          <w:rtl/>
        </w:rPr>
        <w:t xml:space="preserve"> </w:t>
      </w:r>
      <w:r w:rsidR="00162CFE" w:rsidRPr="002A1EAD">
        <w:rPr>
          <w:rFonts w:ascii="David" w:hAnsi="David" w:cs="David" w:hint="cs"/>
          <w:sz w:val="24"/>
          <w:szCs w:val="24"/>
          <w:rtl/>
        </w:rPr>
        <w:t xml:space="preserve">סיכון האשראי </w:t>
      </w:r>
      <w:r w:rsidR="00162CFE" w:rsidRPr="002A1EAD">
        <w:rPr>
          <w:rFonts w:ascii="David" w:hAnsi="David" w:cs="David" w:hint="eastAsia"/>
          <w:sz w:val="24"/>
          <w:szCs w:val="24"/>
          <w:rtl/>
        </w:rPr>
        <w:t>שלה</w:t>
      </w:r>
      <w:r w:rsidR="00162CFE" w:rsidRPr="002A1EAD">
        <w:rPr>
          <w:rFonts w:ascii="David" w:hAnsi="David" w:cs="David" w:hint="cs"/>
          <w:sz w:val="24"/>
          <w:szCs w:val="24"/>
          <w:rtl/>
        </w:rPr>
        <w:t>.</w:t>
      </w:r>
      <w:r w:rsidR="00162CFE" w:rsidRPr="00D433E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E3174" w:rsidRDefault="008E1F54" w:rsidP="006B51B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433E1">
        <w:rPr>
          <w:rFonts w:ascii="David" w:hAnsi="David" w:cs="David" w:hint="eastAsia"/>
          <w:sz w:val="24"/>
          <w:szCs w:val="24"/>
          <w:rtl/>
        </w:rPr>
        <w:t>יש</w:t>
      </w:r>
      <w:r w:rsidRPr="00D433E1">
        <w:rPr>
          <w:rFonts w:ascii="David" w:hAnsi="David" w:cs="David"/>
          <w:sz w:val="24"/>
          <w:szCs w:val="24"/>
          <w:rtl/>
        </w:rPr>
        <w:t xml:space="preserve"> לציין כי </w:t>
      </w:r>
      <w:r w:rsidR="00081AD1" w:rsidRPr="00D433E1">
        <w:rPr>
          <w:rFonts w:ascii="David" w:hAnsi="David" w:cs="David" w:hint="eastAsia"/>
          <w:sz w:val="24"/>
          <w:szCs w:val="24"/>
          <w:rtl/>
        </w:rPr>
        <w:t>ה</w:t>
      </w:r>
      <w:r w:rsidRPr="00D433E1">
        <w:rPr>
          <w:rFonts w:ascii="David" w:hAnsi="David" w:cs="David" w:hint="eastAsia"/>
          <w:sz w:val="24"/>
          <w:szCs w:val="24"/>
          <w:rtl/>
        </w:rPr>
        <w:t>חברות</w:t>
      </w:r>
      <w:r w:rsidRPr="00D433E1">
        <w:rPr>
          <w:rFonts w:ascii="David" w:hAnsi="David" w:cs="David"/>
          <w:sz w:val="24"/>
          <w:szCs w:val="24"/>
          <w:rtl/>
        </w:rPr>
        <w:t xml:space="preserve"> </w:t>
      </w:r>
      <w:r w:rsidR="00081AD1" w:rsidRPr="00D433E1">
        <w:rPr>
          <w:rFonts w:ascii="David" w:hAnsi="David" w:cs="David" w:hint="eastAsia"/>
          <w:sz w:val="24"/>
          <w:szCs w:val="24"/>
          <w:rtl/>
        </w:rPr>
        <w:t>ל</w:t>
      </w:r>
      <w:r w:rsidRPr="00D433E1">
        <w:rPr>
          <w:rFonts w:ascii="David" w:hAnsi="David" w:cs="David" w:hint="eastAsia"/>
          <w:sz w:val="24"/>
          <w:szCs w:val="24"/>
          <w:rtl/>
        </w:rPr>
        <w:t>ביטוח</w:t>
      </w:r>
      <w:r w:rsidRPr="00D433E1">
        <w:rPr>
          <w:rFonts w:ascii="David" w:hAnsi="David" w:cs="David"/>
          <w:sz w:val="24"/>
          <w:szCs w:val="24"/>
          <w:rtl/>
        </w:rPr>
        <w:t xml:space="preserve"> </w:t>
      </w:r>
      <w:r w:rsidRPr="00D433E1">
        <w:rPr>
          <w:rFonts w:ascii="David" w:hAnsi="David" w:cs="David" w:hint="eastAsia"/>
          <w:sz w:val="24"/>
          <w:szCs w:val="24"/>
          <w:rtl/>
        </w:rPr>
        <w:t>אשראי</w:t>
      </w:r>
      <w:r w:rsidRPr="00D433E1">
        <w:rPr>
          <w:rFonts w:ascii="David" w:hAnsi="David" w:cs="David"/>
          <w:sz w:val="24"/>
          <w:szCs w:val="24"/>
          <w:rtl/>
        </w:rPr>
        <w:t xml:space="preserve"> לא מממנות </w:t>
      </w:r>
      <w:r w:rsidR="00081AD1" w:rsidRPr="00D433E1">
        <w:rPr>
          <w:rFonts w:ascii="David" w:hAnsi="David" w:cs="David" w:hint="eastAsia"/>
          <w:sz w:val="24"/>
          <w:szCs w:val="24"/>
          <w:rtl/>
        </w:rPr>
        <w:t>את</w:t>
      </w:r>
      <w:r w:rsidR="00081AD1" w:rsidRPr="00D433E1">
        <w:rPr>
          <w:rFonts w:ascii="David" w:hAnsi="David" w:cs="David"/>
          <w:sz w:val="24"/>
          <w:szCs w:val="24"/>
          <w:rtl/>
        </w:rPr>
        <w:t xml:space="preserve"> </w:t>
      </w:r>
      <w:r w:rsidRPr="00D433E1">
        <w:rPr>
          <w:rFonts w:ascii="David" w:hAnsi="David" w:cs="David" w:hint="eastAsia"/>
          <w:sz w:val="24"/>
          <w:szCs w:val="24"/>
          <w:rtl/>
        </w:rPr>
        <w:t>עצמן</w:t>
      </w:r>
      <w:r w:rsidRPr="00D433E1">
        <w:rPr>
          <w:rFonts w:ascii="David" w:hAnsi="David" w:cs="David"/>
          <w:sz w:val="24"/>
          <w:szCs w:val="24"/>
          <w:rtl/>
        </w:rPr>
        <w:t xml:space="preserve"> </w:t>
      </w:r>
      <w:r w:rsidRPr="00D433E1">
        <w:rPr>
          <w:rFonts w:ascii="David" w:hAnsi="David" w:cs="David" w:hint="eastAsia"/>
          <w:sz w:val="24"/>
          <w:szCs w:val="24"/>
          <w:rtl/>
        </w:rPr>
        <w:t>באמצעות</w:t>
      </w:r>
      <w:r w:rsidRPr="00D433E1">
        <w:rPr>
          <w:rFonts w:ascii="David" w:hAnsi="David" w:cs="David"/>
          <w:sz w:val="24"/>
          <w:szCs w:val="24"/>
          <w:rtl/>
        </w:rPr>
        <w:t xml:space="preserve"> </w:t>
      </w:r>
      <w:r w:rsidRPr="00D433E1">
        <w:rPr>
          <w:rFonts w:ascii="David" w:hAnsi="David" w:cs="David" w:hint="eastAsia"/>
          <w:sz w:val="24"/>
          <w:szCs w:val="24"/>
          <w:rtl/>
        </w:rPr>
        <w:t>א</w:t>
      </w:r>
      <w:r w:rsidR="00081AD1" w:rsidRPr="00D433E1">
        <w:rPr>
          <w:rFonts w:ascii="David" w:hAnsi="David" w:cs="David" w:hint="eastAsia"/>
          <w:sz w:val="24"/>
          <w:szCs w:val="24"/>
          <w:rtl/>
        </w:rPr>
        <w:t>י</w:t>
      </w:r>
      <w:r w:rsidRPr="00D433E1">
        <w:rPr>
          <w:rFonts w:ascii="David" w:hAnsi="David" w:cs="David" w:hint="eastAsia"/>
          <w:sz w:val="24"/>
          <w:szCs w:val="24"/>
          <w:rtl/>
        </w:rPr>
        <w:t>גרות</w:t>
      </w:r>
      <w:r w:rsidRPr="00D433E1">
        <w:rPr>
          <w:rFonts w:ascii="David" w:hAnsi="David" w:cs="David"/>
          <w:sz w:val="24"/>
          <w:szCs w:val="24"/>
          <w:rtl/>
        </w:rPr>
        <w:t xml:space="preserve"> </w:t>
      </w:r>
      <w:r w:rsidRPr="00D433E1">
        <w:rPr>
          <w:rFonts w:ascii="David" w:hAnsi="David" w:cs="David" w:hint="eastAsia"/>
          <w:sz w:val="24"/>
          <w:szCs w:val="24"/>
          <w:rtl/>
        </w:rPr>
        <w:t>חוב</w:t>
      </w:r>
      <w:r w:rsidR="00081AD1" w:rsidRPr="00D433E1">
        <w:rPr>
          <w:rFonts w:ascii="David" w:hAnsi="David" w:cs="David"/>
          <w:sz w:val="24"/>
          <w:szCs w:val="24"/>
          <w:rtl/>
        </w:rPr>
        <w:t>,</w:t>
      </w:r>
      <w:r w:rsidRPr="00D433E1">
        <w:rPr>
          <w:rFonts w:ascii="David" w:hAnsi="David" w:cs="David"/>
          <w:sz w:val="24"/>
          <w:szCs w:val="24"/>
          <w:rtl/>
        </w:rPr>
        <w:t xml:space="preserve"> וכי </w:t>
      </w:r>
      <w:r w:rsidR="00833142" w:rsidRPr="00D433E1">
        <w:rPr>
          <w:rFonts w:ascii="David" w:hAnsi="David" w:cs="David" w:hint="eastAsia"/>
          <w:sz w:val="24"/>
          <w:szCs w:val="24"/>
          <w:rtl/>
        </w:rPr>
        <w:t>עצם</w:t>
      </w:r>
      <w:r w:rsidR="00833142" w:rsidRPr="00D433E1">
        <w:rPr>
          <w:rFonts w:ascii="David" w:hAnsi="David" w:cs="David" w:hint="cs"/>
          <w:sz w:val="24"/>
          <w:szCs w:val="24"/>
          <w:rtl/>
        </w:rPr>
        <w:t xml:space="preserve"> </w:t>
      </w:r>
      <w:r w:rsidRPr="00D433E1">
        <w:rPr>
          <w:rFonts w:ascii="David" w:hAnsi="David" w:cs="David"/>
          <w:sz w:val="24"/>
          <w:szCs w:val="24"/>
          <w:rtl/>
        </w:rPr>
        <w:t xml:space="preserve">מתן </w:t>
      </w:r>
      <w:r w:rsidR="00081AD1" w:rsidRPr="00D433E1">
        <w:rPr>
          <w:rFonts w:ascii="David" w:hAnsi="David" w:cs="David"/>
          <w:sz w:val="24"/>
          <w:szCs w:val="24"/>
          <w:rtl/>
        </w:rPr>
        <w:t xml:space="preserve"> </w:t>
      </w:r>
      <w:r w:rsidR="0065291E" w:rsidRPr="00D433E1">
        <w:rPr>
          <w:rFonts w:ascii="David" w:hAnsi="David" w:cs="David" w:hint="cs"/>
          <w:sz w:val="24"/>
          <w:szCs w:val="24"/>
          <w:rtl/>
        </w:rPr>
        <w:t xml:space="preserve"> </w:t>
      </w:r>
      <w:r w:rsidRPr="00D433E1">
        <w:rPr>
          <w:rFonts w:ascii="David" w:hAnsi="David" w:cs="David" w:hint="cs"/>
          <w:sz w:val="24"/>
          <w:szCs w:val="24"/>
          <w:rtl/>
        </w:rPr>
        <w:t xml:space="preserve">הדירוג </w:t>
      </w:r>
      <w:r w:rsidR="00081AD1" w:rsidRPr="00D433E1">
        <w:rPr>
          <w:rFonts w:ascii="David" w:hAnsi="David" w:cs="David" w:hint="cs"/>
          <w:sz w:val="24"/>
          <w:szCs w:val="24"/>
          <w:rtl/>
        </w:rPr>
        <w:t xml:space="preserve">הוא </w:t>
      </w:r>
      <w:r w:rsidRPr="00D433E1">
        <w:rPr>
          <w:rFonts w:ascii="David" w:hAnsi="David" w:cs="David" w:hint="cs"/>
          <w:sz w:val="24"/>
          <w:szCs w:val="24"/>
          <w:rtl/>
        </w:rPr>
        <w:t>לטובת המבוטחים הקיימים והמבוטחים הפוטנציאל</w:t>
      </w:r>
      <w:r w:rsidR="00081AD1" w:rsidRPr="00D433E1">
        <w:rPr>
          <w:rFonts w:ascii="David" w:hAnsi="David" w:cs="David" w:hint="cs"/>
          <w:sz w:val="24"/>
          <w:szCs w:val="24"/>
          <w:rtl/>
        </w:rPr>
        <w:t>י</w:t>
      </w:r>
      <w:r w:rsidRPr="00D433E1">
        <w:rPr>
          <w:rFonts w:ascii="David" w:hAnsi="David" w:cs="David" w:hint="cs"/>
          <w:sz w:val="24"/>
          <w:szCs w:val="24"/>
          <w:rtl/>
        </w:rPr>
        <w:t>ים של אותן חברות.</w:t>
      </w:r>
      <w:r w:rsidR="00162CFE" w:rsidRPr="00D433E1">
        <w:rPr>
          <w:rFonts w:ascii="David" w:hAnsi="David" w:cs="David" w:hint="cs"/>
          <w:sz w:val="24"/>
          <w:szCs w:val="24"/>
          <w:rtl/>
        </w:rPr>
        <w:t xml:space="preserve"> </w:t>
      </w:r>
      <w:r w:rsidR="00D85BCD" w:rsidRPr="00D433E1">
        <w:rPr>
          <w:rFonts w:ascii="David" w:hAnsi="David" w:cs="David" w:hint="cs"/>
          <w:sz w:val="24"/>
          <w:szCs w:val="24"/>
          <w:rtl/>
        </w:rPr>
        <w:t>מעבר לכך,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 דירוג </w:t>
      </w:r>
      <w:r w:rsidR="00081AD1" w:rsidRPr="00D433E1">
        <w:rPr>
          <w:rFonts w:ascii="David" w:hAnsi="David" w:cs="David" w:hint="cs"/>
          <w:sz w:val="24"/>
          <w:szCs w:val="24"/>
          <w:rtl/>
        </w:rPr>
        <w:t xml:space="preserve">בין-לאומי 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בקבוצת </w:t>
      </w:r>
      <w:r w:rsidR="00162CFE" w:rsidRPr="00D433E1">
        <w:rPr>
          <w:rFonts w:ascii="David" w:hAnsi="David" w:cs="David"/>
          <w:sz w:val="24"/>
          <w:szCs w:val="24"/>
        </w:rPr>
        <w:t>A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 מאפשר עסקות מימון עם הבנקים. שיתופי הפעולה האלה </w:t>
      </w:r>
      <w:r w:rsidR="000F3D12" w:rsidRPr="00D433E1">
        <w:rPr>
          <w:rFonts w:ascii="David" w:hAnsi="David" w:cs="David" w:hint="cs"/>
          <w:sz w:val="24"/>
          <w:szCs w:val="24"/>
          <w:rtl/>
        </w:rPr>
        <w:t xml:space="preserve">בין הבנקים לחברות </w:t>
      </w:r>
      <w:r w:rsidR="00081AD1" w:rsidRPr="00D433E1">
        <w:rPr>
          <w:rFonts w:ascii="David" w:hAnsi="David" w:cs="David" w:hint="cs"/>
          <w:sz w:val="24"/>
          <w:szCs w:val="24"/>
          <w:rtl/>
        </w:rPr>
        <w:t>ל</w:t>
      </w:r>
      <w:r w:rsidR="000F3D12" w:rsidRPr="00D433E1">
        <w:rPr>
          <w:rFonts w:ascii="David" w:hAnsi="David" w:cs="David" w:hint="cs"/>
          <w:sz w:val="24"/>
          <w:szCs w:val="24"/>
          <w:rtl/>
        </w:rPr>
        <w:t xml:space="preserve">ביטוח אשראי </w:t>
      </w:r>
      <w:r w:rsidR="00162CFE" w:rsidRPr="00D433E1">
        <w:rPr>
          <w:rFonts w:ascii="David" w:hAnsi="David" w:cs="David"/>
          <w:sz w:val="24"/>
          <w:szCs w:val="24"/>
          <w:rtl/>
        </w:rPr>
        <w:t>בנויים על הכרה של ה</w:t>
      </w:r>
      <w:r w:rsidR="000F3D12" w:rsidRPr="00D433E1">
        <w:rPr>
          <w:rFonts w:ascii="David" w:hAnsi="David" w:cs="David" w:hint="cs"/>
          <w:sz w:val="24"/>
          <w:szCs w:val="24"/>
          <w:rtl/>
        </w:rPr>
        <w:t>בנק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 המממן בפוליסת הביטוח של החברה כבטוחה הולמת לאשראי </w:t>
      </w:r>
      <w:r w:rsidR="00081AD1" w:rsidRPr="00D433E1">
        <w:rPr>
          <w:rFonts w:ascii="David" w:hAnsi="David" w:cs="David" w:hint="cs"/>
          <w:sz w:val="24"/>
          <w:szCs w:val="24"/>
          <w:rtl/>
        </w:rPr>
        <w:t>ש</w:t>
      </w:r>
      <w:r w:rsidR="00162CFE" w:rsidRPr="00D433E1">
        <w:rPr>
          <w:rFonts w:ascii="David" w:hAnsi="David" w:cs="David"/>
          <w:sz w:val="24"/>
          <w:szCs w:val="24"/>
          <w:rtl/>
        </w:rPr>
        <w:t>הוא מעמיד, ו</w:t>
      </w:r>
      <w:r w:rsidR="00765365" w:rsidRPr="00D433E1">
        <w:rPr>
          <w:rFonts w:ascii="David" w:hAnsi="David" w:cs="David" w:hint="cs"/>
          <w:sz w:val="24"/>
          <w:szCs w:val="24"/>
          <w:rtl/>
        </w:rPr>
        <w:t xml:space="preserve">זו, </w:t>
      </w:r>
      <w:r w:rsidR="00162CFE" w:rsidRPr="00D433E1">
        <w:rPr>
          <w:rFonts w:ascii="David" w:hAnsi="David" w:cs="David"/>
          <w:sz w:val="24"/>
          <w:szCs w:val="24"/>
          <w:rtl/>
        </w:rPr>
        <w:t>בשילוב עם הדירוג הגבוה של החברה</w:t>
      </w:r>
      <w:r w:rsidR="00765365" w:rsidRPr="00D433E1">
        <w:rPr>
          <w:rFonts w:ascii="David" w:hAnsi="David" w:cs="David" w:hint="cs"/>
          <w:sz w:val="24"/>
          <w:szCs w:val="24"/>
          <w:rtl/>
        </w:rPr>
        <w:t>,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 יכולה לאפשר הפחתה של ההון </w:t>
      </w:r>
      <w:r w:rsidR="00765365" w:rsidRPr="00D433E1">
        <w:rPr>
          <w:rFonts w:ascii="David" w:hAnsi="David" w:cs="David" w:hint="cs"/>
          <w:sz w:val="24"/>
          <w:szCs w:val="24"/>
          <w:rtl/>
        </w:rPr>
        <w:t>ש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אותו </w:t>
      </w:r>
      <w:r w:rsidR="00833142" w:rsidRPr="00D433E1">
        <w:rPr>
          <w:rFonts w:ascii="David" w:hAnsi="David" w:cs="David" w:hint="cs"/>
          <w:sz w:val="24"/>
          <w:szCs w:val="24"/>
          <w:rtl/>
        </w:rPr>
        <w:t>ה</w:t>
      </w:r>
      <w:r w:rsidR="000F3D12" w:rsidRPr="00D433E1">
        <w:rPr>
          <w:rFonts w:ascii="David" w:hAnsi="David" w:cs="David" w:hint="cs"/>
          <w:sz w:val="24"/>
          <w:szCs w:val="24"/>
          <w:rtl/>
        </w:rPr>
        <w:t>בנק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 </w:t>
      </w:r>
      <w:r w:rsidR="00765365" w:rsidRPr="00D433E1">
        <w:rPr>
          <w:rFonts w:ascii="David" w:hAnsi="David" w:cs="David" w:hint="cs"/>
          <w:sz w:val="24"/>
          <w:szCs w:val="24"/>
          <w:rtl/>
        </w:rPr>
        <w:t xml:space="preserve">מחזיק 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(הפחתה של 50 אחוזים מריתוק ההון). בכך </w:t>
      </w:r>
      <w:r w:rsidR="00833142" w:rsidRPr="00D433E1">
        <w:rPr>
          <w:rFonts w:ascii="David" w:hAnsi="David" w:cs="David" w:hint="eastAsia"/>
          <w:sz w:val="24"/>
          <w:szCs w:val="24"/>
          <w:rtl/>
        </w:rPr>
        <w:t>גם</w:t>
      </w:r>
      <w:r w:rsidR="00833142" w:rsidRPr="00D433E1">
        <w:rPr>
          <w:rFonts w:ascii="David" w:hAnsi="David" w:cs="David" w:hint="cs"/>
          <w:sz w:val="24"/>
          <w:szCs w:val="24"/>
          <w:rtl/>
        </w:rPr>
        <w:t xml:space="preserve"> </w:t>
      </w:r>
      <w:r w:rsidR="00162CFE" w:rsidRPr="00D433E1">
        <w:rPr>
          <w:rFonts w:ascii="David" w:hAnsi="David" w:cs="David"/>
          <w:sz w:val="24"/>
          <w:szCs w:val="24"/>
          <w:rtl/>
        </w:rPr>
        <w:t>מתאפשר למבוטחי החברה למנף את ביטוח האשראי של החברה</w:t>
      </w:r>
      <w:r w:rsidR="00833142" w:rsidRPr="00D433E1">
        <w:rPr>
          <w:rFonts w:ascii="David" w:hAnsi="David" w:cs="David" w:hint="cs"/>
          <w:sz w:val="24"/>
          <w:szCs w:val="24"/>
          <w:rtl/>
        </w:rPr>
        <w:t xml:space="preserve"> </w:t>
      </w:r>
      <w:r w:rsidR="00162CFE" w:rsidRPr="00D433E1">
        <w:rPr>
          <w:rFonts w:ascii="David" w:hAnsi="David" w:cs="David"/>
          <w:sz w:val="24"/>
          <w:szCs w:val="24"/>
          <w:rtl/>
        </w:rPr>
        <w:t>ל</w:t>
      </w:r>
      <w:r w:rsidR="00765365" w:rsidRPr="00D433E1">
        <w:rPr>
          <w:rFonts w:ascii="David" w:hAnsi="David" w:cs="David" w:hint="eastAsia"/>
          <w:sz w:val="24"/>
          <w:szCs w:val="24"/>
          <w:rtl/>
        </w:rPr>
        <w:t>שם</w:t>
      </w:r>
      <w:r w:rsidR="00765365" w:rsidRPr="00D433E1">
        <w:rPr>
          <w:rFonts w:ascii="David" w:hAnsi="David" w:cs="David"/>
          <w:sz w:val="24"/>
          <w:szCs w:val="24"/>
          <w:rtl/>
        </w:rPr>
        <w:t xml:space="preserve"> </w:t>
      </w:r>
      <w:r w:rsidR="00162CFE" w:rsidRPr="00D433E1">
        <w:rPr>
          <w:rFonts w:ascii="David" w:hAnsi="David" w:cs="David"/>
          <w:sz w:val="24"/>
          <w:szCs w:val="24"/>
          <w:rtl/>
        </w:rPr>
        <w:t>השגת מימון נוסף</w:t>
      </w:r>
      <w:r w:rsidR="0074409C" w:rsidRPr="00D433E1">
        <w:rPr>
          <w:rStyle w:val="a5"/>
          <w:rFonts w:ascii="David" w:hAnsi="David" w:cs="David"/>
          <w:sz w:val="24"/>
          <w:szCs w:val="24"/>
          <w:rtl/>
        </w:rPr>
        <w:footnoteReference w:id="15"/>
      </w:r>
      <w:r w:rsidR="0074409C" w:rsidRPr="00D433E1">
        <w:rPr>
          <w:rFonts w:ascii="David" w:hAnsi="David" w:cs="David"/>
          <w:sz w:val="24"/>
          <w:szCs w:val="24"/>
          <w:rtl/>
        </w:rPr>
        <w:t>.</w:t>
      </w:r>
      <w:r w:rsidR="00162CFE" w:rsidRPr="00D433E1">
        <w:rPr>
          <w:rFonts w:ascii="David" w:hAnsi="David" w:cs="David"/>
          <w:sz w:val="24"/>
          <w:szCs w:val="24"/>
          <w:rtl/>
        </w:rPr>
        <w:t xml:space="preserve"> </w:t>
      </w:r>
    </w:p>
    <w:sectPr w:rsidR="007E3174" w:rsidSect="009058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F9" w:rsidRDefault="00C74AF9" w:rsidP="00D10572">
      <w:pPr>
        <w:spacing w:after="0" w:line="240" w:lineRule="auto"/>
      </w:pPr>
      <w:r>
        <w:separator/>
      </w:r>
    </w:p>
  </w:endnote>
  <w:endnote w:type="continuationSeparator" w:id="0">
    <w:p w:rsidR="00C74AF9" w:rsidRDefault="00C74AF9" w:rsidP="00D1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F9" w:rsidRDefault="00C74AF9" w:rsidP="00D10572">
      <w:pPr>
        <w:spacing w:after="0" w:line="240" w:lineRule="auto"/>
      </w:pPr>
      <w:r>
        <w:separator/>
      </w:r>
    </w:p>
  </w:footnote>
  <w:footnote w:type="continuationSeparator" w:id="0">
    <w:p w:rsidR="00C74AF9" w:rsidRDefault="00C74AF9" w:rsidP="00D10572">
      <w:pPr>
        <w:spacing w:after="0" w:line="240" w:lineRule="auto"/>
      </w:pPr>
      <w:r>
        <w:continuationSeparator/>
      </w:r>
    </w:p>
  </w:footnote>
  <w:footnote w:id="1">
    <w:p w:rsidR="0065291E" w:rsidRPr="006B51B4" w:rsidRDefault="0065291E" w:rsidP="00486F1B">
      <w:pPr>
        <w:pStyle w:val="a3"/>
        <w:jc w:val="both"/>
        <w:rPr>
          <w:rFonts w:ascii="David" w:hAnsi="David" w:cs="David"/>
          <w:rtl/>
        </w:rPr>
      </w:pPr>
      <w:r w:rsidRPr="006B51B4">
        <w:rPr>
          <w:rStyle w:val="a5"/>
          <w:rFonts w:ascii="David" w:hAnsi="David" w:cs="David"/>
        </w:rPr>
        <w:footnoteRef/>
      </w:r>
      <w:r w:rsidRPr="006B51B4">
        <w:rPr>
          <w:rFonts w:ascii="David" w:hAnsi="David" w:cs="David"/>
          <w:rtl/>
        </w:rPr>
        <w:t xml:space="preserve"> </w:t>
      </w:r>
      <w:r w:rsidR="00411A4D" w:rsidRPr="006B51B4">
        <w:rPr>
          <w:rFonts w:ascii="David" w:hAnsi="David" w:cs="David"/>
          <w:rtl/>
        </w:rPr>
        <w:t>תודה רבה לחברת "</w:t>
      </w:r>
      <w:proofErr w:type="spellStart"/>
      <w:r w:rsidR="00411A4D" w:rsidRPr="006B51B4">
        <w:rPr>
          <w:rFonts w:ascii="David" w:hAnsi="David" w:cs="David"/>
          <w:rtl/>
        </w:rPr>
        <w:t>בססח</w:t>
      </w:r>
      <w:proofErr w:type="spellEnd"/>
      <w:r w:rsidR="00411A4D" w:rsidRPr="006B51B4">
        <w:rPr>
          <w:rFonts w:ascii="David" w:hAnsi="David" w:cs="David"/>
          <w:rtl/>
        </w:rPr>
        <w:t>" על מסד הנתונים ועל שיתוף הפעולה</w:t>
      </w:r>
      <w:r w:rsidR="00486F1B">
        <w:rPr>
          <w:rFonts w:ascii="David" w:hAnsi="David" w:cs="David" w:hint="cs"/>
          <w:rtl/>
        </w:rPr>
        <w:t>.</w:t>
      </w:r>
    </w:p>
  </w:footnote>
  <w:footnote w:id="2">
    <w:p w:rsidR="0065291E" w:rsidRDefault="0065291E" w:rsidP="006B51B4">
      <w:pPr>
        <w:pStyle w:val="a3"/>
        <w:jc w:val="both"/>
      </w:pPr>
      <w:r w:rsidRPr="006B51B4">
        <w:rPr>
          <w:rStyle w:val="a5"/>
          <w:rFonts w:ascii="David" w:hAnsi="David" w:cs="David"/>
        </w:rPr>
        <w:footnoteRef/>
      </w:r>
      <w:r w:rsidRPr="006B51B4">
        <w:rPr>
          <w:rFonts w:ascii="David" w:hAnsi="David" w:cs="David"/>
          <w:rtl/>
        </w:rPr>
        <w:t xml:space="preserve"> מדינות שבהן האוכלוסייה מונה פחות ממיליון תושבים.</w:t>
      </w:r>
    </w:p>
  </w:footnote>
  <w:footnote w:id="3">
    <w:p w:rsidR="00073401" w:rsidRDefault="00073401" w:rsidP="00E15CC6">
      <w:pPr>
        <w:pStyle w:val="a3"/>
        <w:jc w:val="both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חברה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זו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מבטחת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אשראי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והשקעות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בעסקאות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יצוא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לטווחים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הבינוני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והארוך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(</w:t>
      </w:r>
      <w:r w:rsidRPr="00A81588">
        <w:rPr>
          <w:rFonts w:ascii="Times New Roman" w:hAnsi="Times New Roman" w:cs="David" w:hint="cs"/>
          <w:sz w:val="21"/>
          <w:szCs w:val="21"/>
          <w:rtl/>
        </w:rPr>
        <w:t>משנה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</w:t>
      </w:r>
      <w:r w:rsidRPr="00A81588">
        <w:rPr>
          <w:rFonts w:ascii="Times New Roman" w:hAnsi="Times New Roman" w:cs="David" w:hint="cs"/>
          <w:sz w:val="21"/>
          <w:szCs w:val="21"/>
          <w:rtl/>
        </w:rPr>
        <w:t>עד</w:t>
      </w:r>
      <w:r w:rsidRPr="00A81588">
        <w:rPr>
          <w:rFonts w:ascii="Times New Roman" w:hAnsi="Times New Roman" w:cs="David"/>
          <w:sz w:val="21"/>
          <w:szCs w:val="21"/>
          <w:rtl/>
        </w:rPr>
        <w:t xml:space="preserve"> 15 </w:t>
      </w:r>
      <w:r w:rsidRPr="00A81588">
        <w:rPr>
          <w:rFonts w:ascii="Times New Roman" w:hAnsi="Times New Roman" w:cs="David" w:hint="cs"/>
          <w:sz w:val="21"/>
          <w:szCs w:val="21"/>
          <w:rtl/>
        </w:rPr>
        <w:t>שנים</w:t>
      </w:r>
      <w:r w:rsidR="00E15CC6">
        <w:rPr>
          <w:rFonts w:ascii="Times New Roman" w:hAnsi="Times New Roman" w:cs="David"/>
          <w:sz w:val="21"/>
          <w:szCs w:val="21"/>
          <w:rtl/>
        </w:rPr>
        <w:t>)</w:t>
      </w:r>
      <w:r w:rsidR="00E15CC6">
        <w:rPr>
          <w:rFonts w:ascii="Times New Roman" w:hAnsi="Times New Roman" w:cs="David" w:hint="cs"/>
          <w:sz w:val="21"/>
          <w:szCs w:val="21"/>
          <w:rtl/>
        </w:rPr>
        <w:t xml:space="preserve"> בעיקר כנגד סיכונים פוליטיים.</w:t>
      </w:r>
    </w:p>
  </w:footnote>
  <w:footnote w:id="4">
    <w:p w:rsidR="0065291E" w:rsidRPr="00610181" w:rsidRDefault="0065291E" w:rsidP="00590A7D">
      <w:pPr>
        <w:pStyle w:val="a3"/>
        <w:jc w:val="both"/>
        <w:rPr>
          <w:rStyle w:val="a5"/>
          <w:rFonts w:ascii="David" w:hAnsi="David" w:cs="David"/>
        </w:rPr>
      </w:pPr>
      <w:r w:rsidRPr="00610181">
        <w:rPr>
          <w:rStyle w:val="a5"/>
          <w:rFonts w:ascii="David" w:hAnsi="David" w:cs="David"/>
        </w:rPr>
        <w:footnoteRef/>
      </w:r>
      <w:r w:rsidRPr="00610181">
        <w:rPr>
          <w:rStyle w:val="a5"/>
          <w:rFonts w:ascii="David" w:hAnsi="David" w:cs="David"/>
          <w:rtl/>
        </w:rPr>
        <w:t xml:space="preserve"> </w:t>
      </w:r>
      <w:r w:rsidRPr="00610181">
        <w:rPr>
          <w:rFonts w:ascii="David" w:hAnsi="David" w:cs="David" w:hint="cs"/>
          <w:rtl/>
        </w:rPr>
        <w:t>"</w:t>
      </w:r>
      <w:r w:rsidRPr="00610181">
        <w:rPr>
          <w:rStyle w:val="a5"/>
          <w:rFonts w:ascii="David" w:hAnsi="David" w:cs="David"/>
          <w:vertAlign w:val="baseline"/>
          <w:rtl/>
        </w:rPr>
        <w:t>כלל ביטוח אשראי</w:t>
      </w:r>
      <w:r w:rsidRPr="00610181">
        <w:rPr>
          <w:rFonts w:ascii="David" w:hAnsi="David" w:cs="David" w:hint="cs"/>
          <w:rtl/>
        </w:rPr>
        <w:t>"</w:t>
      </w:r>
      <w:r w:rsidRPr="00610181">
        <w:rPr>
          <w:rStyle w:val="a5"/>
          <w:rFonts w:ascii="David" w:hAnsi="David" w:cs="David"/>
          <w:vertAlign w:val="baseline"/>
          <w:rtl/>
        </w:rPr>
        <w:t xml:space="preserve"> מבטחת כ</w:t>
      </w:r>
      <w:r w:rsidR="00E15CC6">
        <w:rPr>
          <w:rStyle w:val="a5"/>
          <w:rFonts w:ascii="David" w:hAnsi="David" w:cs="David" w:hint="cs"/>
          <w:vertAlign w:val="baseline"/>
          <w:rtl/>
        </w:rPr>
        <w:t>ש</w:t>
      </w:r>
      <w:r w:rsidR="00E15CC6">
        <w:rPr>
          <w:rFonts w:ascii="David" w:hAnsi="David" w:cs="David" w:hint="cs"/>
          <w:rtl/>
        </w:rPr>
        <w:t xml:space="preserve">לושים </w:t>
      </w:r>
      <w:r w:rsidRPr="00610181">
        <w:rPr>
          <w:rStyle w:val="a5"/>
          <w:rFonts w:ascii="David" w:hAnsi="David" w:cs="David"/>
          <w:vertAlign w:val="baseline"/>
          <w:rtl/>
        </w:rPr>
        <w:t xml:space="preserve">אחוזים </w:t>
      </w:r>
      <w:proofErr w:type="spellStart"/>
      <w:r w:rsidRPr="00610181">
        <w:rPr>
          <w:rStyle w:val="a5"/>
          <w:rFonts w:ascii="David" w:hAnsi="David" w:cs="David"/>
          <w:vertAlign w:val="baseline"/>
          <w:rtl/>
        </w:rPr>
        <w:t>ו</w:t>
      </w:r>
      <w:r w:rsidR="00F17C73">
        <w:rPr>
          <w:rFonts w:ascii="David" w:hAnsi="David" w:cs="David" w:hint="cs"/>
          <w:rtl/>
        </w:rPr>
        <w:t>"</w:t>
      </w:r>
      <w:r w:rsidRPr="00610181">
        <w:rPr>
          <w:rStyle w:val="a5"/>
          <w:rFonts w:ascii="David" w:hAnsi="David" w:cs="David"/>
          <w:vertAlign w:val="baseline"/>
          <w:rtl/>
        </w:rPr>
        <w:t>קופאס</w:t>
      </w:r>
      <w:proofErr w:type="spellEnd"/>
      <w:r w:rsidRPr="00610181">
        <w:rPr>
          <w:rStyle w:val="a5"/>
          <w:rFonts w:ascii="David" w:hAnsi="David" w:cs="David"/>
          <w:vertAlign w:val="baseline"/>
          <w:rtl/>
        </w:rPr>
        <w:t xml:space="preserve"> ישראל </w:t>
      </w:r>
      <w:r w:rsidR="00F17C73">
        <w:rPr>
          <w:rFonts w:ascii="David" w:hAnsi="David" w:cs="David" w:hint="cs"/>
          <w:rtl/>
        </w:rPr>
        <w:t>" –</w:t>
      </w:r>
      <w:r w:rsidR="005E343E">
        <w:rPr>
          <w:rFonts w:ascii="David" w:hAnsi="David" w:cs="David" w:hint="cs"/>
          <w:rtl/>
        </w:rPr>
        <w:t xml:space="preserve"> </w:t>
      </w:r>
      <w:r w:rsidR="00E15CC6">
        <w:rPr>
          <w:rStyle w:val="a5"/>
          <w:rFonts w:ascii="David" w:hAnsi="David" w:cs="David" w:hint="cs"/>
          <w:vertAlign w:val="baseline"/>
          <w:rtl/>
        </w:rPr>
        <w:t>כ</w:t>
      </w:r>
      <w:r w:rsidR="00E15CC6">
        <w:rPr>
          <w:rFonts w:ascii="David" w:hAnsi="David" w:cs="David" w:hint="cs"/>
          <w:rtl/>
        </w:rPr>
        <w:t>ארבעה אחוזים בלבד.</w:t>
      </w:r>
      <w:r w:rsidRPr="00610181">
        <w:rPr>
          <w:rFonts w:ascii="David" w:hAnsi="David" w:cs="David" w:hint="cs"/>
          <w:rtl/>
        </w:rPr>
        <w:t xml:space="preserve"> </w:t>
      </w:r>
    </w:p>
  </w:footnote>
  <w:footnote w:id="5">
    <w:p w:rsidR="0065291E" w:rsidRPr="00FD2F14" w:rsidRDefault="0065291E" w:rsidP="0068675E">
      <w:pPr>
        <w:pStyle w:val="a3"/>
        <w:jc w:val="both"/>
        <w:rPr>
          <w:rStyle w:val="a5"/>
          <w:rFonts w:ascii="David" w:hAnsi="David" w:cs="David"/>
        </w:rPr>
      </w:pPr>
      <w:r w:rsidRPr="00610181">
        <w:rPr>
          <w:rStyle w:val="a5"/>
          <w:rFonts w:ascii="David" w:hAnsi="David" w:cs="David"/>
        </w:rPr>
        <w:footnoteRef/>
      </w:r>
      <w:r w:rsidRPr="00610181">
        <w:rPr>
          <w:rStyle w:val="a5"/>
          <w:rFonts w:ascii="David" w:hAnsi="David" w:cs="David"/>
          <w:rtl/>
        </w:rPr>
        <w:t xml:space="preserve"> </w:t>
      </w:r>
      <w:r w:rsidRPr="00610181">
        <w:rPr>
          <w:rStyle w:val="a5"/>
          <w:rFonts w:ascii="David" w:hAnsi="David" w:cs="David"/>
          <w:vertAlign w:val="baseline"/>
          <w:rtl/>
        </w:rPr>
        <w:t xml:space="preserve">נכון לאוקטובר 2020 היו </w:t>
      </w:r>
      <w:proofErr w:type="spellStart"/>
      <w:r w:rsidRPr="00610181">
        <w:rPr>
          <w:rStyle w:val="a5"/>
          <w:rFonts w:ascii="David" w:hAnsi="David" w:cs="David"/>
          <w:vertAlign w:val="baseline"/>
          <w:rtl/>
        </w:rPr>
        <w:t>ל</w:t>
      </w:r>
      <w:r w:rsidR="006D1CFA" w:rsidRPr="00610181">
        <w:rPr>
          <w:rStyle w:val="a5"/>
          <w:rFonts w:ascii="David" w:hAnsi="David" w:cs="David" w:hint="cs"/>
          <w:vertAlign w:val="baseline"/>
          <w:rtl/>
        </w:rPr>
        <w:t>"</w:t>
      </w:r>
      <w:r w:rsidR="00844A8E" w:rsidRPr="00610181">
        <w:rPr>
          <w:rStyle w:val="a5"/>
          <w:rFonts w:ascii="David" w:hAnsi="David" w:cs="David"/>
          <w:vertAlign w:val="baseline"/>
          <w:rtl/>
        </w:rPr>
        <w:t>בססח</w:t>
      </w:r>
      <w:proofErr w:type="spellEnd"/>
      <w:r w:rsidR="006D1CFA" w:rsidRPr="00610181">
        <w:rPr>
          <w:rStyle w:val="a5"/>
          <w:rFonts w:ascii="David" w:hAnsi="David" w:cs="David" w:hint="cs"/>
          <w:vertAlign w:val="baseline"/>
          <w:rtl/>
        </w:rPr>
        <w:t>"</w:t>
      </w:r>
      <w:r w:rsidR="00833142" w:rsidRPr="00610181">
        <w:rPr>
          <w:rFonts w:ascii="David" w:hAnsi="David" w:cs="David" w:hint="cs"/>
          <w:rtl/>
        </w:rPr>
        <w:t xml:space="preserve"> </w:t>
      </w:r>
      <w:r w:rsidRPr="00610181">
        <w:rPr>
          <w:rStyle w:val="a5"/>
          <w:rFonts w:ascii="David" w:hAnsi="David" w:cs="David"/>
          <w:vertAlign w:val="baseline"/>
          <w:rtl/>
        </w:rPr>
        <w:t xml:space="preserve">מאות מבוטחים שמוכרים ליותר מ-15,000 קונים בישראל, והיקפן </w:t>
      </w:r>
      <w:r w:rsidRPr="00610181">
        <w:rPr>
          <w:rFonts w:ascii="David" w:hAnsi="David" w:cs="David" w:hint="eastAsia"/>
          <w:rtl/>
        </w:rPr>
        <w:t>של</w:t>
      </w:r>
      <w:r w:rsidRPr="00610181">
        <w:rPr>
          <w:rFonts w:ascii="David" w:hAnsi="David" w:cs="David"/>
          <w:rtl/>
        </w:rPr>
        <w:t xml:space="preserve"> </w:t>
      </w:r>
      <w:r w:rsidRPr="00610181">
        <w:rPr>
          <w:rFonts w:ascii="David" w:hAnsi="David" w:cs="David" w:hint="eastAsia"/>
          <w:rtl/>
        </w:rPr>
        <w:t>העסקאות</w:t>
      </w:r>
      <w:r w:rsidRPr="00610181">
        <w:rPr>
          <w:rFonts w:ascii="David" w:hAnsi="David" w:cs="David" w:hint="cs"/>
          <w:rtl/>
        </w:rPr>
        <w:t xml:space="preserve"> </w:t>
      </w:r>
      <w:r w:rsidRPr="00610181">
        <w:rPr>
          <w:rFonts w:ascii="David" w:hAnsi="David" w:cs="David" w:hint="eastAsia"/>
          <w:rtl/>
        </w:rPr>
        <w:t>המקומיות</w:t>
      </w:r>
      <w:r w:rsidRPr="00610181">
        <w:rPr>
          <w:rFonts w:ascii="David" w:hAnsi="David" w:cs="David"/>
          <w:rtl/>
        </w:rPr>
        <w:t xml:space="preserve"> </w:t>
      </w:r>
      <w:r w:rsidRPr="00610181">
        <w:rPr>
          <w:rFonts w:ascii="David" w:hAnsi="David" w:cs="David" w:hint="eastAsia"/>
          <w:rtl/>
        </w:rPr>
        <w:t>שביטחה</w:t>
      </w:r>
      <w:r w:rsidRPr="00610181">
        <w:rPr>
          <w:rFonts w:ascii="David" w:hAnsi="David" w:cs="David" w:hint="cs"/>
          <w:rtl/>
        </w:rPr>
        <w:t xml:space="preserve"> </w:t>
      </w:r>
      <w:r w:rsidRPr="00610181">
        <w:rPr>
          <w:rStyle w:val="a5"/>
          <w:rFonts w:ascii="David" w:hAnsi="David" w:cs="David"/>
          <w:vertAlign w:val="baseline"/>
          <w:rtl/>
        </w:rPr>
        <w:t>הסתכם</w:t>
      </w:r>
      <w:r w:rsidR="0068675E">
        <w:rPr>
          <w:rFonts w:ascii="David" w:hAnsi="David" w:cs="David" w:hint="cs"/>
          <w:rtl/>
        </w:rPr>
        <w:t xml:space="preserve"> במחצית הראשונה של השנה</w:t>
      </w:r>
      <w:r w:rsidRPr="00610181">
        <w:rPr>
          <w:rStyle w:val="a5"/>
          <w:rFonts w:ascii="David" w:hAnsi="David" w:cs="David"/>
          <w:vertAlign w:val="baseline"/>
          <w:rtl/>
        </w:rPr>
        <w:t xml:space="preserve"> בכ-</w:t>
      </w:r>
      <w:r w:rsidR="0068675E">
        <w:rPr>
          <w:rStyle w:val="a5"/>
          <w:rFonts w:ascii="David" w:hAnsi="David" w:cs="David" w:hint="cs"/>
          <w:vertAlign w:val="baseline"/>
          <w:rtl/>
        </w:rPr>
        <w:t>7</w:t>
      </w:r>
      <w:r w:rsidR="0068675E">
        <w:rPr>
          <w:rFonts w:ascii="David" w:hAnsi="David" w:cs="David" w:hint="cs"/>
          <w:rtl/>
        </w:rPr>
        <w:t>.5</w:t>
      </w:r>
      <w:r w:rsidRPr="00610181">
        <w:rPr>
          <w:rStyle w:val="a5"/>
          <w:rFonts w:ascii="David" w:hAnsi="David" w:cs="David"/>
          <w:vertAlign w:val="baseline"/>
          <w:rtl/>
        </w:rPr>
        <w:t xml:space="preserve">  מיליארדי דולרים.</w:t>
      </w:r>
    </w:p>
  </w:footnote>
  <w:footnote w:id="6">
    <w:p w:rsidR="0065291E" w:rsidRDefault="0065291E" w:rsidP="00FD2F14">
      <w:pPr>
        <w:pStyle w:val="a3"/>
        <w:jc w:val="both"/>
        <w:rPr>
          <w:rtl/>
        </w:rPr>
      </w:pPr>
      <w:r w:rsidRPr="00FD2F14">
        <w:rPr>
          <w:rStyle w:val="a5"/>
          <w:rFonts w:ascii="David" w:hAnsi="David" w:cs="David"/>
        </w:rPr>
        <w:footnoteRef/>
      </w:r>
      <w:r w:rsidRPr="00FD2F14">
        <w:rPr>
          <w:rStyle w:val="a5"/>
          <w:rFonts w:ascii="David" w:hAnsi="David" w:cs="David"/>
          <w:rtl/>
        </w:rPr>
        <w:t xml:space="preserve"> </w:t>
      </w:r>
      <w:r w:rsidRPr="00FD2F14">
        <w:rPr>
          <w:rStyle w:val="a5"/>
          <w:rFonts w:ascii="David" w:hAnsi="David" w:cs="David"/>
          <w:vertAlign w:val="baseline"/>
          <w:rtl/>
        </w:rPr>
        <w:t xml:space="preserve">בדוח </w:t>
      </w:r>
      <w:r>
        <w:rPr>
          <w:rFonts w:ascii="David" w:hAnsi="David" w:cs="David" w:hint="cs"/>
          <w:rtl/>
        </w:rPr>
        <w:t>ה</w:t>
      </w:r>
      <w:r w:rsidRPr="00FD2F14">
        <w:rPr>
          <w:rStyle w:val="a5"/>
          <w:rFonts w:ascii="David" w:hAnsi="David" w:cs="David"/>
          <w:vertAlign w:val="baseline"/>
          <w:rtl/>
        </w:rPr>
        <w:t>רווח ו</w:t>
      </w:r>
      <w:r>
        <w:rPr>
          <w:rFonts w:ascii="David" w:hAnsi="David" w:cs="David" w:hint="cs"/>
          <w:rtl/>
        </w:rPr>
        <w:t>ה</w:t>
      </w:r>
      <w:r w:rsidRPr="00FD2F14">
        <w:rPr>
          <w:rStyle w:val="a5"/>
          <w:rFonts w:ascii="David" w:hAnsi="David" w:cs="David"/>
          <w:vertAlign w:val="baseline"/>
          <w:rtl/>
        </w:rPr>
        <w:t>הפסד.</w:t>
      </w:r>
      <w:r w:rsidRPr="0007627B">
        <w:rPr>
          <w:rFonts w:ascii="David" w:hAnsi="David" w:cs="David"/>
          <w:rtl/>
        </w:rPr>
        <w:t xml:space="preserve"> </w:t>
      </w:r>
    </w:p>
  </w:footnote>
  <w:footnote w:id="7">
    <w:p w:rsidR="0065291E" w:rsidRDefault="0065291E" w:rsidP="00D90E01">
      <w:pPr>
        <w:pStyle w:val="a3"/>
        <w:bidi w:val="0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</w:rPr>
        <w:t>M</w:t>
      </w:r>
      <w:r>
        <w:t>eital Graham-Rozen and Noam Michelson, "</w:t>
      </w:r>
      <w:r w:rsidRPr="003C559A">
        <w:t>Credit Insurance in Israel: An Initial Overview and Analysis of Considerations Affecting the Acceptance Rate</w:t>
      </w:r>
      <w:r>
        <w:t xml:space="preserve">", </w:t>
      </w:r>
      <w:r w:rsidRPr="00D648A0">
        <w:rPr>
          <w:i/>
          <w:iCs/>
        </w:rPr>
        <w:t>Israel Economic Review</w:t>
      </w:r>
      <w:r>
        <w:t>, Vol. 18 No. 1.</w:t>
      </w:r>
    </w:p>
  </w:footnote>
  <w:footnote w:id="8">
    <w:p w:rsidR="0065291E" w:rsidRPr="00D31C40" w:rsidRDefault="0065291E">
      <w:pPr>
        <w:pStyle w:val="a3"/>
        <w:rPr>
          <w:rFonts w:ascii="David" w:hAnsi="David" w:cs="David"/>
          <w:rtl/>
        </w:rPr>
      </w:pPr>
      <w:r w:rsidRPr="00D31C40">
        <w:rPr>
          <w:rStyle w:val="a5"/>
          <w:rFonts w:ascii="David" w:hAnsi="David" w:cs="David"/>
        </w:rPr>
        <w:footnoteRef/>
      </w:r>
      <w:r w:rsidRPr="00D31C40">
        <w:rPr>
          <w:rFonts w:ascii="David" w:hAnsi="David" w:cs="David"/>
          <w:rtl/>
        </w:rPr>
        <w:t xml:space="preserve"> סיוע מסוג זה ניתן גם במדינות נוספות בעולם</w:t>
      </w:r>
      <w:r w:rsidRPr="00D31C40">
        <w:rPr>
          <w:rFonts w:ascii="David" w:hAnsi="David" w:cs="David" w:hint="cs"/>
          <w:rtl/>
        </w:rPr>
        <w:t>,</w:t>
      </w:r>
      <w:r w:rsidRPr="00D31C40">
        <w:rPr>
          <w:rFonts w:ascii="David" w:hAnsi="David" w:cs="David"/>
          <w:rtl/>
        </w:rPr>
        <w:t xml:space="preserve"> </w:t>
      </w:r>
      <w:r w:rsidRPr="00D31C40">
        <w:rPr>
          <w:rFonts w:ascii="David" w:hAnsi="David" w:cs="David" w:hint="cs"/>
          <w:rtl/>
        </w:rPr>
        <w:t>ביניהן</w:t>
      </w:r>
      <w:r w:rsidRPr="00D31C40">
        <w:rPr>
          <w:rFonts w:ascii="David" w:hAnsi="David" w:cs="David"/>
          <w:rtl/>
        </w:rPr>
        <w:t xml:space="preserve"> בריטניה, צרפת, הולנד, איטליה, פורטוגל וקנדה.</w:t>
      </w:r>
    </w:p>
  </w:footnote>
  <w:footnote w:id="9">
    <w:p w:rsidR="0065291E" w:rsidRPr="00C60265" w:rsidRDefault="0065291E" w:rsidP="00B82448">
      <w:pPr>
        <w:pStyle w:val="a3"/>
        <w:jc w:val="both"/>
        <w:rPr>
          <w:rFonts w:ascii="David" w:hAnsi="David" w:cs="David"/>
        </w:rPr>
      </w:pPr>
      <w:r w:rsidRPr="00D31C40">
        <w:rPr>
          <w:rStyle w:val="a5"/>
          <w:rFonts w:ascii="David" w:hAnsi="David" w:cs="David"/>
        </w:rPr>
        <w:footnoteRef/>
      </w:r>
      <w:r w:rsidRPr="00D31C40">
        <w:rPr>
          <w:rStyle w:val="a5"/>
          <w:rFonts w:ascii="David" w:hAnsi="David" w:cs="David"/>
          <w:rtl/>
        </w:rPr>
        <w:t xml:space="preserve"> </w:t>
      </w:r>
      <w:r w:rsidR="008A4EAC" w:rsidRPr="00D31C40">
        <w:rPr>
          <w:rFonts w:ascii="David" w:hAnsi="David" w:cs="David" w:hint="cs"/>
          <w:rtl/>
        </w:rPr>
        <w:t xml:space="preserve">נכון לחודש דצמבר 2020 ניצלו החברות 2.1 מיליארדי שקלים </w:t>
      </w:r>
      <w:r w:rsidR="00B82448" w:rsidRPr="00D31C40">
        <w:rPr>
          <w:rFonts w:ascii="David" w:hAnsi="David" w:cs="David" w:hint="cs"/>
          <w:rtl/>
        </w:rPr>
        <w:t>מסכום</w:t>
      </w:r>
      <w:r w:rsidR="00777E40" w:rsidRPr="00D31C40">
        <w:rPr>
          <w:rFonts w:ascii="David" w:hAnsi="David" w:cs="David" w:hint="cs"/>
          <w:rtl/>
        </w:rPr>
        <w:t xml:space="preserve"> הערבות</w:t>
      </w:r>
      <w:r w:rsidR="008A4EAC" w:rsidRPr="00D31C40">
        <w:rPr>
          <w:rFonts w:ascii="David" w:hAnsi="David" w:cs="David" w:hint="cs"/>
          <w:rtl/>
        </w:rPr>
        <w:t xml:space="preserve">. </w:t>
      </w:r>
      <w:r w:rsidR="00777E40" w:rsidRPr="00D31C40">
        <w:rPr>
          <w:rFonts w:ascii="David" w:hAnsi="David" w:cs="David" w:hint="cs"/>
          <w:rtl/>
        </w:rPr>
        <w:t xml:space="preserve">האפשרות להרחיב את הסכום </w:t>
      </w:r>
      <w:r w:rsidR="00836A88" w:rsidRPr="00D31C40">
        <w:rPr>
          <w:rFonts w:ascii="David" w:hAnsi="David" w:cs="David" w:hint="cs"/>
          <w:rtl/>
        </w:rPr>
        <w:t xml:space="preserve">נבחנת </w:t>
      </w:r>
      <w:r w:rsidR="00777E40" w:rsidRPr="00D31C40">
        <w:rPr>
          <w:rFonts w:ascii="David" w:hAnsi="David" w:cs="David" w:hint="cs"/>
          <w:rtl/>
        </w:rPr>
        <w:t>כל העת</w:t>
      </w:r>
      <w:r w:rsidR="00486F1B" w:rsidRPr="00D31C40">
        <w:rPr>
          <w:rFonts w:ascii="David" w:hAnsi="David" w:cs="David" w:hint="cs"/>
          <w:rtl/>
        </w:rPr>
        <w:t xml:space="preserve"> על ידי משרד האוצר</w:t>
      </w:r>
      <w:r w:rsidR="00777E40" w:rsidRPr="00D31C40">
        <w:rPr>
          <w:rFonts w:ascii="David" w:hAnsi="David" w:cs="David" w:hint="cs"/>
          <w:rtl/>
        </w:rPr>
        <w:t xml:space="preserve"> בהתאם לצ</w:t>
      </w:r>
      <w:r w:rsidR="00B82448" w:rsidRPr="00D31C40">
        <w:rPr>
          <w:rFonts w:ascii="David" w:hAnsi="David" w:cs="David" w:hint="cs"/>
          <w:rtl/>
        </w:rPr>
        <w:t>ו</w:t>
      </w:r>
      <w:r w:rsidR="00777E40" w:rsidRPr="00D31C40">
        <w:rPr>
          <w:rFonts w:ascii="David" w:hAnsi="David" w:cs="David" w:hint="cs"/>
          <w:rtl/>
        </w:rPr>
        <w:t>רכי חברות ביטוח האשראי.</w:t>
      </w:r>
      <w:r w:rsidR="00777E40">
        <w:rPr>
          <w:rFonts w:ascii="David" w:hAnsi="David" w:cs="David" w:hint="cs"/>
          <w:rtl/>
        </w:rPr>
        <w:t xml:space="preserve"> </w:t>
      </w:r>
    </w:p>
  </w:footnote>
  <w:footnote w:id="10">
    <w:p w:rsidR="0065291E" w:rsidRPr="00D433E1" w:rsidRDefault="0065291E" w:rsidP="00BE6457">
      <w:pPr>
        <w:pStyle w:val="a3"/>
        <w:jc w:val="both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0B602B">
        <w:rPr>
          <w:rFonts w:ascii="David" w:hAnsi="David" w:cs="David"/>
          <w:rtl/>
        </w:rPr>
        <w:t xml:space="preserve">ישנה </w:t>
      </w:r>
      <w:r>
        <w:rPr>
          <w:rFonts w:ascii="David" w:hAnsi="David" w:cs="David" w:hint="cs"/>
          <w:rtl/>
        </w:rPr>
        <w:t>אפשרות ל</w:t>
      </w:r>
      <w:r w:rsidRPr="000B602B">
        <w:rPr>
          <w:rFonts w:ascii="David" w:hAnsi="David" w:cs="David"/>
          <w:rtl/>
        </w:rPr>
        <w:t>ת</w:t>
      </w:r>
      <w:r>
        <w:rPr>
          <w:rFonts w:ascii="David" w:hAnsi="David" w:cs="David" w:hint="cs"/>
          <w:rtl/>
        </w:rPr>
        <w:t>ו</w:t>
      </w:r>
      <w:r w:rsidRPr="000B602B">
        <w:rPr>
          <w:rFonts w:ascii="David" w:hAnsi="David" w:cs="David"/>
          <w:rtl/>
        </w:rPr>
        <w:t xml:space="preserve">כנית </w:t>
      </w:r>
      <w:r>
        <w:rPr>
          <w:rFonts w:ascii="David" w:hAnsi="David" w:cs="David" w:hint="cs"/>
          <w:rtl/>
        </w:rPr>
        <w:t>אחרת</w:t>
      </w:r>
      <w:r w:rsidRPr="000B602B">
        <w:rPr>
          <w:rFonts w:ascii="David" w:hAnsi="David" w:cs="David"/>
          <w:rtl/>
        </w:rPr>
        <w:t xml:space="preserve"> של ערבות מדינה לביטוחי אשראי</w:t>
      </w:r>
      <w:r>
        <w:rPr>
          <w:rFonts w:ascii="David" w:hAnsi="David" w:cs="David" w:hint="cs"/>
          <w:rtl/>
        </w:rPr>
        <w:t xml:space="preserve">: </w:t>
      </w:r>
      <w:r w:rsidRPr="000B602B">
        <w:rPr>
          <w:rFonts w:ascii="David" w:hAnsi="David" w:cs="David"/>
          <w:rtl/>
        </w:rPr>
        <w:t>בגרמניה</w:t>
      </w:r>
      <w:r>
        <w:rPr>
          <w:rFonts w:ascii="David" w:hAnsi="David" w:cs="David" w:hint="cs"/>
          <w:rtl/>
        </w:rPr>
        <w:t>,</w:t>
      </w:r>
      <w:r w:rsidRPr="00893003">
        <w:rPr>
          <w:rFonts w:ascii="David" w:hAnsi="David" w:cs="David"/>
          <w:rtl/>
        </w:rPr>
        <w:t xml:space="preserve"> </w:t>
      </w:r>
      <w:r w:rsidRPr="000B602B">
        <w:rPr>
          <w:rFonts w:ascii="David" w:hAnsi="David" w:cs="David"/>
          <w:rtl/>
        </w:rPr>
        <w:t>ל</w:t>
      </w:r>
      <w:r>
        <w:rPr>
          <w:rFonts w:ascii="David" w:hAnsi="David" w:cs="David" w:hint="cs"/>
          <w:rtl/>
        </w:rPr>
        <w:t>משל</w:t>
      </w:r>
      <w:r w:rsidRPr="000B602B"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>ה</w:t>
      </w:r>
      <w:r w:rsidRPr="000B602B">
        <w:rPr>
          <w:rFonts w:ascii="David" w:hAnsi="David" w:cs="David"/>
          <w:rtl/>
        </w:rPr>
        <w:t xml:space="preserve">חברות </w:t>
      </w:r>
      <w:r>
        <w:rPr>
          <w:rFonts w:ascii="David" w:hAnsi="David" w:cs="David" w:hint="cs"/>
          <w:rtl/>
        </w:rPr>
        <w:t>ל</w:t>
      </w:r>
      <w:r w:rsidRPr="000B602B">
        <w:rPr>
          <w:rFonts w:ascii="David" w:hAnsi="David" w:cs="David"/>
          <w:rtl/>
        </w:rPr>
        <w:t>ביטוח אשראי מתחייבות לא להוריד את שיעור המכסות</w:t>
      </w:r>
      <w:r>
        <w:rPr>
          <w:rFonts w:ascii="David" w:hAnsi="David" w:cs="David" w:hint="cs"/>
          <w:rtl/>
        </w:rPr>
        <w:t>,</w:t>
      </w:r>
      <w:r w:rsidRPr="000B602B">
        <w:rPr>
          <w:rFonts w:ascii="David" w:hAnsi="David" w:cs="David"/>
          <w:rtl/>
        </w:rPr>
        <w:t xml:space="preserve"> והמדינה מתחייבת לתת ערבות מלאה עבור אותו הסכום </w:t>
      </w:r>
      <w:r>
        <w:rPr>
          <w:rFonts w:ascii="David" w:hAnsi="David" w:cs="David" w:hint="cs"/>
          <w:rtl/>
        </w:rPr>
        <w:t>בתוספת</w:t>
      </w:r>
      <w:r w:rsidRPr="000B602B">
        <w:rPr>
          <w:rFonts w:ascii="David" w:hAnsi="David" w:cs="David"/>
          <w:rtl/>
        </w:rPr>
        <w:t xml:space="preserve"> אחוז </w:t>
      </w:r>
      <w:r w:rsidRPr="00D433E1">
        <w:rPr>
          <w:rFonts w:ascii="David" w:hAnsi="David" w:cs="David"/>
          <w:rtl/>
        </w:rPr>
        <w:t>מסוים שנקבע מראש.</w:t>
      </w:r>
      <w:r w:rsidRPr="00D433E1">
        <w:rPr>
          <w:rFonts w:hint="cs"/>
          <w:rtl/>
        </w:rPr>
        <w:t xml:space="preserve"> </w:t>
      </w:r>
      <w:r w:rsidRPr="00D433E1">
        <w:rPr>
          <w:rFonts w:ascii="David" w:hAnsi="David" w:cs="David" w:hint="cs"/>
          <w:rtl/>
        </w:rPr>
        <w:t>נדגיש כי מרבית החברות לביטוח אשראי</w:t>
      </w:r>
      <w:r w:rsidRPr="00D433E1">
        <w:rPr>
          <w:rFonts w:ascii="David" w:hAnsi="David" w:cs="David"/>
          <w:rtl/>
        </w:rPr>
        <w:t xml:space="preserve"> מגב</w:t>
      </w:r>
      <w:r w:rsidRPr="00D433E1">
        <w:rPr>
          <w:rFonts w:ascii="David" w:hAnsi="David" w:cs="David" w:hint="cs"/>
          <w:rtl/>
        </w:rPr>
        <w:t>ות</w:t>
      </w:r>
      <w:r w:rsidRPr="00D433E1">
        <w:rPr>
          <w:rFonts w:ascii="David" w:hAnsi="David" w:cs="David"/>
          <w:rtl/>
        </w:rPr>
        <w:t xml:space="preserve"> את </w:t>
      </w:r>
      <w:r w:rsidRPr="00D433E1">
        <w:rPr>
          <w:rFonts w:ascii="David" w:hAnsi="David" w:cs="David" w:hint="eastAsia"/>
          <w:rtl/>
        </w:rPr>
        <w:t>הכיסויים</w:t>
      </w:r>
      <w:r w:rsidRPr="00D433E1">
        <w:rPr>
          <w:rFonts w:ascii="David" w:hAnsi="David" w:cs="David"/>
          <w:rtl/>
        </w:rPr>
        <w:t xml:space="preserve"> </w:t>
      </w:r>
      <w:r w:rsidRPr="00D433E1">
        <w:rPr>
          <w:rFonts w:ascii="David" w:hAnsi="David" w:cs="David" w:hint="cs"/>
          <w:rtl/>
        </w:rPr>
        <w:t>ש</w:t>
      </w:r>
      <w:r w:rsidRPr="00D433E1">
        <w:rPr>
          <w:rFonts w:ascii="David" w:hAnsi="David" w:cs="David"/>
          <w:rtl/>
        </w:rPr>
        <w:t>ה</w:t>
      </w:r>
      <w:r w:rsidRPr="00D433E1">
        <w:rPr>
          <w:rFonts w:ascii="David" w:hAnsi="David" w:cs="David" w:hint="cs"/>
          <w:rtl/>
        </w:rPr>
        <w:t>ן</w:t>
      </w:r>
      <w:r w:rsidRPr="00D433E1">
        <w:rPr>
          <w:rFonts w:ascii="David" w:hAnsi="David" w:cs="David"/>
          <w:rtl/>
        </w:rPr>
        <w:t xml:space="preserve"> מספק</w:t>
      </w:r>
      <w:r w:rsidRPr="00D433E1">
        <w:rPr>
          <w:rFonts w:ascii="David" w:hAnsi="David" w:cs="David" w:hint="cs"/>
          <w:rtl/>
        </w:rPr>
        <w:t>ו</w:t>
      </w:r>
      <w:r w:rsidRPr="00D433E1">
        <w:rPr>
          <w:rFonts w:ascii="David" w:hAnsi="David" w:cs="David"/>
          <w:rtl/>
        </w:rPr>
        <w:t>ת באמצעות מבטחי משנה.</w:t>
      </w:r>
    </w:p>
  </w:footnote>
  <w:footnote w:id="11">
    <w:p w:rsidR="0065291E" w:rsidRPr="00D433E1" w:rsidRDefault="0065291E" w:rsidP="00E62476">
      <w:pPr>
        <w:pStyle w:val="a3"/>
        <w:jc w:val="both"/>
      </w:pPr>
      <w:r w:rsidRPr="00D433E1">
        <w:rPr>
          <w:rStyle w:val="a5"/>
        </w:rPr>
        <w:footnoteRef/>
      </w:r>
      <w:r w:rsidRPr="00D433E1">
        <w:rPr>
          <w:rtl/>
        </w:rPr>
        <w:t xml:space="preserve"> </w:t>
      </w:r>
      <w:r w:rsidRPr="00D433E1">
        <w:rPr>
          <w:rFonts w:ascii="David" w:hAnsi="David" w:cs="David"/>
          <w:rtl/>
        </w:rPr>
        <w:t>יש לציין כי בעת כשל ביטוחי, המבוטח בעסקות יצוא ישלם</w:t>
      </w:r>
      <w:r w:rsidR="005D1185">
        <w:rPr>
          <w:rFonts w:ascii="David" w:hAnsi="David" w:cs="David" w:hint="cs"/>
          <w:rtl/>
        </w:rPr>
        <w:t xml:space="preserve"> לרוב</w:t>
      </w:r>
      <w:r w:rsidRPr="00D433E1">
        <w:rPr>
          <w:rFonts w:ascii="David" w:hAnsi="David" w:cs="David"/>
          <w:rtl/>
        </w:rPr>
        <w:t xml:space="preserve"> 10 אחוזים מההשתתפות העצמית </w:t>
      </w:r>
      <w:r w:rsidRPr="00D433E1">
        <w:rPr>
          <w:rFonts w:ascii="David" w:hAnsi="David" w:cs="David" w:hint="eastAsia"/>
          <w:rtl/>
        </w:rPr>
        <w:t>ו</w:t>
      </w:r>
      <w:r w:rsidRPr="00D433E1">
        <w:rPr>
          <w:rFonts w:ascii="David" w:hAnsi="David" w:cs="David"/>
          <w:rtl/>
        </w:rPr>
        <w:t xml:space="preserve">בפעילות מקומית 15 אחוזים. </w:t>
      </w:r>
    </w:p>
  </w:footnote>
  <w:footnote w:id="12">
    <w:p w:rsidR="0065291E" w:rsidRPr="00D433E1" w:rsidRDefault="0065291E" w:rsidP="001618B3">
      <w:pPr>
        <w:pStyle w:val="a3"/>
        <w:jc w:val="both"/>
        <w:rPr>
          <w:rtl/>
        </w:rPr>
      </w:pPr>
      <w:r w:rsidRPr="00D433E1">
        <w:rPr>
          <w:rStyle w:val="a5"/>
        </w:rPr>
        <w:footnoteRef/>
      </w:r>
      <w:r w:rsidRPr="00D433E1">
        <w:rPr>
          <w:rtl/>
        </w:rPr>
        <w:t xml:space="preserve"> </w:t>
      </w:r>
      <w:r w:rsidRPr="00D433E1">
        <w:rPr>
          <w:rFonts w:ascii="David" w:hAnsi="David" w:cs="David"/>
          <w:rtl/>
        </w:rPr>
        <w:t>לא לגמרי למצב המקורי</w:t>
      </w:r>
      <w:r w:rsidRPr="00D433E1">
        <w:rPr>
          <w:rFonts w:ascii="David" w:hAnsi="David" w:cs="David" w:hint="cs"/>
          <w:rtl/>
        </w:rPr>
        <w:t>,</w:t>
      </w:r>
      <w:r w:rsidRPr="00D433E1">
        <w:rPr>
          <w:rFonts w:ascii="David" w:hAnsi="David" w:cs="David"/>
          <w:rtl/>
        </w:rPr>
        <w:t xml:space="preserve"> </w:t>
      </w:r>
      <w:r w:rsidRPr="00D433E1">
        <w:rPr>
          <w:rFonts w:ascii="David" w:hAnsi="David" w:cs="David" w:hint="cs"/>
          <w:rtl/>
        </w:rPr>
        <w:t xml:space="preserve">משום שכעת </w:t>
      </w:r>
      <w:r w:rsidRPr="00D433E1">
        <w:rPr>
          <w:rFonts w:ascii="David" w:hAnsi="David" w:cs="David"/>
          <w:rtl/>
        </w:rPr>
        <w:t xml:space="preserve">הלקוח </w:t>
      </w:r>
      <w:r w:rsidRPr="00D433E1">
        <w:rPr>
          <w:rFonts w:ascii="David" w:hAnsi="David" w:cs="David" w:hint="cs"/>
          <w:rtl/>
        </w:rPr>
        <w:t>י</w:t>
      </w:r>
      <w:r w:rsidRPr="00D433E1">
        <w:rPr>
          <w:rFonts w:ascii="David" w:hAnsi="David" w:cs="David"/>
          <w:rtl/>
        </w:rPr>
        <w:t xml:space="preserve">שלם </w:t>
      </w:r>
      <w:r w:rsidRPr="00D433E1">
        <w:rPr>
          <w:rFonts w:ascii="David" w:hAnsi="David" w:cs="David" w:hint="cs"/>
          <w:rtl/>
        </w:rPr>
        <w:t>קצת יותר משיעור ה</w:t>
      </w:r>
      <w:r w:rsidRPr="00D433E1">
        <w:rPr>
          <w:rFonts w:ascii="David" w:hAnsi="David" w:cs="David"/>
          <w:rtl/>
        </w:rPr>
        <w:t xml:space="preserve">פרמיה </w:t>
      </w:r>
      <w:r w:rsidRPr="00D433E1">
        <w:rPr>
          <w:rFonts w:ascii="David" w:hAnsi="David" w:cs="David" w:hint="cs"/>
          <w:rtl/>
        </w:rPr>
        <w:t>ע</w:t>
      </w:r>
      <w:r w:rsidRPr="00D433E1">
        <w:rPr>
          <w:rFonts w:ascii="David" w:hAnsi="David" w:cs="David"/>
          <w:rtl/>
        </w:rPr>
        <w:t>בור אותו כיסוי שהמדינה מעניקה.</w:t>
      </w:r>
    </w:p>
  </w:footnote>
  <w:footnote w:id="13">
    <w:p w:rsidR="0065291E" w:rsidRPr="0074409C" w:rsidRDefault="0065291E" w:rsidP="0074409C">
      <w:pPr>
        <w:pStyle w:val="a3"/>
        <w:jc w:val="both"/>
        <w:rPr>
          <w:rFonts w:ascii="David" w:hAnsi="David" w:cs="David"/>
          <w:rtl/>
        </w:rPr>
      </w:pPr>
      <w:r w:rsidRPr="00D433E1">
        <w:rPr>
          <w:rStyle w:val="a5"/>
          <w:rFonts w:ascii="David" w:hAnsi="David" w:cs="David"/>
        </w:rPr>
        <w:footnoteRef/>
      </w:r>
      <w:r w:rsidRPr="00D433E1">
        <w:rPr>
          <w:rFonts w:ascii="David" w:hAnsi="David" w:cs="David"/>
          <w:rtl/>
        </w:rPr>
        <w:t xml:space="preserve"> מתוך מגמה לסייע גם לספקים בשוק המקומי ב</w:t>
      </w:r>
      <w:r w:rsidRPr="00D433E1">
        <w:rPr>
          <w:rFonts w:ascii="David" w:hAnsi="David" w:cs="David" w:hint="cs"/>
          <w:rtl/>
        </w:rPr>
        <w:t>השגת</w:t>
      </w:r>
      <w:r w:rsidRPr="00D433E1">
        <w:rPr>
          <w:rFonts w:ascii="David" w:hAnsi="David" w:cs="David"/>
          <w:rtl/>
        </w:rPr>
        <w:t xml:space="preserve"> כיסוי ביטוחי גבוה יותר</w:t>
      </w:r>
      <w:r w:rsidRPr="00D433E1">
        <w:rPr>
          <w:rFonts w:ascii="David" w:hAnsi="David" w:cs="David" w:hint="cs"/>
          <w:rtl/>
        </w:rPr>
        <w:t xml:space="preserve"> רתמה </w:t>
      </w:r>
      <w:r w:rsidR="00EE13DF" w:rsidRPr="00D433E1">
        <w:rPr>
          <w:rFonts w:ascii="David" w:hAnsi="David" w:cs="David" w:hint="cs"/>
          <w:rtl/>
        </w:rPr>
        <w:t>"</w:t>
      </w:r>
      <w:proofErr w:type="spellStart"/>
      <w:r w:rsidR="00844A8E" w:rsidRPr="00D433E1">
        <w:rPr>
          <w:rFonts w:ascii="David" w:hAnsi="David" w:cs="David"/>
          <w:rtl/>
        </w:rPr>
        <w:t>בססח</w:t>
      </w:r>
      <w:proofErr w:type="spellEnd"/>
      <w:r w:rsidR="00EE13DF" w:rsidRPr="00D433E1">
        <w:rPr>
          <w:rFonts w:ascii="David" w:hAnsi="David" w:cs="David" w:hint="cs"/>
          <w:rtl/>
        </w:rPr>
        <w:t>"</w:t>
      </w:r>
      <w:r w:rsidRPr="00D433E1">
        <w:rPr>
          <w:rFonts w:ascii="David" w:hAnsi="David" w:cs="David" w:hint="cs"/>
          <w:rtl/>
        </w:rPr>
        <w:t xml:space="preserve"> (לדוגמה)</w:t>
      </w:r>
      <w:r w:rsidRPr="00D433E1">
        <w:rPr>
          <w:rFonts w:ascii="David" w:hAnsi="David" w:cs="David"/>
          <w:rtl/>
        </w:rPr>
        <w:t xml:space="preserve"> לת</w:t>
      </w:r>
      <w:r w:rsidRPr="00D433E1">
        <w:rPr>
          <w:rFonts w:ascii="David" w:hAnsi="David" w:cs="David" w:hint="cs"/>
          <w:rtl/>
        </w:rPr>
        <w:t>ו</w:t>
      </w:r>
      <w:r w:rsidRPr="00D433E1">
        <w:rPr>
          <w:rFonts w:ascii="David" w:hAnsi="David" w:cs="David"/>
          <w:rtl/>
        </w:rPr>
        <w:t xml:space="preserve">כנית </w:t>
      </w:r>
      <w:r w:rsidR="00EE13DF" w:rsidRPr="00D433E1">
        <w:rPr>
          <w:rFonts w:ascii="David" w:hAnsi="David" w:cs="David"/>
          <w:rtl/>
        </w:rPr>
        <w:t>ז</w:t>
      </w:r>
      <w:r w:rsidR="00EE13DF" w:rsidRPr="00D433E1">
        <w:rPr>
          <w:rFonts w:ascii="David" w:hAnsi="David" w:cs="David" w:hint="cs"/>
          <w:rtl/>
        </w:rPr>
        <w:t>ו</w:t>
      </w:r>
      <w:r w:rsidR="00EE13DF" w:rsidRPr="00D433E1">
        <w:rPr>
          <w:rFonts w:ascii="David" w:hAnsi="David" w:cs="David"/>
          <w:rtl/>
        </w:rPr>
        <w:t xml:space="preserve"> </w:t>
      </w:r>
      <w:r w:rsidRPr="00D433E1">
        <w:rPr>
          <w:rFonts w:ascii="David" w:hAnsi="David" w:cs="David"/>
          <w:rtl/>
        </w:rPr>
        <w:t>מבטחי משנה מובילים בעולם, אשר היו מוכנים לקחת על עצמם את סיכוני האשראי בתנאים זהים לאלו של הממשלה.</w:t>
      </w:r>
    </w:p>
  </w:footnote>
  <w:footnote w:id="14">
    <w:p w:rsidR="00451557" w:rsidRDefault="00451557" w:rsidP="00394503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="00394503" w:rsidRPr="00D6364C">
        <w:rPr>
          <w:rFonts w:ascii="David" w:hAnsi="David" w:cs="David" w:hint="eastAsia"/>
          <w:rtl/>
        </w:rPr>
        <w:t>דירוג</w:t>
      </w:r>
      <w:r w:rsidR="00394503" w:rsidRPr="00D6364C">
        <w:rPr>
          <w:rFonts w:ascii="David" w:hAnsi="David" w:cs="David"/>
          <w:rtl/>
        </w:rPr>
        <w:t xml:space="preserve"> </w:t>
      </w:r>
      <w:r w:rsidR="00394503" w:rsidRPr="00D6364C">
        <w:rPr>
          <w:rFonts w:ascii="David" w:hAnsi="David" w:cs="David" w:hint="eastAsia"/>
          <w:rtl/>
        </w:rPr>
        <w:t>פנימי</w:t>
      </w:r>
      <w:r w:rsidR="00394503" w:rsidRPr="00D6364C">
        <w:rPr>
          <w:rFonts w:ascii="David" w:hAnsi="David" w:cs="David"/>
          <w:rtl/>
        </w:rPr>
        <w:t xml:space="preserve"> </w:t>
      </w:r>
      <w:r w:rsidR="00394503" w:rsidRPr="00D6364C">
        <w:rPr>
          <w:rFonts w:ascii="David" w:hAnsi="David" w:cs="David" w:hint="eastAsia"/>
          <w:rtl/>
        </w:rPr>
        <w:t>של</w:t>
      </w:r>
      <w:r w:rsidR="00394503" w:rsidRPr="00D6364C">
        <w:rPr>
          <w:rFonts w:ascii="David" w:hAnsi="David" w:cs="David"/>
          <w:rtl/>
        </w:rPr>
        <w:t xml:space="preserve"> </w:t>
      </w:r>
      <w:r w:rsidR="00394503" w:rsidRPr="00D6364C">
        <w:rPr>
          <w:rFonts w:ascii="David" w:hAnsi="David" w:cs="David" w:hint="eastAsia"/>
          <w:rtl/>
        </w:rPr>
        <w:t>החברה</w:t>
      </w:r>
      <w:r w:rsidR="00394503" w:rsidRPr="00D6364C">
        <w:rPr>
          <w:rFonts w:ascii="David" w:hAnsi="David" w:cs="David"/>
          <w:rtl/>
        </w:rPr>
        <w:t>.</w:t>
      </w:r>
      <w:r>
        <w:rPr>
          <w:rFonts w:hint="cs"/>
          <w:rtl/>
        </w:rPr>
        <w:t xml:space="preserve"> </w:t>
      </w:r>
    </w:p>
  </w:footnote>
  <w:footnote w:id="15">
    <w:p w:rsidR="0065291E" w:rsidRDefault="0065291E" w:rsidP="00516518">
      <w:pPr>
        <w:pStyle w:val="a3"/>
        <w:jc w:val="both"/>
      </w:pPr>
      <w:r w:rsidRPr="0074409C">
        <w:rPr>
          <w:rStyle w:val="a5"/>
          <w:rFonts w:ascii="David" w:hAnsi="David" w:cs="David"/>
        </w:rPr>
        <w:footnoteRef/>
      </w:r>
      <w:r w:rsidRPr="0074409C">
        <w:rPr>
          <w:rFonts w:ascii="David" w:hAnsi="David" w:cs="David"/>
          <w:rtl/>
        </w:rPr>
        <w:t xml:space="preserve"> </w:t>
      </w:r>
      <w:r w:rsidRPr="0074409C">
        <w:rPr>
          <w:rFonts w:ascii="David" w:hAnsi="David" w:cs="David"/>
          <w:rtl/>
        </w:rPr>
        <w:t xml:space="preserve">ואף במקרים מסוימים לשפר את היחסים הפיננסיים במאזן </w:t>
      </w:r>
      <w:r>
        <w:rPr>
          <w:rFonts w:ascii="David" w:hAnsi="David" w:cs="David" w:hint="cs"/>
          <w:rtl/>
        </w:rPr>
        <w:t>–</w:t>
      </w:r>
      <w:r w:rsidRPr="0074409C">
        <w:rPr>
          <w:rFonts w:ascii="David" w:hAnsi="David" w:cs="David"/>
          <w:rtl/>
        </w:rPr>
        <w:t xml:space="preserve"> בדרך של הפחתת סעיף החייבים והגדלת המזומנים במאזן (ניכיון חייבים).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A46"/>
    <w:multiLevelType w:val="hybridMultilevel"/>
    <w:tmpl w:val="B3126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F2BFF"/>
    <w:multiLevelType w:val="hybridMultilevel"/>
    <w:tmpl w:val="B4FA8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C66"/>
    <w:multiLevelType w:val="hybridMultilevel"/>
    <w:tmpl w:val="CC3A86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B75B4"/>
    <w:multiLevelType w:val="hybridMultilevel"/>
    <w:tmpl w:val="DD42D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54"/>
    <w:rsid w:val="00004B98"/>
    <w:rsid w:val="00015512"/>
    <w:rsid w:val="00016BB6"/>
    <w:rsid w:val="00023B9B"/>
    <w:rsid w:val="00030D02"/>
    <w:rsid w:val="00033B13"/>
    <w:rsid w:val="00037AEE"/>
    <w:rsid w:val="00040EB4"/>
    <w:rsid w:val="00051BB6"/>
    <w:rsid w:val="00054D0E"/>
    <w:rsid w:val="00056AC8"/>
    <w:rsid w:val="000633BF"/>
    <w:rsid w:val="000725D0"/>
    <w:rsid w:val="00073401"/>
    <w:rsid w:val="0007627B"/>
    <w:rsid w:val="000814B8"/>
    <w:rsid w:val="00081AD1"/>
    <w:rsid w:val="000843F3"/>
    <w:rsid w:val="00084E4E"/>
    <w:rsid w:val="00086DA7"/>
    <w:rsid w:val="000A284F"/>
    <w:rsid w:val="000B0001"/>
    <w:rsid w:val="000B0405"/>
    <w:rsid w:val="000B602B"/>
    <w:rsid w:val="000C2D07"/>
    <w:rsid w:val="000C573A"/>
    <w:rsid w:val="000D084E"/>
    <w:rsid w:val="000D5AC9"/>
    <w:rsid w:val="000D60F6"/>
    <w:rsid w:val="000D7803"/>
    <w:rsid w:val="000E6322"/>
    <w:rsid w:val="000F3D12"/>
    <w:rsid w:val="000F6B99"/>
    <w:rsid w:val="000F7630"/>
    <w:rsid w:val="001007D1"/>
    <w:rsid w:val="00101AA9"/>
    <w:rsid w:val="001069BB"/>
    <w:rsid w:val="001109B2"/>
    <w:rsid w:val="00113E11"/>
    <w:rsid w:val="00114AFC"/>
    <w:rsid w:val="00117530"/>
    <w:rsid w:val="001247A7"/>
    <w:rsid w:val="001259AC"/>
    <w:rsid w:val="00135BC3"/>
    <w:rsid w:val="0013685D"/>
    <w:rsid w:val="00144E4F"/>
    <w:rsid w:val="001538C8"/>
    <w:rsid w:val="00154285"/>
    <w:rsid w:val="00156E3B"/>
    <w:rsid w:val="001618B3"/>
    <w:rsid w:val="00161AA2"/>
    <w:rsid w:val="00162354"/>
    <w:rsid w:val="00162CFE"/>
    <w:rsid w:val="00180C78"/>
    <w:rsid w:val="001822ED"/>
    <w:rsid w:val="00187308"/>
    <w:rsid w:val="00187D32"/>
    <w:rsid w:val="00195294"/>
    <w:rsid w:val="00196AE4"/>
    <w:rsid w:val="001A1F34"/>
    <w:rsid w:val="001A77B6"/>
    <w:rsid w:val="001B1E42"/>
    <w:rsid w:val="001B6B5F"/>
    <w:rsid w:val="001C563F"/>
    <w:rsid w:val="001D6B70"/>
    <w:rsid w:val="001E5CD9"/>
    <w:rsid w:val="001F0797"/>
    <w:rsid w:val="001F21F5"/>
    <w:rsid w:val="001F4AEE"/>
    <w:rsid w:val="001F5CCE"/>
    <w:rsid w:val="002069FC"/>
    <w:rsid w:val="002157A2"/>
    <w:rsid w:val="00247BAC"/>
    <w:rsid w:val="00250DE1"/>
    <w:rsid w:val="00251537"/>
    <w:rsid w:val="002521DB"/>
    <w:rsid w:val="0025382D"/>
    <w:rsid w:val="0025517C"/>
    <w:rsid w:val="00256054"/>
    <w:rsid w:val="00256E1C"/>
    <w:rsid w:val="00264278"/>
    <w:rsid w:val="00264CC7"/>
    <w:rsid w:val="00274504"/>
    <w:rsid w:val="002752CC"/>
    <w:rsid w:val="00277900"/>
    <w:rsid w:val="002810AB"/>
    <w:rsid w:val="00291739"/>
    <w:rsid w:val="00295EC1"/>
    <w:rsid w:val="002A1EAD"/>
    <w:rsid w:val="002A5651"/>
    <w:rsid w:val="002B5B58"/>
    <w:rsid w:val="002C25C7"/>
    <w:rsid w:val="002C3EF9"/>
    <w:rsid w:val="002C5A2D"/>
    <w:rsid w:val="002D09C3"/>
    <w:rsid w:val="002D3899"/>
    <w:rsid w:val="002D5A5B"/>
    <w:rsid w:val="002E5789"/>
    <w:rsid w:val="002E72E1"/>
    <w:rsid w:val="00302E7B"/>
    <w:rsid w:val="00303DD0"/>
    <w:rsid w:val="003048F2"/>
    <w:rsid w:val="00311748"/>
    <w:rsid w:val="003123F4"/>
    <w:rsid w:val="00312D99"/>
    <w:rsid w:val="00324855"/>
    <w:rsid w:val="00326C6B"/>
    <w:rsid w:val="00331043"/>
    <w:rsid w:val="00334532"/>
    <w:rsid w:val="003375B1"/>
    <w:rsid w:val="00340109"/>
    <w:rsid w:val="0034329E"/>
    <w:rsid w:val="003453ED"/>
    <w:rsid w:val="00355EEB"/>
    <w:rsid w:val="00356EB9"/>
    <w:rsid w:val="00357CE9"/>
    <w:rsid w:val="00364570"/>
    <w:rsid w:val="00373C8D"/>
    <w:rsid w:val="00374260"/>
    <w:rsid w:val="00375E58"/>
    <w:rsid w:val="00392D59"/>
    <w:rsid w:val="00394503"/>
    <w:rsid w:val="00396F5B"/>
    <w:rsid w:val="003A09F1"/>
    <w:rsid w:val="003A4934"/>
    <w:rsid w:val="003B1713"/>
    <w:rsid w:val="003B5BEB"/>
    <w:rsid w:val="003C559A"/>
    <w:rsid w:val="003C64AD"/>
    <w:rsid w:val="003C6F09"/>
    <w:rsid w:val="003E07BA"/>
    <w:rsid w:val="003E09D0"/>
    <w:rsid w:val="003E6063"/>
    <w:rsid w:val="003E61C2"/>
    <w:rsid w:val="003E7DF7"/>
    <w:rsid w:val="003F30BD"/>
    <w:rsid w:val="003F5EAA"/>
    <w:rsid w:val="003F72EE"/>
    <w:rsid w:val="004016C7"/>
    <w:rsid w:val="00411A4D"/>
    <w:rsid w:val="00411B7B"/>
    <w:rsid w:val="00426B78"/>
    <w:rsid w:val="0043121C"/>
    <w:rsid w:val="004351E6"/>
    <w:rsid w:val="00437E87"/>
    <w:rsid w:val="0044613C"/>
    <w:rsid w:val="00451557"/>
    <w:rsid w:val="0045598A"/>
    <w:rsid w:val="00455CBA"/>
    <w:rsid w:val="00461AD4"/>
    <w:rsid w:val="00462326"/>
    <w:rsid w:val="004700DF"/>
    <w:rsid w:val="0047553C"/>
    <w:rsid w:val="00477B74"/>
    <w:rsid w:val="004812EA"/>
    <w:rsid w:val="00481BA6"/>
    <w:rsid w:val="00484293"/>
    <w:rsid w:val="004847E9"/>
    <w:rsid w:val="00485464"/>
    <w:rsid w:val="00486F1B"/>
    <w:rsid w:val="004A0BA7"/>
    <w:rsid w:val="004B0F1D"/>
    <w:rsid w:val="004B2D9D"/>
    <w:rsid w:val="004B66C5"/>
    <w:rsid w:val="004B6CFA"/>
    <w:rsid w:val="004C4E0D"/>
    <w:rsid w:val="004D4ACF"/>
    <w:rsid w:val="004F01AE"/>
    <w:rsid w:val="004F7F76"/>
    <w:rsid w:val="00500728"/>
    <w:rsid w:val="005009D2"/>
    <w:rsid w:val="00503619"/>
    <w:rsid w:val="005071B4"/>
    <w:rsid w:val="00510983"/>
    <w:rsid w:val="0051195A"/>
    <w:rsid w:val="005141A5"/>
    <w:rsid w:val="00516518"/>
    <w:rsid w:val="00520325"/>
    <w:rsid w:val="0052209C"/>
    <w:rsid w:val="00523903"/>
    <w:rsid w:val="0052632A"/>
    <w:rsid w:val="005562F4"/>
    <w:rsid w:val="00575DEB"/>
    <w:rsid w:val="0058202E"/>
    <w:rsid w:val="00582FC5"/>
    <w:rsid w:val="00590A7D"/>
    <w:rsid w:val="005B3477"/>
    <w:rsid w:val="005B4BCF"/>
    <w:rsid w:val="005C1194"/>
    <w:rsid w:val="005C1332"/>
    <w:rsid w:val="005C1BB2"/>
    <w:rsid w:val="005C296F"/>
    <w:rsid w:val="005C5B98"/>
    <w:rsid w:val="005D1185"/>
    <w:rsid w:val="005D2ED9"/>
    <w:rsid w:val="005D3ED2"/>
    <w:rsid w:val="005D55B6"/>
    <w:rsid w:val="005D619A"/>
    <w:rsid w:val="005D660F"/>
    <w:rsid w:val="005D747D"/>
    <w:rsid w:val="005E343E"/>
    <w:rsid w:val="005E5BB6"/>
    <w:rsid w:val="005F25FB"/>
    <w:rsid w:val="005F55E2"/>
    <w:rsid w:val="00601CC2"/>
    <w:rsid w:val="00602C11"/>
    <w:rsid w:val="0060334D"/>
    <w:rsid w:val="00607DB1"/>
    <w:rsid w:val="00610181"/>
    <w:rsid w:val="00611CC0"/>
    <w:rsid w:val="00614AF1"/>
    <w:rsid w:val="00621D5B"/>
    <w:rsid w:val="0062399F"/>
    <w:rsid w:val="00626728"/>
    <w:rsid w:val="00627E34"/>
    <w:rsid w:val="006303D1"/>
    <w:rsid w:val="00643D37"/>
    <w:rsid w:val="00645B70"/>
    <w:rsid w:val="00645C47"/>
    <w:rsid w:val="006473E4"/>
    <w:rsid w:val="006478BF"/>
    <w:rsid w:val="0065291E"/>
    <w:rsid w:val="006556D8"/>
    <w:rsid w:val="00661C51"/>
    <w:rsid w:val="006705F3"/>
    <w:rsid w:val="00676886"/>
    <w:rsid w:val="006777EC"/>
    <w:rsid w:val="0068675E"/>
    <w:rsid w:val="00686B94"/>
    <w:rsid w:val="006914E6"/>
    <w:rsid w:val="00691AD5"/>
    <w:rsid w:val="00691CCB"/>
    <w:rsid w:val="006924CB"/>
    <w:rsid w:val="006A3BCF"/>
    <w:rsid w:val="006B2967"/>
    <w:rsid w:val="006B2E56"/>
    <w:rsid w:val="006B51B4"/>
    <w:rsid w:val="006C7C5E"/>
    <w:rsid w:val="006D0FF7"/>
    <w:rsid w:val="006D1CFA"/>
    <w:rsid w:val="006D4A17"/>
    <w:rsid w:val="006E0BF4"/>
    <w:rsid w:val="006E1702"/>
    <w:rsid w:val="006E7670"/>
    <w:rsid w:val="006F3878"/>
    <w:rsid w:val="00705C43"/>
    <w:rsid w:val="00716B4E"/>
    <w:rsid w:val="00716D1C"/>
    <w:rsid w:val="00717F99"/>
    <w:rsid w:val="00723903"/>
    <w:rsid w:val="00727F64"/>
    <w:rsid w:val="00735517"/>
    <w:rsid w:val="007403E7"/>
    <w:rsid w:val="0074409C"/>
    <w:rsid w:val="007629B6"/>
    <w:rsid w:val="00765365"/>
    <w:rsid w:val="00772D2F"/>
    <w:rsid w:val="00777999"/>
    <w:rsid w:val="00777DCC"/>
    <w:rsid w:val="00777E40"/>
    <w:rsid w:val="00780BC8"/>
    <w:rsid w:val="0078129E"/>
    <w:rsid w:val="00786CD8"/>
    <w:rsid w:val="007950C0"/>
    <w:rsid w:val="007A00CB"/>
    <w:rsid w:val="007A0BB4"/>
    <w:rsid w:val="007B0A63"/>
    <w:rsid w:val="007B4F92"/>
    <w:rsid w:val="007B776A"/>
    <w:rsid w:val="007C0B49"/>
    <w:rsid w:val="007C33D7"/>
    <w:rsid w:val="007D0988"/>
    <w:rsid w:val="007D4B6B"/>
    <w:rsid w:val="007D555A"/>
    <w:rsid w:val="007D6B68"/>
    <w:rsid w:val="007E3174"/>
    <w:rsid w:val="007E4901"/>
    <w:rsid w:val="007E6DC7"/>
    <w:rsid w:val="007F238C"/>
    <w:rsid w:val="0080483E"/>
    <w:rsid w:val="008058A3"/>
    <w:rsid w:val="00811C78"/>
    <w:rsid w:val="00816CD0"/>
    <w:rsid w:val="00820C29"/>
    <w:rsid w:val="00833142"/>
    <w:rsid w:val="00834008"/>
    <w:rsid w:val="00836A88"/>
    <w:rsid w:val="00837630"/>
    <w:rsid w:val="00844A8E"/>
    <w:rsid w:val="00845931"/>
    <w:rsid w:val="00847B9F"/>
    <w:rsid w:val="00847D11"/>
    <w:rsid w:val="00851CCD"/>
    <w:rsid w:val="00852219"/>
    <w:rsid w:val="00861B88"/>
    <w:rsid w:val="00872FC1"/>
    <w:rsid w:val="008814A6"/>
    <w:rsid w:val="00885E25"/>
    <w:rsid w:val="00886C54"/>
    <w:rsid w:val="00893003"/>
    <w:rsid w:val="008978CE"/>
    <w:rsid w:val="008A4EAC"/>
    <w:rsid w:val="008A5B79"/>
    <w:rsid w:val="008B6ED6"/>
    <w:rsid w:val="008D7541"/>
    <w:rsid w:val="008E1B08"/>
    <w:rsid w:val="008E1F54"/>
    <w:rsid w:val="008E216E"/>
    <w:rsid w:val="008E59BF"/>
    <w:rsid w:val="008E7FFC"/>
    <w:rsid w:val="008F2A5E"/>
    <w:rsid w:val="008F30E6"/>
    <w:rsid w:val="008F6634"/>
    <w:rsid w:val="00901511"/>
    <w:rsid w:val="009058E0"/>
    <w:rsid w:val="00907AE0"/>
    <w:rsid w:val="00912352"/>
    <w:rsid w:val="00913137"/>
    <w:rsid w:val="00915441"/>
    <w:rsid w:val="0092181A"/>
    <w:rsid w:val="00926310"/>
    <w:rsid w:val="00930B1F"/>
    <w:rsid w:val="00937042"/>
    <w:rsid w:val="00940FFB"/>
    <w:rsid w:val="009455E8"/>
    <w:rsid w:val="00945CC8"/>
    <w:rsid w:val="00962EF7"/>
    <w:rsid w:val="00966548"/>
    <w:rsid w:val="009725F5"/>
    <w:rsid w:val="00972C62"/>
    <w:rsid w:val="00976019"/>
    <w:rsid w:val="0097685F"/>
    <w:rsid w:val="009831EA"/>
    <w:rsid w:val="00983437"/>
    <w:rsid w:val="009A60A2"/>
    <w:rsid w:val="009B1FDB"/>
    <w:rsid w:val="009B70F6"/>
    <w:rsid w:val="009C34FE"/>
    <w:rsid w:val="009D2B7D"/>
    <w:rsid w:val="009D560B"/>
    <w:rsid w:val="009E59D3"/>
    <w:rsid w:val="009F4C55"/>
    <w:rsid w:val="00A13E8D"/>
    <w:rsid w:val="00A314C3"/>
    <w:rsid w:val="00A456C2"/>
    <w:rsid w:val="00A50359"/>
    <w:rsid w:val="00A53B4F"/>
    <w:rsid w:val="00A620D7"/>
    <w:rsid w:val="00A75ABD"/>
    <w:rsid w:val="00A847AE"/>
    <w:rsid w:val="00A85C2B"/>
    <w:rsid w:val="00A860C7"/>
    <w:rsid w:val="00A8778A"/>
    <w:rsid w:val="00A92F83"/>
    <w:rsid w:val="00A96C6A"/>
    <w:rsid w:val="00AA183F"/>
    <w:rsid w:val="00AB325A"/>
    <w:rsid w:val="00AB6E36"/>
    <w:rsid w:val="00AC4048"/>
    <w:rsid w:val="00AC667D"/>
    <w:rsid w:val="00AC6AB8"/>
    <w:rsid w:val="00AC6D01"/>
    <w:rsid w:val="00AC7403"/>
    <w:rsid w:val="00AC7E92"/>
    <w:rsid w:val="00AD3ADE"/>
    <w:rsid w:val="00AD4E7F"/>
    <w:rsid w:val="00AD6D3A"/>
    <w:rsid w:val="00AE1B86"/>
    <w:rsid w:val="00AE3131"/>
    <w:rsid w:val="00AE785D"/>
    <w:rsid w:val="00AF1A80"/>
    <w:rsid w:val="00AF1C1B"/>
    <w:rsid w:val="00AF3EA9"/>
    <w:rsid w:val="00AF456C"/>
    <w:rsid w:val="00AF578D"/>
    <w:rsid w:val="00B0155C"/>
    <w:rsid w:val="00B01B61"/>
    <w:rsid w:val="00B02AFD"/>
    <w:rsid w:val="00B07891"/>
    <w:rsid w:val="00B1194C"/>
    <w:rsid w:val="00B17C22"/>
    <w:rsid w:val="00B26EB4"/>
    <w:rsid w:val="00B530F6"/>
    <w:rsid w:val="00B54432"/>
    <w:rsid w:val="00B6259F"/>
    <w:rsid w:val="00B63F8C"/>
    <w:rsid w:val="00B66565"/>
    <w:rsid w:val="00B76A60"/>
    <w:rsid w:val="00B82448"/>
    <w:rsid w:val="00B913BF"/>
    <w:rsid w:val="00B93A57"/>
    <w:rsid w:val="00BB01D3"/>
    <w:rsid w:val="00BB1948"/>
    <w:rsid w:val="00BB2B18"/>
    <w:rsid w:val="00BD3ABD"/>
    <w:rsid w:val="00BE19B9"/>
    <w:rsid w:val="00BE348E"/>
    <w:rsid w:val="00BE3E8E"/>
    <w:rsid w:val="00BE5A00"/>
    <w:rsid w:val="00BE6457"/>
    <w:rsid w:val="00BF6379"/>
    <w:rsid w:val="00C0545E"/>
    <w:rsid w:val="00C20106"/>
    <w:rsid w:val="00C270C9"/>
    <w:rsid w:val="00C30C98"/>
    <w:rsid w:val="00C30E22"/>
    <w:rsid w:val="00C32535"/>
    <w:rsid w:val="00C361F6"/>
    <w:rsid w:val="00C4074E"/>
    <w:rsid w:val="00C41A70"/>
    <w:rsid w:val="00C460AF"/>
    <w:rsid w:val="00C46EC3"/>
    <w:rsid w:val="00C47DB3"/>
    <w:rsid w:val="00C50685"/>
    <w:rsid w:val="00C60265"/>
    <w:rsid w:val="00C65989"/>
    <w:rsid w:val="00C6788C"/>
    <w:rsid w:val="00C67BCA"/>
    <w:rsid w:val="00C71873"/>
    <w:rsid w:val="00C71CDB"/>
    <w:rsid w:val="00C74AF9"/>
    <w:rsid w:val="00C80CAE"/>
    <w:rsid w:val="00C80EC1"/>
    <w:rsid w:val="00C81D89"/>
    <w:rsid w:val="00C83FAF"/>
    <w:rsid w:val="00C86A86"/>
    <w:rsid w:val="00C86AB7"/>
    <w:rsid w:val="00C921F4"/>
    <w:rsid w:val="00C943D9"/>
    <w:rsid w:val="00C96AE7"/>
    <w:rsid w:val="00CA174B"/>
    <w:rsid w:val="00CA2FBB"/>
    <w:rsid w:val="00CB5399"/>
    <w:rsid w:val="00CC0426"/>
    <w:rsid w:val="00CD7BA0"/>
    <w:rsid w:val="00CE657A"/>
    <w:rsid w:val="00CE7072"/>
    <w:rsid w:val="00CF177C"/>
    <w:rsid w:val="00D052AD"/>
    <w:rsid w:val="00D10572"/>
    <w:rsid w:val="00D1236B"/>
    <w:rsid w:val="00D13030"/>
    <w:rsid w:val="00D1324C"/>
    <w:rsid w:val="00D1624D"/>
    <w:rsid w:val="00D175B4"/>
    <w:rsid w:val="00D23148"/>
    <w:rsid w:val="00D2342D"/>
    <w:rsid w:val="00D259AE"/>
    <w:rsid w:val="00D30F72"/>
    <w:rsid w:val="00D31C40"/>
    <w:rsid w:val="00D433E1"/>
    <w:rsid w:val="00D475E6"/>
    <w:rsid w:val="00D55F3D"/>
    <w:rsid w:val="00D57F94"/>
    <w:rsid w:val="00D6364C"/>
    <w:rsid w:val="00D63926"/>
    <w:rsid w:val="00D648A0"/>
    <w:rsid w:val="00D72DB2"/>
    <w:rsid w:val="00D730F3"/>
    <w:rsid w:val="00D747A1"/>
    <w:rsid w:val="00D74FB6"/>
    <w:rsid w:val="00D76F57"/>
    <w:rsid w:val="00D811EA"/>
    <w:rsid w:val="00D829B5"/>
    <w:rsid w:val="00D8375B"/>
    <w:rsid w:val="00D84649"/>
    <w:rsid w:val="00D84FF6"/>
    <w:rsid w:val="00D851C4"/>
    <w:rsid w:val="00D85BCD"/>
    <w:rsid w:val="00D86FEC"/>
    <w:rsid w:val="00D903C9"/>
    <w:rsid w:val="00D90E01"/>
    <w:rsid w:val="00D91AB9"/>
    <w:rsid w:val="00D91C14"/>
    <w:rsid w:val="00D96F59"/>
    <w:rsid w:val="00DA5505"/>
    <w:rsid w:val="00DB407E"/>
    <w:rsid w:val="00DB619C"/>
    <w:rsid w:val="00DC3E1C"/>
    <w:rsid w:val="00DC63C5"/>
    <w:rsid w:val="00DE22DA"/>
    <w:rsid w:val="00DE2800"/>
    <w:rsid w:val="00DE297E"/>
    <w:rsid w:val="00DE46BF"/>
    <w:rsid w:val="00DE4EED"/>
    <w:rsid w:val="00DF4AA5"/>
    <w:rsid w:val="00DF76CB"/>
    <w:rsid w:val="00DF78CB"/>
    <w:rsid w:val="00E03B9D"/>
    <w:rsid w:val="00E055E2"/>
    <w:rsid w:val="00E10197"/>
    <w:rsid w:val="00E15CC6"/>
    <w:rsid w:val="00E22FC9"/>
    <w:rsid w:val="00E307A3"/>
    <w:rsid w:val="00E3542A"/>
    <w:rsid w:val="00E3641F"/>
    <w:rsid w:val="00E45321"/>
    <w:rsid w:val="00E4765D"/>
    <w:rsid w:val="00E545E5"/>
    <w:rsid w:val="00E62476"/>
    <w:rsid w:val="00E659BE"/>
    <w:rsid w:val="00E74CD1"/>
    <w:rsid w:val="00E77E8B"/>
    <w:rsid w:val="00E915E2"/>
    <w:rsid w:val="00E93218"/>
    <w:rsid w:val="00EA487C"/>
    <w:rsid w:val="00EA6A70"/>
    <w:rsid w:val="00EA7ED7"/>
    <w:rsid w:val="00EB121A"/>
    <w:rsid w:val="00EB4B42"/>
    <w:rsid w:val="00EB4CB5"/>
    <w:rsid w:val="00EB6D79"/>
    <w:rsid w:val="00EB7E8F"/>
    <w:rsid w:val="00EC01B2"/>
    <w:rsid w:val="00ED3052"/>
    <w:rsid w:val="00ED5252"/>
    <w:rsid w:val="00ED654F"/>
    <w:rsid w:val="00EE13DF"/>
    <w:rsid w:val="00EE3F0D"/>
    <w:rsid w:val="00EE47B1"/>
    <w:rsid w:val="00EE4D67"/>
    <w:rsid w:val="00EF000C"/>
    <w:rsid w:val="00EF2D5B"/>
    <w:rsid w:val="00F00961"/>
    <w:rsid w:val="00F059F0"/>
    <w:rsid w:val="00F12AF7"/>
    <w:rsid w:val="00F16E66"/>
    <w:rsid w:val="00F17C73"/>
    <w:rsid w:val="00F2433D"/>
    <w:rsid w:val="00F25C0B"/>
    <w:rsid w:val="00F31719"/>
    <w:rsid w:val="00F650E9"/>
    <w:rsid w:val="00F6548B"/>
    <w:rsid w:val="00F66C9D"/>
    <w:rsid w:val="00F83CF6"/>
    <w:rsid w:val="00F855EF"/>
    <w:rsid w:val="00F8714A"/>
    <w:rsid w:val="00F90B16"/>
    <w:rsid w:val="00FA4585"/>
    <w:rsid w:val="00FB4082"/>
    <w:rsid w:val="00FB46F9"/>
    <w:rsid w:val="00FB67B1"/>
    <w:rsid w:val="00FC1B78"/>
    <w:rsid w:val="00FD2F14"/>
    <w:rsid w:val="00FE4930"/>
    <w:rsid w:val="00FE55DA"/>
    <w:rsid w:val="00FE56F9"/>
    <w:rsid w:val="00FE764C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300C"/>
  <w15:chartTrackingRefBased/>
  <w15:docId w15:val="{432A0114-6E09-4A42-B482-0F1EECA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10572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D1057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1057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F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F1A80"/>
  </w:style>
  <w:style w:type="paragraph" w:styleId="a8">
    <w:name w:val="footer"/>
    <w:basedOn w:val="a"/>
    <w:link w:val="a9"/>
    <w:uiPriority w:val="99"/>
    <w:unhideWhenUsed/>
    <w:rsid w:val="00AF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F1A80"/>
  </w:style>
  <w:style w:type="paragraph" w:styleId="aa">
    <w:name w:val="List Paragraph"/>
    <w:basedOn w:val="a"/>
    <w:uiPriority w:val="34"/>
    <w:qFormat/>
    <w:rsid w:val="00A8778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03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7403E7"/>
    <w:rPr>
      <w:rFonts w:ascii="Tahoma" w:hAnsi="Tahoma" w:cs="Tahoma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403E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03E7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7403E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03E7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403E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3C559A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DC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30w\AppData\Local\Microsoft\Windows\INetCache\Content.Outlook\XFRWYJ9W\tevot_yetzivut_2020_2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30w\AppData\Local\Microsoft\Windows\INetCache\Content.Outlook\XFRWYJ9W\tevot_yetzivut_2020_2%20(002)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30w\AppData\Local\Microsoft\Windows\INetCache\Content.Outlook\XFRWYJ9W\tevot_yetzivut_2020_2%20(002)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30w\AppData\Local\Microsoft\Windows\INetCache\Content.Outlook\XFRWYJ9W\tevot_yetzivut_2020_2%20(002)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גיליון4!$B$4</c:f>
          <c:strCache>
            <c:ptCount val="1"/>
            <c:pt idx="0">
              <c:v>איור 2א
התפלגות הפעילות של החברות לביטוח אשראי, ייצוא
נתון שנתי ל-2019, אחוזים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2F467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1A-4AD4-BEDD-434A9093EA91}"/>
              </c:ext>
            </c:extLst>
          </c:dPt>
          <c:dPt>
            <c:idx val="1"/>
            <c:bubble3D val="0"/>
            <c:spPr>
              <a:solidFill>
                <a:srgbClr val="FF523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1A-4AD4-BEDD-434A9093EA91}"/>
              </c:ext>
            </c:extLst>
          </c:dPt>
          <c:dPt>
            <c:idx val="2"/>
            <c:bubble3D val="0"/>
            <c:spPr>
              <a:solidFill>
                <a:srgbClr val="88BD7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1A-4AD4-BEDD-434A9093EA9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ssistant" panose="00000500000000000000" pitchFamily="2" charset="-79"/>
                      <a:ea typeface="+mn-ea"/>
                      <a:cs typeface="Assistant" panose="00000500000000000000" pitchFamily="2" charset="-79"/>
                    </a:defRPr>
                  </a:pPr>
                  <a:endParaRPr lang="he-I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51A-4AD4-BEDD-434A9093EA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גיליון4!$C$6:$F$6</c:f>
              <c:strCache>
                <c:ptCount val="4"/>
                <c:pt idx="0">
                  <c:v>בססח</c:v>
                </c:pt>
                <c:pt idx="1">
                  <c:v>כלל ביטוח אשראי</c:v>
                </c:pt>
                <c:pt idx="2">
                  <c:v>Coface ישראל</c:v>
                </c:pt>
                <c:pt idx="3">
                  <c:v>"אשרא"</c:v>
                </c:pt>
              </c:strCache>
            </c:strRef>
          </c:cat>
          <c:val>
            <c:numRef>
              <c:f>גיליון4!$C$9:$E$9</c:f>
              <c:numCache>
                <c:formatCode>0.0</c:formatCode>
                <c:ptCount val="3"/>
                <c:pt idx="0">
                  <c:v>65.326344510662736</c:v>
                </c:pt>
                <c:pt idx="1">
                  <c:v>30.827888274574565</c:v>
                </c:pt>
                <c:pt idx="2">
                  <c:v>3.8457672147626907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1A-4AD4-BEDD-434A9093EA9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207320056549E-2"/>
          <c:y val="0.78987729255528749"/>
          <c:w val="0.9"/>
          <c:h val="0.10443281508160909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גיליון4!$C$4</c:f>
          <c:strCache>
            <c:ptCount val="1"/>
            <c:pt idx="0">
              <c:v>איור 2ב
התפלגות הפעילות של החברות לביטוח אשראי, עסקות מקומיות
נתון שנתי ל-2019, אחוזים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2F467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FB-4EA9-BB40-E1C2F05F26AA}"/>
              </c:ext>
            </c:extLst>
          </c:dPt>
          <c:dPt>
            <c:idx val="1"/>
            <c:bubble3D val="0"/>
            <c:spPr>
              <a:solidFill>
                <a:srgbClr val="FF523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FB-4EA9-BB40-E1C2F05F26AA}"/>
              </c:ext>
            </c:extLst>
          </c:dPt>
          <c:dPt>
            <c:idx val="2"/>
            <c:bubble3D val="0"/>
            <c:spPr>
              <a:solidFill>
                <a:srgbClr val="88BD7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FB-4EA9-BB40-E1C2F05F26A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ssistant" panose="00000500000000000000" pitchFamily="2" charset="-79"/>
                      <a:ea typeface="+mn-ea"/>
                      <a:cs typeface="Assistant" panose="00000500000000000000" pitchFamily="2" charset="-79"/>
                    </a:defRPr>
                  </a:pPr>
                  <a:endParaRPr lang="he-I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AFB-4EA9-BB40-E1C2F05F26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ssistant" panose="00000500000000000000" pitchFamily="2" charset="-79"/>
                    <a:ea typeface="+mn-ea"/>
                    <a:cs typeface="Assistant" panose="00000500000000000000" pitchFamily="2" charset="-79"/>
                  </a:defRPr>
                </a:pPr>
                <a:endParaRPr lang="he-I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גיליון4!$C$6:$E$6</c:f>
              <c:strCache>
                <c:ptCount val="3"/>
                <c:pt idx="0">
                  <c:v>בססח</c:v>
                </c:pt>
                <c:pt idx="1">
                  <c:v>כלל ביטוח אשראי</c:v>
                </c:pt>
                <c:pt idx="2">
                  <c:v>Coface ישראל</c:v>
                </c:pt>
              </c:strCache>
            </c:strRef>
          </c:cat>
          <c:val>
            <c:numRef>
              <c:f>גיליון4!$C$10:$E$10</c:f>
              <c:numCache>
                <c:formatCode>0.0</c:formatCode>
                <c:ptCount val="3"/>
                <c:pt idx="0">
                  <c:v>35.414130078029878</c:v>
                </c:pt>
                <c:pt idx="1">
                  <c:v>45.338323575187133</c:v>
                </c:pt>
                <c:pt idx="2">
                  <c:v>19.247546346782986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FB-4EA9-BB40-E1C2F05F26A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839407940273431E-2"/>
          <c:y val="0.78703601031433845"/>
          <c:w val="0.9"/>
          <c:h val="0.10374648296267618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גיליון23!$B$4</c:f>
          <c:strCache>
            <c:ptCount val="1"/>
            <c:pt idx="0">
              <c:v>איור 3
סך התשלומים והשינוי בהתחייבויות והפרמיות ששלוש החברות לביטוח אשראי הרוויחו ברוטו מתוך סך ההתחייבויות בגין חוזי ביטוח,
במחצית הראשונה של השנה, 2015 עד 2020, אחוזים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7.5519776415616663E-2"/>
          <c:y val="0.34290607116733357"/>
          <c:w val="0.88242974342361735"/>
          <c:h val="0.39867578847726004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גיליון23!$B$6</c:f>
              <c:strCache>
                <c:ptCount val="1"/>
                <c:pt idx="0">
                  <c:v>תשלומים ושינוי בהתחייבויות</c:v>
                </c:pt>
              </c:strCache>
            </c:strRef>
          </c:tx>
          <c:spPr>
            <a:ln w="28575" cap="rnd">
              <a:solidFill>
                <a:srgbClr val="2F4679"/>
              </a:solidFill>
              <a:round/>
            </a:ln>
            <a:effectLst/>
          </c:spPr>
          <c:marker>
            <c:symbol val="none"/>
          </c:marker>
          <c:cat>
            <c:numRef>
              <c:f>גיליון23!$A$7:$A$12</c:f>
              <c:numCache>
                <c:formatCode>0</c:formatCode>
                <c:ptCount val="6"/>
                <c:pt idx="0">
                  <c:v>2015.1</c:v>
                </c:pt>
                <c:pt idx="1">
                  <c:v>2016.1</c:v>
                </c:pt>
                <c:pt idx="2">
                  <c:v>2017.1</c:v>
                </c:pt>
                <c:pt idx="3">
                  <c:v>2018.1</c:v>
                </c:pt>
                <c:pt idx="4">
                  <c:v>2019.1</c:v>
                </c:pt>
                <c:pt idx="5">
                  <c:v>2020.1</c:v>
                </c:pt>
              </c:numCache>
            </c:numRef>
          </c:cat>
          <c:val>
            <c:numRef>
              <c:f>גיליון23!$B$7:$B$12</c:f>
              <c:numCache>
                <c:formatCode>0.000</c:formatCode>
                <c:ptCount val="6"/>
                <c:pt idx="0">
                  <c:v>21.309870842819752</c:v>
                </c:pt>
                <c:pt idx="1">
                  <c:v>22.142911792900765</c:v>
                </c:pt>
                <c:pt idx="2">
                  <c:v>9.6877973434826572</c:v>
                </c:pt>
                <c:pt idx="3">
                  <c:v>14.224129672561455</c:v>
                </c:pt>
                <c:pt idx="4">
                  <c:v>24.197351623319733</c:v>
                </c:pt>
                <c:pt idx="5">
                  <c:v>41.49233576227018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DC-467D-9630-E7C1AF0292D2}"/>
            </c:ext>
          </c:extLst>
        </c:ser>
        <c:ser>
          <c:idx val="1"/>
          <c:order val="1"/>
          <c:tx>
            <c:strRef>
              <c:f>גיליון23!$C$6</c:f>
              <c:strCache>
                <c:ptCount val="1"/>
                <c:pt idx="0">
                  <c:v>פרמיות שהורווחו ברוטו</c:v>
                </c:pt>
              </c:strCache>
            </c:strRef>
          </c:tx>
          <c:spPr>
            <a:ln w="28575" cap="rnd">
              <a:solidFill>
                <a:srgbClr val="FF5234"/>
              </a:solidFill>
              <a:round/>
            </a:ln>
            <a:effectLst/>
          </c:spPr>
          <c:marker>
            <c:symbol val="none"/>
          </c:marker>
          <c:cat>
            <c:numRef>
              <c:f>גיליון23!$A$7:$A$12</c:f>
              <c:numCache>
                <c:formatCode>0</c:formatCode>
                <c:ptCount val="6"/>
                <c:pt idx="0">
                  <c:v>2015.1</c:v>
                </c:pt>
                <c:pt idx="1">
                  <c:v>2016.1</c:v>
                </c:pt>
                <c:pt idx="2">
                  <c:v>2017.1</c:v>
                </c:pt>
                <c:pt idx="3">
                  <c:v>2018.1</c:v>
                </c:pt>
                <c:pt idx="4">
                  <c:v>2019.1</c:v>
                </c:pt>
                <c:pt idx="5">
                  <c:v>2020.1</c:v>
                </c:pt>
              </c:numCache>
            </c:numRef>
          </c:cat>
          <c:val>
            <c:numRef>
              <c:f>גיליון23!$C$7:$C$12</c:f>
              <c:numCache>
                <c:formatCode>0.000</c:formatCode>
                <c:ptCount val="6"/>
                <c:pt idx="0">
                  <c:v>48.237121518394794</c:v>
                </c:pt>
                <c:pt idx="1">
                  <c:v>53.809075893479999</c:v>
                </c:pt>
                <c:pt idx="2">
                  <c:v>50.515644267324319</c:v>
                </c:pt>
                <c:pt idx="3">
                  <c:v>60.336635180962958</c:v>
                </c:pt>
                <c:pt idx="4">
                  <c:v>66.070239555433176</c:v>
                </c:pt>
                <c:pt idx="5">
                  <c:v>53.112541583373471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DC-467D-9630-E7C1AF0292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9967328"/>
        <c:axId val="809967656"/>
      </c:lineChart>
      <c:catAx>
        <c:axId val="80996732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809967656"/>
        <c:crosses val="autoZero"/>
        <c:auto val="1"/>
        <c:lblAlgn val="ctr"/>
        <c:lblOffset val="100"/>
        <c:noMultiLvlLbl val="0"/>
      </c:catAx>
      <c:valAx>
        <c:axId val="80996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80996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772033019337055"/>
          <c:y val="0.81352588699361261"/>
          <c:w val="0.70451887776754396"/>
          <c:h val="9.88938888888888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גיליון24!$B$4</c:f>
          <c:strCache>
            <c:ptCount val="1"/>
            <c:pt idx="0">
              <c:v>איור 4
שיעור הפיגורים ממספר המכסות, 
נתון חודשי, 2015 עד אוקטובר 2020, אחוזים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0.10086388888888889"/>
          <c:y val="0.22930300379119276"/>
          <c:w val="0.85062932098765442"/>
          <c:h val="0.49434649100235017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גיליון24!$B$7</c:f>
              <c:strCache>
                <c:ptCount val="1"/>
                <c:pt idx="0">
                  <c:v>שיעור הפיגורים ממספר המכסות - ישראל</c:v>
                </c:pt>
              </c:strCache>
            </c:strRef>
          </c:tx>
          <c:spPr>
            <a:ln w="28575" cap="rnd">
              <a:solidFill>
                <a:srgbClr val="2F4679"/>
              </a:solidFill>
              <a:round/>
            </a:ln>
            <a:effectLst/>
          </c:spPr>
          <c:marker>
            <c:symbol val="none"/>
          </c:marker>
          <c:cat>
            <c:numRef>
              <c:f>גיליון24!$A$8:$A$77</c:f>
              <c:numCache>
                <c:formatCode>m/d/yyyy</c:formatCode>
                <c:ptCount val="70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</c:numCache>
            </c:numRef>
          </c:cat>
          <c:val>
            <c:numRef>
              <c:f>גיליון24!$B$8:$B$77</c:f>
              <c:numCache>
                <c:formatCode>General</c:formatCode>
                <c:ptCount val="70"/>
                <c:pt idx="0">
                  <c:v>0.40235376955187846</c:v>
                </c:pt>
                <c:pt idx="1">
                  <c:v>0.36748274320901819</c:v>
                </c:pt>
                <c:pt idx="2">
                  <c:v>0.30605193010168824</c:v>
                </c:pt>
                <c:pt idx="3">
                  <c:v>0.31192123988692855</c:v>
                </c:pt>
                <c:pt idx="4">
                  <c:v>0.27250608272506083</c:v>
                </c:pt>
                <c:pt idx="5">
                  <c:v>0.24781341107871718</c:v>
                </c:pt>
                <c:pt idx="6">
                  <c:v>0.29215562156108488</c:v>
                </c:pt>
                <c:pt idx="7">
                  <c:v>0.28276131045241809</c:v>
                </c:pt>
                <c:pt idx="8">
                  <c:v>0.31659231544107064</c:v>
                </c:pt>
                <c:pt idx="9">
                  <c:v>0.31385229920585855</c:v>
                </c:pt>
                <c:pt idx="10">
                  <c:v>0.29962927225636077</c:v>
                </c:pt>
                <c:pt idx="11">
                  <c:v>0.32767051469476233</c:v>
                </c:pt>
                <c:pt idx="12">
                  <c:v>0.28188865398167723</c:v>
                </c:pt>
                <c:pt idx="13">
                  <c:v>0.28153436227439543</c:v>
                </c:pt>
                <c:pt idx="14">
                  <c:v>0.31892448849418575</c:v>
                </c:pt>
                <c:pt idx="15">
                  <c:v>0.2804346737443037</c:v>
                </c:pt>
                <c:pt idx="16">
                  <c:v>0.27923211169284468</c:v>
                </c:pt>
                <c:pt idx="17">
                  <c:v>0.36959344720807108</c:v>
                </c:pt>
                <c:pt idx="18">
                  <c:v>0.27295285359801491</c:v>
                </c:pt>
                <c:pt idx="19">
                  <c:v>0.38302277432712212</c:v>
                </c:pt>
                <c:pt idx="20">
                  <c:v>0.27302699361219862</c:v>
                </c:pt>
                <c:pt idx="21">
                  <c:v>0.45878574705612479</c:v>
                </c:pt>
                <c:pt idx="22">
                  <c:v>0.37214518760195758</c:v>
                </c:pt>
                <c:pt idx="23">
                  <c:v>0.3087982180824137</c:v>
                </c:pt>
                <c:pt idx="24">
                  <c:v>0.24508578002300804</c:v>
                </c:pt>
                <c:pt idx="25">
                  <c:v>0.24589357725976196</c:v>
                </c:pt>
                <c:pt idx="26">
                  <c:v>0.3237833594976452</c:v>
                </c:pt>
                <c:pt idx="27">
                  <c:v>0.35136696187909128</c:v>
                </c:pt>
                <c:pt idx="28">
                  <c:v>0.27927580893682585</c:v>
                </c:pt>
                <c:pt idx="29">
                  <c:v>0.44879446168536641</c:v>
                </c:pt>
                <c:pt idx="30">
                  <c:v>0.28810277239880983</c:v>
                </c:pt>
                <c:pt idx="31">
                  <c:v>0.28688331844048348</c:v>
                </c:pt>
                <c:pt idx="32">
                  <c:v>0.31734351285471185</c:v>
                </c:pt>
                <c:pt idx="33">
                  <c:v>0.33460145757895221</c:v>
                </c:pt>
                <c:pt idx="34">
                  <c:v>0.27478818410808337</c:v>
                </c:pt>
                <c:pt idx="35">
                  <c:v>0.27606152228210862</c:v>
                </c:pt>
                <c:pt idx="36">
                  <c:v>0.29914159368767884</c:v>
                </c:pt>
                <c:pt idx="37">
                  <c:v>0.23494604942568745</c:v>
                </c:pt>
                <c:pt idx="38">
                  <c:v>0.2425292334343872</c:v>
                </c:pt>
                <c:pt idx="39">
                  <c:v>0.49437210328845727</c:v>
                </c:pt>
                <c:pt idx="40">
                  <c:v>0.30343751354631754</c:v>
                </c:pt>
                <c:pt idx="41">
                  <c:v>0.26435659671384415</c:v>
                </c:pt>
                <c:pt idx="42">
                  <c:v>0.26210734303802574</c:v>
                </c:pt>
                <c:pt idx="43">
                  <c:v>0.29465636696663217</c:v>
                </c:pt>
                <c:pt idx="44">
                  <c:v>0.26714158504007124</c:v>
                </c:pt>
                <c:pt idx="45">
                  <c:v>0.36819698538718215</c:v>
                </c:pt>
                <c:pt idx="46">
                  <c:v>0.35416828831633845</c:v>
                </c:pt>
                <c:pt idx="47">
                  <c:v>0.24812933741712867</c:v>
                </c:pt>
                <c:pt idx="48">
                  <c:v>0.22816040836845969</c:v>
                </c:pt>
                <c:pt idx="49">
                  <c:v>0.28155081231214091</c:v>
                </c:pt>
                <c:pt idx="50">
                  <c:v>0.2439207445211648</c:v>
                </c:pt>
                <c:pt idx="51">
                  <c:v>0.18119961541306118</c:v>
                </c:pt>
                <c:pt idx="52">
                  <c:v>0.11876043792911486</c:v>
                </c:pt>
                <c:pt idx="53">
                  <c:v>0.12025800809008418</c:v>
                </c:pt>
                <c:pt idx="54">
                  <c:v>0.13276876704463902</c:v>
                </c:pt>
                <c:pt idx="55">
                  <c:v>8.1329561527581334E-2</c:v>
                </c:pt>
                <c:pt idx="56">
                  <c:v>0.16140350877192983</c:v>
                </c:pt>
                <c:pt idx="57">
                  <c:v>0.20469763730354232</c:v>
                </c:pt>
                <c:pt idx="58">
                  <c:v>0.19280426923739025</c:v>
                </c:pt>
                <c:pt idx="59">
                  <c:v>0.18208794173185863</c:v>
                </c:pt>
                <c:pt idx="60">
                  <c:v>0.24291228537202184</c:v>
                </c:pt>
                <c:pt idx="61">
                  <c:v>0.29388455950336811</c:v>
                </c:pt>
                <c:pt idx="62">
                  <c:v>1.0374248594143882</c:v>
                </c:pt>
                <c:pt idx="63">
                  <c:v>0.87032767187347782</c:v>
                </c:pt>
                <c:pt idx="64">
                  <c:v>0.51189594668555427</c:v>
                </c:pt>
                <c:pt idx="65">
                  <c:v>0.44919305675875126</c:v>
                </c:pt>
                <c:pt idx="66">
                  <c:v>0.1967129894028809</c:v>
                </c:pt>
                <c:pt idx="67">
                  <c:v>0.15125732652675364</c:v>
                </c:pt>
                <c:pt idx="68">
                  <c:v>0.1027813249447161</c:v>
                </c:pt>
                <c:pt idx="69">
                  <c:v>6.2044361718628822E-2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D8-4F8F-8613-BB48F2F99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13706208"/>
        <c:axId val="813698336"/>
      </c:lineChart>
      <c:dateAx>
        <c:axId val="813706208"/>
        <c:scaling>
          <c:orientation val="minMax"/>
        </c:scaling>
        <c:delete val="0"/>
        <c:axPos val="b"/>
        <c:numFmt formatCode="mm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813698336"/>
        <c:crosses val="autoZero"/>
        <c:auto val="1"/>
        <c:lblOffset val="100"/>
        <c:baseTimeUnit val="months"/>
      </c:dateAx>
      <c:valAx>
        <c:axId val="81369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813706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ssistant" panose="00000500000000000000" pitchFamily="2" charset="-79"/>
          <a:cs typeface="Assistant" panose="00000500000000000000" pitchFamily="2" charset="-79"/>
        </a:defRPr>
      </a:pPr>
      <a:endParaRPr lang="he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0.06099</cdr:x>
      <cdr:y>0.90582</cdr:y>
    </cdr:from>
    <cdr:to>
      <cdr:x>0.98815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7095" y="3275744"/>
          <a:ext cx="2236060" cy="3405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900" b="1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המקור:</a:t>
          </a:r>
          <a:r>
            <a:rPr lang="he-IL" sz="900" b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הדו"חות</a:t>
          </a:r>
          <a:r>
            <a:rPr lang="he-IL" sz="900" b="0" baseline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הכספיים ו</a:t>
          </a:r>
          <a:r>
            <a:rPr lang="he-IL" sz="900" b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עיבודי בנק</a:t>
          </a:r>
          <a:r>
            <a:rPr lang="he-IL" sz="900" b="0" baseline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ישראל.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0.06908</cdr:x>
      <cdr:y>0.89002</cdr:y>
    </cdr:from>
    <cdr:to>
      <cdr:x>0.99624</cdr:x>
      <cdr:y>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75165" y="3218594"/>
          <a:ext cx="2350865" cy="397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900" b="1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המקור:</a:t>
          </a:r>
          <a:r>
            <a:rPr lang="he-IL" sz="900" b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הדו"חות</a:t>
          </a:r>
          <a:r>
            <a:rPr lang="he-IL" sz="900" b="0" baseline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הכספיים ו</a:t>
          </a:r>
          <a:r>
            <a:rPr lang="he-IL" sz="900" b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עיבודי בנק</a:t>
          </a:r>
          <a:r>
            <a:rPr lang="he-IL" sz="900" b="0" baseline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ישראל.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0.07284</cdr:x>
      <cdr:y>0.92903</cdr:y>
    </cdr:from>
    <cdr:to>
      <cdr:x>1</cdr:x>
      <cdr:y>0.98014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7613" y="2698954"/>
          <a:ext cx="4806527" cy="1484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900" b="1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המקור:</a:t>
          </a:r>
          <a:r>
            <a:rPr lang="he-IL" sz="900" b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הדו"חות</a:t>
          </a:r>
          <a:r>
            <a:rPr lang="he-IL" sz="900" b="0" baseline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הכספיים ועיבודי בנק ישראל.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0.04638</cdr:x>
      <cdr:y>0.92524</cdr:y>
    </cdr:from>
    <cdr:to>
      <cdr:x>0.97354</cdr:x>
      <cdr:y>0.97635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0260" y="3663815"/>
          <a:ext cx="3003786" cy="2023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900" b="1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המקור:</a:t>
          </a:r>
          <a:r>
            <a:rPr lang="he-IL" sz="900" b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נתוני</a:t>
          </a:r>
          <a:r>
            <a:rPr lang="he-IL" sz="900" b="0" baseline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 חברת בססח</a:t>
          </a:r>
          <a:r>
            <a:rPr lang="en-US" sz="900" b="0" baseline="0">
              <a:effectLst/>
              <a:latin typeface="Assistant" panose="00000500000000000000" pitchFamily="2" charset="-79"/>
              <a:ea typeface="+mn-ea"/>
              <a:cs typeface="Assistant" panose="00000500000000000000" pitchFamily="2" charset="-79"/>
            </a:rPr>
            <a:t>.</a:t>
          </a:r>
          <a:endParaRPr lang="he-IL" sz="900" b="0" baseline="0">
            <a:effectLst/>
            <a:latin typeface="Assistant" panose="00000500000000000000" pitchFamily="2" charset="-79"/>
            <a:ea typeface="+mn-ea"/>
            <a:cs typeface="Assistant" panose="00000500000000000000" pitchFamily="2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158F18E-77DC-48DA-B048-255424F6003B}"/>
</file>

<file path=customXml/itemProps2.xml><?xml version="1.0" encoding="utf-8"?>
<ds:datastoreItem xmlns:ds="http://schemas.openxmlformats.org/officeDocument/2006/customXml" ds:itemID="{95E479CE-331E-4833-AE74-1DCB7C4F586C}"/>
</file>

<file path=customXml/itemProps3.xml><?xml version="1.0" encoding="utf-8"?>
<ds:datastoreItem xmlns:ds="http://schemas.openxmlformats.org/officeDocument/2006/customXml" ds:itemID="{B7D45A58-AF69-428C-8357-19A361C0B733}"/>
</file>

<file path=customXml/itemProps4.xml><?xml version="1.0" encoding="utf-8"?>
<ds:datastoreItem xmlns:ds="http://schemas.openxmlformats.org/officeDocument/2006/customXml" ds:itemID="{5C9E2957-1ED2-4CC4-AC7E-6D0B8DAC6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1730</Words>
  <Characters>8650</Characters>
  <Application>Microsoft Office Word</Application>
  <DocSecurity>4</DocSecurity>
  <Lines>72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גראם רוזן</dc:creator>
  <cp:keywords/>
  <dc:description/>
  <cp:lastModifiedBy>מיטל רולניצקי</cp:lastModifiedBy>
  <cp:revision>2</cp:revision>
  <dcterms:created xsi:type="dcterms:W3CDTF">2021-01-11T09:20:00Z</dcterms:created>
  <dcterms:modified xsi:type="dcterms:W3CDTF">2021-01-11T09:20:00Z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