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1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3084"/>
      </w:tblGrid>
      <w:tr w:rsidR="002C2859" w:rsidRPr="005A5417" w14:paraId="0F8EB396" w14:textId="77777777" w:rsidTr="003427A7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A83EC" w14:textId="77777777" w:rsidR="002C2859" w:rsidRPr="006702C1" w:rsidRDefault="002C2859" w:rsidP="0057488E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</w:rPr>
            </w:pPr>
            <w:r w:rsidRPr="006702C1">
              <w:rPr>
                <w:rFonts w:cs="David"/>
                <w:b/>
                <w:bCs/>
                <w:sz w:val="24"/>
                <w:szCs w:val="24"/>
                <w:rtl/>
              </w:rPr>
              <w:t>בנק ישראל</w:t>
            </w:r>
          </w:p>
          <w:p w14:paraId="0153D399" w14:textId="77777777" w:rsidR="002C2859" w:rsidRPr="006702C1" w:rsidRDefault="002C2859" w:rsidP="0057488E">
            <w:pPr>
              <w:spacing w:line="360" w:lineRule="auto"/>
              <w:ind w:right="-101"/>
              <w:jc w:val="both"/>
              <w:rPr>
                <w:sz w:val="24"/>
                <w:szCs w:val="24"/>
              </w:rPr>
            </w:pPr>
            <w:r w:rsidRPr="006702C1">
              <w:rPr>
                <w:rFonts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07E9466A" w14:textId="77777777" w:rsidR="002C2859" w:rsidRPr="006702C1" w:rsidRDefault="002C2859" w:rsidP="0057488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8B5DCA" wp14:editId="749A0571">
                  <wp:extent cx="975360" cy="975360"/>
                  <wp:effectExtent l="0" t="0" r="0" b="0"/>
                  <wp:docPr id="1" name="Picture 1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EFBF8" w14:textId="77777777" w:rsidR="002C2859" w:rsidRPr="008F2F50" w:rsidRDefault="002C2859" w:rsidP="00C240D3">
            <w:pPr>
              <w:spacing w:line="480" w:lineRule="auto"/>
              <w:jc w:val="right"/>
              <w:rPr>
                <w:rFonts w:cs="David"/>
                <w:sz w:val="24"/>
                <w:szCs w:val="24"/>
                <w:rtl/>
              </w:rPr>
            </w:pPr>
            <w:r w:rsidRPr="005A5417">
              <w:rPr>
                <w:rFonts w:cs="David" w:hint="eastAsia"/>
                <w:sz w:val="24"/>
                <w:szCs w:val="24"/>
                <w:rtl/>
              </w:rPr>
              <w:t>‏</w:t>
            </w:r>
            <w:r w:rsidRPr="008F2F50">
              <w:rPr>
                <w:rFonts w:cs="David"/>
                <w:sz w:val="24"/>
                <w:szCs w:val="24"/>
                <w:rtl/>
              </w:rPr>
              <w:t xml:space="preserve">ירושלים, </w:t>
            </w:r>
            <w:r w:rsidR="0060399F" w:rsidRPr="008F2F50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86244B" w:rsidRPr="008F2F50">
              <w:rPr>
                <w:rFonts w:cs="David" w:hint="eastAsia"/>
                <w:sz w:val="24"/>
                <w:szCs w:val="24"/>
                <w:rtl/>
              </w:rPr>
              <w:t>‏כ</w:t>
            </w:r>
            <w:r w:rsidR="0086244B" w:rsidRPr="008F2F50">
              <w:rPr>
                <w:rFonts w:cs="David"/>
                <w:sz w:val="24"/>
                <w:szCs w:val="24"/>
                <w:rtl/>
              </w:rPr>
              <w:t>"</w:t>
            </w:r>
            <w:r w:rsidR="0057488E" w:rsidRPr="008F2F50">
              <w:rPr>
                <w:rFonts w:cs="David" w:hint="cs"/>
                <w:sz w:val="24"/>
                <w:szCs w:val="24"/>
                <w:rtl/>
              </w:rPr>
              <w:t>ו</w:t>
            </w:r>
            <w:r w:rsidR="0086244B" w:rsidRPr="008F2F50">
              <w:rPr>
                <w:rFonts w:cs="David"/>
                <w:sz w:val="24"/>
                <w:szCs w:val="24"/>
                <w:rtl/>
              </w:rPr>
              <w:t xml:space="preserve"> אב, תשפ"ג</w:t>
            </w:r>
          </w:p>
          <w:p w14:paraId="5A55258F" w14:textId="77777777" w:rsidR="002C2859" w:rsidRPr="005A5417" w:rsidRDefault="002C2859" w:rsidP="00C240D3">
            <w:pPr>
              <w:spacing w:line="480" w:lineRule="auto"/>
              <w:jc w:val="right"/>
              <w:rPr>
                <w:rFonts w:cs="David"/>
                <w:sz w:val="24"/>
                <w:szCs w:val="24"/>
              </w:rPr>
            </w:pPr>
            <w:r w:rsidRPr="008F2F50">
              <w:rPr>
                <w:rFonts w:cs="David" w:hint="eastAsia"/>
                <w:sz w:val="24"/>
                <w:szCs w:val="24"/>
                <w:rtl/>
              </w:rPr>
              <w:t>‏‏</w:t>
            </w:r>
            <w:r w:rsidRPr="008F2F50">
              <w:rPr>
                <w:rFonts w:cs="David" w:hint="cs"/>
                <w:sz w:val="24"/>
                <w:szCs w:val="24"/>
                <w:rtl/>
              </w:rPr>
              <w:t>‏‏</w:t>
            </w:r>
            <w:r w:rsidRPr="008F2F50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86244B" w:rsidRPr="008F2F50">
              <w:rPr>
                <w:rFonts w:cs="David" w:hint="eastAsia"/>
                <w:sz w:val="24"/>
                <w:szCs w:val="24"/>
                <w:rtl/>
              </w:rPr>
              <w:t>‏</w:t>
            </w:r>
            <w:r w:rsidR="0057488E" w:rsidRPr="008F2F50">
              <w:rPr>
                <w:rFonts w:cs="David" w:hint="cs"/>
                <w:sz w:val="24"/>
                <w:szCs w:val="24"/>
                <w:rtl/>
              </w:rPr>
              <w:t>13</w:t>
            </w:r>
            <w:r w:rsidR="0086244B" w:rsidRPr="008F2F50">
              <w:rPr>
                <w:rFonts w:cs="David"/>
                <w:sz w:val="24"/>
                <w:szCs w:val="24"/>
                <w:rtl/>
              </w:rPr>
              <w:t xml:space="preserve"> אוגוסט, 2023</w:t>
            </w:r>
          </w:p>
        </w:tc>
      </w:tr>
    </w:tbl>
    <w:p w14:paraId="708C2801" w14:textId="77777777" w:rsidR="002C2859" w:rsidRPr="004233FA" w:rsidRDefault="002C2859" w:rsidP="0057488E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BE79623" w14:textId="77777777" w:rsidR="002C2859" w:rsidRDefault="002C2859" w:rsidP="0057488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259C0">
        <w:rPr>
          <w:rFonts w:cs="David" w:hint="cs"/>
          <w:sz w:val="24"/>
          <w:szCs w:val="24"/>
          <w:rtl/>
        </w:rPr>
        <w:t>הודעה לעיתונות:</w:t>
      </w:r>
    </w:p>
    <w:p w14:paraId="0E77AC96" w14:textId="77777777" w:rsidR="00B64CD4" w:rsidRPr="00B64CD4" w:rsidRDefault="00B64CD4" w:rsidP="00C240D3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r w:rsidRPr="00B64CD4">
        <w:rPr>
          <w:rFonts w:ascii="David" w:hAnsi="David" w:cs="David"/>
          <w:b/>
          <w:bCs/>
          <w:sz w:val="28"/>
          <w:szCs w:val="28"/>
          <w:rtl/>
        </w:rPr>
        <w:t>הדיווח התקופתי אודות מחירי השירותים הבנקאיים הנפוצים למשקי הבית</w:t>
      </w:r>
      <w:r w:rsidR="00BD5681">
        <w:rPr>
          <w:rFonts w:ascii="David" w:hAnsi="David" w:cs="David" w:hint="cs"/>
          <w:b/>
          <w:bCs/>
          <w:sz w:val="28"/>
          <w:szCs w:val="28"/>
          <w:rtl/>
        </w:rPr>
        <w:t xml:space="preserve">, </w:t>
      </w:r>
      <w:r w:rsidRPr="00B64CD4">
        <w:rPr>
          <w:rFonts w:ascii="David" w:hAnsi="David" w:cs="David" w:hint="cs"/>
          <w:b/>
          <w:bCs/>
          <w:sz w:val="28"/>
          <w:szCs w:val="28"/>
          <w:rtl/>
        </w:rPr>
        <w:t>לשנת 202</w:t>
      </w:r>
      <w:r w:rsidR="00575289">
        <w:rPr>
          <w:rFonts w:ascii="David" w:hAnsi="David" w:cs="David" w:hint="cs"/>
          <w:b/>
          <w:bCs/>
          <w:sz w:val="28"/>
          <w:szCs w:val="28"/>
          <w:rtl/>
        </w:rPr>
        <w:t>2</w:t>
      </w:r>
    </w:p>
    <w:bookmarkEnd w:id="0"/>
    <w:p w14:paraId="2024B13D" w14:textId="77777777" w:rsidR="00575289" w:rsidRPr="0029628D" w:rsidRDefault="00575289" w:rsidP="00150BFE">
      <w:pPr>
        <w:pStyle w:val="a6"/>
        <w:spacing w:line="360" w:lineRule="auto"/>
        <w:ind w:left="5"/>
        <w:rPr>
          <w:rFonts w:ascii="David" w:hAnsi="David" w:cs="David"/>
          <w:sz w:val="24"/>
          <w:szCs w:val="24"/>
        </w:rPr>
      </w:pPr>
      <w:r w:rsidRPr="0029628D">
        <w:rPr>
          <w:rFonts w:ascii="David" w:hAnsi="David" w:cs="David"/>
          <w:sz w:val="24"/>
          <w:szCs w:val="24"/>
          <w:rtl/>
        </w:rPr>
        <w:t xml:space="preserve">הפיקוח על הבנקים מגיש היום לוועדת הכלכלה של הכנסת את </w:t>
      </w:r>
      <w:r w:rsidRPr="0029628D">
        <w:rPr>
          <w:rFonts w:ascii="David" w:hAnsi="David" w:cs="David"/>
          <w:b/>
          <w:bCs/>
          <w:sz w:val="24"/>
          <w:szCs w:val="24"/>
          <w:rtl/>
        </w:rPr>
        <w:t xml:space="preserve">הדיווח התקופתי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לשנת </w:t>
      </w:r>
      <w:r w:rsidRPr="0029628D">
        <w:rPr>
          <w:rFonts w:ascii="David" w:hAnsi="David" w:cs="David"/>
          <w:b/>
          <w:bCs/>
          <w:sz w:val="24"/>
          <w:szCs w:val="24"/>
          <w:rtl/>
        </w:rPr>
        <w:t>202</w:t>
      </w:r>
      <w:r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Pr="0029628D">
        <w:rPr>
          <w:rFonts w:ascii="David" w:hAnsi="David" w:cs="David"/>
          <w:b/>
          <w:bCs/>
          <w:sz w:val="24"/>
          <w:szCs w:val="24"/>
          <w:rtl/>
        </w:rPr>
        <w:t xml:space="preserve"> אודות מחירי השירותים הבנקאיים הנפוצים למשקי הבית. </w:t>
      </w:r>
      <w:r w:rsidRPr="0029628D">
        <w:rPr>
          <w:rFonts w:ascii="David" w:hAnsi="David" w:cs="David"/>
          <w:sz w:val="24"/>
          <w:szCs w:val="24"/>
          <w:rtl/>
        </w:rPr>
        <w:t>הדוח מבוסס על דיווח התאגידים הבנקאיים וחברות כרטיסי האשראי על עמלות שנגבו במהלך שנת 202</w:t>
      </w:r>
      <w:r>
        <w:rPr>
          <w:rFonts w:ascii="David" w:hAnsi="David" w:cs="David" w:hint="cs"/>
          <w:sz w:val="24"/>
          <w:szCs w:val="24"/>
          <w:rtl/>
        </w:rPr>
        <w:t>2</w:t>
      </w:r>
      <w:r w:rsidRPr="0029628D">
        <w:rPr>
          <w:rFonts w:ascii="David" w:hAnsi="David" w:cs="David"/>
          <w:sz w:val="24"/>
          <w:szCs w:val="24"/>
          <w:rtl/>
        </w:rPr>
        <w:t>.</w:t>
      </w:r>
      <w:r w:rsidR="00150BFE">
        <w:rPr>
          <w:rFonts w:ascii="David" w:hAnsi="David" w:cs="David" w:hint="cs"/>
          <w:sz w:val="24"/>
          <w:szCs w:val="24"/>
          <w:rtl/>
        </w:rPr>
        <w:t xml:space="preserve"> בעשור האחרון, חלה ירידה משמעותית </w:t>
      </w:r>
      <w:r w:rsidR="00150BFE" w:rsidRPr="00C064BC">
        <w:rPr>
          <w:rFonts w:ascii="David" w:hAnsi="David" w:cs="David"/>
          <w:sz w:val="24"/>
          <w:szCs w:val="24"/>
          <w:rtl/>
        </w:rPr>
        <w:t>ביחס סך ההכנסות מעמלות ל</w:t>
      </w:r>
      <w:r w:rsidR="00150BFE">
        <w:rPr>
          <w:rFonts w:ascii="David" w:hAnsi="David" w:cs="David" w:hint="cs"/>
          <w:sz w:val="24"/>
          <w:szCs w:val="24"/>
          <w:rtl/>
        </w:rPr>
        <w:t xml:space="preserve">סך </w:t>
      </w:r>
      <w:r w:rsidR="00150BFE" w:rsidRPr="00C064BC">
        <w:rPr>
          <w:rFonts w:ascii="David" w:hAnsi="David" w:cs="David"/>
          <w:sz w:val="24"/>
          <w:szCs w:val="24"/>
          <w:rtl/>
        </w:rPr>
        <w:t>נכסי המערכת הבנקאית</w:t>
      </w:r>
      <w:r w:rsidR="00150BFE">
        <w:rPr>
          <w:rFonts w:ascii="David" w:hAnsi="David" w:cs="David" w:hint="cs"/>
          <w:sz w:val="24"/>
          <w:szCs w:val="24"/>
          <w:rtl/>
        </w:rPr>
        <w:t>, כאשר בשנים האחרונות היחס התייצב.</w:t>
      </w:r>
    </w:p>
    <w:p w14:paraId="3AB03439" w14:textId="77777777" w:rsidR="00575289" w:rsidRDefault="00575289" w:rsidP="0057488E">
      <w:pPr>
        <w:pStyle w:val="a6"/>
        <w:spacing w:line="360" w:lineRule="auto"/>
        <w:ind w:left="5"/>
        <w:rPr>
          <w:rFonts w:ascii="David" w:hAnsi="David" w:cs="David"/>
          <w:sz w:val="24"/>
          <w:szCs w:val="24"/>
          <w:rtl/>
        </w:rPr>
      </w:pPr>
    </w:p>
    <w:p w14:paraId="7A895359" w14:textId="77777777" w:rsidR="00C357F6" w:rsidRDefault="00575289" w:rsidP="00425C92">
      <w:pPr>
        <w:pStyle w:val="a6"/>
        <w:spacing w:line="360" w:lineRule="auto"/>
        <w:ind w:left="5"/>
        <w:rPr>
          <w:rFonts w:ascii="David" w:hAnsi="David" w:cs="David"/>
          <w:sz w:val="24"/>
          <w:szCs w:val="24"/>
          <w:rtl/>
        </w:rPr>
      </w:pPr>
      <w:r w:rsidRPr="0029628D">
        <w:rPr>
          <w:rFonts w:ascii="David" w:hAnsi="David" w:cs="David"/>
          <w:b/>
          <w:bCs/>
          <w:sz w:val="24"/>
          <w:szCs w:val="24"/>
          <w:rtl/>
        </w:rPr>
        <w:t xml:space="preserve">המפקח על הבנקים, מר </w:t>
      </w:r>
      <w:r w:rsidRPr="00575289">
        <w:rPr>
          <w:rFonts w:ascii="David" w:hAnsi="David" w:cs="David" w:hint="cs"/>
          <w:b/>
          <w:bCs/>
          <w:sz w:val="24"/>
          <w:szCs w:val="24"/>
          <w:rtl/>
        </w:rPr>
        <w:t>דניאל חחיאשוילי</w:t>
      </w:r>
      <w:r>
        <w:rPr>
          <w:rFonts w:ascii="David" w:hAnsi="David" w:cs="David" w:hint="cs"/>
          <w:sz w:val="24"/>
          <w:szCs w:val="24"/>
          <w:rtl/>
        </w:rPr>
        <w:t>: "ה</w:t>
      </w:r>
      <w:r w:rsidRPr="003A28CE">
        <w:rPr>
          <w:rFonts w:ascii="David" w:hAnsi="David" w:cs="David" w:hint="cs"/>
          <w:sz w:val="24"/>
          <w:szCs w:val="24"/>
          <w:rtl/>
        </w:rPr>
        <w:t xml:space="preserve">דיווח </w:t>
      </w:r>
      <w:r>
        <w:rPr>
          <w:rFonts w:ascii="David" w:hAnsi="David" w:cs="David" w:hint="cs"/>
          <w:sz w:val="24"/>
          <w:szCs w:val="24"/>
          <w:rtl/>
        </w:rPr>
        <w:t xml:space="preserve">לוועדת הכלכלה </w:t>
      </w:r>
      <w:r w:rsidRPr="003A28CE">
        <w:rPr>
          <w:rFonts w:ascii="David" w:hAnsi="David" w:cs="David" w:hint="cs"/>
          <w:sz w:val="24"/>
          <w:szCs w:val="24"/>
          <w:rtl/>
        </w:rPr>
        <w:t xml:space="preserve">הוא </w:t>
      </w:r>
      <w:r>
        <w:rPr>
          <w:rFonts w:ascii="David" w:hAnsi="David" w:cs="David" w:hint="cs"/>
          <w:sz w:val="24"/>
          <w:szCs w:val="24"/>
          <w:rtl/>
        </w:rPr>
        <w:t xml:space="preserve">גם </w:t>
      </w:r>
      <w:r w:rsidRPr="003A28CE">
        <w:rPr>
          <w:rFonts w:ascii="David" w:hAnsi="David" w:cs="David" w:hint="cs"/>
          <w:sz w:val="24"/>
          <w:szCs w:val="24"/>
          <w:rtl/>
        </w:rPr>
        <w:t>הזדמנות להביא לתשומת לב הציבור את החשיבות להתנהלות בנקאית נכונה</w:t>
      </w:r>
      <w:r>
        <w:rPr>
          <w:rFonts w:ascii="David" w:hAnsi="David" w:cs="David" w:hint="cs"/>
          <w:sz w:val="24"/>
          <w:szCs w:val="24"/>
          <w:rtl/>
        </w:rPr>
        <w:t>, לרבות בכל הקשור להשוואת מחירים</w:t>
      </w:r>
      <w:r w:rsidRPr="003A28CE">
        <w:rPr>
          <w:rFonts w:ascii="David" w:hAnsi="David" w:cs="David"/>
          <w:sz w:val="24"/>
          <w:szCs w:val="24"/>
          <w:rtl/>
        </w:rPr>
        <w:t>.</w:t>
      </w:r>
      <w:r w:rsidRPr="003A28CE">
        <w:rPr>
          <w:rFonts w:ascii="David" w:hAnsi="David" w:cs="David" w:hint="cs"/>
          <w:sz w:val="24"/>
          <w:szCs w:val="24"/>
          <w:rtl/>
        </w:rPr>
        <w:t xml:space="preserve"> </w:t>
      </w:r>
      <w:r w:rsidRPr="003A28CE">
        <w:rPr>
          <w:rFonts w:ascii="David" w:hAnsi="David" w:cs="David"/>
          <w:sz w:val="24"/>
          <w:szCs w:val="24"/>
          <w:rtl/>
        </w:rPr>
        <w:t xml:space="preserve">במסגרת זו אני קורא לציבור לעשות שימוש </w:t>
      </w:r>
      <w:r w:rsidRPr="003A28CE">
        <w:rPr>
          <w:rFonts w:ascii="David" w:hAnsi="David" w:cs="David" w:hint="cs"/>
          <w:sz w:val="24"/>
          <w:szCs w:val="24"/>
          <w:rtl/>
        </w:rPr>
        <w:t xml:space="preserve">בכלים המפורסמים באתר בנק ישראל </w:t>
      </w:r>
      <w:r w:rsidR="00425C92" w:rsidRPr="003A28CE">
        <w:rPr>
          <w:rFonts w:ascii="David" w:hAnsi="David" w:cs="David" w:hint="cs"/>
          <w:sz w:val="24"/>
          <w:szCs w:val="24"/>
          <w:rtl/>
        </w:rPr>
        <w:t xml:space="preserve">מעולם הבנקאות לרווחת הציבור </w:t>
      </w:r>
      <w:r>
        <w:rPr>
          <w:rStyle w:val="ab"/>
          <w:rFonts w:ascii="David" w:hAnsi="David" w:cs="David"/>
          <w:sz w:val="24"/>
          <w:szCs w:val="24"/>
          <w:rtl/>
        </w:rPr>
        <w:footnoteReference w:id="1"/>
      </w:r>
      <w:r w:rsidRPr="003A28CE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3A28CE">
        <w:rPr>
          <w:rFonts w:ascii="David" w:hAnsi="David" w:cs="David" w:hint="cs"/>
          <w:sz w:val="24"/>
          <w:szCs w:val="24"/>
          <w:rtl/>
        </w:rPr>
        <w:t xml:space="preserve">להכיר </w:t>
      </w:r>
      <w:r>
        <w:rPr>
          <w:rFonts w:ascii="David" w:hAnsi="David" w:cs="David" w:hint="cs"/>
          <w:sz w:val="24"/>
          <w:szCs w:val="24"/>
          <w:rtl/>
        </w:rPr>
        <w:t>את ה</w:t>
      </w:r>
      <w:r w:rsidRPr="003A28CE">
        <w:rPr>
          <w:rFonts w:ascii="David" w:hAnsi="David" w:cs="David" w:hint="cs"/>
          <w:sz w:val="24"/>
          <w:szCs w:val="24"/>
          <w:rtl/>
        </w:rPr>
        <w:t xml:space="preserve">כלים ומדריכים שמנגישים מידע וידע רב כמו </w:t>
      </w:r>
      <w:r w:rsidRPr="001D0885">
        <w:rPr>
          <w:rFonts w:ascii="David" w:hAnsi="David" w:cs="David" w:hint="cs"/>
          <w:sz w:val="24"/>
          <w:szCs w:val="24"/>
          <w:rtl/>
        </w:rPr>
        <w:t>מחשבון מסלולי עמלות</w:t>
      </w:r>
      <w:r>
        <w:rPr>
          <w:rStyle w:val="ab"/>
          <w:rFonts w:ascii="David" w:hAnsi="David" w:cs="David"/>
          <w:sz w:val="24"/>
          <w:szCs w:val="24"/>
          <w:rtl/>
        </w:rPr>
        <w:footnoteReference w:id="2"/>
      </w:r>
      <w:r w:rsidRPr="003A28CE">
        <w:rPr>
          <w:rFonts w:ascii="David" w:hAnsi="David" w:cs="David" w:hint="cs"/>
          <w:sz w:val="24"/>
          <w:szCs w:val="24"/>
          <w:rtl/>
        </w:rPr>
        <w:t xml:space="preserve">, </w:t>
      </w:r>
      <w:r w:rsidRPr="001D0885">
        <w:rPr>
          <w:rFonts w:ascii="David" w:hAnsi="David" w:cs="David"/>
          <w:sz w:val="24"/>
          <w:szCs w:val="24"/>
          <w:rtl/>
        </w:rPr>
        <w:t>תעוד</w:t>
      </w:r>
      <w:r w:rsidRPr="001D0885">
        <w:rPr>
          <w:rFonts w:ascii="David" w:hAnsi="David" w:cs="David" w:hint="cs"/>
          <w:sz w:val="24"/>
          <w:szCs w:val="24"/>
          <w:rtl/>
        </w:rPr>
        <w:t>ת</w:t>
      </w:r>
      <w:r w:rsidRPr="001D0885">
        <w:rPr>
          <w:rFonts w:ascii="David" w:hAnsi="David" w:cs="David"/>
          <w:sz w:val="24"/>
          <w:szCs w:val="24"/>
          <w:rtl/>
        </w:rPr>
        <w:t xml:space="preserve"> הזהות הבנקאית</w:t>
      </w:r>
      <w:r>
        <w:rPr>
          <w:rStyle w:val="ab"/>
          <w:rFonts w:ascii="David" w:hAnsi="David" w:cs="David"/>
          <w:sz w:val="24"/>
          <w:szCs w:val="24"/>
          <w:rtl/>
        </w:rPr>
        <w:footnoteReference w:id="3"/>
      </w:r>
      <w:r w:rsidRPr="003A28CE">
        <w:rPr>
          <w:rFonts w:ascii="David" w:hAnsi="David" w:cs="David" w:hint="cs"/>
          <w:sz w:val="24"/>
          <w:szCs w:val="24"/>
          <w:rtl/>
        </w:rPr>
        <w:t xml:space="preserve"> ועוד. כלים אלו </w:t>
      </w:r>
      <w:r w:rsidR="00425C92">
        <w:rPr>
          <w:rFonts w:ascii="David" w:hAnsi="David" w:cs="David" w:hint="cs"/>
          <w:sz w:val="24"/>
          <w:szCs w:val="24"/>
          <w:rtl/>
        </w:rPr>
        <w:t>מסייעים</w:t>
      </w:r>
      <w:r w:rsidR="00425C92" w:rsidRPr="003A28CE">
        <w:rPr>
          <w:rFonts w:ascii="David" w:hAnsi="David" w:cs="David" w:hint="cs"/>
          <w:sz w:val="24"/>
          <w:szCs w:val="24"/>
          <w:rtl/>
        </w:rPr>
        <w:t xml:space="preserve"> </w:t>
      </w:r>
      <w:r w:rsidRPr="003A28CE">
        <w:rPr>
          <w:rFonts w:ascii="David" w:hAnsi="David" w:cs="David" w:hint="cs"/>
          <w:sz w:val="24"/>
          <w:szCs w:val="24"/>
          <w:rtl/>
        </w:rPr>
        <w:t>במשא ומתן מול המערכת הבנקאית</w:t>
      </w:r>
      <w:r>
        <w:rPr>
          <w:rFonts w:ascii="David" w:hAnsi="David" w:cs="David" w:hint="cs"/>
          <w:sz w:val="24"/>
          <w:szCs w:val="24"/>
          <w:rtl/>
        </w:rPr>
        <w:t xml:space="preserve"> על תנאי ומחירי השירותים הבנקאיים</w:t>
      </w:r>
      <w:r w:rsidR="00C357F6">
        <w:rPr>
          <w:rFonts w:ascii="David" w:hAnsi="David" w:cs="David" w:hint="cs"/>
          <w:sz w:val="24"/>
          <w:szCs w:val="24"/>
          <w:rtl/>
        </w:rPr>
        <w:t>"</w:t>
      </w:r>
      <w:r w:rsidRPr="003A28CE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A35F073" w14:textId="77777777" w:rsidR="00425C92" w:rsidRDefault="00425C92" w:rsidP="0057488E">
      <w:pPr>
        <w:pStyle w:val="a6"/>
        <w:spacing w:line="360" w:lineRule="auto"/>
        <w:rPr>
          <w:rStyle w:val="a8"/>
          <w:rFonts w:ascii="David" w:hAnsi="David" w:cs="David"/>
          <w:sz w:val="24"/>
          <w:szCs w:val="24"/>
          <w:rtl/>
        </w:rPr>
      </w:pPr>
    </w:p>
    <w:p w14:paraId="72562C70" w14:textId="77777777" w:rsidR="00425C92" w:rsidRDefault="00425C92" w:rsidP="0057488E">
      <w:pPr>
        <w:pStyle w:val="a6"/>
        <w:spacing w:line="360" w:lineRule="auto"/>
        <w:rPr>
          <w:rStyle w:val="a8"/>
          <w:rFonts w:ascii="David" w:hAnsi="David" w:cs="David"/>
          <w:sz w:val="24"/>
          <w:szCs w:val="24"/>
          <w:rtl/>
        </w:rPr>
      </w:pPr>
    </w:p>
    <w:p w14:paraId="6EF3BB85" w14:textId="77777777" w:rsidR="00575289" w:rsidRPr="00425C92" w:rsidRDefault="00575289" w:rsidP="008F2F50">
      <w:pPr>
        <w:pStyle w:val="a6"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425C92">
        <w:rPr>
          <w:rStyle w:val="a8"/>
          <w:rFonts w:ascii="David" w:hAnsi="David" w:cs="David"/>
          <w:b/>
          <w:bCs/>
          <w:sz w:val="24"/>
          <w:szCs w:val="24"/>
          <w:rtl/>
        </w:rPr>
        <w:t>להלן עיקרי הדוח:</w:t>
      </w:r>
    </w:p>
    <w:p w14:paraId="176DE0D2" w14:textId="77777777" w:rsidR="00273EF8" w:rsidRDefault="00EA5068" w:rsidP="008F2F50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271" w:right="-284" w:hanging="26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ב-13 השנים האחרונות, חלה ירידה בשיעור מצטבר של כ-46% (ראו איור א'-1) </w:t>
      </w:r>
      <w:r w:rsidRPr="00C064BC">
        <w:rPr>
          <w:rFonts w:ascii="David" w:hAnsi="David" w:cs="David"/>
          <w:sz w:val="24"/>
          <w:szCs w:val="24"/>
          <w:rtl/>
        </w:rPr>
        <w:t>ביחס סך ההכנסות מעמלות ל</w:t>
      </w:r>
      <w:r>
        <w:rPr>
          <w:rFonts w:ascii="David" w:hAnsi="David" w:cs="David" w:hint="cs"/>
          <w:sz w:val="24"/>
          <w:szCs w:val="24"/>
          <w:rtl/>
        </w:rPr>
        <w:t xml:space="preserve">סך </w:t>
      </w:r>
      <w:r w:rsidRPr="00C064BC">
        <w:rPr>
          <w:rFonts w:ascii="David" w:hAnsi="David" w:cs="David"/>
          <w:sz w:val="24"/>
          <w:szCs w:val="24"/>
          <w:rtl/>
        </w:rPr>
        <w:t>נכסי המערכת הבנקאית</w:t>
      </w:r>
      <w:r>
        <w:rPr>
          <w:rFonts w:ascii="David" w:hAnsi="David" w:cs="David" w:hint="cs"/>
          <w:sz w:val="24"/>
          <w:szCs w:val="24"/>
          <w:rtl/>
        </w:rPr>
        <w:t>, המיוחסת</w:t>
      </w:r>
      <w:r w:rsidR="00425C92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בין היתר</w:t>
      </w:r>
      <w:r w:rsidR="00425C92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למכלול המצטבר של פעולות הפיקוח בנושאי עמלות בשנים האחרונות. ב</w:t>
      </w:r>
      <w:r w:rsidR="00133A21">
        <w:rPr>
          <w:rFonts w:ascii="David" w:hAnsi="David" w:cs="David" w:hint="cs"/>
          <w:sz w:val="24"/>
          <w:szCs w:val="24"/>
          <w:rtl/>
        </w:rPr>
        <w:t>ין ה</w:t>
      </w:r>
      <w:r>
        <w:rPr>
          <w:rFonts w:ascii="David" w:hAnsi="David" w:cs="David" w:hint="cs"/>
          <w:sz w:val="24"/>
          <w:szCs w:val="24"/>
          <w:rtl/>
        </w:rPr>
        <w:t xml:space="preserve">שנים 2020-2022 </w:t>
      </w:r>
      <w:r w:rsidR="00133A21">
        <w:rPr>
          <w:rFonts w:ascii="David" w:hAnsi="David" w:cs="David" w:hint="cs"/>
          <w:sz w:val="24"/>
          <w:szCs w:val="24"/>
          <w:rtl/>
        </w:rPr>
        <w:t>יחס ההכנסות מעמלות</w:t>
      </w:r>
      <w:r>
        <w:rPr>
          <w:rFonts w:ascii="David" w:hAnsi="David" w:cs="David" w:hint="cs"/>
          <w:sz w:val="24"/>
          <w:szCs w:val="24"/>
          <w:rtl/>
        </w:rPr>
        <w:t xml:space="preserve"> יציב </w:t>
      </w:r>
      <w:r w:rsidR="00133A21">
        <w:rPr>
          <w:rFonts w:ascii="David" w:hAnsi="David" w:cs="David" w:hint="cs"/>
          <w:sz w:val="24"/>
          <w:szCs w:val="24"/>
          <w:rtl/>
        </w:rPr>
        <w:t>ונמוך בהשוואה לשנים שקדמו לו.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133A21">
        <w:rPr>
          <w:rFonts w:ascii="David" w:hAnsi="David" w:cs="David" w:hint="cs"/>
          <w:sz w:val="24"/>
          <w:szCs w:val="24"/>
          <w:rtl/>
        </w:rPr>
        <w:t xml:space="preserve">עם זאת, </w:t>
      </w:r>
      <w:r w:rsidR="00575289" w:rsidRPr="00C064BC">
        <w:rPr>
          <w:rFonts w:ascii="David" w:hAnsi="David" w:cs="David"/>
          <w:sz w:val="24"/>
          <w:szCs w:val="24"/>
          <w:rtl/>
        </w:rPr>
        <w:t>בשנת 202</w:t>
      </w:r>
      <w:r w:rsidR="00575289" w:rsidRPr="00C064BC">
        <w:rPr>
          <w:rFonts w:ascii="David" w:hAnsi="David" w:cs="David" w:hint="cs"/>
          <w:sz w:val="24"/>
          <w:szCs w:val="24"/>
          <w:rtl/>
        </w:rPr>
        <w:t>2</w:t>
      </w:r>
      <w:r w:rsidR="00575289" w:rsidRPr="00C064BC">
        <w:rPr>
          <w:rFonts w:ascii="David" w:hAnsi="David" w:cs="David"/>
          <w:sz w:val="24"/>
          <w:szCs w:val="24"/>
          <w:rtl/>
        </w:rPr>
        <w:t xml:space="preserve"> </w:t>
      </w:r>
      <w:r w:rsidR="00575289" w:rsidRPr="00C064BC">
        <w:rPr>
          <w:rFonts w:ascii="David" w:hAnsi="David" w:cs="David" w:hint="cs"/>
          <w:sz w:val="24"/>
          <w:szCs w:val="24"/>
          <w:rtl/>
        </w:rPr>
        <w:t>חלה עלייה קלה</w:t>
      </w:r>
      <w:r w:rsidR="00133A21">
        <w:rPr>
          <w:rFonts w:ascii="David" w:hAnsi="David" w:cs="David" w:hint="cs"/>
          <w:sz w:val="24"/>
          <w:szCs w:val="24"/>
          <w:rtl/>
        </w:rPr>
        <w:t xml:space="preserve"> ביחס</w:t>
      </w:r>
      <w:r w:rsidR="00575289" w:rsidRPr="00C064BC">
        <w:rPr>
          <w:rFonts w:ascii="David" w:hAnsi="David" w:cs="David"/>
          <w:sz w:val="24"/>
          <w:szCs w:val="24"/>
          <w:rtl/>
        </w:rPr>
        <w:t xml:space="preserve"> </w:t>
      </w:r>
      <w:r w:rsidR="00133A21">
        <w:rPr>
          <w:rFonts w:ascii="David" w:hAnsi="David" w:cs="David" w:hint="cs"/>
          <w:sz w:val="24"/>
          <w:szCs w:val="24"/>
          <w:rtl/>
        </w:rPr>
        <w:t>זה,</w:t>
      </w:r>
      <w:r>
        <w:rPr>
          <w:rFonts w:ascii="David" w:hAnsi="David" w:cs="David" w:hint="cs"/>
          <w:sz w:val="24"/>
          <w:szCs w:val="24"/>
          <w:rtl/>
        </w:rPr>
        <w:t xml:space="preserve"> המ</w:t>
      </w:r>
      <w:r w:rsidR="00575289" w:rsidRPr="00C064BC">
        <w:rPr>
          <w:rFonts w:ascii="David" w:hAnsi="David" w:cs="David"/>
          <w:sz w:val="24"/>
          <w:szCs w:val="24"/>
          <w:rtl/>
        </w:rPr>
        <w:t xml:space="preserve">ושפעת במידה רבה </w:t>
      </w:r>
      <w:r w:rsidR="00575289" w:rsidRPr="00C064BC">
        <w:rPr>
          <w:rFonts w:ascii="David" w:hAnsi="David" w:cs="David" w:hint="cs"/>
          <w:sz w:val="24"/>
          <w:szCs w:val="24"/>
          <w:rtl/>
        </w:rPr>
        <w:t>מגידול בהיקף ה</w:t>
      </w:r>
      <w:r w:rsidR="00575289" w:rsidRPr="00C064BC">
        <w:rPr>
          <w:rFonts w:ascii="David" w:hAnsi="David" w:cs="David"/>
          <w:sz w:val="24"/>
          <w:szCs w:val="24"/>
          <w:rtl/>
        </w:rPr>
        <w:t>עמלות הנגבות מעסקים גדולים</w:t>
      </w:r>
      <w:r w:rsidR="00575289" w:rsidRPr="00C064BC">
        <w:rPr>
          <w:rFonts w:ascii="David" w:hAnsi="David" w:cs="David" w:hint="cs"/>
          <w:sz w:val="24"/>
          <w:szCs w:val="24"/>
          <w:rtl/>
        </w:rPr>
        <w:t xml:space="preserve"> ומכרטיסי חיוב, </w:t>
      </w:r>
      <w:r w:rsidR="00575289">
        <w:rPr>
          <w:rFonts w:ascii="David" w:hAnsi="David" w:cs="David" w:hint="cs"/>
          <w:sz w:val="24"/>
          <w:szCs w:val="24"/>
          <w:rtl/>
        </w:rPr>
        <w:t>כתוצאה</w:t>
      </w:r>
      <w:r w:rsidR="00575289" w:rsidRPr="00C064BC">
        <w:rPr>
          <w:rFonts w:ascii="David" w:hAnsi="David" w:cs="David" w:hint="cs"/>
          <w:sz w:val="24"/>
          <w:szCs w:val="24"/>
          <w:rtl/>
        </w:rPr>
        <w:t xml:space="preserve"> מגידול בהיקף </w:t>
      </w:r>
      <w:r w:rsidR="00575289">
        <w:rPr>
          <w:rFonts w:ascii="David" w:hAnsi="David" w:cs="David" w:hint="cs"/>
          <w:sz w:val="24"/>
          <w:szCs w:val="24"/>
          <w:rtl/>
        </w:rPr>
        <w:t>ה</w:t>
      </w:r>
      <w:r w:rsidR="00575289" w:rsidRPr="00C064BC">
        <w:rPr>
          <w:rFonts w:ascii="David" w:hAnsi="David" w:cs="David" w:hint="cs"/>
          <w:sz w:val="24"/>
          <w:szCs w:val="24"/>
          <w:rtl/>
        </w:rPr>
        <w:t>פעילות</w:t>
      </w:r>
      <w:r w:rsidR="00575289">
        <w:rPr>
          <w:rFonts w:ascii="David" w:hAnsi="David" w:cs="David" w:hint="cs"/>
          <w:sz w:val="24"/>
          <w:szCs w:val="24"/>
          <w:rtl/>
        </w:rPr>
        <w:t>,</w:t>
      </w:r>
      <w:r w:rsidR="00575289" w:rsidRPr="00C064BC">
        <w:rPr>
          <w:rFonts w:ascii="David" w:hAnsi="David" w:cs="David" w:hint="cs"/>
          <w:sz w:val="24"/>
          <w:szCs w:val="24"/>
          <w:rtl/>
        </w:rPr>
        <w:t xml:space="preserve"> כחלק מהחזרה לשגרה לאחר </w:t>
      </w:r>
      <w:r w:rsidR="00575289" w:rsidRPr="00C064BC">
        <w:rPr>
          <w:rFonts w:ascii="David" w:hAnsi="David" w:cs="David"/>
          <w:sz w:val="24"/>
          <w:szCs w:val="24"/>
          <w:rtl/>
        </w:rPr>
        <w:t>משבר נגיף הקורונה</w:t>
      </w:r>
      <w:r w:rsidR="00575289" w:rsidRPr="00C064BC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6D56835F" w14:textId="77777777" w:rsidR="00575289" w:rsidRPr="00C064BC" w:rsidRDefault="00273EF8" w:rsidP="0057488E">
      <w:pPr>
        <w:tabs>
          <w:tab w:val="left" w:pos="374"/>
        </w:tabs>
        <w:spacing w:after="0" w:line="360" w:lineRule="auto"/>
        <w:ind w:right="-284"/>
        <w:jc w:val="both"/>
        <w:rPr>
          <w:rFonts w:ascii="David" w:hAnsi="David" w:cs="David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CFB1F1" wp14:editId="61EA47FC">
            <wp:extent cx="5274310" cy="2593340"/>
            <wp:effectExtent l="0" t="0" r="2540" b="16510"/>
            <wp:docPr id="243" name="תרשים 2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FABE5C" w14:textId="77777777" w:rsidR="00273EF8" w:rsidRDefault="00273EF8" w:rsidP="0057488E">
      <w:pPr>
        <w:tabs>
          <w:tab w:val="left" w:pos="374"/>
        </w:tabs>
        <w:spacing w:after="0" w:line="360" w:lineRule="auto"/>
        <w:ind w:right="-284"/>
        <w:jc w:val="both"/>
        <w:rPr>
          <w:rFonts w:ascii="David" w:hAnsi="David" w:cs="David"/>
          <w:sz w:val="24"/>
          <w:szCs w:val="24"/>
        </w:rPr>
      </w:pPr>
    </w:p>
    <w:p w14:paraId="7065AA28" w14:textId="2AAAD0DC" w:rsidR="00EA5068" w:rsidRPr="007F5D8E" w:rsidRDefault="00575289" w:rsidP="00425C92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271" w:right="-284" w:hanging="266"/>
        <w:jc w:val="both"/>
        <w:rPr>
          <w:rFonts w:ascii="David" w:hAnsi="David" w:cs="David"/>
          <w:sz w:val="24"/>
          <w:szCs w:val="24"/>
          <w:rtl/>
        </w:rPr>
      </w:pPr>
      <w:r w:rsidRPr="00425C92">
        <w:rPr>
          <w:rFonts w:ascii="David" w:hAnsi="David" w:cs="David"/>
          <w:sz w:val="24"/>
          <w:szCs w:val="24"/>
          <w:rtl/>
        </w:rPr>
        <w:t xml:space="preserve">העלות הממוצעת של ניהול </w:t>
      </w:r>
      <w:proofErr w:type="spellStart"/>
      <w:r w:rsidRPr="00425C92">
        <w:rPr>
          <w:rFonts w:ascii="David" w:hAnsi="David" w:cs="David"/>
          <w:sz w:val="24"/>
          <w:szCs w:val="24"/>
          <w:rtl/>
        </w:rPr>
        <w:t>העו"ש</w:t>
      </w:r>
      <w:proofErr w:type="spellEnd"/>
      <w:r w:rsidRPr="00425C92">
        <w:rPr>
          <w:rFonts w:ascii="David" w:hAnsi="David" w:cs="David"/>
          <w:sz w:val="24"/>
          <w:szCs w:val="24"/>
          <w:rtl/>
        </w:rPr>
        <w:t xml:space="preserve"> והחזקת כרטיסי חיוב לחשבון בשנת 202</w:t>
      </w:r>
      <w:r w:rsidRPr="00425C92">
        <w:rPr>
          <w:rFonts w:ascii="David" w:hAnsi="David" w:cs="David" w:hint="cs"/>
          <w:sz w:val="24"/>
          <w:szCs w:val="24"/>
          <w:rtl/>
        </w:rPr>
        <w:t>2</w:t>
      </w:r>
      <w:r w:rsidRPr="00425C92">
        <w:rPr>
          <w:rFonts w:ascii="David" w:hAnsi="David" w:cs="David"/>
          <w:sz w:val="24"/>
          <w:szCs w:val="24"/>
          <w:rtl/>
        </w:rPr>
        <w:t xml:space="preserve"> </w:t>
      </w:r>
      <w:r w:rsidRPr="00425C92">
        <w:rPr>
          <w:rFonts w:ascii="David" w:hAnsi="David" w:cs="David" w:hint="cs"/>
          <w:sz w:val="24"/>
          <w:szCs w:val="24"/>
          <w:rtl/>
        </w:rPr>
        <w:t xml:space="preserve">עומדת על 26.9 ₪ בחודש (עליה של 2.3 ₪ בחודש בהשוואה לשנת 2021). יצוין כי </w:t>
      </w:r>
      <w:r w:rsidRPr="00425C92">
        <w:rPr>
          <w:rFonts w:ascii="David" w:hAnsi="David" w:cs="David"/>
          <w:sz w:val="24"/>
          <w:szCs w:val="24"/>
          <w:rtl/>
        </w:rPr>
        <w:t>עלות זו</w:t>
      </w:r>
      <w:r w:rsidRPr="00425C92">
        <w:rPr>
          <w:rFonts w:ascii="David" w:hAnsi="David" w:cs="David" w:hint="cs"/>
          <w:sz w:val="24"/>
          <w:szCs w:val="24"/>
          <w:rtl/>
        </w:rPr>
        <w:t xml:space="preserve"> זהה ל</w:t>
      </w:r>
      <w:r w:rsidRPr="00425C92">
        <w:rPr>
          <w:rFonts w:ascii="David" w:hAnsi="David" w:cs="David"/>
          <w:sz w:val="24"/>
          <w:szCs w:val="24"/>
          <w:rtl/>
        </w:rPr>
        <w:t>עלות</w:t>
      </w:r>
      <w:r w:rsidRPr="002E1F68">
        <w:rPr>
          <w:rFonts w:ascii="David" w:hAnsi="David" w:cs="David" w:hint="cs"/>
          <w:sz w:val="24"/>
          <w:szCs w:val="24"/>
          <w:rtl/>
        </w:rPr>
        <w:t xml:space="preserve"> שנמדדה</w:t>
      </w:r>
      <w:r w:rsidRPr="002E1F68">
        <w:rPr>
          <w:rFonts w:ascii="David" w:hAnsi="David" w:cs="David"/>
          <w:sz w:val="24"/>
          <w:szCs w:val="24"/>
          <w:rtl/>
        </w:rPr>
        <w:t xml:space="preserve"> ב-2019</w:t>
      </w:r>
      <w:r w:rsidR="00425C92" w:rsidRPr="002E1F68">
        <w:rPr>
          <w:rFonts w:ascii="David" w:hAnsi="David" w:cs="David" w:hint="cs"/>
          <w:sz w:val="24"/>
          <w:szCs w:val="24"/>
          <w:rtl/>
        </w:rPr>
        <w:t xml:space="preserve"> ונמוכה בכ-5 ש"ח מזו ששררה לפני כעשור (כ-32 ש"ח ב-2012)</w:t>
      </w:r>
      <w:r w:rsidRPr="00425C92">
        <w:rPr>
          <w:rFonts w:ascii="David" w:hAnsi="David" w:cs="David" w:hint="cs"/>
          <w:szCs w:val="24"/>
          <w:rtl/>
        </w:rPr>
        <w:t>העלייה</w:t>
      </w:r>
      <w:r w:rsidRPr="00425C92">
        <w:rPr>
          <w:rFonts w:ascii="David" w:hAnsi="David" w:cs="David"/>
          <w:szCs w:val="24"/>
          <w:rtl/>
        </w:rPr>
        <w:t xml:space="preserve"> </w:t>
      </w:r>
      <w:r w:rsidR="00425C92" w:rsidRPr="00425C92">
        <w:rPr>
          <w:rFonts w:ascii="David" w:hAnsi="David" w:cs="David" w:hint="cs"/>
          <w:szCs w:val="24"/>
          <w:rtl/>
        </w:rPr>
        <w:t xml:space="preserve">בשנת 2022 </w:t>
      </w:r>
      <w:r w:rsidRPr="00425C92">
        <w:rPr>
          <w:rFonts w:ascii="David" w:hAnsi="David" w:cs="David"/>
          <w:szCs w:val="24"/>
          <w:rtl/>
        </w:rPr>
        <w:t xml:space="preserve">נובעת </w:t>
      </w:r>
      <w:r w:rsidRPr="00425C92">
        <w:rPr>
          <w:rFonts w:ascii="David" w:hAnsi="David" w:cs="David" w:hint="cs"/>
          <w:sz w:val="24"/>
          <w:szCs w:val="24"/>
          <w:rtl/>
        </w:rPr>
        <w:t>בעיקרה מ</w:t>
      </w:r>
      <w:r w:rsidRPr="00425C92">
        <w:rPr>
          <w:rFonts w:ascii="David" w:hAnsi="David" w:cs="David"/>
          <w:sz w:val="24"/>
          <w:szCs w:val="24"/>
          <w:rtl/>
        </w:rPr>
        <w:t xml:space="preserve">גידול </w:t>
      </w:r>
      <w:r w:rsidRPr="00425C92">
        <w:rPr>
          <w:rFonts w:ascii="David" w:hAnsi="David" w:cs="David" w:hint="cs"/>
          <w:sz w:val="24"/>
          <w:szCs w:val="24"/>
          <w:rtl/>
        </w:rPr>
        <w:t>בפעילות של</w:t>
      </w:r>
      <w:r w:rsidRPr="00425C92">
        <w:rPr>
          <w:rFonts w:ascii="David" w:hAnsi="David" w:cs="David"/>
          <w:sz w:val="24"/>
          <w:szCs w:val="24"/>
          <w:rtl/>
        </w:rPr>
        <w:t xml:space="preserve"> עסקאות במט"ח</w:t>
      </w:r>
      <w:r w:rsidRPr="00425C92">
        <w:rPr>
          <w:rFonts w:ascii="David" w:hAnsi="David" w:cs="David" w:hint="cs"/>
          <w:sz w:val="24"/>
          <w:szCs w:val="24"/>
          <w:rtl/>
        </w:rPr>
        <w:t xml:space="preserve"> שביצע הציבור באמצעות כרטיסי חיוב. גידול זה נובע מתהליך החזרה לשגרה לאחר משבר הקורונה</w:t>
      </w:r>
      <w:r w:rsidRPr="007F5D8E">
        <w:rPr>
          <w:rFonts w:ascii="David" w:hAnsi="David" w:cs="David" w:hint="cs"/>
          <w:sz w:val="24"/>
          <w:szCs w:val="24"/>
          <w:rtl/>
        </w:rPr>
        <w:t>.</w:t>
      </w:r>
    </w:p>
    <w:p w14:paraId="073DBF77" w14:textId="77777777" w:rsidR="00112EEA" w:rsidRPr="00EA5068" w:rsidRDefault="00112EEA" w:rsidP="00D40BCD">
      <w:pPr>
        <w:pStyle w:val="a7"/>
        <w:numPr>
          <w:ilvl w:val="0"/>
          <w:numId w:val="5"/>
        </w:numPr>
        <w:spacing w:after="0" w:line="360" w:lineRule="auto"/>
        <w:ind w:left="226"/>
        <w:rPr>
          <w:rFonts w:ascii="David" w:hAnsi="David" w:cs="David"/>
          <w:sz w:val="24"/>
          <w:szCs w:val="24"/>
          <w:rtl/>
        </w:rPr>
      </w:pPr>
      <w:r w:rsidRPr="00EA5068">
        <w:rPr>
          <w:rFonts w:ascii="David" w:hAnsi="David" w:cs="David" w:hint="cs"/>
          <w:sz w:val="24"/>
          <w:szCs w:val="24"/>
          <w:rtl/>
        </w:rPr>
        <w:t>תמהיל הוצאות ממוצע של משק בית על עמלות בנקאיות היה מורכב בשנת 2022 ב-42.8% מפעולות בעו"ש ובמידע, ב-40.5% מפעולות בכרטיסי חיוב וב-16.7% מפעולות במט"ח (ראו איור א'-3). בשנה החולפת חלה עליה של 0.7 ₪ ב</w:t>
      </w:r>
      <w:r w:rsidRPr="00EA5068">
        <w:rPr>
          <w:rFonts w:ascii="David" w:hAnsi="David" w:cs="David"/>
          <w:sz w:val="24"/>
          <w:szCs w:val="24"/>
          <w:rtl/>
        </w:rPr>
        <w:t xml:space="preserve">עלות ניהול חשבון </w:t>
      </w:r>
      <w:proofErr w:type="spellStart"/>
      <w:r w:rsidRPr="00EA5068">
        <w:rPr>
          <w:rFonts w:ascii="David" w:hAnsi="David" w:cs="David"/>
          <w:sz w:val="24"/>
          <w:szCs w:val="24"/>
          <w:rtl/>
        </w:rPr>
        <w:t>העו"ש</w:t>
      </w:r>
      <w:proofErr w:type="spellEnd"/>
      <w:r w:rsidRPr="00EA5068">
        <w:rPr>
          <w:rFonts w:ascii="David" w:hAnsi="David" w:cs="David"/>
          <w:sz w:val="24"/>
          <w:szCs w:val="24"/>
          <w:rtl/>
        </w:rPr>
        <w:t xml:space="preserve"> וקבלת מידע</w:t>
      </w:r>
      <w:r w:rsidRPr="00EA5068">
        <w:rPr>
          <w:rFonts w:ascii="David" w:hAnsi="David" w:cs="David" w:hint="cs"/>
          <w:sz w:val="24"/>
          <w:szCs w:val="24"/>
          <w:rtl/>
        </w:rPr>
        <w:t xml:space="preserve"> בהשוואה לשנת 2021,</w:t>
      </w:r>
      <w:r w:rsidRPr="00EA5068">
        <w:rPr>
          <w:rFonts w:ascii="David" w:hAnsi="David" w:cs="David"/>
          <w:sz w:val="24"/>
          <w:szCs w:val="24"/>
          <w:rtl/>
        </w:rPr>
        <w:t xml:space="preserve"> ו</w:t>
      </w:r>
      <w:r w:rsidRPr="00EA5068">
        <w:rPr>
          <w:rFonts w:ascii="David" w:hAnsi="David" w:cs="David" w:hint="cs"/>
          <w:sz w:val="24"/>
          <w:szCs w:val="24"/>
          <w:rtl/>
        </w:rPr>
        <w:t xml:space="preserve">היא </w:t>
      </w:r>
      <w:r w:rsidRPr="00EA5068">
        <w:rPr>
          <w:rFonts w:ascii="David" w:hAnsi="David" w:cs="David"/>
          <w:sz w:val="24"/>
          <w:szCs w:val="24"/>
          <w:rtl/>
        </w:rPr>
        <w:t>עמדה על 11.</w:t>
      </w:r>
      <w:r w:rsidRPr="00EA5068">
        <w:rPr>
          <w:rFonts w:ascii="David" w:hAnsi="David" w:cs="David" w:hint="cs"/>
          <w:sz w:val="24"/>
          <w:szCs w:val="24"/>
          <w:rtl/>
        </w:rPr>
        <w:t>5</w:t>
      </w:r>
      <w:r w:rsidRPr="00EA5068">
        <w:rPr>
          <w:rFonts w:ascii="David" w:hAnsi="David" w:cs="David"/>
          <w:sz w:val="24"/>
          <w:szCs w:val="24"/>
        </w:rPr>
        <w:t xml:space="preserve"> </w:t>
      </w:r>
      <w:r w:rsidRPr="00EA5068">
        <w:rPr>
          <w:rFonts w:ascii="David" w:hAnsi="David" w:cs="David"/>
          <w:sz w:val="24"/>
          <w:szCs w:val="24"/>
          <w:rtl/>
        </w:rPr>
        <w:t xml:space="preserve">₪ לחודש בממוצע. </w:t>
      </w:r>
      <w:r w:rsidRPr="00EA5068">
        <w:rPr>
          <w:rFonts w:ascii="David" w:hAnsi="David" w:cs="David" w:hint="cs"/>
          <w:sz w:val="24"/>
          <w:szCs w:val="24"/>
          <w:rtl/>
        </w:rPr>
        <w:t>עלייה זו נובעת</w:t>
      </w:r>
      <w:r w:rsidRPr="00EA5068">
        <w:rPr>
          <w:rFonts w:ascii="David" w:hAnsi="David" w:cs="David"/>
          <w:sz w:val="24"/>
          <w:szCs w:val="24"/>
          <w:rtl/>
        </w:rPr>
        <w:t xml:space="preserve"> בעיקר </w:t>
      </w:r>
      <w:r w:rsidRPr="00EA5068">
        <w:rPr>
          <w:rFonts w:ascii="David" w:hAnsi="David" w:cs="David" w:hint="cs"/>
          <w:sz w:val="24"/>
          <w:szCs w:val="24"/>
          <w:rtl/>
        </w:rPr>
        <w:t>מ</w:t>
      </w:r>
      <w:r w:rsidRPr="00EA5068">
        <w:rPr>
          <w:rFonts w:ascii="David" w:hAnsi="David" w:cs="David"/>
          <w:sz w:val="24"/>
          <w:szCs w:val="24"/>
          <w:rtl/>
        </w:rPr>
        <w:t xml:space="preserve">עלייה </w:t>
      </w:r>
      <w:r w:rsidRPr="00EA5068">
        <w:rPr>
          <w:rFonts w:ascii="David" w:hAnsi="David" w:cs="David" w:hint="cs"/>
          <w:sz w:val="24"/>
          <w:szCs w:val="24"/>
          <w:rtl/>
        </w:rPr>
        <w:t>בהכנסות מעמלת פעולה בערוץ ישיר בעקבות העלאת תעריף עמלת ערוץ ישיר בבנק הפועלים מ-1.35 ₪ ל-1.75 ₪ לפעולה.</w:t>
      </w:r>
      <w:r w:rsidRPr="002E4A1B">
        <w:rPr>
          <w:rStyle w:val="ab"/>
          <w:rFonts w:ascii="David" w:hAnsi="David" w:cs="David"/>
          <w:szCs w:val="24"/>
          <w:rtl/>
        </w:rPr>
        <w:footnoteReference w:id="4"/>
      </w:r>
      <w:r w:rsidRPr="00EA5068">
        <w:rPr>
          <w:rFonts w:ascii="David" w:hAnsi="David" w:cs="David" w:hint="cs"/>
          <w:sz w:val="24"/>
          <w:szCs w:val="24"/>
          <w:rtl/>
        </w:rPr>
        <w:t xml:space="preserve"> </w:t>
      </w:r>
      <w:r w:rsidRPr="00EA5068">
        <w:rPr>
          <w:rFonts w:ascii="David" w:hAnsi="David" w:cs="David"/>
          <w:sz w:val="24"/>
          <w:szCs w:val="24"/>
          <w:rtl/>
        </w:rPr>
        <w:t>ב</w:t>
      </w:r>
      <w:r w:rsidRPr="00EA5068">
        <w:rPr>
          <w:rFonts w:ascii="David" w:hAnsi="David" w:cs="David" w:hint="cs"/>
          <w:sz w:val="24"/>
          <w:szCs w:val="24"/>
          <w:rtl/>
        </w:rPr>
        <w:t>-12</w:t>
      </w:r>
      <w:r w:rsidRPr="00EA5068">
        <w:rPr>
          <w:rFonts w:ascii="David" w:hAnsi="David" w:cs="David"/>
          <w:sz w:val="24"/>
          <w:szCs w:val="24"/>
          <w:rtl/>
        </w:rPr>
        <w:t xml:space="preserve"> השנים האחרונות חלה ירידה של כ-</w:t>
      </w:r>
      <w:r w:rsidRPr="00EA5068">
        <w:rPr>
          <w:rFonts w:ascii="David" w:hAnsi="David" w:cs="David" w:hint="cs"/>
          <w:sz w:val="24"/>
          <w:szCs w:val="24"/>
          <w:rtl/>
        </w:rPr>
        <w:t>44</w:t>
      </w:r>
      <w:r w:rsidRPr="00EA5068">
        <w:rPr>
          <w:rFonts w:ascii="David" w:hAnsi="David" w:cs="David"/>
          <w:sz w:val="24"/>
          <w:szCs w:val="24"/>
          <w:rtl/>
        </w:rPr>
        <w:t>% במצטבר בעלות זו.</w:t>
      </w:r>
      <w:r w:rsidRPr="00EA5068">
        <w:rPr>
          <w:rFonts w:ascii="David" w:hAnsi="David" w:cs="David" w:hint="cs"/>
          <w:sz w:val="24"/>
          <w:szCs w:val="24"/>
          <w:rtl/>
        </w:rPr>
        <w:t xml:space="preserve"> </w:t>
      </w:r>
      <w:r w:rsidRPr="00EA5068">
        <w:rPr>
          <w:rFonts w:ascii="David" w:hAnsi="David" w:cs="David"/>
          <w:sz w:val="24"/>
          <w:szCs w:val="24"/>
          <w:rtl/>
        </w:rPr>
        <w:t xml:space="preserve">עלות ההחזקה והשימוש בכרטיסי חיוב הסתכמה </w:t>
      </w:r>
      <w:r w:rsidRPr="00EA5068">
        <w:rPr>
          <w:rFonts w:ascii="David" w:hAnsi="David" w:cs="David" w:hint="cs"/>
          <w:sz w:val="24"/>
          <w:szCs w:val="24"/>
          <w:rtl/>
        </w:rPr>
        <w:t xml:space="preserve">ב-15.4 ₪ </w:t>
      </w:r>
      <w:r w:rsidRPr="00EA5068">
        <w:rPr>
          <w:rFonts w:ascii="David" w:hAnsi="David" w:cs="David"/>
          <w:sz w:val="24"/>
          <w:szCs w:val="24"/>
          <w:rtl/>
        </w:rPr>
        <w:t xml:space="preserve">בממוצע לחודש לחשבון, </w:t>
      </w:r>
      <w:r w:rsidRPr="00EA5068">
        <w:rPr>
          <w:rFonts w:ascii="David" w:hAnsi="David" w:cs="David" w:hint="cs"/>
          <w:sz w:val="24"/>
          <w:szCs w:val="24"/>
          <w:rtl/>
        </w:rPr>
        <w:t xml:space="preserve">עליה </w:t>
      </w:r>
      <w:r w:rsidRPr="00EA5068">
        <w:rPr>
          <w:rFonts w:ascii="David" w:hAnsi="David" w:cs="David"/>
          <w:sz w:val="24"/>
          <w:szCs w:val="24"/>
          <w:rtl/>
        </w:rPr>
        <w:t>של כ</w:t>
      </w:r>
      <w:r w:rsidRPr="00EA5068">
        <w:rPr>
          <w:rFonts w:ascii="David" w:hAnsi="David" w:cs="David" w:hint="cs"/>
          <w:sz w:val="24"/>
          <w:szCs w:val="24"/>
          <w:rtl/>
        </w:rPr>
        <w:t xml:space="preserve">-1.6 ₪ </w:t>
      </w:r>
      <w:r w:rsidRPr="00EA5068">
        <w:rPr>
          <w:rFonts w:ascii="David" w:hAnsi="David" w:cs="David"/>
          <w:sz w:val="24"/>
          <w:szCs w:val="24"/>
          <w:rtl/>
        </w:rPr>
        <w:t>בממוצע לחודש בהשוואה לשנת 2021.</w:t>
      </w:r>
    </w:p>
    <w:p w14:paraId="66E6E051" w14:textId="77777777" w:rsidR="00112EEA" w:rsidRPr="00112EEA" w:rsidRDefault="00112EEA" w:rsidP="0057488E">
      <w:pPr>
        <w:spacing w:after="0" w:line="360" w:lineRule="auto"/>
        <w:ind w:right="-284"/>
        <w:jc w:val="both"/>
        <w:rPr>
          <w:rFonts w:ascii="David" w:hAnsi="David" w:cs="David"/>
          <w:sz w:val="24"/>
          <w:szCs w:val="24"/>
          <w:rtl/>
        </w:rPr>
      </w:pPr>
    </w:p>
    <w:p w14:paraId="42386415" w14:textId="77777777" w:rsidR="00112EEA" w:rsidRPr="00112EEA" w:rsidRDefault="00112EEA" w:rsidP="0057488E">
      <w:pPr>
        <w:spacing w:after="0" w:line="360" w:lineRule="auto"/>
        <w:ind w:right="-284"/>
        <w:jc w:val="both"/>
        <w:rPr>
          <w:rFonts w:ascii="David" w:hAnsi="David" w:cs="David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73D87BCA" wp14:editId="5311EE24">
            <wp:extent cx="5274310" cy="3162300"/>
            <wp:effectExtent l="0" t="0" r="2540" b="0"/>
            <wp:docPr id="13" name="תרשים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8645F9C" w14:textId="77777777" w:rsidR="00C95DEB" w:rsidRDefault="00C95DEB" w:rsidP="0057488E">
      <w:pPr>
        <w:jc w:val="both"/>
        <w:rPr>
          <w:rStyle w:val="a8"/>
          <w:rFonts w:ascii="David" w:hAnsi="David" w:cs="David"/>
          <w:sz w:val="24"/>
          <w:szCs w:val="24"/>
          <w:rtl/>
        </w:rPr>
      </w:pPr>
    </w:p>
    <w:p w14:paraId="447FFE4A" w14:textId="77777777" w:rsidR="00C357F6" w:rsidRDefault="00C357F6" w:rsidP="00C357F6">
      <w:pPr>
        <w:pStyle w:val="a6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שתי הצעות נוספות להתנהלות צרכנית נכונה, שעולות מהנתונים בדוח ומסייעות לחסכון בעלויות, הינן: שימוש </w:t>
      </w:r>
      <w:r w:rsidRPr="003A28CE">
        <w:rPr>
          <w:rFonts w:ascii="David" w:hAnsi="David" w:cs="David"/>
          <w:sz w:val="24"/>
          <w:szCs w:val="24"/>
          <w:rtl/>
        </w:rPr>
        <w:t xml:space="preserve">בערוצים ישירים ובאמצעים דיגיטליים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3A28CE">
        <w:rPr>
          <w:rFonts w:ascii="David" w:hAnsi="David" w:cs="David"/>
          <w:sz w:val="24"/>
          <w:szCs w:val="24"/>
          <w:rtl/>
        </w:rPr>
        <w:t xml:space="preserve">זולים יותר מביצוע פעולות באמצעות פקיד, </w:t>
      </w:r>
      <w:r>
        <w:rPr>
          <w:rFonts w:ascii="David" w:hAnsi="David" w:cs="David" w:hint="cs"/>
          <w:sz w:val="24"/>
          <w:szCs w:val="24"/>
          <w:rtl/>
        </w:rPr>
        <w:t>ובחינת</w:t>
      </w:r>
      <w:r w:rsidRPr="003A28CE">
        <w:rPr>
          <w:rFonts w:ascii="David" w:hAnsi="David" w:cs="David"/>
          <w:sz w:val="24"/>
          <w:szCs w:val="24"/>
          <w:rtl/>
        </w:rPr>
        <w:t xml:space="preserve"> כדאיות שירות המסלולים</w:t>
      </w:r>
      <w:r>
        <w:rPr>
          <w:rFonts w:ascii="David" w:hAnsi="David" w:cs="David" w:hint="cs"/>
          <w:sz w:val="24"/>
          <w:szCs w:val="24"/>
          <w:rtl/>
        </w:rPr>
        <w:t xml:space="preserve"> בעלות קבועה</w:t>
      </w:r>
      <w:r w:rsidRPr="003A28CE">
        <w:rPr>
          <w:rFonts w:ascii="David" w:hAnsi="David" w:cs="David"/>
          <w:sz w:val="24"/>
          <w:szCs w:val="24"/>
          <w:rtl/>
        </w:rPr>
        <w:t>.</w:t>
      </w:r>
      <w:r w:rsidRPr="003A28C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E625739" w14:textId="77777777" w:rsidR="00C357F6" w:rsidRDefault="00C357F6" w:rsidP="00C357F6">
      <w:pPr>
        <w:pStyle w:val="a6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</w:t>
      </w:r>
      <w:r w:rsidRPr="00F01819">
        <w:rPr>
          <w:rFonts w:ascii="David" w:hAnsi="David" w:cs="David" w:hint="cs"/>
          <w:sz w:val="24"/>
          <w:szCs w:val="24"/>
          <w:rtl/>
        </w:rPr>
        <w:t>חלק</w:t>
      </w:r>
      <w:r w:rsidRPr="00F01819">
        <w:rPr>
          <w:rFonts w:ascii="David" w:hAnsi="David" w:cs="David"/>
          <w:sz w:val="24"/>
          <w:szCs w:val="24"/>
          <w:rtl/>
        </w:rPr>
        <w:t xml:space="preserve"> </w:t>
      </w:r>
      <w:r w:rsidRPr="00F01819">
        <w:rPr>
          <w:rFonts w:ascii="David" w:hAnsi="David" w:cs="David" w:hint="cs"/>
          <w:sz w:val="24"/>
          <w:szCs w:val="24"/>
          <w:rtl/>
        </w:rPr>
        <w:t>מתפיסת</w:t>
      </w:r>
      <w:r w:rsidRPr="00F01819">
        <w:rPr>
          <w:rFonts w:ascii="David" w:hAnsi="David" w:cs="David"/>
          <w:sz w:val="24"/>
          <w:szCs w:val="24"/>
          <w:rtl/>
        </w:rPr>
        <w:t xml:space="preserve"> הפיקוח אשר שמה דגש על הצבת הלקוח במרכז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3A28CE">
        <w:rPr>
          <w:rFonts w:ascii="David" w:hAnsi="David" w:cs="David" w:hint="cs"/>
          <w:sz w:val="24"/>
          <w:szCs w:val="24"/>
          <w:rtl/>
        </w:rPr>
        <w:t>ביום 1.9.2022</w:t>
      </w:r>
      <w:r w:rsidRPr="003A28CE">
        <w:rPr>
          <w:rFonts w:ascii="David" w:hAnsi="David" w:cs="David"/>
          <w:sz w:val="24"/>
          <w:szCs w:val="24"/>
          <w:rtl/>
        </w:rPr>
        <w:t xml:space="preserve"> הוכנסו לפיקוח מספר שירותי עו"ש בסיסיים</w:t>
      </w:r>
      <w:r>
        <w:rPr>
          <w:rStyle w:val="ab"/>
          <w:rFonts w:ascii="David" w:hAnsi="David" w:cs="David"/>
          <w:sz w:val="24"/>
          <w:szCs w:val="24"/>
          <w:rtl/>
        </w:rPr>
        <w:footnoteReference w:id="5"/>
      </w:r>
      <w:r w:rsidRPr="00F01819">
        <w:rPr>
          <w:rFonts w:ascii="David" w:hAnsi="David" w:cs="David" w:hint="cs"/>
          <w:sz w:val="24"/>
          <w:szCs w:val="24"/>
          <w:rtl/>
        </w:rPr>
        <w:t xml:space="preserve">. </w:t>
      </w:r>
      <w:r w:rsidRPr="00F01819">
        <w:rPr>
          <w:rFonts w:ascii="David" w:hAnsi="David" w:cs="David"/>
          <w:sz w:val="24"/>
          <w:szCs w:val="24"/>
          <w:rtl/>
        </w:rPr>
        <w:t xml:space="preserve">משמעות הטלת הפיקוח היא קיבוע של רמת המחירים הקיימת </w:t>
      </w:r>
      <w:r w:rsidRPr="003A28CE">
        <w:rPr>
          <w:rFonts w:ascii="David" w:hAnsi="David" w:cs="David"/>
          <w:sz w:val="24"/>
          <w:szCs w:val="24"/>
          <w:rtl/>
        </w:rPr>
        <w:t xml:space="preserve">כך שלא ניתן יהיה להעלות </w:t>
      </w:r>
      <w:r>
        <w:rPr>
          <w:rFonts w:ascii="David" w:hAnsi="David" w:cs="David" w:hint="cs"/>
          <w:sz w:val="24"/>
          <w:szCs w:val="24"/>
          <w:rtl/>
        </w:rPr>
        <w:t>מחיר</w:t>
      </w:r>
      <w:r w:rsidRPr="00F01819">
        <w:rPr>
          <w:rFonts w:ascii="David" w:hAnsi="David" w:cs="David"/>
          <w:sz w:val="24"/>
          <w:szCs w:val="24"/>
          <w:rtl/>
        </w:rPr>
        <w:t xml:space="preserve"> ללא אישור הפיקוח על הבנקים</w:t>
      </w:r>
      <w:r w:rsidRPr="00F01819">
        <w:rPr>
          <w:rFonts w:ascii="David" w:hAnsi="David" w:cs="David" w:hint="cs"/>
          <w:sz w:val="24"/>
          <w:szCs w:val="24"/>
          <w:rtl/>
        </w:rPr>
        <w:t xml:space="preserve">. זאת </w:t>
      </w:r>
      <w:r w:rsidRPr="00F01819">
        <w:rPr>
          <w:rFonts w:ascii="David" w:hAnsi="David" w:cs="David"/>
          <w:sz w:val="24"/>
          <w:szCs w:val="24"/>
          <w:rtl/>
        </w:rPr>
        <w:t>במטרה לאפשר לציבור לצרוך שירותים בנקאיים חיוניים ובסיסיים אלו, הן בסניפי הבנקים והן בערוצים הדיגיטליים השונים, במחיר הוגן.</w:t>
      </w:r>
      <w:r w:rsidRPr="00F0181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DB49F51" w14:textId="137F67A5" w:rsidR="00C95DEB" w:rsidRPr="00C357F6" w:rsidRDefault="00C95DEB" w:rsidP="00C357F6">
      <w:pPr>
        <w:pStyle w:val="a6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C357F6">
        <w:rPr>
          <w:rFonts w:ascii="David" w:hAnsi="David" w:cs="David"/>
          <w:sz w:val="24"/>
          <w:szCs w:val="24"/>
          <w:rtl/>
        </w:rPr>
        <w:t>בשנת 2008 נחקקו כללי הבנקאות</w:t>
      </w:r>
      <w:r w:rsidRPr="00C357F6">
        <w:rPr>
          <w:rFonts w:ascii="David" w:hAnsi="David" w:cs="David" w:hint="cs"/>
          <w:sz w:val="24"/>
          <w:szCs w:val="24"/>
          <w:rtl/>
        </w:rPr>
        <w:t xml:space="preserve"> </w:t>
      </w:r>
      <w:r w:rsidRPr="00C357F6">
        <w:rPr>
          <w:rFonts w:ascii="David" w:hAnsi="David" w:cs="David"/>
          <w:sz w:val="24"/>
          <w:szCs w:val="24"/>
          <w:rtl/>
        </w:rPr>
        <w:t>אשר קובעים מבנה תעריפון אחיד לכלל התאגידים הבנקאיים בישראל</w:t>
      </w:r>
      <w:r w:rsidRPr="00C357F6">
        <w:rPr>
          <w:rFonts w:ascii="David" w:hAnsi="David" w:cs="David" w:hint="cs"/>
          <w:sz w:val="24"/>
          <w:szCs w:val="24"/>
          <w:rtl/>
        </w:rPr>
        <w:t>.</w:t>
      </w:r>
      <w:r w:rsidRPr="00C357F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357F6">
        <w:rPr>
          <w:rFonts w:ascii="David" w:hAnsi="David" w:cs="David"/>
          <w:sz w:val="24"/>
          <w:szCs w:val="24"/>
          <w:rtl/>
        </w:rPr>
        <w:t>תעריפוני</w:t>
      </w:r>
      <w:proofErr w:type="spellEnd"/>
      <w:r w:rsidRPr="00C357F6">
        <w:rPr>
          <w:rFonts w:ascii="David" w:hAnsi="David" w:cs="David"/>
          <w:sz w:val="24"/>
          <w:szCs w:val="24"/>
          <w:rtl/>
        </w:rPr>
        <w:t xml:space="preserve"> התאגידים הבנקאים כוללים גם את ההטבות שהם נותנים לקבוצות אוכלוסייה בנספח א' לתעריפון הבנק. </w:t>
      </w:r>
      <w:r w:rsidRPr="00C357F6">
        <w:rPr>
          <w:rFonts w:ascii="David" w:hAnsi="David" w:cs="David" w:hint="cs"/>
          <w:sz w:val="24"/>
          <w:szCs w:val="24"/>
          <w:rtl/>
        </w:rPr>
        <w:t>בתוך כך, בעלי עסקים קטנים, אזרחים ותיקים ובעלי נכות בשיעור מסוים עשויים להיות זכאים להטבות שונות</w:t>
      </w:r>
      <w:r w:rsidRPr="00C357F6">
        <w:rPr>
          <w:rFonts w:ascii="David" w:hAnsi="David" w:cs="David"/>
          <w:sz w:val="24"/>
          <w:szCs w:val="24"/>
          <w:rtl/>
        </w:rPr>
        <w:t>.</w:t>
      </w:r>
      <w:r w:rsidRPr="00C357F6">
        <w:rPr>
          <w:rFonts w:ascii="David" w:hAnsi="David" w:cs="David" w:hint="cs"/>
          <w:sz w:val="24"/>
          <w:szCs w:val="24"/>
          <w:rtl/>
        </w:rPr>
        <w:t xml:space="preserve"> </w:t>
      </w:r>
      <w:hyperlink r:id="rId11" w:history="1">
        <w:r w:rsidRPr="00C357F6">
          <w:rPr>
            <w:rStyle w:val="Hyperlink"/>
            <w:rFonts w:ascii="David" w:hAnsi="David" w:cs="David" w:hint="cs"/>
            <w:sz w:val="24"/>
            <w:szCs w:val="24"/>
            <w:rtl/>
          </w:rPr>
          <w:t xml:space="preserve">לפרטים </w:t>
        </w:r>
        <w:r w:rsidR="002E1F68" w:rsidRPr="00C357F6">
          <w:rPr>
            <w:rStyle w:val="Hyperlink"/>
            <w:rFonts w:ascii="David" w:hAnsi="David" w:cs="David" w:hint="cs"/>
            <w:sz w:val="24"/>
            <w:szCs w:val="24"/>
            <w:rtl/>
          </w:rPr>
          <w:t xml:space="preserve">נוספים </w:t>
        </w:r>
        <w:r w:rsidRPr="00C357F6">
          <w:rPr>
            <w:rStyle w:val="Hyperlink"/>
            <w:rFonts w:ascii="David" w:hAnsi="David" w:cs="David" w:hint="cs"/>
            <w:sz w:val="24"/>
            <w:szCs w:val="24"/>
            <w:rtl/>
          </w:rPr>
          <w:t>לחצו כאן.</w:t>
        </w:r>
      </w:hyperlink>
    </w:p>
    <w:p w14:paraId="6550B061" w14:textId="77777777" w:rsidR="00C95DEB" w:rsidRPr="0057488E" w:rsidRDefault="00C95DEB" w:rsidP="00355941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highlight w:val="yellow"/>
          <w:rtl/>
        </w:rPr>
      </w:pPr>
    </w:p>
    <w:sectPr w:rsidR="00C95DEB" w:rsidRPr="0057488E" w:rsidSect="00B051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6E4C8" w14:textId="77777777" w:rsidR="00484A3A" w:rsidRDefault="00484A3A" w:rsidP="00575289">
      <w:pPr>
        <w:spacing w:after="0" w:line="240" w:lineRule="auto"/>
      </w:pPr>
      <w:r>
        <w:separator/>
      </w:r>
    </w:p>
  </w:endnote>
  <w:endnote w:type="continuationSeparator" w:id="0">
    <w:p w14:paraId="5BFBBF08" w14:textId="77777777" w:rsidR="00484A3A" w:rsidRDefault="00484A3A" w:rsidP="0057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sistant Light">
    <w:panose1 w:val="000004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6C28" w14:textId="77777777" w:rsidR="00842336" w:rsidRDefault="0084233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7BC2" w14:textId="77777777" w:rsidR="00842336" w:rsidRDefault="0084233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C5EA" w14:textId="77777777" w:rsidR="00842336" w:rsidRDefault="008423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FCDA4" w14:textId="77777777" w:rsidR="00484A3A" w:rsidRDefault="00484A3A" w:rsidP="00575289">
      <w:pPr>
        <w:spacing w:after="0" w:line="240" w:lineRule="auto"/>
      </w:pPr>
      <w:r>
        <w:separator/>
      </w:r>
    </w:p>
  </w:footnote>
  <w:footnote w:type="continuationSeparator" w:id="0">
    <w:p w14:paraId="03CF1F09" w14:textId="77777777" w:rsidR="00484A3A" w:rsidRDefault="00484A3A" w:rsidP="00575289">
      <w:pPr>
        <w:spacing w:after="0" w:line="240" w:lineRule="auto"/>
      </w:pPr>
      <w:r>
        <w:continuationSeparator/>
      </w:r>
    </w:p>
  </w:footnote>
  <w:footnote w:id="1">
    <w:p w14:paraId="0276B7CB" w14:textId="77777777" w:rsidR="00575289" w:rsidRPr="001D0885" w:rsidRDefault="00575289" w:rsidP="00575289">
      <w:pPr>
        <w:pStyle w:val="a9"/>
        <w:spacing w:line="240" w:lineRule="auto"/>
        <w:rPr>
          <w:rtl/>
        </w:rPr>
      </w:pPr>
      <w:r w:rsidRPr="001D0885">
        <w:rPr>
          <w:rStyle w:val="ab"/>
        </w:rPr>
        <w:footnoteRef/>
      </w:r>
      <w:r w:rsidRPr="001D0885">
        <w:rPr>
          <w:rtl/>
        </w:rPr>
        <w:t xml:space="preserve"> </w:t>
      </w:r>
      <w:r>
        <w:rPr>
          <w:rFonts w:hint="cs"/>
          <w:rtl/>
        </w:rPr>
        <w:t xml:space="preserve">קישור: </w:t>
      </w:r>
      <w:hyperlink r:id="rId1" w:history="1">
        <w:r w:rsidRPr="001D0885">
          <w:rPr>
            <w:rStyle w:val="Hyperlink"/>
            <w:rFonts w:ascii="David" w:hAnsi="David" w:hint="eastAsia"/>
            <w:rtl/>
          </w:rPr>
          <w:t>בנקאות</w:t>
        </w:r>
        <w:r w:rsidRPr="001D0885">
          <w:rPr>
            <w:rStyle w:val="Hyperlink"/>
            <w:rFonts w:ascii="David" w:hAnsi="David"/>
            <w:rtl/>
          </w:rPr>
          <w:t xml:space="preserve"> ותשלומים - מידע ושירות לצרכן</w:t>
        </w:r>
      </w:hyperlink>
    </w:p>
  </w:footnote>
  <w:footnote w:id="2">
    <w:p w14:paraId="1F75A5EA" w14:textId="77777777" w:rsidR="00575289" w:rsidRPr="001D0885" w:rsidRDefault="00575289" w:rsidP="00575289">
      <w:pPr>
        <w:pStyle w:val="a9"/>
        <w:spacing w:line="240" w:lineRule="auto"/>
      </w:pPr>
      <w:r w:rsidRPr="001D0885">
        <w:rPr>
          <w:rStyle w:val="ab"/>
        </w:rPr>
        <w:footnoteRef/>
      </w:r>
      <w:r w:rsidRPr="001D0885">
        <w:rPr>
          <w:rtl/>
        </w:rPr>
        <w:t xml:space="preserve"> </w:t>
      </w:r>
      <w:r>
        <w:rPr>
          <w:rFonts w:hint="cs"/>
          <w:rtl/>
        </w:rPr>
        <w:t xml:space="preserve">קישור: </w:t>
      </w:r>
      <w:hyperlink r:id="rId2" w:history="1">
        <w:r w:rsidRPr="001D0885">
          <w:rPr>
            <w:rStyle w:val="Hyperlink"/>
            <w:rFonts w:ascii="David" w:hAnsi="David" w:hint="cs"/>
            <w:rtl/>
          </w:rPr>
          <w:t>מחשבון מסלולי עמלות</w:t>
        </w:r>
      </w:hyperlink>
    </w:p>
  </w:footnote>
  <w:footnote w:id="3">
    <w:p w14:paraId="7F6ABA34" w14:textId="77777777" w:rsidR="00575289" w:rsidRPr="00AA23BA" w:rsidRDefault="00575289" w:rsidP="00575289">
      <w:pPr>
        <w:pStyle w:val="a9"/>
        <w:spacing w:line="240" w:lineRule="auto"/>
        <w:rPr>
          <w:rtl/>
        </w:rPr>
      </w:pPr>
      <w:r w:rsidRPr="001D0885">
        <w:rPr>
          <w:rStyle w:val="ab"/>
        </w:rPr>
        <w:footnoteRef/>
      </w:r>
      <w:r w:rsidRPr="001D0885">
        <w:rPr>
          <w:rtl/>
        </w:rPr>
        <w:t xml:space="preserve"> </w:t>
      </w:r>
      <w:r>
        <w:rPr>
          <w:rFonts w:hint="cs"/>
          <w:rtl/>
        </w:rPr>
        <w:t xml:space="preserve">קישור: </w:t>
      </w:r>
      <w:hyperlink r:id="rId3" w:history="1">
        <w:r w:rsidRPr="001D0885">
          <w:rPr>
            <w:rStyle w:val="Hyperlink"/>
            <w:rFonts w:ascii="David" w:hAnsi="David"/>
            <w:rtl/>
          </w:rPr>
          <w:t>תעוד</w:t>
        </w:r>
        <w:r w:rsidRPr="001D0885">
          <w:rPr>
            <w:rStyle w:val="Hyperlink"/>
            <w:rFonts w:ascii="David" w:hAnsi="David" w:hint="cs"/>
            <w:rtl/>
          </w:rPr>
          <w:t>ת</w:t>
        </w:r>
        <w:r w:rsidRPr="001D0885">
          <w:rPr>
            <w:rStyle w:val="Hyperlink"/>
            <w:rFonts w:ascii="David" w:hAnsi="David"/>
            <w:rtl/>
          </w:rPr>
          <w:t xml:space="preserve"> הזהות הבנקאית</w:t>
        </w:r>
      </w:hyperlink>
    </w:p>
  </w:footnote>
  <w:footnote w:id="4">
    <w:p w14:paraId="3C765693" w14:textId="77777777" w:rsidR="00112EEA" w:rsidRDefault="00112EEA" w:rsidP="00112EEA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</w:t>
      </w:r>
      <w:r w:rsidRPr="00FD1E72">
        <w:rPr>
          <w:rFonts w:hint="cs"/>
          <w:rtl/>
        </w:rPr>
        <w:t>העלאה ראשונה של מחיר עמלת "ערוץ ישיר" שביצע בנק הפועלים מאז כניסת הרפורמה לתוקפה ב-2008.</w:t>
      </w:r>
    </w:p>
  </w:footnote>
  <w:footnote w:id="5">
    <w:p w14:paraId="74F83759" w14:textId="77777777" w:rsidR="00C357F6" w:rsidRDefault="00C357F6" w:rsidP="00C357F6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קישור: </w:t>
      </w:r>
      <w:hyperlink r:id="rId4" w:history="1">
        <w:r w:rsidRPr="007F5D8E">
          <w:rPr>
            <w:rStyle w:val="Hyperlink"/>
            <w:rFonts w:hint="cs"/>
            <w:rtl/>
          </w:rPr>
          <w:t>רפורמה בעמלות משקי בית ועסקים קטנים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57BD4" w14:textId="77777777" w:rsidR="00842336" w:rsidRDefault="0084233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B5FC" w14:textId="77777777" w:rsidR="00842336" w:rsidRDefault="0084233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C6A2" w14:textId="77777777" w:rsidR="00842336" w:rsidRDefault="008423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34"/>
    <w:multiLevelType w:val="hybridMultilevel"/>
    <w:tmpl w:val="5D4CAA7A"/>
    <w:lvl w:ilvl="0" w:tplc="AD74C2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8489C"/>
    <w:multiLevelType w:val="hybridMultilevel"/>
    <w:tmpl w:val="2BA845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B7424"/>
    <w:multiLevelType w:val="hybridMultilevel"/>
    <w:tmpl w:val="AE86B860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5E15FE7"/>
    <w:multiLevelType w:val="hybridMultilevel"/>
    <w:tmpl w:val="706659AC"/>
    <w:lvl w:ilvl="0" w:tplc="838E7D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E6509"/>
    <w:multiLevelType w:val="hybridMultilevel"/>
    <w:tmpl w:val="6288839A"/>
    <w:lvl w:ilvl="0" w:tplc="1E785CA4">
      <w:start w:val="3"/>
      <w:numFmt w:val="bullet"/>
      <w:lvlText w:val="-"/>
      <w:lvlJc w:val="left"/>
      <w:pPr>
        <w:ind w:left="3600" w:hanging="360"/>
      </w:pPr>
      <w:rPr>
        <w:rFonts w:ascii="Assistant Light" w:eastAsia="Calibri" w:hAnsi="Assistant Light" w:cs="Assistant Light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59"/>
    <w:rsid w:val="000D6418"/>
    <w:rsid w:val="00112EEA"/>
    <w:rsid w:val="00133A21"/>
    <w:rsid w:val="00150BFE"/>
    <w:rsid w:val="001619C0"/>
    <w:rsid w:val="00193AAE"/>
    <w:rsid w:val="001E5709"/>
    <w:rsid w:val="00273EF8"/>
    <w:rsid w:val="00296218"/>
    <w:rsid w:val="0029628D"/>
    <w:rsid w:val="002C2859"/>
    <w:rsid w:val="002E1F68"/>
    <w:rsid w:val="002E3C74"/>
    <w:rsid w:val="00355941"/>
    <w:rsid w:val="00425C92"/>
    <w:rsid w:val="0045033C"/>
    <w:rsid w:val="00484A3A"/>
    <w:rsid w:val="004B603F"/>
    <w:rsid w:val="005549D6"/>
    <w:rsid w:val="0057488E"/>
    <w:rsid w:val="00575289"/>
    <w:rsid w:val="005A5417"/>
    <w:rsid w:val="0060399F"/>
    <w:rsid w:val="00720798"/>
    <w:rsid w:val="007F2DDD"/>
    <w:rsid w:val="007F5D8E"/>
    <w:rsid w:val="008205F6"/>
    <w:rsid w:val="00842336"/>
    <w:rsid w:val="0086244B"/>
    <w:rsid w:val="008758BC"/>
    <w:rsid w:val="008C0A8A"/>
    <w:rsid w:val="008F2F50"/>
    <w:rsid w:val="00A06B31"/>
    <w:rsid w:val="00B051F9"/>
    <w:rsid w:val="00B64CD4"/>
    <w:rsid w:val="00BD5681"/>
    <w:rsid w:val="00C240D3"/>
    <w:rsid w:val="00C357F6"/>
    <w:rsid w:val="00C95DEB"/>
    <w:rsid w:val="00D40BCD"/>
    <w:rsid w:val="00DB67BF"/>
    <w:rsid w:val="00E608BE"/>
    <w:rsid w:val="00EA5068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1A6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E5709"/>
    <w:rPr>
      <w:rFonts w:ascii="Tahoma" w:hAnsi="Tahoma" w:cs="Tahoma"/>
      <w:sz w:val="18"/>
      <w:szCs w:val="18"/>
    </w:rPr>
  </w:style>
  <w:style w:type="character" w:customStyle="1" w:styleId="a5">
    <w:name w:val="ללא מרווח תו"/>
    <w:basedOn w:val="a0"/>
    <w:link w:val="a6"/>
    <w:uiPriority w:val="1"/>
    <w:locked/>
    <w:rsid w:val="00B64CD4"/>
    <w:rPr>
      <w:rFonts w:ascii="Assistant Light" w:hAnsi="Assistant Light" w:cs="Assistant Light"/>
    </w:rPr>
  </w:style>
  <w:style w:type="paragraph" w:styleId="a6">
    <w:name w:val="No Spacing"/>
    <w:basedOn w:val="a"/>
    <w:link w:val="a5"/>
    <w:uiPriority w:val="1"/>
    <w:qFormat/>
    <w:rsid w:val="00B64CD4"/>
    <w:pPr>
      <w:spacing w:after="0" w:line="240" w:lineRule="auto"/>
      <w:jc w:val="both"/>
    </w:pPr>
    <w:rPr>
      <w:rFonts w:ascii="Assistant Light" w:hAnsi="Assistant Light" w:cs="Assistant Light"/>
    </w:rPr>
  </w:style>
  <w:style w:type="paragraph" w:styleId="a7">
    <w:name w:val="List Paragraph"/>
    <w:basedOn w:val="a"/>
    <w:uiPriority w:val="34"/>
    <w:qFormat/>
    <w:rsid w:val="00B64CD4"/>
    <w:pPr>
      <w:spacing w:before="240" w:after="400" w:line="252" w:lineRule="auto"/>
      <w:ind w:left="720"/>
      <w:contextualSpacing/>
      <w:jc w:val="both"/>
    </w:pPr>
    <w:rPr>
      <w:rFonts w:ascii="Calibri" w:hAnsi="Calibri" w:cs="Calibri"/>
    </w:rPr>
  </w:style>
  <w:style w:type="character" w:styleId="a8">
    <w:name w:val="Intense Emphasis"/>
    <w:basedOn w:val="a0"/>
    <w:uiPriority w:val="21"/>
    <w:qFormat/>
    <w:rsid w:val="00B64CD4"/>
  </w:style>
  <w:style w:type="paragraph" w:styleId="a9">
    <w:name w:val="footnote text"/>
    <w:basedOn w:val="a"/>
    <w:link w:val="aa"/>
    <w:rsid w:val="00575289"/>
    <w:pPr>
      <w:tabs>
        <w:tab w:val="left" w:pos="567"/>
        <w:tab w:val="left" w:pos="1134"/>
        <w:tab w:val="left" w:pos="1814"/>
        <w:tab w:val="left" w:pos="2665"/>
      </w:tabs>
      <w:spacing w:after="0" w:line="360" w:lineRule="auto"/>
      <w:jc w:val="both"/>
    </w:pPr>
    <w:rPr>
      <w:rFonts w:ascii="Times New Roman" w:eastAsia="Times New Roman" w:hAnsi="Times New Roman" w:cs="David"/>
      <w:sz w:val="20"/>
      <w:szCs w:val="20"/>
    </w:rPr>
  </w:style>
  <w:style w:type="character" w:customStyle="1" w:styleId="aa">
    <w:name w:val="טקסט הערת שוליים תו"/>
    <w:basedOn w:val="a0"/>
    <w:link w:val="a9"/>
    <w:rsid w:val="00575289"/>
    <w:rPr>
      <w:rFonts w:ascii="Times New Roman" w:eastAsia="Times New Roman" w:hAnsi="Times New Roman" w:cs="David"/>
      <w:sz w:val="20"/>
      <w:szCs w:val="20"/>
    </w:rPr>
  </w:style>
  <w:style w:type="character" w:styleId="ab">
    <w:name w:val="footnote reference"/>
    <w:rsid w:val="00575289"/>
    <w:rPr>
      <w:vertAlign w:val="superscript"/>
    </w:rPr>
  </w:style>
  <w:style w:type="character" w:styleId="Hyperlink">
    <w:name w:val="Hyperlink"/>
    <w:basedOn w:val="a0"/>
    <w:uiPriority w:val="99"/>
    <w:unhideWhenUsed/>
    <w:rsid w:val="0057528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2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112EEA"/>
  </w:style>
  <w:style w:type="paragraph" w:styleId="ae">
    <w:name w:val="footer"/>
    <w:basedOn w:val="a"/>
    <w:link w:val="af"/>
    <w:uiPriority w:val="99"/>
    <w:unhideWhenUsed/>
    <w:rsid w:val="00112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112EEA"/>
  </w:style>
  <w:style w:type="character" w:styleId="af0">
    <w:name w:val="annotation reference"/>
    <w:basedOn w:val="a0"/>
    <w:uiPriority w:val="99"/>
    <w:semiHidden/>
    <w:unhideWhenUsed/>
    <w:rsid w:val="00425C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25C92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425C9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5C92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425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i.org.il/information/bank-paymnts/financial-education/%D7%94%D7%95%D7%96%D7%9C%D7%AA-%D7%A2%D7%9C%D7%95%D7%99%D7%95%D7%AA-%D7%A0%D7%99%D7%94%D7%95%D7%9C-%D7%97%D7%A9%D7%91%D7%95%D7%9F-%D7%94%D7%91%D7%A0%D7%A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l0k2IdTXp4k" TargetMode="External"/><Relationship Id="rId2" Type="http://schemas.openxmlformats.org/officeDocument/2006/relationships/hyperlink" Target="https://www.boi.org.il/information/%D7%9E%D7%97%D7%A9%D7%91%D7%95%D7%A0%D7%99%D7%9D-%D7%95%D7%9B%D7%9C%D7%99%D7%9D/%D7%A2%D7%9E%D7%9C%D7%95%D7%AA/" TargetMode="External"/><Relationship Id="rId1" Type="http://schemas.openxmlformats.org/officeDocument/2006/relationships/hyperlink" Target="https://www.boi.org.il/information/bank-paymnts/" TargetMode="External"/><Relationship Id="rId4" Type="http://schemas.openxmlformats.org/officeDocument/2006/relationships/hyperlink" Target="https://boi.org.il/publications/pressreleases/%D7%A8%D7%A4%D7%95%D7%A8%D7%9E%D7%94-%D7%91%D7%A2%D7%9E%D7%9C%D7%95%D7%AA-%D7%9E%D7%A9%D7%A7%D7%99-%D7%91%D7%99%D7%AA-%D7%95%D7%A2%D7%A1%D7%A7%D7%99%D7%9D-%D7%A7%D7%98%D7%A0%D7%99%D7%9D-%D7%94%D7%A4%D7%99%D7%A7%D7%95%D7%97-%D7%A2%D7%9C-%D7%94%D7%91%D7%A0%D7%A7%D7%99%D7%9D-%D7%9E%D7%95%D7%A6%D7%99%D7%90-%D7%9C%D7%94%D7%AA%D7%99%D7%99%D7%A2%D7%A6%D7%95%D7%AA-%D7%98%D7%99%D7%95%D7%98%D7%94-%D7%A8%D7%90%D7%A9%D7%95%D7%A0%D7%94-%D7%A9%D7%9C-%D7%A2%D7%93%D7%9B%D7%95%D7%9F-%D7%9C%D7%9B%D7%9C%D7%9C%D7%99-%D7%94%D7%A2%D7%9E%D7%9C%D7%95%D7%AA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_____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vsrvpikuah\VPIKUAH\PIKUAHJR\BANK-CUSTOMER\&#1492;&#1505;&#1491;&#1512;&#1492;\&#1506;&#1502;&#1500;&#1493;&#1514;\&#1491;&#1493;&#1495;%20&#1495;&#1510;&#1497;%20&#1513;&#1504;&#1514;&#1497;%20&#1500;&#1493;&#1493;&#1506;&#1491;&#1514;%20&#1492;&#1499;&#1500;&#1499;&#1500;&#1492;\&#1491;&#1497;&#1493;&#1493;&#1495;&#1497;&#1501;%20&#1500;&#1493;&#1506;&#1491;&#1514;%20&#1492;&#1499;&#1500;&#1499;&#1500;&#1492;\&#1513;&#1504;&#1514;%202022\&#1488;&#1497;&#1493;&#1512;&#1497;&#1501;\&#1488;&#1497;&#1493;&#1512;%203-&#1492;&#1514;&#1508;&#1514;&#1495;&#1493;&#1514;%20&#1506;&#1500;&#1493;&#1514;%20&#1504;&#1497;&#1492;&#1493;&#1500;%20&#1506;&#1493;&#1513;%20&#1493;&#1492;&#1495;&#1494;&#1511;&#1514;%20&#1499;&#1512;&#1496;&#1497;&#1505;%20&#1488;&#1513;&#1512;&#1488;&#1497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0" i="0" u="none" strike="noStrike" kern="1200" spc="0" baseline="0">
                <a:solidFill>
                  <a:sysClr val="windowText" lastClr="000000"/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he-IL" sz="1200">
                <a:solidFill>
                  <a:sysClr val="windowText" lastClr="000000"/>
                </a:solidFill>
                <a:latin typeface="David" panose="020E0502060401010101" pitchFamily="34" charset="-79"/>
                <a:cs typeface="David" panose="020E0502060401010101" pitchFamily="34" charset="-79"/>
              </a:rPr>
              <a:t> </a:t>
            </a:r>
            <a:r>
              <a:rPr lang="he-IL" sz="1200" b="1" i="0" baseline="0">
                <a:solidFill>
                  <a:sysClr val="windowText" lastClr="000000"/>
                </a:solidFill>
                <a:effectLst/>
                <a:latin typeface="David" panose="020E0502060401010101" pitchFamily="34" charset="-79"/>
                <a:cs typeface="David" panose="020E0502060401010101" pitchFamily="34" charset="-79"/>
              </a:rPr>
              <a:t>איור א'- 1</a:t>
            </a:r>
            <a:endParaRPr lang="he-IL" sz="1200">
              <a:solidFill>
                <a:sysClr val="windowText" lastClr="000000"/>
              </a:solidFill>
              <a:effectLst/>
              <a:latin typeface="David" panose="020E0502060401010101" pitchFamily="34" charset="-79"/>
              <a:cs typeface="David" panose="020E0502060401010101" pitchFamily="34" charset="-79"/>
            </a:endParaRPr>
          </a:p>
          <a:p>
            <a:pPr algn="ctr">
              <a:defRPr sz="1050">
                <a:solidFill>
                  <a:sysClr val="windowText" lastClr="000000"/>
                </a:solidFill>
                <a:latin typeface="David" panose="020E0502060401010101" pitchFamily="34" charset="-79"/>
                <a:cs typeface="David" panose="020E0502060401010101" pitchFamily="34" charset="-79"/>
              </a:defRPr>
            </a:pPr>
            <a:r>
              <a:rPr lang="he-IL" sz="1200" b="0" i="0" baseline="0">
                <a:solidFill>
                  <a:sysClr val="windowText" lastClr="000000"/>
                </a:solidFill>
                <a:effectLst/>
                <a:latin typeface="David" panose="020E0502060401010101" pitchFamily="34" charset="-79"/>
                <a:cs typeface="David" panose="020E0502060401010101" pitchFamily="34" charset="-79"/>
              </a:rPr>
              <a:t>התפתחות יחס ההכנסות מעמלות לנכסים של המערכת הבנקאית וחברות כרטיסי אשראי</a:t>
            </a:r>
            <a:r>
              <a:rPr lang="he-IL" sz="1200">
                <a:solidFill>
                  <a:sysClr val="windowText" lastClr="000000"/>
                </a:solidFill>
                <a:latin typeface="David" panose="020E0502060401010101" pitchFamily="34" charset="-79"/>
                <a:cs typeface="David" panose="020E0502060401010101" pitchFamily="34" charset="-79"/>
              </a:rPr>
              <a:t> ביחס לנכסים </a:t>
            </a:r>
          </a:p>
        </c:rich>
      </c:tx>
      <c:layout>
        <c:manualLayout>
          <c:xMode val="edge"/>
          <c:yMode val="edge"/>
          <c:x val="0.1516318996415770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0" i="0" u="none" strike="noStrike" kern="1200" spc="0" baseline="0">
              <a:solidFill>
                <a:sysClr val="windowText" lastClr="000000"/>
              </a:solidFill>
              <a:latin typeface="David" panose="020E0502060401010101" pitchFamily="34" charset="-79"/>
              <a:ea typeface="+mn-ea"/>
              <a:cs typeface="David" panose="020E0502060401010101" pitchFamily="34" charset="-79"/>
            </a:defRPr>
          </a:pPr>
          <a:endParaRPr lang="he-IL"/>
        </a:p>
      </c:txPr>
    </c:title>
    <c:autoTitleDeleted val="0"/>
    <c:plotArea>
      <c:layout>
        <c:manualLayout>
          <c:layoutTarget val="inner"/>
          <c:xMode val="edge"/>
          <c:yMode val="edge"/>
          <c:x val="2.5316455696202531E-2"/>
          <c:y val="0.23194444444444445"/>
          <c:w val="0.95358649789029537"/>
          <c:h val="0.533989501312335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'הכנסות לנכסים'!$B$33</c:f>
              <c:strCache>
                <c:ptCount val="1"/>
                <c:pt idx="0">
                  <c:v>הכנסות מעמלות ביחס לנכסים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'הכנסות לנכסים'!$A$34:$A$47</c:f>
              <c:numCache>
                <c:formatCode>General</c:formatCode>
                <c:ptCount val="1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  <c:pt idx="13">
                  <c:v>2022</c:v>
                </c:pt>
              </c:numCache>
            </c:numRef>
          </c:cat>
          <c:val>
            <c:numRef>
              <c:f>'הכנסות לנכסים'!$B$34:$B$47</c:f>
              <c:numCache>
                <c:formatCode>_(* #,##0.00_);_(* \(#,##0.00\);_(* "-"??_);_(@_)</c:formatCode>
                <c:ptCount val="14"/>
                <c:pt idx="0">
                  <c:v>1.3694417508332124</c:v>
                </c:pt>
                <c:pt idx="1">
                  <c:v>1.3704644109448172</c:v>
                </c:pt>
                <c:pt idx="2">
                  <c:v>1.2321321216936432</c:v>
                </c:pt>
                <c:pt idx="3">
                  <c:v>1.1859318782349888</c:v>
                </c:pt>
                <c:pt idx="4">
                  <c:v>1.1669958501174083</c:v>
                </c:pt>
                <c:pt idx="5">
                  <c:v>1.0715776504328933</c:v>
                </c:pt>
                <c:pt idx="6">
                  <c:v>1.0601628108395924</c:v>
                </c:pt>
                <c:pt idx="7">
                  <c:v>1.0825998229256122</c:v>
                </c:pt>
                <c:pt idx="8">
                  <c:v>1.0744705994867845</c:v>
                </c:pt>
                <c:pt idx="9">
                  <c:v>0.9481434967680773</c:v>
                </c:pt>
                <c:pt idx="10">
                  <c:v>0.92115487314450506</c:v>
                </c:pt>
                <c:pt idx="11">
                  <c:v>0.75571269732128843</c:v>
                </c:pt>
                <c:pt idx="12">
                  <c:v>0.72547219598295265</c:v>
                </c:pt>
                <c:pt idx="13">
                  <c:v>0.73671837880606483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DE-4DF3-A258-7270EB6EAE3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9578448"/>
        <c:axId val="689577136"/>
      </c:barChart>
      <c:catAx>
        <c:axId val="68957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689577136"/>
        <c:crosses val="autoZero"/>
        <c:auto val="1"/>
        <c:lblAlgn val="ctr"/>
        <c:lblOffset val="100"/>
        <c:noMultiLvlLbl val="0"/>
      </c:catAx>
      <c:valAx>
        <c:axId val="689577136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6895784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rgbClr val="D4EFF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sssistant Li"/>
                <a:ea typeface="+mn-ea"/>
                <a:cs typeface="+mn-cs"/>
              </a:defRPr>
            </a:pPr>
            <a:r>
              <a:rPr lang="he-IL" sz="1200" b="1">
                <a:solidFill>
                  <a:sysClr val="windowText" lastClr="000000"/>
                </a:solidFill>
                <a:latin typeface="David" panose="020E0502060401010101" pitchFamily="34" charset="-79"/>
                <a:cs typeface="David" panose="020E0502060401010101" pitchFamily="34" charset="-79"/>
              </a:rPr>
              <a:t>איור</a:t>
            </a:r>
            <a:r>
              <a:rPr lang="he-IL" sz="1200" b="1" baseline="0">
                <a:solidFill>
                  <a:sysClr val="windowText" lastClr="000000"/>
                </a:solidFill>
                <a:latin typeface="David" panose="020E0502060401010101" pitchFamily="34" charset="-79"/>
                <a:cs typeface="David" panose="020E0502060401010101" pitchFamily="34" charset="-79"/>
              </a:rPr>
              <a:t> א'- 3 </a:t>
            </a:r>
          </a:p>
          <a:p>
            <a:pPr>
              <a:defRPr sz="1200">
                <a:solidFill>
                  <a:sysClr val="windowText" lastClr="000000"/>
                </a:solidFill>
                <a:latin typeface="Asssistant Li"/>
              </a:defRPr>
            </a:pPr>
            <a:r>
              <a:rPr lang="he-IL" sz="1200" b="0" i="0" u="none" strike="noStrike" baseline="0">
                <a:solidFill>
                  <a:sysClr val="windowText" lastClr="000000"/>
                </a:solidFill>
                <a:effectLst/>
                <a:latin typeface="David" panose="020E0502060401010101" pitchFamily="34" charset="-79"/>
                <a:cs typeface="David" panose="020E0502060401010101" pitchFamily="34" charset="-79"/>
              </a:rPr>
              <a:t>התפתחות עלות ניהול עו"ש והחזקת כרטיס חיוב חודשית ממוצעת לחשבון עו"ש משק בית ובנקאות פרטית במערכת הבנקאית</a:t>
            </a:r>
            <a:r>
              <a:rPr lang="en-US" sz="1200" b="0" i="0" u="none" strike="noStrike" baseline="0">
                <a:solidFill>
                  <a:sysClr val="windowText" lastClr="000000"/>
                </a:solidFill>
                <a:effectLst/>
                <a:latin typeface="David" panose="020E0502060401010101" pitchFamily="34" charset="-79"/>
                <a:cs typeface="David" panose="020E0502060401010101" pitchFamily="34" charset="-79"/>
              </a:rPr>
              <a:t>2011 - 2022 </a:t>
            </a:r>
            <a:r>
              <a:rPr lang="he-IL" sz="1200" b="0" i="0" u="none" strike="noStrike" baseline="0">
                <a:solidFill>
                  <a:sysClr val="windowText" lastClr="000000"/>
                </a:solidFill>
                <a:effectLst/>
                <a:latin typeface="David" panose="020E0502060401010101" pitchFamily="34" charset="-79"/>
                <a:cs typeface="David" panose="020E0502060401010101" pitchFamily="34" charset="-79"/>
              </a:rPr>
              <a:t>, בש"ח</a:t>
            </a:r>
          </a:p>
        </c:rich>
      </c:tx>
      <c:layout>
        <c:manualLayout>
          <c:xMode val="edge"/>
          <c:yMode val="edge"/>
          <c:x val="0.13550138888888888"/>
          <c:y val="2.0508103311595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Asssistant Li"/>
              <a:ea typeface="+mn-ea"/>
              <a:cs typeface="+mn-cs"/>
            </a:defRPr>
          </a:pPr>
          <a:endParaRPr lang="he-IL"/>
        </a:p>
      </c:txPr>
    </c:title>
    <c:autoTitleDeleted val="0"/>
    <c:plotArea>
      <c:layout>
        <c:manualLayout>
          <c:layoutTarget val="inner"/>
          <c:xMode val="edge"/>
          <c:yMode val="edge"/>
          <c:x val="3.3827886896885657E-2"/>
          <c:y val="0.20335169513933782"/>
          <c:w val="0.92156286035891821"/>
          <c:h val="0.5240966381269445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'גרף עלות עו"ש וכ"א ועסקאות מטח'!$C$2</c:f>
              <c:strCache>
                <c:ptCount val="1"/>
                <c:pt idx="0">
                  <c:v>פעילות בעו"ש ומידע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'גרף עלות עו"ש וכ"א ועסקאות מטח'!$D$1:$O$1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'גרף עלות עו"ש וכ"א ועסקאות מטח'!$D$2:$O$2</c:f>
              <c:numCache>
                <c:formatCode>0.0</c:formatCode>
                <c:ptCount val="12"/>
                <c:pt idx="0">
                  <c:v>20.408195521271622</c:v>
                </c:pt>
                <c:pt idx="1">
                  <c:v>19.548928956215175</c:v>
                </c:pt>
                <c:pt idx="2">
                  <c:v>18.745937725828679</c:v>
                </c:pt>
                <c:pt idx="3">
                  <c:v>16.573592921281378</c:v>
                </c:pt>
                <c:pt idx="4">
                  <c:v>14.664464400665542</c:v>
                </c:pt>
                <c:pt idx="5">
                  <c:v>13.657166735952673</c:v>
                </c:pt>
                <c:pt idx="6">
                  <c:v>13.510176480825125</c:v>
                </c:pt>
                <c:pt idx="7">
                  <c:v>13.161199749132669</c:v>
                </c:pt>
                <c:pt idx="8">
                  <c:v>12.382231024251974</c:v>
                </c:pt>
                <c:pt idx="9">
                  <c:v>11.347540553454087</c:v>
                </c:pt>
                <c:pt idx="10">
                  <c:v>10.814714879861304</c:v>
                </c:pt>
                <c:pt idx="11">
                  <c:v>11.464569497499092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CC-4345-A61F-5242E12F41AD}"/>
            </c:ext>
          </c:extLst>
        </c:ser>
        <c:ser>
          <c:idx val="6"/>
          <c:order val="1"/>
          <c:tx>
            <c:strRef>
              <c:f>'גרף עלות עו"ש וכ"א ועסקאות מטח'!$C$3</c:f>
              <c:strCache>
                <c:ptCount val="1"/>
                <c:pt idx="0">
                  <c:v>כרטיסי חיוב (בנקאי וחוץ בנקאי)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'גרף עלות עו"ש וכ"א ועסקאות מטח'!$D$1:$O$1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'גרף עלות עו"ש וכ"א ועסקאות מטח'!$D$3:$O$3</c:f>
              <c:numCache>
                <c:formatCode>0.0</c:formatCode>
                <c:ptCount val="12"/>
                <c:pt idx="0">
                  <c:v>10.379017569406901</c:v>
                </c:pt>
                <c:pt idx="1">
                  <c:v>10.67083187820587</c:v>
                </c:pt>
                <c:pt idx="2">
                  <c:v>11.284471780588586</c:v>
                </c:pt>
                <c:pt idx="3">
                  <c:v>11.72660026881111</c:v>
                </c:pt>
                <c:pt idx="4">
                  <c:v>9.8858229474515866</c:v>
                </c:pt>
                <c:pt idx="5">
                  <c:v>9.2265152154488383</c:v>
                </c:pt>
                <c:pt idx="6">
                  <c:v>9.5896040936374156</c:v>
                </c:pt>
                <c:pt idx="7">
                  <c:v>9.9020810704823283</c:v>
                </c:pt>
                <c:pt idx="8">
                  <c:v>10.319306240077387</c:v>
                </c:pt>
                <c:pt idx="9">
                  <c:v>10.930461982170423</c:v>
                </c:pt>
                <c:pt idx="10">
                  <c:v>10.686116883979834</c:v>
                </c:pt>
                <c:pt idx="11">
                  <c:v>10.881586863831089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CC-4345-A61F-5242E12F41AD}"/>
            </c:ext>
          </c:extLst>
        </c:ser>
        <c:ser>
          <c:idx val="2"/>
          <c:order val="3"/>
          <c:tx>
            <c:strRef>
              <c:f>'גרף עלות עו"ש וכ"א ועסקאות מטח'!$C$4</c:f>
              <c:strCache>
                <c:ptCount val="1"/>
                <c:pt idx="0">
                  <c:v>עסקאות ומשיכות במט"ח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1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6CC-4345-A61F-5242E12F41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'גרף עלות עו"ש וכ"א ועסקאות מטח'!$D$4:$O$4</c:f>
              <c:numCache>
                <c:formatCode>0.0</c:formatCode>
                <c:ptCount val="12"/>
                <c:pt idx="0">
                  <c:v>1.6375031576940122</c:v>
                </c:pt>
                <c:pt idx="1">
                  <c:v>1.8065152392290313</c:v>
                </c:pt>
                <c:pt idx="2">
                  <c:v>1.8221326610586857</c:v>
                </c:pt>
                <c:pt idx="3">
                  <c:v>1.8383513532142142</c:v>
                </c:pt>
                <c:pt idx="4">
                  <c:v>2.5909429627671452</c:v>
                </c:pt>
                <c:pt idx="5">
                  <c:v>3.5524562148770515</c:v>
                </c:pt>
                <c:pt idx="6">
                  <c:v>3.5524562148770515</c:v>
                </c:pt>
                <c:pt idx="7">
                  <c:v>4.0035824869886465</c:v>
                </c:pt>
                <c:pt idx="8">
                  <c:v>4.205150738602569</c:v>
                </c:pt>
                <c:pt idx="9">
                  <c:v>1.8578683779543457</c:v>
                </c:pt>
                <c:pt idx="10">
                  <c:v>3.0834439574639583</c:v>
                </c:pt>
                <c:pt idx="11">
                  <c:v>4.5369472866752103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CC-4345-A61F-5242E12F41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9068416"/>
        <c:axId val="129078400"/>
      </c:barChart>
      <c:lineChart>
        <c:grouping val="stacked"/>
        <c:varyColors val="0"/>
        <c:ser>
          <c:idx val="1"/>
          <c:order val="2"/>
          <c:tx>
            <c:strRef>
              <c:f>'גרף עלות עו"ש וכ"א ועסקאות מטח'!$C$5</c:f>
              <c:strCache>
                <c:ptCount val="1"/>
                <c:pt idx="0">
                  <c:v>סה"כ פעילות עו"ש וכרטיסי חיוב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>
                  <a:lumMod val="5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dPt>
            <c:idx val="1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4-46CC-4345-A61F-5242E12F41AD}"/>
              </c:ext>
            </c:extLst>
          </c:dPt>
          <c:dPt>
            <c:idx val="4"/>
            <c:marker>
              <c:symbol val="circle"/>
              <c:size val="3"/>
              <c:spPr>
                <a:solidFill>
                  <a:schemeClr val="bg1">
                    <a:lumMod val="50000"/>
                  </a:schemeClr>
                </a:solidFill>
                <a:ln w="3175">
                  <a:solidFill>
                    <a:schemeClr val="bg1">
                      <a:lumMod val="50000"/>
                    </a:schemeClr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>
                    <a:lumMod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46CC-4345-A61F-5242E12F41AD}"/>
              </c:ext>
            </c:extLst>
          </c:dPt>
          <c:dPt>
            <c:idx val="6"/>
            <c:marker>
              <c:symbol val="circle"/>
              <c:size val="3"/>
              <c:spPr>
                <a:solidFill>
                  <a:schemeClr val="bg1">
                    <a:lumMod val="50000"/>
                  </a:schemeClr>
                </a:solidFill>
                <a:ln w="3175">
                  <a:solidFill>
                    <a:schemeClr val="bg1">
                      <a:lumMod val="50000"/>
                    </a:schemeClr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>
                    <a:lumMod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46CC-4345-A61F-5242E12F41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David" panose="020E0502060401010101" pitchFamily="34" charset="-79"/>
                    <a:ea typeface="+mn-ea"/>
                    <a:cs typeface="David" panose="020E0502060401010101" pitchFamily="34" charset="-79"/>
                  </a:defRPr>
                </a:pPr>
                <a:endParaRPr lang="he-I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'גרף עלות עו"ש וכ"א ועסקאות מטח'!$D$1:$O$1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'גרף עלות עו"ש וכ"א ועסקאות מטח'!$D$5:$O$5</c:f>
              <c:numCache>
                <c:formatCode>0.0</c:formatCode>
                <c:ptCount val="12"/>
                <c:pt idx="0">
                  <c:v>32.424716248372533</c:v>
                </c:pt>
                <c:pt idx="1">
                  <c:v>32.026276073650074</c:v>
                </c:pt>
                <c:pt idx="2">
                  <c:v>31.852542167475949</c:v>
                </c:pt>
                <c:pt idx="3">
                  <c:v>30.138544543306701</c:v>
                </c:pt>
                <c:pt idx="4">
                  <c:v>27.141230310884275</c:v>
                </c:pt>
                <c:pt idx="5">
                  <c:v>26.436138166278564</c:v>
                </c:pt>
                <c:pt idx="6">
                  <c:v>26.652236789339593</c:v>
                </c:pt>
                <c:pt idx="7">
                  <c:v>27.066863306603643</c:v>
                </c:pt>
                <c:pt idx="8">
                  <c:v>26.906688002931929</c:v>
                </c:pt>
                <c:pt idx="9">
                  <c:v>24.135870913578856</c:v>
                </c:pt>
                <c:pt idx="10">
                  <c:v>24.584275721305097</c:v>
                </c:pt>
                <c:pt idx="11">
                  <c:v>26.883103648005392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6CC-4345-A61F-5242E12F41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068416"/>
        <c:axId val="129078400"/>
      </c:lineChart>
      <c:catAx>
        <c:axId val="12906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endParaRPr lang="he-IL"/>
          </a:p>
        </c:txPr>
        <c:crossAx val="129078400"/>
        <c:crossesAt val="0"/>
        <c:auto val="1"/>
        <c:lblAlgn val="ctr"/>
        <c:lblOffset val="0"/>
        <c:noMultiLvlLbl val="0"/>
      </c:catAx>
      <c:valAx>
        <c:axId val="129078400"/>
        <c:scaling>
          <c:orientation val="minMax"/>
          <c:max val="39"/>
          <c:min val="0"/>
        </c:scaling>
        <c:delete val="1"/>
        <c:axPos val="l"/>
        <c:numFmt formatCode="0" sourceLinked="0"/>
        <c:majorTickMark val="out"/>
        <c:minorTickMark val="none"/>
        <c:tickLblPos val="nextTo"/>
        <c:crossAx val="1290684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6020095130314853E-2"/>
          <c:y val="0.81589458111368485"/>
          <c:w val="0.9150977719151856"/>
          <c:h val="0.11060924871098698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David" panose="020E0502060401010101" pitchFamily="34" charset="-79"/>
              <a:ea typeface="+mn-ea"/>
              <a:cs typeface="David" panose="020E0502060401010101" pitchFamily="34" charset="-79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rgbClr val="D4EFF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0.01348</cdr:x>
      <cdr:y>0.82973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5201" y="2276108"/>
          <a:ext cx="5504799" cy="4670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r" defTabSz="914400" rtl="1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he-IL" sz="1050" b="1" i="0" baseline="0">
              <a:solidFill>
                <a:sysClr val="windowText" lastClr="000000"/>
              </a:solidFill>
              <a:effectLst/>
              <a:latin typeface="David" panose="020E0502060401010101" pitchFamily="34" charset="-79"/>
              <a:ea typeface="+mn-ea"/>
              <a:cs typeface="David" panose="020E0502060401010101" pitchFamily="34" charset="-79"/>
            </a:rPr>
            <a:t>המקור: </a:t>
          </a:r>
          <a:r>
            <a:rPr lang="he-IL" sz="1050" b="0" i="0" baseline="0">
              <a:solidFill>
                <a:sysClr val="windowText" lastClr="000000"/>
              </a:solidFill>
              <a:effectLst/>
              <a:latin typeface="David" panose="020E0502060401010101" pitchFamily="34" charset="-79"/>
              <a:ea typeface="+mn-ea"/>
              <a:cs typeface="David" panose="020E0502060401010101" pitchFamily="34" charset="-79"/>
            </a:rPr>
            <a:t>דוחות כספיים לציבור, דיווחי התאגידים לפיקוח על הבנקים ועיבודי הפיקוח על הבנקים.</a:t>
          </a:r>
          <a:endParaRPr lang="he-IL" sz="1050">
            <a:solidFill>
              <a:sysClr val="windowText" lastClr="000000"/>
            </a:solidFill>
            <a:effectLst/>
            <a:latin typeface="David" panose="020E0502060401010101" pitchFamily="34" charset="-79"/>
            <a:cs typeface="David" panose="020E0502060401010101" pitchFamily="34" charset="-79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0.09231</cdr:x>
      <cdr:y>0.93021</cdr:y>
    </cdr:from>
    <cdr:to>
      <cdr:x>0.98807</cdr:x>
      <cdr:y>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86888" y="2941603"/>
          <a:ext cx="4724499" cy="220697"/>
        </a:xfrm>
        <a:prstGeom xmlns:a="http://schemas.openxmlformats.org/drawingml/2006/main" prst="rect">
          <a:avLst/>
        </a:prstGeom>
        <a:solidFill xmlns:a="http://schemas.openxmlformats.org/drawingml/2006/main">
          <a:srgbClr val="D4EFFC"/>
        </a:solidFill>
        <a:ln xmlns:a="http://schemas.openxmlformats.org/drawingml/2006/main" w="9525" cmpd="sng">
          <a:solidFill>
            <a:srgbClr val="D4EFFC"/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1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 rtl="1"/>
          <a:r>
            <a:rPr lang="he-IL" sz="1050" b="1">
              <a:latin typeface="David" panose="020E0502060401010101" pitchFamily="34" charset="-79"/>
              <a:cs typeface="David" panose="020E0502060401010101" pitchFamily="34" charset="-79"/>
            </a:rPr>
            <a:t>המקור</a:t>
          </a:r>
          <a:r>
            <a:rPr lang="he-IL" sz="1050" b="0">
              <a:latin typeface="David" panose="020E0502060401010101" pitchFamily="34" charset="-79"/>
              <a:cs typeface="David" panose="020E0502060401010101" pitchFamily="34" charset="-79"/>
            </a:rPr>
            <a:t>:</a:t>
          </a:r>
          <a:r>
            <a:rPr lang="he-IL" sz="1050" b="0" baseline="0">
              <a:latin typeface="David" panose="020E0502060401010101" pitchFamily="34" charset="-79"/>
              <a:cs typeface="David" panose="020E0502060401010101" pitchFamily="34" charset="-79"/>
            </a:rPr>
            <a:t> דוחות כספיים לציבור, דיווחים לפיקוח על הבנקים ועיבודי הפיקוח על הבנקים.</a:t>
          </a:r>
          <a:endParaRPr lang="he-IL" sz="1050" b="1">
            <a:latin typeface="David" panose="020E0502060401010101" pitchFamily="34" charset="-79"/>
            <a:cs typeface="David" panose="020E0502060401010101" pitchFamily="34" charset="-79"/>
          </a:endParaRPr>
        </a:p>
      </cdr:txBody>
    </cdr:sp>
  </cdr:relSizeAnchor>
</c:userShape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7A7E-D09B-4726-832E-1C1F407F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2023-08-13T11:14:00Z</dcterms:created>
  <dcterms:modified xsi:type="dcterms:W3CDTF">2023-08-13T11:14:00Z</dcterms:modified>
</cp:coreProperties>
</file>