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E4" w:rsidRPr="002D72D5" w:rsidP="00053AE4">
      <w:pPr>
        <w:spacing w:line="360" w:lineRule="auto"/>
        <w:rPr>
          <w:rFonts w:ascii="Calibri" w:hAnsi="Calibri" w:cs="Calibri"/>
          <w:b/>
          <w:bCs/>
          <w:spacing w:val="-4"/>
          <w:sz w:val="28"/>
          <w:szCs w:val="28"/>
          <w:rtl/>
        </w:rPr>
      </w:pPr>
      <w:r>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i1025" type="#_x0000_t75" style="width:71.4pt;height:35.15pt;mso-wrap-distance-bottom:0;mso-wrap-distance-left:0;mso-wrap-distance-right:0;mso-wrap-distance-top:0" filled="f" stroked="f">
            <v:imagedata r:id="rId5" o:title=""/>
            <o:lock v:ext="edit" aspectratio="t"/>
          </v:shape>
        </w:pict>
      </w:r>
      <w:r w:rsidRPr="002D72D5">
        <w:rPr>
          <w:rFonts w:ascii="Calibri" w:hAnsi="Calibri" w:cs="Calibri"/>
          <w:rtl/>
          <w:lang w:bidi="ar"/>
        </w:rPr>
        <w:tab/>
        <w:tab/>
        <w:tab/>
        <w:tab/>
      </w:r>
      <w:r>
        <w:rPr>
          <w:rFonts w:ascii="Calibri" w:hAnsi="Calibri" w:cs="Calibri"/>
          <w:noProof/>
          <w:color w:val="1F497D"/>
        </w:rPr>
        <w:pict>
          <v:shape id="תמונה 1" o:spid="_x0000_i1026" type="#_x0000_t75" style="width:32.25pt;height:32.25pt;mso-wrap-distance-bottom:0;mso-wrap-distance-left:0;mso-wrap-distance-right:0;mso-wrap-distance-top:0" filled="f" stroked="f">
            <v:imagedata r:id="rId6" o:title=""/>
            <o:lock v:ext="edit" aspectratio="t"/>
          </v:shape>
        </w:pict>
      </w:r>
    </w:p>
    <w:p w:rsidR="00053AE4" w:rsidRPr="002D72D5" w:rsidP="00053AE4">
      <w:pPr>
        <w:spacing w:line="360" w:lineRule="auto"/>
        <w:jc w:val="center"/>
        <w:rPr>
          <w:rFonts w:ascii="Calibri" w:hAnsi="Calibri" w:cs="Calibri"/>
          <w:b/>
          <w:bCs/>
          <w:spacing w:val="-4"/>
          <w:sz w:val="28"/>
          <w:szCs w:val="28"/>
          <w:rtl/>
        </w:rPr>
      </w:pPr>
    </w:p>
    <w:p w:rsidR="00700CE8" w:rsidRPr="002D72D5" w:rsidP="00B7112C">
      <w:pPr>
        <w:spacing w:line="360" w:lineRule="auto"/>
        <w:jc w:val="center"/>
        <w:rPr>
          <w:rFonts w:ascii="Calibri" w:hAnsi="Calibri" w:cs="Calibri"/>
          <w:b/>
          <w:bCs/>
          <w:spacing w:val="-4"/>
          <w:sz w:val="32"/>
          <w:szCs w:val="32"/>
          <w:rtl/>
        </w:rPr>
      </w:pPr>
      <w:r w:rsidRPr="002D72D5">
        <w:rPr>
          <w:rFonts w:ascii="Calibri" w:hAnsi="Calibri" w:cs="Calibri"/>
          <w:b/>
          <w:bCs/>
          <w:sz w:val="32"/>
          <w:szCs w:val="32"/>
          <w:rtl/>
          <w:lang w:bidi="ar"/>
        </w:rPr>
        <w:t>مناقصة علنيّة ممكننة ثنائية المراحل  رقم 1/25</w:t>
      </w:r>
    </w:p>
    <w:p w:rsidR="00B7112C" w:rsidRPr="002D72D5" w:rsidP="00B7112C">
      <w:pPr>
        <w:spacing w:line="360" w:lineRule="auto"/>
        <w:ind w:left="1800" w:firstLine="360"/>
        <w:jc w:val="both"/>
        <w:rPr>
          <w:rFonts w:ascii="Calibri" w:hAnsi="Calibri" w:cs="Calibri"/>
          <w:sz w:val="24"/>
        </w:rPr>
      </w:pPr>
      <w:r w:rsidRPr="002D72D5">
        <w:rPr>
          <w:rFonts w:ascii="Calibri" w:hAnsi="Calibri" w:cs="Calibri"/>
          <w:b/>
          <w:bCs/>
          <w:sz w:val="32"/>
          <w:szCs w:val="32"/>
          <w:rtl/>
          <w:lang w:bidi="ar"/>
        </w:rPr>
        <w:t>تقديم الخدمات في مجال تحليل النُظم</w:t>
      </w:r>
    </w:p>
    <w:p w:rsidR="00053AE4" w:rsidRPr="002D72D5" w:rsidP="00B7112C">
      <w:pPr>
        <w:numPr>
          <w:ilvl w:val="0"/>
          <w:numId w:val="1"/>
        </w:numPr>
        <w:spacing w:line="360" w:lineRule="auto"/>
        <w:jc w:val="both"/>
        <w:rPr>
          <w:rFonts w:ascii="Calibri" w:hAnsi="Calibri" w:cs="Calibri"/>
          <w:sz w:val="24"/>
        </w:rPr>
      </w:pPr>
      <w:r w:rsidRPr="002D72D5">
        <w:rPr>
          <w:rFonts w:ascii="Calibri" w:hAnsi="Calibri" w:cs="Calibri"/>
          <w:sz w:val="24"/>
          <w:rtl/>
          <w:lang w:bidi="ar"/>
        </w:rPr>
        <w:t>بنك إسرائيل (فيما يلي: "</w:t>
      </w:r>
      <w:r w:rsidRPr="002D72D5">
        <w:rPr>
          <w:rFonts w:ascii="Calibri" w:hAnsi="Calibri" w:cs="Calibri"/>
          <w:b/>
          <w:bCs/>
          <w:sz w:val="24"/>
          <w:rtl/>
          <w:lang w:bidi="ar"/>
        </w:rPr>
        <w:t>البنك</w:t>
      </w:r>
      <w:r w:rsidRPr="002D72D5">
        <w:rPr>
          <w:rFonts w:ascii="Calibri" w:hAnsi="Calibri" w:cs="Calibri"/>
          <w:sz w:val="24"/>
          <w:rtl/>
          <w:lang w:bidi="ar"/>
        </w:rPr>
        <w:t xml:space="preserve">") يطلب بهذا تلقي عروض </w:t>
      </w:r>
      <w:r w:rsidRPr="002D72D5">
        <w:rPr>
          <w:rFonts w:ascii="Calibri" w:hAnsi="Calibri" w:cs="Calibri"/>
          <w:color w:val="A6A6A6"/>
          <w:kern w:val="28"/>
          <w:rtl/>
          <w:lang w:bidi="ar"/>
        </w:rPr>
        <w:t xml:space="preserve">  </w:t>
      </w:r>
      <w:r w:rsidRPr="002D72D5">
        <w:rPr>
          <w:rFonts w:ascii="Calibri" w:hAnsi="Calibri" w:cs="Calibri"/>
          <w:b/>
          <w:bCs/>
          <w:color w:val="A6A6A6"/>
          <w:kern w:val="28"/>
          <w:rtl/>
          <w:lang w:bidi="ar"/>
        </w:rPr>
        <w:t>لتزويد خدمات استشارة في مجال تحليل النُظم</w:t>
      </w:r>
      <w:r w:rsidRPr="002D72D5">
        <w:rPr>
          <w:rFonts w:ascii="Calibri" w:hAnsi="Calibri" w:cs="Calibri"/>
          <w:rtl/>
          <w:lang w:bidi="ar"/>
        </w:rPr>
        <w:t xml:space="preserve"> (فيما يلي: "</w:t>
      </w:r>
      <w:r w:rsidRPr="002D72D5">
        <w:rPr>
          <w:rFonts w:ascii="Calibri" w:hAnsi="Calibri" w:cs="Calibri"/>
          <w:b/>
          <w:bCs/>
          <w:rtl/>
          <w:lang w:bidi="ar"/>
        </w:rPr>
        <w:t xml:space="preserve">المشروع" </w:t>
      </w:r>
      <w:r w:rsidRPr="002D72D5">
        <w:rPr>
          <w:rFonts w:ascii="Calibri" w:hAnsi="Calibri" w:cs="Calibri"/>
          <w:rtl/>
          <w:lang w:bidi="ar"/>
        </w:rPr>
        <w:t xml:space="preserve">أو </w:t>
      </w:r>
      <w:r w:rsidRPr="002D72D5">
        <w:rPr>
          <w:rFonts w:ascii="Calibri" w:hAnsi="Calibri" w:cs="Calibri"/>
          <w:b/>
          <w:bCs/>
          <w:rtl/>
          <w:lang w:bidi="ar"/>
        </w:rPr>
        <w:t>"الخدمات"</w:t>
      </w:r>
      <w:r w:rsidRPr="002D72D5">
        <w:rPr>
          <w:rFonts w:ascii="Calibri" w:hAnsi="Calibri" w:cs="Calibri"/>
          <w:rtl/>
          <w:lang w:bidi="ar"/>
        </w:rPr>
        <w:t>)، وكل ذلك وفقاً لما هو مفصّل في مستند تعريف الخدمات المرفق في القسم "د" من مستندات المناقصة (فيما يلي: "</w:t>
      </w:r>
      <w:r w:rsidRPr="002D72D5">
        <w:rPr>
          <w:rFonts w:ascii="Calibri" w:hAnsi="Calibri" w:cs="Calibri"/>
          <w:b/>
          <w:bCs/>
          <w:rtl/>
          <w:lang w:bidi="ar"/>
        </w:rPr>
        <w:t>المواصفات</w:t>
      </w:r>
      <w:r w:rsidRPr="002D72D5">
        <w:rPr>
          <w:rFonts w:ascii="Calibri" w:hAnsi="Calibri" w:cs="Calibri"/>
          <w:rtl/>
          <w:lang w:bidi="ar"/>
        </w:rPr>
        <w:t>")</w:t>
      </w:r>
      <w:r w:rsidRPr="002D72D5">
        <w:rPr>
          <w:rFonts w:ascii="Calibri" w:hAnsi="Calibri" w:cs="Calibri"/>
          <w:color w:val="000000"/>
          <w:kern w:val="28"/>
          <w:sz w:val="22"/>
          <w:rtl/>
          <w:lang w:bidi="ar"/>
        </w:rPr>
        <w:t>.</w:t>
      </w:r>
    </w:p>
    <w:p w:rsidR="00053AE4" w:rsidRPr="002D72D5" w:rsidP="00053AE4">
      <w:pPr>
        <w:numPr>
          <w:ilvl w:val="0"/>
          <w:numId w:val="1"/>
        </w:numPr>
        <w:spacing w:line="360" w:lineRule="auto"/>
        <w:jc w:val="both"/>
        <w:rPr>
          <w:rFonts w:ascii="Calibri" w:hAnsi="Calibri" w:cs="Calibri"/>
          <w:sz w:val="24"/>
        </w:rPr>
      </w:pPr>
      <w:r w:rsidRPr="002D72D5">
        <w:rPr>
          <w:rFonts w:ascii="Calibri" w:hAnsi="Calibri" w:cs="Calibri"/>
          <w:sz w:val="24"/>
          <w:rtl/>
          <w:lang w:bidi="ar"/>
        </w:rPr>
        <w:t>مدة التعاقد هي لـسنة واحدة (تخضع لإمكانية قيام البنك بتقصيرها كما هو مذكور في اتفاقية التعاقد). كما يجوز للبنك تنفيذ خيار تمديد مدة التعاقد من وقت لآخر لخدمات معينة مدرجة في المناقصة ولكل ما يتضمنها، بما يصل إلى4 سنوات إضافية.. بالإضافة إلى ذلك، يجوز للبنك شراء خدمات إضافية من الفائز خلال مدة الاتفاقية وفقاً لحقوق الاختيار المفصلة في اتفاقية التعاقد</w:t>
      </w:r>
      <w:r w:rsidRPr="002D72D5">
        <w:rPr>
          <w:rFonts w:ascii="Calibri" w:hAnsi="Calibri" w:cs="Calibri"/>
          <w:color w:val="000000"/>
          <w:kern w:val="28"/>
          <w:rtl/>
          <w:lang w:bidi="ar"/>
        </w:rPr>
        <w:t>.</w:t>
      </w:r>
    </w:p>
    <w:p w:rsidR="00053AE4" w:rsidRPr="002D72D5" w:rsidP="00532E06">
      <w:pPr>
        <w:numPr>
          <w:ilvl w:val="0"/>
          <w:numId w:val="1"/>
        </w:numPr>
        <w:spacing w:line="360" w:lineRule="auto"/>
        <w:jc w:val="both"/>
        <w:rPr>
          <w:rFonts w:ascii="Calibri" w:hAnsi="Calibri" w:cs="Calibri"/>
          <w:color w:val="808080"/>
          <w:rtl/>
        </w:rPr>
      </w:pPr>
      <w:r w:rsidRPr="002D72D5">
        <w:rPr>
          <w:rFonts w:ascii="Calibri" w:hAnsi="Calibri" w:cs="Calibri"/>
          <w:sz w:val="24"/>
          <w:rtl/>
          <w:lang w:bidi="ar"/>
        </w:rPr>
        <w:t xml:space="preserve">يحق لأي جهة تستوفي في الموعد النهائي لتقديم العروض للمناقصة جميع المتطلبات المذكورة أدناه المشاركة في المناقصة:  </w:t>
      </w:r>
    </w:p>
    <w:p w:rsidR="00700CE8" w:rsidRPr="002D72D5" w:rsidP="00700CE8">
      <w:pPr>
        <w:pStyle w:val="ListParagraph"/>
        <w:numPr>
          <w:ilvl w:val="0"/>
          <w:numId w:val="6"/>
        </w:numPr>
        <w:spacing w:line="360" w:lineRule="auto"/>
        <w:contextualSpacing w:val="0"/>
        <w:outlineLvl w:val="1"/>
        <w:rPr>
          <w:rFonts w:ascii="Calibri" w:eastAsia="Calibri" w:hAnsi="Calibri" w:cs="Calibri"/>
          <w:b/>
          <w:bCs/>
          <w:vanish/>
          <w:color w:val="808080"/>
          <w:sz w:val="24"/>
          <w:rtl/>
        </w:rPr>
      </w:pPr>
    </w:p>
    <w:p w:rsidR="00700CE8" w:rsidRPr="002D72D5" w:rsidP="00700CE8">
      <w:pPr>
        <w:pStyle w:val="ListParagraph"/>
        <w:numPr>
          <w:ilvl w:val="0"/>
          <w:numId w:val="6"/>
        </w:numPr>
        <w:spacing w:line="360" w:lineRule="auto"/>
        <w:contextualSpacing w:val="0"/>
        <w:outlineLvl w:val="1"/>
        <w:rPr>
          <w:rFonts w:ascii="Calibri" w:eastAsia="Calibri" w:hAnsi="Calibri" w:cs="Calibri"/>
          <w:b/>
          <w:bCs/>
          <w:vanish/>
          <w:color w:val="808080"/>
          <w:sz w:val="24"/>
          <w:rtl/>
        </w:rPr>
      </w:pPr>
    </w:p>
    <w:p w:rsidR="00700CE8" w:rsidRPr="002D72D5" w:rsidP="00700CE8">
      <w:pPr>
        <w:pStyle w:val="ListParagraph"/>
        <w:numPr>
          <w:ilvl w:val="0"/>
          <w:numId w:val="6"/>
        </w:numPr>
        <w:spacing w:line="360" w:lineRule="auto"/>
        <w:contextualSpacing w:val="0"/>
        <w:outlineLvl w:val="1"/>
        <w:rPr>
          <w:rFonts w:ascii="Calibri" w:eastAsia="Calibri" w:hAnsi="Calibri" w:cs="Calibri"/>
          <w:b/>
          <w:bCs/>
          <w:vanish/>
          <w:color w:val="808080"/>
          <w:sz w:val="24"/>
          <w:rtl/>
        </w:rPr>
      </w:pPr>
    </w:p>
    <w:p w:rsidR="00B7112C" w:rsidRPr="002D72D5" w:rsidP="00B7112C">
      <w:pPr>
        <w:pStyle w:val="ListParagraph"/>
        <w:numPr>
          <w:ilvl w:val="1"/>
          <w:numId w:val="6"/>
        </w:numPr>
        <w:spacing w:line="360" w:lineRule="auto"/>
        <w:ind w:left="1077" w:hanging="567"/>
        <w:jc w:val="both"/>
        <w:rPr>
          <w:rFonts w:ascii="Calibri" w:hAnsi="Calibri" w:cs="Calibri"/>
          <w:sz w:val="24"/>
        </w:rPr>
      </w:pPr>
      <w:r w:rsidRPr="002D72D5">
        <w:rPr>
          <w:rFonts w:ascii="Calibri" w:hAnsi="Calibri" w:cs="Calibri"/>
          <w:sz w:val="24"/>
          <w:rtl/>
          <w:lang w:bidi="ar"/>
        </w:rPr>
        <w:t>مقدم العرض هو مواطن إسرائيلي أو شركة مسجلة بشكل قانوني في إسرائيل، ويمتلك جميع التراخيص والتصاريح اللازمة وفقًا لقانون تعاقدات المؤسسات العامة لعام 1976.</w:t>
      </w:r>
    </w:p>
    <w:p w:rsidR="00B7112C" w:rsidRPr="002D72D5" w:rsidP="00B7112C">
      <w:pPr>
        <w:pStyle w:val="ListParagraph"/>
        <w:numPr>
          <w:ilvl w:val="1"/>
          <w:numId w:val="6"/>
        </w:numPr>
        <w:spacing w:line="360" w:lineRule="auto"/>
        <w:ind w:left="1077" w:hanging="567"/>
        <w:jc w:val="both"/>
        <w:rPr>
          <w:rFonts w:ascii="Calibri" w:hAnsi="Calibri" w:cs="Calibri"/>
          <w:sz w:val="24"/>
        </w:rPr>
      </w:pPr>
      <w:r w:rsidRPr="002D72D5">
        <w:rPr>
          <w:rFonts w:ascii="Calibri" w:hAnsi="Calibri" w:cs="Calibri"/>
          <w:sz w:val="24"/>
          <w:rtl/>
          <w:lang w:bidi="ar"/>
        </w:rPr>
        <w:t>أن يكون لدى مقدم العرض خبرة في تقديم خدمات الاستشارات في مجال تحليل النظم كما هو مفصل في البنود 4.1-4.4 في الجزء د من وثائق المناقصة، وقد تم اكتساب الخبرة في ثلاث مؤسسات على الأقل، بإجمالي نطاق لا يقل عن 2000 ساعة في كل مؤسسة، بين عامي 2020-2024.</w:t>
      </w:r>
    </w:p>
    <w:p w:rsidR="00B7112C" w:rsidRPr="002D72D5" w:rsidP="00B7112C">
      <w:pPr>
        <w:pStyle w:val="ListParagraph"/>
        <w:numPr>
          <w:ilvl w:val="1"/>
          <w:numId w:val="6"/>
        </w:numPr>
        <w:shd w:val="clear" w:color="auto" w:fill="FFFFFF"/>
        <w:spacing w:line="360" w:lineRule="auto"/>
        <w:ind w:left="1077" w:hanging="567"/>
        <w:jc w:val="both"/>
        <w:rPr>
          <w:rFonts w:ascii="Calibri" w:hAnsi="Calibri" w:cs="Calibri"/>
          <w:sz w:val="24"/>
        </w:rPr>
      </w:pPr>
      <w:r w:rsidRPr="002D72D5">
        <w:rPr>
          <w:rFonts w:ascii="Calibri" w:hAnsi="Calibri" w:cs="Calibri"/>
          <w:sz w:val="24"/>
          <w:rtl/>
          <w:lang w:bidi="ar"/>
        </w:rPr>
        <w:t>أن يكون لدى مقدم العرض خبرة في تقديم خدمات الاستشارات في مجال تحليل النظم كما هو مفصل في البنود 4.1-4.4 في الجزء د من وثائق المناقصة.</w:t>
      </w:r>
    </w:p>
    <w:p w:rsidR="00053AE4" w:rsidRPr="002D72D5" w:rsidP="00B7112C">
      <w:pPr>
        <w:spacing w:line="360" w:lineRule="auto"/>
        <w:ind w:left="510"/>
        <w:jc w:val="both"/>
        <w:rPr>
          <w:rFonts w:ascii="Calibri" w:hAnsi="Calibri" w:cs="Calibri"/>
          <w:color w:val="808080"/>
          <w:sz w:val="24"/>
          <w:rtl/>
        </w:rPr>
      </w:pPr>
    </w:p>
    <w:p w:rsidR="00053AE4" w:rsidRPr="002D72D5" w:rsidP="00053AE4">
      <w:pPr>
        <w:pStyle w:val="ListParagraph"/>
        <w:spacing w:line="360" w:lineRule="auto"/>
        <w:jc w:val="both"/>
        <w:rPr>
          <w:rFonts w:ascii="Calibri" w:hAnsi="Calibri" w:cs="Calibri"/>
        </w:rPr>
      </w:pPr>
    </w:p>
    <w:p w:rsidR="00053AE4" w:rsidRPr="002D72D5" w:rsidP="00700CE8">
      <w:pPr>
        <w:numPr>
          <w:ilvl w:val="0"/>
          <w:numId w:val="1"/>
        </w:numPr>
        <w:spacing w:line="360" w:lineRule="auto"/>
        <w:jc w:val="both"/>
        <w:rPr>
          <w:rFonts w:ascii="Calibri" w:hAnsi="Calibri" w:cs="Calibri"/>
          <w:sz w:val="24"/>
        </w:rPr>
      </w:pPr>
      <w:r w:rsidRPr="002D72D5">
        <w:rPr>
          <w:rFonts w:ascii="Calibri" w:hAnsi="Calibri" w:cs="Calibri"/>
          <w:sz w:val="24"/>
          <w:rtl/>
          <w:lang w:bidi="ar"/>
        </w:rPr>
        <w:t>فقط العرض الذي سيحصل على الحد الأدنى من نقاط الجودة كما هو مفصل في وثائق المناقصة يمكنه الفوز بالمناقصة.</w:t>
      </w:r>
    </w:p>
    <w:p w:rsidR="00053AE4" w:rsidRPr="002D72D5" w:rsidP="00700CE8">
      <w:pPr>
        <w:pStyle w:val="ListParagraph"/>
        <w:numPr>
          <w:ilvl w:val="0"/>
          <w:numId w:val="1"/>
        </w:numPr>
        <w:spacing w:line="360" w:lineRule="auto"/>
        <w:jc w:val="both"/>
        <w:rPr>
          <w:rFonts w:ascii="Calibri" w:hAnsi="Calibri" w:cs="Calibri"/>
          <w:sz w:val="24"/>
          <w:rtl/>
        </w:rPr>
      </w:pPr>
      <w:r w:rsidRPr="002D72D5">
        <w:rPr>
          <w:rFonts w:ascii="Calibri" w:hAnsi="Calibri" w:cs="Calibri"/>
          <w:color w:val="000000"/>
          <w:kern w:val="28"/>
          <w:sz w:val="22"/>
          <w:rtl/>
          <w:lang w:bidi="ar"/>
        </w:rPr>
        <w:t xml:space="preserve">يجب تقديم عروض المناقصة من خلال نظام المناقصات الالكتروني، كما هو مفصّل في البند  5 من القسم "أ" من مستندات المناقصة. </w:t>
      </w:r>
      <w:r w:rsidRPr="002D72D5">
        <w:rPr>
          <w:rFonts w:ascii="Calibri" w:hAnsi="Calibri" w:cs="Calibri"/>
          <w:sz w:val="24"/>
          <w:rtl/>
          <w:lang w:bidi="ar"/>
        </w:rPr>
        <w:t>نلفت انتباه مقدم العرض إلى الحاجة للتسجيل مسبقاً في نظام المناقصات الالكتروني، وإلى القيود المتعلقة بحجم الملفات التي يمكن رفعها عبر النظام.</w:t>
      </w:r>
    </w:p>
    <w:p w:rsidR="00053AE4" w:rsidRPr="002D72D5" w:rsidP="00053AE4">
      <w:pPr>
        <w:spacing w:line="360" w:lineRule="auto"/>
        <w:ind w:left="360"/>
        <w:jc w:val="both"/>
        <w:rPr>
          <w:rFonts w:ascii="Calibri" w:hAnsi="Calibri" w:cs="Calibri"/>
          <w:sz w:val="24"/>
        </w:rPr>
      </w:pPr>
    </w:p>
    <w:p w:rsidR="00053AE4" w:rsidRPr="002D72D5" w:rsidP="00700CE8">
      <w:pPr>
        <w:numPr>
          <w:ilvl w:val="0"/>
          <w:numId w:val="1"/>
        </w:numPr>
        <w:spacing w:line="360" w:lineRule="auto"/>
        <w:jc w:val="both"/>
        <w:rPr>
          <w:rFonts w:ascii="Calibri" w:hAnsi="Calibri" w:cs="Calibri"/>
          <w:sz w:val="24"/>
        </w:rPr>
      </w:pPr>
      <w:r w:rsidRPr="002D72D5">
        <w:rPr>
          <w:rFonts w:ascii="Calibri" w:hAnsi="Calibri" w:cs="Calibri"/>
          <w:sz w:val="24"/>
          <w:rtl/>
          <w:lang w:bidi="ar"/>
        </w:rPr>
        <w:t>الموعد الأخير لتقديم الاقتراحات هو يوم الخميس 23 مارس 2025 ، الساعة 12:00.</w:t>
      </w:r>
    </w:p>
    <w:p w:rsidR="00053AE4" w:rsidRPr="002D72D5" w:rsidP="00053AE4">
      <w:pPr>
        <w:spacing w:line="360" w:lineRule="auto"/>
        <w:ind w:left="360"/>
        <w:jc w:val="both"/>
        <w:rPr>
          <w:rFonts w:ascii="Calibri" w:hAnsi="Calibri" w:cs="Calibri"/>
          <w:sz w:val="24"/>
        </w:rPr>
      </w:pPr>
    </w:p>
    <w:p w:rsidR="00053AE4" w:rsidRPr="002D72D5" w:rsidP="00532E06">
      <w:pPr>
        <w:numPr>
          <w:ilvl w:val="0"/>
          <w:numId w:val="1"/>
        </w:numPr>
        <w:spacing w:line="360" w:lineRule="auto"/>
        <w:jc w:val="both"/>
        <w:rPr>
          <w:rFonts w:ascii="Calibri" w:hAnsi="Calibri" w:cs="Calibri"/>
          <w:sz w:val="24"/>
        </w:rPr>
      </w:pPr>
      <w:r w:rsidRPr="002D72D5">
        <w:rPr>
          <w:rFonts w:ascii="Calibri" w:hAnsi="Calibri" w:cs="Calibri"/>
          <w:sz w:val="24"/>
          <w:rtl/>
          <w:lang w:bidi="ar"/>
        </w:rPr>
        <w:t xml:space="preserve">مستندات المناقصة مُتاحة في موقع الانترنت لبنك إسرائيل على عنوان: </w:t>
      </w:r>
      <w:hyperlink r:id="rId7" w:history="1">
        <w:r w:rsidRPr="002D72D5">
          <w:rPr>
            <w:rStyle w:val="Hyperlink"/>
            <w:rFonts w:ascii="Calibri" w:hAnsi="Calibri" w:cs="Calibri"/>
          </w:rPr>
          <w:t>www.boi.org.il</w:t>
        </w:r>
      </w:hyperlink>
      <w:r w:rsidRPr="002D72D5">
        <w:rPr>
          <w:rFonts w:ascii="Calibri" w:hAnsi="Calibri" w:cs="Calibri"/>
          <w:sz w:val="24"/>
          <w:rtl/>
          <w:lang w:bidi="ar"/>
        </w:rPr>
        <w:t>، في صفحة "مناقصات وتعاقدات"، ويمكن تنزيلها من هناك.</w:t>
      </w:r>
    </w:p>
    <w:p w:rsidR="00053AE4" w:rsidRPr="002D72D5" w:rsidP="00053AE4">
      <w:pPr>
        <w:spacing w:line="360" w:lineRule="auto"/>
        <w:ind w:left="360"/>
        <w:jc w:val="both"/>
        <w:rPr>
          <w:rFonts w:ascii="Calibri" w:hAnsi="Calibri" w:cs="Calibri"/>
          <w:sz w:val="24"/>
        </w:rPr>
      </w:pPr>
    </w:p>
    <w:p w:rsidR="00053AE4" w:rsidRPr="002D72D5" w:rsidP="00700CE8">
      <w:pPr>
        <w:numPr>
          <w:ilvl w:val="0"/>
          <w:numId w:val="1"/>
        </w:numPr>
        <w:spacing w:line="360" w:lineRule="auto"/>
        <w:jc w:val="both"/>
        <w:rPr>
          <w:rFonts w:ascii="Calibri" w:hAnsi="Calibri" w:cs="Calibri"/>
          <w:sz w:val="24"/>
        </w:rPr>
      </w:pPr>
      <w:r w:rsidRPr="002D72D5">
        <w:rPr>
          <w:rFonts w:ascii="Calibri" w:hAnsi="Calibri" w:cs="Calibri"/>
          <w:sz w:val="24"/>
          <w:rtl/>
          <w:lang w:bidi="ar"/>
        </w:rPr>
        <w:t xml:space="preserve">يُنشر هذا الاعلان أيضاً على موقع البنك، باللغتين العبرية والعربية، وأيضا في الصحف اللغة العربية. مع ذلك فإن الصيغة الملزمة هي الصيغة المنشورة باللغة العبرية. للاستفسارات يمكن الاتصال لرقم 026552289 أو عبر البريد الالكتروني </w:t>
      </w:r>
      <w:hyperlink r:id="rId8" w:history="1">
        <w:r w:rsidRPr="002D72D5">
          <w:rPr>
            <w:rFonts w:ascii="Calibri" w:hAnsi="Calibri" w:cs="Calibri"/>
            <w:sz w:val="24"/>
          </w:rPr>
          <w:t>tenders@boi.org.il</w:t>
        </w:r>
      </w:hyperlink>
      <w:r w:rsidRPr="002D72D5">
        <w:rPr>
          <w:rFonts w:ascii="Calibri" w:hAnsi="Calibri" w:cs="Calibri"/>
          <w:sz w:val="24"/>
          <w:rtl/>
          <w:lang w:bidi="ar"/>
        </w:rPr>
        <w:t>.</w:t>
      </w:r>
    </w:p>
    <w:p w:rsidR="00053AE4" w:rsidRPr="002D72D5" w:rsidP="00053AE4">
      <w:pPr>
        <w:spacing w:line="360" w:lineRule="auto"/>
        <w:ind w:left="360"/>
        <w:jc w:val="both"/>
        <w:rPr>
          <w:rFonts w:ascii="Calibri" w:hAnsi="Calibri" w:cs="Calibri"/>
          <w:sz w:val="24"/>
        </w:rPr>
      </w:pPr>
    </w:p>
    <w:p w:rsidR="00053AE4" w:rsidRPr="002D72D5" w:rsidP="00532E06">
      <w:pPr>
        <w:numPr>
          <w:ilvl w:val="0"/>
          <w:numId w:val="1"/>
        </w:numPr>
        <w:spacing w:line="360" w:lineRule="auto"/>
        <w:jc w:val="both"/>
        <w:rPr>
          <w:rFonts w:ascii="Calibri" w:hAnsi="Calibri" w:cs="Calibri"/>
          <w:sz w:val="24"/>
          <w:rtl/>
        </w:rPr>
      </w:pPr>
      <w:r w:rsidRPr="002D72D5">
        <w:rPr>
          <w:rFonts w:ascii="Calibri" w:hAnsi="Calibri" w:cs="Calibri"/>
          <w:sz w:val="24"/>
          <w:rtl/>
          <w:lang w:bidi="ar"/>
        </w:rPr>
        <w:t>يحق للبنك، في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53AE4" w:rsidRPr="002D72D5" w:rsidP="00053AE4">
      <w:pPr>
        <w:spacing w:line="360" w:lineRule="auto"/>
        <w:rPr>
          <w:rFonts w:ascii="Calibri" w:hAnsi="Calibri" w:cs="Calibri"/>
          <w:b/>
          <w:bCs/>
          <w:sz w:val="28"/>
          <w:szCs w:val="28"/>
          <w:u w:val="single"/>
          <w:rtl/>
        </w:rPr>
      </w:pPr>
    </w:p>
    <w:p w:rsidR="00FB371A" w:rsidRPr="002D72D5" w:rsidP="00FB371A">
      <w:pPr>
        <w:spacing w:line="360" w:lineRule="auto"/>
        <w:jc w:val="center"/>
        <w:rPr>
          <w:rFonts w:ascii="Calibri" w:hAnsi="Calibri" w:cs="Calibri"/>
          <w:b/>
          <w:bCs/>
          <w:szCs w:val="20"/>
          <w:rtl/>
        </w:rPr>
      </w:pPr>
      <w:r w:rsidRPr="002D72D5">
        <w:rPr>
          <w:rFonts w:ascii="Calibri" w:hAnsi="Calibri" w:cs="Calibri"/>
          <w:b/>
          <w:bCs/>
          <w:szCs w:val="20"/>
          <w:rtl/>
          <w:lang w:bidi="ar"/>
        </w:rPr>
        <w:t>لا يلتزم البنك بقبول العرض الأرخص، أو أي عرض آخر.</w:t>
      </w:r>
    </w:p>
    <w:p w:rsidR="00000000" w:rsidRPr="002D72D5" w:rsidP="00532E06">
      <w:pPr>
        <w:spacing w:line="360" w:lineRule="auto"/>
        <w:jc w:val="center"/>
        <w:rPr>
          <w:rFonts w:ascii="Calibri" w:hAnsi="Calibri" w:cs="Calibri"/>
          <w:sz w:val="18"/>
          <w:szCs w:val="22"/>
        </w:rPr>
      </w:pPr>
      <w:r w:rsidRPr="002D72D5">
        <w:rPr>
          <w:rFonts w:ascii="Calibri" w:hAnsi="Calibri" w:cs="Calibri"/>
          <w:b/>
          <w:bCs/>
          <w:szCs w:val="20"/>
          <w:rtl/>
          <w:lang w:bidi="ar"/>
        </w:rPr>
        <w:t>في حال وجود تناقض أو اختلاف بين هذا الإعلان وبين مستندات المناقصة، فإن تعليمات مستندات المناقصة تكون المُلزمة.</w:t>
      </w: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FB704F"/>
    <w:multiLevelType w:val="hybridMultilevel"/>
    <w:tmpl w:val="349A7E92"/>
    <w:lvl w:ilvl="0">
      <w:start w:val="1"/>
      <w:numFmt w:val="hebrew1"/>
      <w:lvlText w:val="%1."/>
      <w:lvlJc w:val="center"/>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4">
    <w:nsid w:val="6DC860F9"/>
    <w:multiLevelType w:val="multilevel"/>
    <w:tmpl w:val="7ABAA318"/>
    <w:lvl w:ilvl="0">
      <w:start w:val="1"/>
      <w:numFmt w:val="decimal"/>
      <w:pStyle w:val="Heading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7EB342D"/>
    <w:multiLevelType w:val="hybridMultilevel"/>
    <w:tmpl w:val="0BD8DA96"/>
    <w:lvl w:ilvl="0">
      <w:start w:val="1"/>
      <w:numFmt w:val="decimal"/>
      <w:lvlText w:val="%1."/>
      <w:lvlJc w:val="left"/>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053AE4"/>
    <w:rsid w:val="00050590"/>
    <w:rsid w:val="00053AE4"/>
    <w:rsid w:val="002A2D41"/>
    <w:rsid w:val="002D72D5"/>
    <w:rsid w:val="003004B2"/>
    <w:rsid w:val="0032411F"/>
    <w:rsid w:val="003A037D"/>
    <w:rsid w:val="00532E06"/>
    <w:rsid w:val="005460D6"/>
    <w:rsid w:val="00563014"/>
    <w:rsid w:val="006F7652"/>
    <w:rsid w:val="00700CE8"/>
    <w:rsid w:val="00701695"/>
    <w:rsid w:val="00717467"/>
    <w:rsid w:val="0076445B"/>
    <w:rsid w:val="007B020C"/>
    <w:rsid w:val="00802428"/>
    <w:rsid w:val="008454D1"/>
    <w:rsid w:val="0086614D"/>
    <w:rsid w:val="008C1192"/>
    <w:rsid w:val="009E11BD"/>
    <w:rsid w:val="00B7112C"/>
    <w:rsid w:val="00B82841"/>
    <w:rsid w:val="00D97447"/>
    <w:rsid w:val="00E70513"/>
    <w:rsid w:val="00E83ABA"/>
    <w:rsid w:val="00F34E62"/>
    <w:rsid w:val="00FB371A"/>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700CE8"/>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כותרת ראשית,s,s תו,l2,ASAPHeading 2,סעיף ראשי,Proposal,Heading 2 Hidden,stepstone,Stepstones,Heading 2 תו תו,head2,22Heading 2,Heading 2 תו,Aharoni 28,h2,Attribute Heading 2,h2 main heading תו,Aharoni 28 תו,h2 תו,כותרת 21,Reset numbering"/>
    <w:basedOn w:val="Heading1"/>
    <w:next w:val="Normal"/>
    <w:link w:val="Heading2Char"/>
    <w:uiPriority w:val="9"/>
    <w:unhideWhenUsed/>
    <w:qFormat/>
    <w:rsid w:val="00700CE8"/>
    <w:pPr>
      <w:keepNext w:val="0"/>
      <w:keepLines w:val="0"/>
      <w:numPr>
        <w:numId w:val="6"/>
      </w:numPr>
      <w:spacing w:before="0" w:line="360" w:lineRule="auto"/>
      <w:outlineLvl w:val="1"/>
    </w:pPr>
    <w:rPr>
      <w:rFonts w:ascii="Calibri" w:eastAsia="Calibri" w:hAnsi="Calibri" w:cs="David"/>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פיסקת bullets,style 2,נספח 2 מתוקן,x.x.x.x,LP1,List Paragraph_0,List Paragraph_1,פיסקת רשימה11,פיסקת רשימה12,פיסקת רשימה121,lp1,Bullet List,FooterText,numbered,Paragraphe de liste1,כותרת-2,Table,מפרט פירוט סעיפים,Bullet list"/>
    <w:basedOn w:val="Normal"/>
    <w:link w:val="ListParagraphChar"/>
    <w:uiPriority w:val="34"/>
    <w:qFormat/>
    <w:rsid w:val="00053AE4"/>
    <w:pPr>
      <w:ind w:left="720"/>
      <w:contextualSpacing/>
    </w:pPr>
  </w:style>
  <w:style w:type="character" w:customStyle="1" w:styleId="ListParagraphChar">
    <w:name w:val="List Paragraph Char"/>
    <w:aliases w:val="פיסקת bullets Char,style 2 Char,נספח 2 מתוקן Char,x.x.x.x Char,LP1 Char,List Paragraph_0 Char,List Paragraph_1 Char,פיסקת רשימה11 Char,פיסקת רשימה12 Char,פיסקת רשימה121 Char,lp1 Char,Bullet List Char,FooterText Char,numbered Char"/>
    <w:basedOn w:val="DefaultParagraphFont"/>
    <w:link w:val="ListParagraph"/>
    <w:uiPriority w:val="34"/>
    <w:qFormat/>
    <w:locked/>
    <w:rsid w:val="00053AE4"/>
    <w:rPr>
      <w:rFonts w:ascii="Times New Roman" w:eastAsia="Times New Roman" w:hAnsi="Times New Roman" w:cs="Miriam"/>
      <w:sz w:val="20"/>
      <w:szCs w:val="24"/>
      <w:lang w:eastAsia="he-IL"/>
    </w:rPr>
  </w:style>
  <w:style w:type="character" w:customStyle="1" w:styleId="Heading2Char">
    <w:name w:val="Heading 2 Char"/>
    <w:aliases w:val="כותרת ראשית Char,s Char,s תו Char,l2 Char,ASAPHeading 2 Char,סעיף ראשי Char,Proposal Char,Heading 2 Hidden Char,stepstone Char,Stepstones Char,Heading 2 תו תו Char,head2 Char,22Heading 2 Char,Heading 2 תו Char,Aharoni 28 Char,h2 Char"/>
    <w:basedOn w:val="DefaultParagraphFont"/>
    <w:link w:val="Heading2"/>
    <w:uiPriority w:val="9"/>
    <w:rsid w:val="00700CE8"/>
    <w:rPr>
      <w:rFonts w:cs="David"/>
      <w:b/>
      <w:bCs/>
      <w:sz w:val="24"/>
      <w:szCs w:val="24"/>
    </w:rPr>
  </w:style>
  <w:style w:type="character" w:customStyle="1" w:styleId="Heading1Char">
    <w:name w:val="Heading 1 Char"/>
    <w:basedOn w:val="DefaultParagraphFont"/>
    <w:link w:val="Heading1"/>
    <w:uiPriority w:val="9"/>
    <w:rsid w:val="00700CE8"/>
    <w:rPr>
      <w:rFonts w:ascii="Cambria" w:eastAsia="Times New Roman" w:hAnsi="Cambria" w:cs="Times New Roman"/>
      <w:color w:val="365F91"/>
      <w:sz w:val="32"/>
      <w:szCs w:val="32"/>
      <w:lang w:eastAsia="he-I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boi.org.il" TargetMode="External" /><Relationship Id="rId8" Type="http://schemas.openxmlformats.org/officeDocument/2006/relationships/hyperlink" Target="mailto:rechesh@boi.org.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C4C5-7C2A-47C6-B437-F82AEFE5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2280</Characters>
  <Application>Application</Application>
  <DocSecurity>0</DocSecurity>
  <Lines>456</Lines>
  <Paragraphs>346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Nabil Armaly</cp:lastModifiedBy>
  <cp:revision>3</cp:revision>
  <dcterms:created xsi:type="dcterms:W3CDTF">2025-02-25T12:12:00Z</dcterms:created>
  <dcterms:modified xsi:type="dcterms:W3CDTF">2025-02-25T15:54:00Z</dcterms:modified>
</cp:coreProperties>
</file>