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B0" w:rsidRPr="0080799D" w:rsidRDefault="00413BB0" w:rsidP="00263D89">
      <w:pPr>
        <w:pStyle w:val="NormalWeb"/>
        <w:bidi/>
        <w:spacing w:line="360" w:lineRule="auto"/>
        <w:jc w:val="center"/>
        <w:rPr>
          <w:rFonts w:asciiTheme="minorHAnsi" w:eastAsia="Calibri" w:hAnsiTheme="minorHAnsi" w:cstheme="minorHAnsi"/>
          <w:b/>
          <w:bCs/>
          <w:rtl/>
        </w:rPr>
      </w:pPr>
    </w:p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80799D" w:rsidRPr="0080799D" w:rsidTr="00B53044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99D" w:rsidRPr="0080799D" w:rsidRDefault="0080799D" w:rsidP="00B5304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0799D">
              <w:rPr>
                <w:rFonts w:cstheme="minorHAnsi"/>
                <w:b/>
                <w:bCs/>
                <w:sz w:val="24"/>
                <w:szCs w:val="24"/>
                <w:rtl/>
              </w:rPr>
              <w:t>בנק ישראל</w:t>
            </w:r>
          </w:p>
          <w:p w:rsidR="0080799D" w:rsidRPr="0080799D" w:rsidRDefault="0080799D" w:rsidP="00B5304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799D">
              <w:rPr>
                <w:rFonts w:cstheme="minorHAns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799D" w:rsidRPr="0080799D" w:rsidRDefault="0080799D" w:rsidP="00B530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799D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F1AD465" wp14:editId="23531390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99D" w:rsidRPr="0080799D" w:rsidRDefault="0080799D" w:rsidP="00B53044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0799D">
              <w:rPr>
                <w:rFonts w:cstheme="minorHAnsi"/>
                <w:sz w:val="24"/>
                <w:szCs w:val="24"/>
                <w:highlight w:val="green"/>
                <w:rtl/>
              </w:rPr>
              <w:t>‏</w:t>
            </w:r>
            <w:r w:rsidRPr="0080799D">
              <w:rPr>
                <w:rFonts w:cstheme="minorHAnsi"/>
                <w:sz w:val="24"/>
                <w:szCs w:val="24"/>
                <w:rtl/>
              </w:rPr>
              <w:t xml:space="preserve">ירושלים, </w:t>
            </w:r>
            <w:r w:rsidRPr="0080799D">
              <w:rPr>
                <w:rFonts w:cstheme="minorHAnsi"/>
                <w:sz w:val="24"/>
                <w:szCs w:val="24"/>
                <w:rtl/>
              </w:rPr>
              <w:fldChar w:fldCharType="begin"/>
            </w:r>
            <w:r w:rsidRPr="0080799D"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 w:rsidRPr="0080799D">
              <w:rPr>
                <w:rFonts w:cstheme="minorHAnsi"/>
                <w:sz w:val="24"/>
                <w:szCs w:val="24"/>
              </w:rPr>
              <w:instrText>DATE</w:instrText>
            </w:r>
            <w:r w:rsidRPr="0080799D">
              <w:rPr>
                <w:rFonts w:cstheme="minorHAnsi"/>
                <w:sz w:val="24"/>
                <w:szCs w:val="24"/>
                <w:rtl/>
              </w:rPr>
              <w:instrText xml:space="preserve"> \@ "</w:instrText>
            </w:r>
            <w:r w:rsidRPr="0080799D">
              <w:rPr>
                <w:rFonts w:cstheme="minorHAnsi"/>
                <w:sz w:val="24"/>
                <w:szCs w:val="24"/>
              </w:rPr>
              <w:instrText>d MMMM, yyyy" \h</w:instrText>
            </w:r>
            <w:r w:rsidRPr="0080799D"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 w:rsidRPr="0080799D"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 w:rsidRPr="0080799D">
              <w:rPr>
                <w:rFonts w:cstheme="minorHAnsi"/>
                <w:noProof/>
                <w:sz w:val="24"/>
                <w:szCs w:val="24"/>
                <w:rtl/>
              </w:rPr>
              <w:t>‏ל' תשרי, תשפ"ו</w:t>
            </w:r>
            <w:r w:rsidRPr="0080799D"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  <w:p w:rsidR="0080799D" w:rsidRPr="0080799D" w:rsidRDefault="0080799D" w:rsidP="00B53044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highlight w:val="green"/>
              </w:rPr>
            </w:pPr>
            <w:r w:rsidRPr="0080799D">
              <w:rPr>
                <w:rFonts w:cstheme="minorHAnsi"/>
                <w:sz w:val="24"/>
                <w:szCs w:val="24"/>
                <w:rtl/>
              </w:rPr>
              <w:fldChar w:fldCharType="begin"/>
            </w:r>
            <w:r w:rsidRPr="0080799D"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 w:rsidRPr="0080799D">
              <w:rPr>
                <w:rFonts w:cstheme="minorHAnsi"/>
                <w:sz w:val="24"/>
                <w:szCs w:val="24"/>
              </w:rPr>
              <w:instrText>DATE</w:instrText>
            </w:r>
            <w:r w:rsidRPr="0080799D">
              <w:rPr>
                <w:rFonts w:cstheme="minorHAnsi"/>
                <w:sz w:val="24"/>
                <w:szCs w:val="24"/>
                <w:rtl/>
              </w:rPr>
              <w:instrText xml:space="preserve"> \@ "</w:instrText>
            </w:r>
            <w:r w:rsidRPr="0080799D">
              <w:rPr>
                <w:rFonts w:cstheme="minorHAnsi"/>
                <w:sz w:val="24"/>
                <w:szCs w:val="24"/>
              </w:rPr>
              <w:instrText>d MMMM, yyyy</w:instrText>
            </w:r>
            <w:r w:rsidRPr="0080799D">
              <w:rPr>
                <w:rFonts w:cstheme="minorHAnsi"/>
                <w:sz w:val="24"/>
                <w:szCs w:val="24"/>
                <w:rtl/>
              </w:rPr>
              <w:instrText xml:space="preserve">" </w:instrText>
            </w:r>
            <w:r w:rsidRPr="0080799D"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 w:rsidRPr="0080799D">
              <w:rPr>
                <w:rFonts w:cstheme="minorHAnsi"/>
                <w:noProof/>
                <w:sz w:val="24"/>
                <w:szCs w:val="24"/>
                <w:rtl/>
              </w:rPr>
              <w:t>‏22 אוקטובר, 2025</w:t>
            </w:r>
            <w:r w:rsidRPr="0080799D"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</w:tc>
      </w:tr>
    </w:tbl>
    <w:p w:rsidR="0080799D" w:rsidRPr="0080799D" w:rsidRDefault="0080799D" w:rsidP="0080799D">
      <w:pPr>
        <w:spacing w:line="360" w:lineRule="auto"/>
        <w:rPr>
          <w:rFonts w:cstheme="minorHAnsi"/>
          <w:sz w:val="24"/>
          <w:szCs w:val="24"/>
          <w:rtl/>
        </w:rPr>
      </w:pPr>
      <w:r w:rsidRPr="0080799D">
        <w:rPr>
          <w:rFonts w:cstheme="minorHAnsi"/>
          <w:sz w:val="24"/>
          <w:szCs w:val="24"/>
          <w:rtl/>
        </w:rPr>
        <w:t>הודעה לעיתונות</w:t>
      </w:r>
      <w:r w:rsidRPr="0080799D">
        <w:rPr>
          <w:rFonts w:cstheme="minorHAnsi"/>
          <w:sz w:val="24"/>
          <w:szCs w:val="24"/>
        </w:rPr>
        <w:t>:</w:t>
      </w:r>
    </w:p>
    <w:p w:rsidR="00263D89" w:rsidRPr="0080799D" w:rsidRDefault="00263D89" w:rsidP="008E1467">
      <w:pPr>
        <w:pStyle w:val="NormalWeb"/>
        <w:bidi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rtl/>
        </w:rPr>
      </w:pPr>
      <w:bookmarkStart w:id="0" w:name="_GoBack"/>
      <w:r w:rsidRPr="0080799D">
        <w:rPr>
          <w:rFonts w:asciiTheme="minorHAnsi" w:eastAsia="Calibri" w:hAnsiTheme="minorHAnsi" w:cstheme="minorHAnsi"/>
          <w:b/>
          <w:bCs/>
          <w:sz w:val="28"/>
          <w:szCs w:val="28"/>
          <w:rtl/>
        </w:rPr>
        <w:t>ממצאים עיקריים מסקר קציני אשראי של בנק ישראל לרביע ה</w:t>
      </w:r>
      <w:r w:rsidR="00866044" w:rsidRPr="0080799D">
        <w:rPr>
          <w:rFonts w:asciiTheme="minorHAnsi" w:eastAsia="Calibri" w:hAnsiTheme="minorHAnsi" w:cstheme="minorHAnsi"/>
          <w:b/>
          <w:bCs/>
          <w:sz w:val="28"/>
          <w:szCs w:val="28"/>
          <w:rtl/>
        </w:rPr>
        <w:t>ש</w:t>
      </w:r>
      <w:r w:rsidR="008E1467" w:rsidRPr="0080799D">
        <w:rPr>
          <w:rFonts w:asciiTheme="minorHAnsi" w:eastAsia="Calibri" w:hAnsiTheme="minorHAnsi" w:cstheme="minorHAnsi"/>
          <w:b/>
          <w:bCs/>
          <w:sz w:val="28"/>
          <w:szCs w:val="28"/>
          <w:rtl/>
        </w:rPr>
        <w:t>לישי</w:t>
      </w:r>
      <w:r w:rsidRPr="0080799D">
        <w:rPr>
          <w:rFonts w:asciiTheme="minorHAnsi" w:eastAsia="Calibri" w:hAnsiTheme="minorHAnsi" w:cstheme="minorHAnsi"/>
          <w:b/>
          <w:bCs/>
          <w:sz w:val="28"/>
          <w:szCs w:val="28"/>
          <w:rtl/>
        </w:rPr>
        <w:t xml:space="preserve"> 2025</w:t>
      </w:r>
    </w:p>
    <w:bookmarkEnd w:id="0"/>
    <w:p w:rsidR="0084093E" w:rsidRPr="0080799D" w:rsidRDefault="0084093E" w:rsidP="005E37C6">
      <w:pPr>
        <w:pStyle w:val="NormalWeb"/>
        <w:bidi/>
        <w:spacing w:before="0" w:beforeAutospacing="0" w:after="240" w:afterAutospacing="0" w:line="360" w:lineRule="auto"/>
        <w:jc w:val="both"/>
        <w:rPr>
          <w:rFonts w:asciiTheme="minorHAnsi" w:eastAsia="Calibri" w:hAnsiTheme="minorHAnsi" w:cstheme="minorHAnsi"/>
        </w:rPr>
      </w:pPr>
      <w:r w:rsidRPr="0080799D">
        <w:rPr>
          <w:rFonts w:asciiTheme="minorHAnsi" w:eastAsia="Calibri" w:hAnsiTheme="minorHAnsi" w:cstheme="minorHAnsi"/>
          <w:rtl/>
        </w:rPr>
        <w:t xml:space="preserve">הממצאים </w:t>
      </w:r>
      <w:r w:rsidR="00ED21F7" w:rsidRPr="0080799D">
        <w:rPr>
          <w:rFonts w:asciiTheme="minorHAnsi" w:eastAsia="Calibri" w:hAnsiTheme="minorHAnsi" w:cstheme="minorHAnsi"/>
          <w:rtl/>
        </w:rPr>
        <w:t xml:space="preserve">המתפרסמים כאן </w:t>
      </w:r>
      <w:r w:rsidRPr="0080799D">
        <w:rPr>
          <w:rFonts w:asciiTheme="minorHAnsi" w:eastAsia="Calibri" w:hAnsiTheme="minorHAnsi" w:cstheme="minorHAnsi"/>
          <w:rtl/>
        </w:rPr>
        <w:t xml:space="preserve">מצרפיים </w:t>
      </w:r>
      <w:r w:rsidR="00ED21F7" w:rsidRPr="0080799D">
        <w:rPr>
          <w:rFonts w:asciiTheme="minorHAnsi" w:eastAsia="Calibri" w:hAnsiTheme="minorHAnsi" w:cstheme="minorHAnsi"/>
          <w:rtl/>
        </w:rPr>
        <w:t>ו</w:t>
      </w:r>
      <w:r w:rsidRPr="0080799D">
        <w:rPr>
          <w:rFonts w:asciiTheme="minorHAnsi" w:eastAsia="Calibri" w:hAnsiTheme="minorHAnsi" w:cstheme="minorHAnsi"/>
          <w:rtl/>
        </w:rPr>
        <w:t>מתייחסים לכלל התאגידים הבנקאיים</w:t>
      </w:r>
      <w:r w:rsidR="00ED21F7" w:rsidRPr="0080799D">
        <w:rPr>
          <w:rFonts w:asciiTheme="minorHAnsi" w:eastAsia="Calibri" w:hAnsiTheme="minorHAnsi" w:cstheme="minorHAnsi"/>
          <w:rtl/>
        </w:rPr>
        <w:t>.</w:t>
      </w:r>
      <w:r w:rsidRPr="0080799D">
        <w:rPr>
          <w:rFonts w:asciiTheme="minorHAnsi" w:eastAsia="Calibri" w:hAnsiTheme="minorHAnsi" w:cstheme="minorHAnsi"/>
          <w:rtl/>
        </w:rPr>
        <w:t xml:space="preserve"> הם מיוצגים באמצעות מאזני נטו משוקללים</w:t>
      </w:r>
      <w:r w:rsidRPr="0080799D">
        <w:rPr>
          <w:rStyle w:val="a5"/>
          <w:rFonts w:asciiTheme="minorHAnsi" w:eastAsia="Calibri" w:hAnsiTheme="minorHAnsi" w:cstheme="minorHAnsi"/>
          <w:rtl/>
        </w:rPr>
        <w:footnoteReference w:id="1"/>
      </w:r>
      <w:r w:rsidR="00ED21F7" w:rsidRPr="0080799D">
        <w:rPr>
          <w:rFonts w:asciiTheme="minorHAnsi" w:eastAsia="Calibri" w:hAnsiTheme="minorHAnsi" w:cstheme="minorHAnsi"/>
          <w:rtl/>
        </w:rPr>
        <w:t>, ה</w:t>
      </w:r>
      <w:r w:rsidRPr="0080799D">
        <w:rPr>
          <w:rFonts w:asciiTheme="minorHAnsi" w:eastAsia="Calibri" w:hAnsiTheme="minorHAnsi" w:cstheme="minorHAnsi"/>
          <w:rtl/>
        </w:rPr>
        <w:t>מסכמים את השינוי שחל ברביע ה</w:t>
      </w:r>
      <w:r w:rsidR="00832069" w:rsidRPr="0080799D">
        <w:rPr>
          <w:rFonts w:asciiTheme="minorHAnsi" w:eastAsia="Calibri" w:hAnsiTheme="minorHAnsi" w:cstheme="minorHAnsi"/>
          <w:rtl/>
        </w:rPr>
        <w:t>ש</w:t>
      </w:r>
      <w:r w:rsidR="008E1467" w:rsidRPr="0080799D">
        <w:rPr>
          <w:rFonts w:asciiTheme="minorHAnsi" w:eastAsia="Calibri" w:hAnsiTheme="minorHAnsi" w:cstheme="minorHAnsi"/>
          <w:rtl/>
        </w:rPr>
        <w:t xml:space="preserve">לישי </w:t>
      </w:r>
      <w:r w:rsidR="00832069" w:rsidRPr="0080799D">
        <w:rPr>
          <w:rFonts w:asciiTheme="minorHAnsi" w:eastAsia="Calibri" w:hAnsiTheme="minorHAnsi" w:cstheme="minorHAnsi"/>
          <w:rtl/>
        </w:rPr>
        <w:t xml:space="preserve">של 2025 </w:t>
      </w:r>
      <w:r w:rsidRPr="0080799D">
        <w:rPr>
          <w:rFonts w:asciiTheme="minorHAnsi" w:eastAsia="Calibri" w:hAnsiTheme="minorHAnsi" w:cstheme="minorHAnsi"/>
          <w:rtl/>
        </w:rPr>
        <w:t xml:space="preserve">לעומת הרביע </w:t>
      </w:r>
      <w:r w:rsidR="00832069" w:rsidRPr="0080799D">
        <w:rPr>
          <w:rFonts w:asciiTheme="minorHAnsi" w:eastAsia="Calibri" w:hAnsiTheme="minorHAnsi" w:cstheme="minorHAnsi"/>
          <w:rtl/>
        </w:rPr>
        <w:t>הקודם</w:t>
      </w:r>
      <w:r w:rsidR="00FB08BB" w:rsidRPr="0080799D">
        <w:rPr>
          <w:rFonts w:asciiTheme="minorHAnsi" w:eastAsia="Calibri" w:hAnsiTheme="minorHAnsi" w:cstheme="minorHAnsi"/>
          <w:rtl/>
        </w:rPr>
        <w:t xml:space="preserve"> ו</w:t>
      </w:r>
      <w:r w:rsidRPr="0080799D">
        <w:rPr>
          <w:rFonts w:asciiTheme="minorHAnsi" w:eastAsia="Calibri" w:hAnsiTheme="minorHAnsi" w:cstheme="minorHAnsi"/>
          <w:rtl/>
        </w:rPr>
        <w:t xml:space="preserve">השינוי הצפוי ברביע </w:t>
      </w:r>
      <w:r w:rsidR="008E1467" w:rsidRPr="0080799D">
        <w:rPr>
          <w:rFonts w:asciiTheme="minorHAnsi" w:eastAsia="Calibri" w:hAnsiTheme="minorHAnsi" w:cstheme="minorHAnsi"/>
          <w:rtl/>
        </w:rPr>
        <w:t xml:space="preserve">האחרון של </w:t>
      </w:r>
      <w:r w:rsidR="00832069" w:rsidRPr="0080799D">
        <w:rPr>
          <w:rFonts w:asciiTheme="minorHAnsi" w:eastAsia="Calibri" w:hAnsiTheme="minorHAnsi" w:cstheme="minorHAnsi"/>
          <w:rtl/>
        </w:rPr>
        <w:t>2025</w:t>
      </w:r>
      <w:r w:rsidRPr="0080799D">
        <w:rPr>
          <w:rFonts w:asciiTheme="minorHAnsi" w:eastAsia="Calibri" w:hAnsiTheme="minorHAnsi" w:cstheme="minorHAnsi"/>
          <w:rtl/>
        </w:rPr>
        <w:t xml:space="preserve"> לעומת הרביע </w:t>
      </w:r>
      <w:r w:rsidR="00832069" w:rsidRPr="0080799D">
        <w:rPr>
          <w:rFonts w:asciiTheme="minorHAnsi" w:eastAsia="Calibri" w:hAnsiTheme="minorHAnsi" w:cstheme="minorHAnsi"/>
          <w:rtl/>
        </w:rPr>
        <w:t>הש</w:t>
      </w:r>
      <w:r w:rsidR="008E1467" w:rsidRPr="0080799D">
        <w:rPr>
          <w:rFonts w:asciiTheme="minorHAnsi" w:eastAsia="Calibri" w:hAnsiTheme="minorHAnsi" w:cstheme="minorHAnsi"/>
          <w:rtl/>
        </w:rPr>
        <w:t>לישי</w:t>
      </w:r>
      <w:r w:rsidRPr="0080799D">
        <w:rPr>
          <w:rFonts w:asciiTheme="minorHAnsi" w:eastAsia="Calibri" w:hAnsiTheme="minorHAnsi" w:cstheme="minorHAnsi"/>
          <w:rtl/>
        </w:rPr>
        <w:t xml:space="preserve">. </w:t>
      </w:r>
    </w:p>
    <w:p w:rsidR="00E81196" w:rsidRPr="0080799D" w:rsidRDefault="00EF1F37" w:rsidP="00F64AFC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both"/>
        <w:rPr>
          <w:rFonts w:asciiTheme="minorHAnsi" w:eastAsia="Calibri" w:hAnsiTheme="minorHAnsi" w:cstheme="minorHAnsi"/>
        </w:rPr>
      </w:pPr>
      <w:r w:rsidRPr="0080799D">
        <w:rPr>
          <w:rFonts w:asciiTheme="minorHAnsi" w:eastAsia="Calibri" w:hAnsiTheme="minorHAnsi" w:cstheme="minorHAnsi"/>
          <w:rtl/>
        </w:rPr>
        <w:t>ברביע ה</w:t>
      </w:r>
      <w:r w:rsidR="003D5843" w:rsidRPr="0080799D">
        <w:rPr>
          <w:rFonts w:asciiTheme="minorHAnsi" w:eastAsia="Calibri" w:hAnsiTheme="minorHAnsi" w:cstheme="minorHAnsi"/>
          <w:rtl/>
        </w:rPr>
        <w:t xml:space="preserve">שלישי </w:t>
      </w:r>
      <w:r w:rsidRPr="0080799D">
        <w:rPr>
          <w:rFonts w:asciiTheme="minorHAnsi" w:eastAsia="Calibri" w:hAnsiTheme="minorHAnsi" w:cstheme="minorHAnsi"/>
          <w:rtl/>
        </w:rPr>
        <w:t xml:space="preserve">של </w:t>
      </w:r>
      <w:r w:rsidR="007A0787" w:rsidRPr="0080799D">
        <w:rPr>
          <w:rFonts w:asciiTheme="minorHAnsi" w:eastAsia="Calibri" w:hAnsiTheme="minorHAnsi" w:cstheme="minorHAnsi"/>
          <w:rtl/>
        </w:rPr>
        <w:t>2025</w:t>
      </w:r>
      <w:r w:rsidRPr="0080799D">
        <w:rPr>
          <w:rFonts w:asciiTheme="minorHAnsi" w:eastAsia="Calibri" w:hAnsiTheme="minorHAnsi" w:cstheme="minorHAnsi"/>
          <w:rtl/>
        </w:rPr>
        <w:t xml:space="preserve">, </w:t>
      </w:r>
      <w:r w:rsidR="00ED21F7" w:rsidRPr="0080799D">
        <w:rPr>
          <w:rFonts w:asciiTheme="minorHAnsi" w:eastAsia="Calibri" w:hAnsiTheme="minorHAnsi" w:cstheme="minorHAnsi"/>
          <w:rtl/>
        </w:rPr>
        <w:t>חל</w:t>
      </w:r>
      <w:r w:rsidR="00C71C4A" w:rsidRPr="0080799D">
        <w:rPr>
          <w:rFonts w:asciiTheme="minorHAnsi" w:eastAsia="Calibri" w:hAnsiTheme="minorHAnsi" w:cstheme="minorHAnsi"/>
          <w:rtl/>
        </w:rPr>
        <w:t xml:space="preserve"> </w:t>
      </w:r>
      <w:r w:rsidR="00D179D0" w:rsidRPr="0080799D">
        <w:rPr>
          <w:rFonts w:asciiTheme="minorHAnsi" w:eastAsia="Calibri" w:hAnsiTheme="minorHAnsi" w:cstheme="minorHAnsi"/>
          <w:rtl/>
        </w:rPr>
        <w:t xml:space="preserve">גידול בביקוש </w:t>
      </w:r>
      <w:r w:rsidR="00396D11" w:rsidRPr="0080799D">
        <w:rPr>
          <w:rFonts w:asciiTheme="minorHAnsi" w:eastAsia="Calibri" w:hAnsiTheme="minorHAnsi" w:cstheme="minorHAnsi"/>
          <w:rtl/>
        </w:rPr>
        <w:t>לאשראי</w:t>
      </w:r>
      <w:r w:rsidR="00396D11" w:rsidRPr="0080799D">
        <w:rPr>
          <w:rFonts w:asciiTheme="minorHAnsi" w:eastAsia="Calibri" w:hAnsiTheme="minorHAnsi" w:cstheme="minorHAnsi"/>
        </w:rPr>
        <w:t xml:space="preserve"> </w:t>
      </w:r>
      <w:r w:rsidR="00396D11" w:rsidRPr="0080799D">
        <w:rPr>
          <w:rFonts w:asciiTheme="minorHAnsi" w:eastAsia="Calibri" w:hAnsiTheme="minorHAnsi" w:cstheme="minorHAnsi"/>
          <w:rtl/>
        </w:rPr>
        <w:t>של</w:t>
      </w:r>
      <w:r w:rsidR="00396D11" w:rsidRPr="0080799D">
        <w:rPr>
          <w:rFonts w:asciiTheme="minorHAnsi" w:eastAsia="Calibri" w:hAnsiTheme="minorHAnsi" w:cstheme="minorHAnsi"/>
        </w:rPr>
        <w:t xml:space="preserve"> </w:t>
      </w:r>
      <w:r w:rsidR="00396D11" w:rsidRPr="0080799D">
        <w:rPr>
          <w:rFonts w:asciiTheme="minorHAnsi" w:eastAsia="Calibri" w:hAnsiTheme="minorHAnsi" w:cstheme="minorHAnsi"/>
          <w:rtl/>
        </w:rPr>
        <w:t>עסקים</w:t>
      </w:r>
      <w:r w:rsidR="00396D11" w:rsidRPr="0080799D">
        <w:rPr>
          <w:rFonts w:asciiTheme="minorHAnsi" w:eastAsia="Calibri" w:hAnsiTheme="minorHAnsi" w:cstheme="minorHAnsi"/>
        </w:rPr>
        <w:t xml:space="preserve"> </w:t>
      </w:r>
      <w:r w:rsidR="00396D11" w:rsidRPr="0080799D">
        <w:rPr>
          <w:rFonts w:asciiTheme="minorHAnsi" w:eastAsia="Calibri" w:hAnsiTheme="minorHAnsi" w:cstheme="minorHAnsi"/>
          <w:rtl/>
        </w:rPr>
        <w:t>זעירים</w:t>
      </w:r>
      <w:r w:rsidR="00396D11" w:rsidRPr="0080799D">
        <w:rPr>
          <w:rFonts w:asciiTheme="minorHAnsi" w:eastAsia="Calibri" w:hAnsiTheme="minorHAnsi" w:cstheme="minorHAnsi"/>
        </w:rPr>
        <w:t xml:space="preserve"> </w:t>
      </w:r>
      <w:r w:rsidR="00396D11" w:rsidRPr="0080799D">
        <w:rPr>
          <w:rFonts w:asciiTheme="minorHAnsi" w:eastAsia="Calibri" w:hAnsiTheme="minorHAnsi" w:cstheme="minorHAnsi"/>
          <w:rtl/>
        </w:rPr>
        <w:t xml:space="preserve">וקטנים </w:t>
      </w:r>
      <w:r w:rsidR="00C71C4A" w:rsidRPr="0080799D">
        <w:rPr>
          <w:rFonts w:asciiTheme="minorHAnsi" w:eastAsia="Calibri" w:hAnsiTheme="minorHAnsi" w:cstheme="minorHAnsi"/>
          <w:rtl/>
        </w:rPr>
        <w:t>וירידה בביקוש לאשראי בענ</w:t>
      </w:r>
      <w:r w:rsidR="003D5843" w:rsidRPr="0080799D">
        <w:rPr>
          <w:rFonts w:asciiTheme="minorHAnsi" w:eastAsia="Calibri" w:hAnsiTheme="minorHAnsi" w:cstheme="minorHAnsi"/>
          <w:rtl/>
        </w:rPr>
        <w:t>פי</w:t>
      </w:r>
      <w:r w:rsidR="00C71C4A" w:rsidRPr="0080799D">
        <w:rPr>
          <w:rFonts w:asciiTheme="minorHAnsi" w:eastAsia="Calibri" w:hAnsiTheme="minorHAnsi" w:cstheme="minorHAnsi"/>
          <w:rtl/>
        </w:rPr>
        <w:t xml:space="preserve"> הנדל"ן</w:t>
      </w:r>
      <w:r w:rsidR="003D5843" w:rsidRPr="0080799D">
        <w:rPr>
          <w:rFonts w:asciiTheme="minorHAnsi" w:eastAsia="Calibri" w:hAnsiTheme="minorHAnsi" w:cstheme="minorHAnsi"/>
          <w:rtl/>
        </w:rPr>
        <w:t xml:space="preserve"> והבינוי</w:t>
      </w:r>
      <w:r w:rsidR="00D179D0" w:rsidRPr="0080799D">
        <w:rPr>
          <w:rFonts w:asciiTheme="minorHAnsi" w:eastAsia="Calibri" w:hAnsiTheme="minorHAnsi" w:cstheme="minorHAnsi"/>
          <w:rtl/>
        </w:rPr>
        <w:t>.</w:t>
      </w:r>
      <w:r w:rsidR="00457A95" w:rsidRPr="0080799D">
        <w:rPr>
          <w:rFonts w:asciiTheme="minorHAnsi" w:eastAsia="Calibri" w:hAnsiTheme="minorHAnsi" w:cstheme="minorHAnsi"/>
          <w:rtl/>
        </w:rPr>
        <w:t xml:space="preserve"> לפי המשיבים, </w:t>
      </w:r>
      <w:r w:rsidR="00F64AFC" w:rsidRPr="0080799D">
        <w:rPr>
          <w:rFonts w:asciiTheme="minorHAnsi" w:eastAsia="Calibri" w:hAnsiTheme="minorHAnsi" w:cstheme="minorHAnsi"/>
          <w:rtl/>
        </w:rPr>
        <w:t>שימוש בחלופות מימון</w:t>
      </w:r>
      <w:r w:rsidR="00457A95" w:rsidRPr="0080799D">
        <w:rPr>
          <w:rFonts w:asciiTheme="minorHAnsi" w:eastAsia="Calibri" w:hAnsiTheme="minorHAnsi" w:cstheme="minorHAnsi"/>
          <w:rtl/>
        </w:rPr>
        <w:t xml:space="preserve"> ה</w:t>
      </w:r>
      <w:r w:rsidR="00F64AFC" w:rsidRPr="0080799D">
        <w:rPr>
          <w:rFonts w:asciiTheme="minorHAnsi" w:eastAsia="Calibri" w:hAnsiTheme="minorHAnsi" w:cstheme="minorHAnsi"/>
          <w:rtl/>
        </w:rPr>
        <w:t>ו</w:t>
      </w:r>
      <w:r w:rsidR="00457A95" w:rsidRPr="0080799D">
        <w:rPr>
          <w:rFonts w:asciiTheme="minorHAnsi" w:eastAsia="Calibri" w:hAnsiTheme="minorHAnsi" w:cstheme="minorHAnsi"/>
          <w:rtl/>
        </w:rPr>
        <w:t xml:space="preserve">א הגורם לירידה בביקוש לאשראי בענף הנדל"ן. </w:t>
      </w:r>
    </w:p>
    <w:p w:rsidR="001A0F3B" w:rsidRPr="0080799D" w:rsidRDefault="00396D11" w:rsidP="00887CFD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both"/>
        <w:rPr>
          <w:rFonts w:asciiTheme="minorHAnsi" w:eastAsia="Calibri" w:hAnsiTheme="minorHAnsi" w:cstheme="minorHAnsi"/>
        </w:rPr>
      </w:pPr>
      <w:r w:rsidRPr="0080799D">
        <w:rPr>
          <w:rFonts w:asciiTheme="minorHAnsi" w:eastAsia="Calibri" w:hAnsiTheme="minorHAnsi" w:cstheme="minorHAnsi"/>
          <w:rtl/>
        </w:rPr>
        <w:t>צפי</w:t>
      </w:r>
      <w:r w:rsidRPr="0080799D">
        <w:rPr>
          <w:rFonts w:asciiTheme="minorHAnsi" w:eastAsia="Calibri" w:hAnsiTheme="minorHAnsi" w:cstheme="minorHAnsi"/>
        </w:rPr>
        <w:t xml:space="preserve"> </w:t>
      </w:r>
      <w:r w:rsidR="00C71C4A" w:rsidRPr="0080799D">
        <w:rPr>
          <w:rFonts w:asciiTheme="minorHAnsi" w:eastAsia="Calibri" w:hAnsiTheme="minorHAnsi" w:cstheme="minorHAnsi"/>
          <w:rtl/>
        </w:rPr>
        <w:t xml:space="preserve">לגידול </w:t>
      </w:r>
      <w:r w:rsidR="003D5843" w:rsidRPr="0080799D">
        <w:rPr>
          <w:rFonts w:asciiTheme="minorHAnsi" w:eastAsia="Calibri" w:hAnsiTheme="minorHAnsi" w:cstheme="minorHAnsi"/>
          <w:rtl/>
        </w:rPr>
        <w:t>ב</w:t>
      </w:r>
      <w:r w:rsidR="005E37C6" w:rsidRPr="0080799D">
        <w:rPr>
          <w:rFonts w:asciiTheme="minorHAnsi" w:eastAsia="Calibri" w:hAnsiTheme="minorHAnsi" w:cstheme="minorHAnsi"/>
          <w:rtl/>
        </w:rPr>
        <w:t>ביקוש ל</w:t>
      </w:r>
      <w:r w:rsidR="00C71C4A" w:rsidRPr="0080799D">
        <w:rPr>
          <w:rFonts w:asciiTheme="minorHAnsi" w:eastAsia="Calibri" w:hAnsiTheme="minorHAnsi" w:cstheme="minorHAnsi"/>
          <w:rtl/>
        </w:rPr>
        <w:t xml:space="preserve">אשראי </w:t>
      </w:r>
      <w:r w:rsidR="005E37C6" w:rsidRPr="0080799D">
        <w:rPr>
          <w:rFonts w:asciiTheme="minorHAnsi" w:eastAsia="Calibri" w:hAnsiTheme="minorHAnsi" w:cstheme="minorHAnsi"/>
          <w:rtl/>
        </w:rPr>
        <w:t xml:space="preserve">של </w:t>
      </w:r>
      <w:r w:rsidR="003D5843" w:rsidRPr="0080799D">
        <w:rPr>
          <w:rFonts w:asciiTheme="minorHAnsi" w:eastAsia="Calibri" w:hAnsiTheme="minorHAnsi" w:cstheme="minorHAnsi"/>
          <w:rtl/>
        </w:rPr>
        <w:t xml:space="preserve">עסקים </w:t>
      </w:r>
      <w:r w:rsidR="00887CFD" w:rsidRPr="0080799D">
        <w:rPr>
          <w:rFonts w:asciiTheme="minorHAnsi" w:eastAsia="Calibri" w:hAnsiTheme="minorHAnsi" w:cstheme="minorHAnsi"/>
          <w:rtl/>
        </w:rPr>
        <w:t>זעירים ו</w:t>
      </w:r>
      <w:r w:rsidR="003D5843" w:rsidRPr="0080799D">
        <w:rPr>
          <w:rFonts w:asciiTheme="minorHAnsi" w:eastAsia="Calibri" w:hAnsiTheme="minorHAnsi" w:cstheme="minorHAnsi"/>
          <w:rtl/>
        </w:rPr>
        <w:t xml:space="preserve">קטנים וירידה בענף הנדל"ן </w:t>
      </w:r>
      <w:r w:rsidR="00C71C4A" w:rsidRPr="0080799D">
        <w:rPr>
          <w:rFonts w:asciiTheme="minorHAnsi" w:eastAsia="Calibri" w:hAnsiTheme="minorHAnsi" w:cstheme="minorHAnsi"/>
          <w:rtl/>
        </w:rPr>
        <w:t>ברביע הבא</w:t>
      </w:r>
      <w:r w:rsidR="003D5843" w:rsidRPr="0080799D">
        <w:rPr>
          <w:rFonts w:asciiTheme="minorHAnsi" w:eastAsia="Calibri" w:hAnsiTheme="minorHAnsi" w:cstheme="minorHAnsi"/>
          <w:rtl/>
        </w:rPr>
        <w:t>.</w:t>
      </w:r>
    </w:p>
    <w:p w:rsidR="00411C4F" w:rsidRPr="0080799D" w:rsidRDefault="001A0F3B" w:rsidP="00457A95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both"/>
        <w:rPr>
          <w:rFonts w:asciiTheme="minorHAnsi" w:eastAsia="Calibri" w:hAnsiTheme="minorHAnsi" w:cstheme="minorHAnsi"/>
        </w:rPr>
      </w:pPr>
      <w:r w:rsidRPr="0080799D">
        <w:rPr>
          <w:rFonts w:asciiTheme="minorHAnsi" w:eastAsia="Calibri" w:hAnsiTheme="minorHAnsi" w:cstheme="minorHAnsi"/>
          <w:rtl/>
        </w:rPr>
        <w:t>ברביע ה</w:t>
      </w:r>
      <w:r w:rsidR="00512A56" w:rsidRPr="0080799D">
        <w:rPr>
          <w:rFonts w:asciiTheme="minorHAnsi" w:eastAsia="Calibri" w:hAnsiTheme="minorHAnsi" w:cstheme="minorHAnsi"/>
          <w:rtl/>
        </w:rPr>
        <w:t>ש</w:t>
      </w:r>
      <w:r w:rsidR="003D5843" w:rsidRPr="0080799D">
        <w:rPr>
          <w:rFonts w:asciiTheme="minorHAnsi" w:eastAsia="Calibri" w:hAnsiTheme="minorHAnsi" w:cstheme="minorHAnsi"/>
          <w:rtl/>
        </w:rPr>
        <w:t xml:space="preserve">לישי </w:t>
      </w:r>
      <w:r w:rsidR="00D8448B" w:rsidRPr="0080799D">
        <w:rPr>
          <w:rFonts w:asciiTheme="minorHAnsi" w:eastAsia="Calibri" w:hAnsiTheme="minorHAnsi" w:cstheme="minorHAnsi"/>
          <w:rtl/>
        </w:rPr>
        <w:t xml:space="preserve">של 2025 </w:t>
      </w:r>
      <w:r w:rsidR="00457A95" w:rsidRPr="0080799D">
        <w:rPr>
          <w:rFonts w:asciiTheme="minorHAnsi" w:eastAsia="Calibri" w:hAnsiTheme="minorHAnsi" w:cstheme="minorHAnsi"/>
          <w:rtl/>
        </w:rPr>
        <w:t>חלה</w:t>
      </w:r>
      <w:r w:rsidRPr="0080799D">
        <w:rPr>
          <w:rFonts w:asciiTheme="minorHAnsi" w:eastAsia="Calibri" w:hAnsiTheme="minorHAnsi" w:cstheme="minorHAnsi"/>
          <w:rtl/>
        </w:rPr>
        <w:t xml:space="preserve"> </w:t>
      </w:r>
      <w:r w:rsidR="003D5843" w:rsidRPr="0080799D">
        <w:rPr>
          <w:rFonts w:asciiTheme="minorHAnsi" w:eastAsia="Calibri" w:hAnsiTheme="minorHAnsi" w:cstheme="minorHAnsi"/>
          <w:rtl/>
        </w:rPr>
        <w:t xml:space="preserve">ירידה מסוימת </w:t>
      </w:r>
      <w:r w:rsidR="004F235A" w:rsidRPr="0080799D">
        <w:rPr>
          <w:rFonts w:asciiTheme="minorHAnsi" w:eastAsia="Calibri" w:hAnsiTheme="minorHAnsi" w:cstheme="minorHAnsi"/>
          <w:rtl/>
        </w:rPr>
        <w:t xml:space="preserve">בביקוש </w:t>
      </w:r>
      <w:r w:rsidR="007A7E8C" w:rsidRPr="0080799D">
        <w:rPr>
          <w:rFonts w:asciiTheme="minorHAnsi" w:eastAsia="Calibri" w:hAnsiTheme="minorHAnsi" w:cstheme="minorHAnsi"/>
          <w:rtl/>
        </w:rPr>
        <w:t>ל</w:t>
      </w:r>
      <w:r w:rsidR="004F235A" w:rsidRPr="0080799D">
        <w:rPr>
          <w:rFonts w:asciiTheme="minorHAnsi" w:eastAsia="Calibri" w:hAnsiTheme="minorHAnsi" w:cstheme="minorHAnsi"/>
          <w:rtl/>
        </w:rPr>
        <w:t xml:space="preserve">אשראי </w:t>
      </w:r>
      <w:r w:rsidR="007A0787" w:rsidRPr="0080799D">
        <w:rPr>
          <w:rFonts w:asciiTheme="minorHAnsi" w:eastAsia="Calibri" w:hAnsiTheme="minorHAnsi" w:cstheme="minorHAnsi"/>
          <w:rtl/>
        </w:rPr>
        <w:t>לדיור</w:t>
      </w:r>
      <w:r w:rsidR="003D5843" w:rsidRPr="0080799D">
        <w:rPr>
          <w:rFonts w:asciiTheme="minorHAnsi" w:eastAsia="Calibri" w:hAnsiTheme="minorHAnsi" w:cstheme="minorHAnsi"/>
          <w:rtl/>
        </w:rPr>
        <w:t>, והצפי הוא לגידול בו ברביע הבא.</w:t>
      </w:r>
      <w:r w:rsidR="007A0787" w:rsidRPr="0080799D">
        <w:rPr>
          <w:rFonts w:asciiTheme="minorHAnsi" w:eastAsia="Calibri" w:hAnsiTheme="minorHAnsi" w:cstheme="minorHAnsi"/>
          <w:rtl/>
        </w:rPr>
        <w:t xml:space="preserve"> </w:t>
      </w:r>
    </w:p>
    <w:p w:rsidR="00DA6566" w:rsidRPr="0080799D" w:rsidRDefault="00A60344" w:rsidP="00A10E1B">
      <w:pPr>
        <w:pStyle w:val="NormalWe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both"/>
        <w:rPr>
          <w:rFonts w:asciiTheme="minorHAnsi" w:eastAsia="Calibri" w:hAnsiTheme="minorHAnsi" w:cstheme="minorHAnsi"/>
        </w:rPr>
      </w:pPr>
      <w:r w:rsidRPr="0080799D">
        <w:rPr>
          <w:rFonts w:asciiTheme="minorHAnsi" w:eastAsia="Calibri" w:hAnsiTheme="minorHAnsi" w:cstheme="minorHAnsi"/>
          <w:rtl/>
        </w:rPr>
        <w:t>ברביע השלישי של 2025 הסתמנה הקשחה במרווחי האשראי לדיור ו</w:t>
      </w:r>
      <w:r w:rsidR="00100E5B" w:rsidRPr="0080799D">
        <w:rPr>
          <w:rFonts w:asciiTheme="minorHAnsi" w:eastAsia="Calibri" w:hAnsiTheme="minorHAnsi" w:cstheme="minorHAnsi"/>
          <w:rtl/>
        </w:rPr>
        <w:t>נמשכה ה</w:t>
      </w:r>
      <w:r w:rsidR="00DA6566" w:rsidRPr="0080799D">
        <w:rPr>
          <w:rFonts w:asciiTheme="minorHAnsi" w:eastAsia="Calibri" w:hAnsiTheme="minorHAnsi" w:cstheme="minorHAnsi"/>
          <w:rtl/>
        </w:rPr>
        <w:t>הגמשה</w:t>
      </w:r>
      <w:r w:rsidR="00DA6566" w:rsidRPr="0080799D">
        <w:rPr>
          <w:rFonts w:asciiTheme="minorHAnsi" w:eastAsia="Calibri" w:hAnsiTheme="minorHAnsi" w:cstheme="minorHAnsi"/>
        </w:rPr>
        <w:t xml:space="preserve"> </w:t>
      </w:r>
      <w:r w:rsidR="00DA6566" w:rsidRPr="0080799D">
        <w:rPr>
          <w:rFonts w:asciiTheme="minorHAnsi" w:eastAsia="Calibri" w:hAnsiTheme="minorHAnsi" w:cstheme="minorHAnsi"/>
          <w:rtl/>
        </w:rPr>
        <w:t>בתנאי</w:t>
      </w:r>
      <w:r w:rsidR="00DA6566" w:rsidRPr="0080799D">
        <w:rPr>
          <w:rFonts w:asciiTheme="minorHAnsi" w:eastAsia="Calibri" w:hAnsiTheme="minorHAnsi" w:cstheme="minorHAnsi"/>
        </w:rPr>
        <w:t xml:space="preserve"> </w:t>
      </w:r>
      <w:r w:rsidR="00DA6566" w:rsidRPr="0080799D">
        <w:rPr>
          <w:rFonts w:asciiTheme="minorHAnsi" w:eastAsia="Calibri" w:hAnsiTheme="minorHAnsi" w:cstheme="minorHAnsi"/>
          <w:rtl/>
        </w:rPr>
        <w:t>האשראי</w:t>
      </w:r>
      <w:r w:rsidR="00DA6566" w:rsidRPr="0080799D">
        <w:rPr>
          <w:rFonts w:asciiTheme="minorHAnsi" w:eastAsia="Calibri" w:hAnsiTheme="minorHAnsi" w:cstheme="minorHAnsi"/>
        </w:rPr>
        <w:t xml:space="preserve"> </w:t>
      </w:r>
      <w:r w:rsidR="00DA6566" w:rsidRPr="0080799D">
        <w:rPr>
          <w:rFonts w:asciiTheme="minorHAnsi" w:eastAsia="Calibri" w:hAnsiTheme="minorHAnsi" w:cstheme="minorHAnsi"/>
          <w:rtl/>
        </w:rPr>
        <w:t>ב</w:t>
      </w:r>
      <w:r w:rsidR="001C190F" w:rsidRPr="0080799D">
        <w:rPr>
          <w:rFonts w:asciiTheme="minorHAnsi" w:eastAsia="Calibri" w:hAnsiTheme="minorHAnsi" w:cstheme="minorHAnsi"/>
          <w:rtl/>
        </w:rPr>
        <w:t>שאר</w:t>
      </w:r>
      <w:r w:rsidRPr="0080799D">
        <w:rPr>
          <w:rFonts w:asciiTheme="minorHAnsi" w:eastAsia="Calibri" w:hAnsiTheme="minorHAnsi" w:cstheme="minorHAnsi"/>
          <w:rtl/>
        </w:rPr>
        <w:t xml:space="preserve"> </w:t>
      </w:r>
      <w:r w:rsidR="00DA6566" w:rsidRPr="0080799D">
        <w:rPr>
          <w:rFonts w:asciiTheme="minorHAnsi" w:eastAsia="Calibri" w:hAnsiTheme="minorHAnsi" w:cstheme="minorHAnsi"/>
          <w:rtl/>
        </w:rPr>
        <w:t>המגזרים</w:t>
      </w:r>
      <w:r w:rsidR="00DE40CE" w:rsidRPr="0080799D">
        <w:rPr>
          <w:rFonts w:asciiTheme="minorHAnsi" w:eastAsia="Calibri" w:hAnsiTheme="minorHAnsi" w:cstheme="minorHAnsi"/>
          <w:rtl/>
        </w:rPr>
        <w:t xml:space="preserve">, </w:t>
      </w:r>
      <w:r w:rsidR="009631E4" w:rsidRPr="0080799D">
        <w:rPr>
          <w:rFonts w:asciiTheme="minorHAnsi" w:eastAsia="Calibri" w:hAnsiTheme="minorHAnsi" w:cstheme="minorHAnsi"/>
          <w:rtl/>
        </w:rPr>
        <w:t>ש</w:t>
      </w:r>
      <w:r w:rsidR="00DA6566" w:rsidRPr="0080799D">
        <w:rPr>
          <w:rFonts w:asciiTheme="minorHAnsi" w:eastAsia="Calibri" w:hAnsiTheme="minorHAnsi" w:cstheme="minorHAnsi"/>
          <w:rtl/>
        </w:rPr>
        <w:t>התבטאה</w:t>
      </w:r>
      <w:r w:rsidR="00DA6566" w:rsidRPr="0080799D">
        <w:rPr>
          <w:rFonts w:asciiTheme="minorHAnsi" w:eastAsia="Calibri" w:hAnsiTheme="minorHAnsi" w:cstheme="minorHAnsi"/>
        </w:rPr>
        <w:t xml:space="preserve"> </w:t>
      </w:r>
      <w:r w:rsidR="00DA6566" w:rsidRPr="0080799D">
        <w:rPr>
          <w:rFonts w:asciiTheme="minorHAnsi" w:eastAsia="Calibri" w:hAnsiTheme="minorHAnsi" w:cstheme="minorHAnsi"/>
          <w:rtl/>
        </w:rPr>
        <w:t>בעיקר</w:t>
      </w:r>
      <w:r w:rsidR="00DA6566" w:rsidRPr="0080799D">
        <w:rPr>
          <w:rFonts w:asciiTheme="minorHAnsi" w:eastAsia="Calibri" w:hAnsiTheme="minorHAnsi" w:cstheme="minorHAnsi"/>
        </w:rPr>
        <w:t xml:space="preserve"> </w:t>
      </w:r>
      <w:r w:rsidR="00DA6566" w:rsidRPr="0080799D">
        <w:rPr>
          <w:rFonts w:asciiTheme="minorHAnsi" w:eastAsia="Calibri" w:hAnsiTheme="minorHAnsi" w:cstheme="minorHAnsi"/>
          <w:rtl/>
        </w:rPr>
        <w:t>במרווחים</w:t>
      </w:r>
      <w:r w:rsidR="00DA6566" w:rsidRPr="0080799D">
        <w:rPr>
          <w:rFonts w:asciiTheme="minorHAnsi" w:eastAsia="Calibri" w:hAnsiTheme="minorHAnsi" w:cstheme="minorHAnsi"/>
        </w:rPr>
        <w:t xml:space="preserve"> </w:t>
      </w:r>
      <w:r w:rsidR="00DA6566" w:rsidRPr="0080799D">
        <w:rPr>
          <w:rFonts w:asciiTheme="minorHAnsi" w:eastAsia="Calibri" w:hAnsiTheme="minorHAnsi" w:cstheme="minorHAnsi"/>
          <w:rtl/>
        </w:rPr>
        <w:t>באשראי</w:t>
      </w:r>
      <w:r w:rsidR="00DA6566" w:rsidRPr="0080799D">
        <w:rPr>
          <w:rFonts w:asciiTheme="minorHAnsi" w:eastAsia="Calibri" w:hAnsiTheme="minorHAnsi" w:cstheme="minorHAnsi"/>
        </w:rPr>
        <w:t xml:space="preserve"> </w:t>
      </w:r>
      <w:r w:rsidR="00A10E1B" w:rsidRPr="0080799D">
        <w:rPr>
          <w:rFonts w:asciiTheme="minorHAnsi" w:eastAsia="Calibri" w:hAnsiTheme="minorHAnsi" w:cstheme="minorHAnsi"/>
          <w:rtl/>
        </w:rPr>
        <w:t>ברמת סיכון לא גבוהה</w:t>
      </w:r>
      <w:r w:rsidR="00DE40CE" w:rsidRPr="0080799D">
        <w:rPr>
          <w:rFonts w:asciiTheme="minorHAnsi" w:eastAsia="Calibri" w:hAnsiTheme="minorHAnsi" w:cstheme="minorHAnsi"/>
          <w:rtl/>
        </w:rPr>
        <w:t>.</w:t>
      </w:r>
      <w:r w:rsidR="009631E4" w:rsidRPr="0080799D">
        <w:rPr>
          <w:rFonts w:asciiTheme="minorHAnsi" w:eastAsia="Calibri" w:hAnsiTheme="minorHAnsi" w:cstheme="minorHAnsi"/>
          <w:rtl/>
        </w:rPr>
        <w:t xml:space="preserve"> </w:t>
      </w:r>
    </w:p>
    <w:p w:rsidR="00E81196" w:rsidRPr="0080799D" w:rsidRDefault="00DF00BE" w:rsidP="009631E4">
      <w:pPr>
        <w:pStyle w:val="NormalWe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both"/>
        <w:rPr>
          <w:rFonts w:asciiTheme="minorHAnsi" w:eastAsia="Calibri" w:hAnsiTheme="minorHAnsi" w:cstheme="minorHAnsi"/>
        </w:rPr>
      </w:pPr>
      <w:r w:rsidRPr="0080799D">
        <w:rPr>
          <w:rFonts w:asciiTheme="minorHAnsi" w:eastAsia="Calibri" w:hAnsiTheme="minorHAnsi" w:cstheme="minorHAnsi"/>
          <w:rtl/>
        </w:rPr>
        <w:t xml:space="preserve">לפי המשיבים, </w:t>
      </w:r>
      <w:r w:rsidR="00DA6566" w:rsidRPr="0080799D">
        <w:rPr>
          <w:rFonts w:asciiTheme="minorHAnsi" w:eastAsia="Calibri" w:hAnsiTheme="minorHAnsi" w:cstheme="minorHAnsi"/>
          <w:rtl/>
        </w:rPr>
        <w:t>התחרות</w:t>
      </w:r>
      <w:r w:rsidR="00DA6566" w:rsidRPr="0080799D">
        <w:rPr>
          <w:rFonts w:asciiTheme="minorHAnsi" w:eastAsia="Calibri" w:hAnsiTheme="minorHAnsi" w:cstheme="minorHAnsi"/>
        </w:rPr>
        <w:t xml:space="preserve"> </w:t>
      </w:r>
      <w:r w:rsidR="00BD0D89" w:rsidRPr="0080799D">
        <w:rPr>
          <w:rFonts w:asciiTheme="minorHAnsi" w:eastAsia="Calibri" w:hAnsiTheme="minorHAnsi" w:cstheme="minorHAnsi"/>
          <w:rtl/>
        </w:rPr>
        <w:t xml:space="preserve">בשוק האשראי </w:t>
      </w:r>
      <w:r w:rsidR="00DA6566" w:rsidRPr="0080799D">
        <w:rPr>
          <w:rFonts w:asciiTheme="minorHAnsi" w:eastAsia="Calibri" w:hAnsiTheme="minorHAnsi" w:cstheme="minorHAnsi"/>
          <w:rtl/>
        </w:rPr>
        <w:t>ה</w:t>
      </w:r>
      <w:r w:rsidR="00B923DC" w:rsidRPr="0080799D">
        <w:rPr>
          <w:rFonts w:asciiTheme="minorHAnsi" w:eastAsia="Calibri" w:hAnsiTheme="minorHAnsi" w:cstheme="minorHAnsi"/>
          <w:rtl/>
        </w:rPr>
        <w:t>י</w:t>
      </w:r>
      <w:r w:rsidR="009631E4" w:rsidRPr="0080799D">
        <w:rPr>
          <w:rFonts w:asciiTheme="minorHAnsi" w:eastAsia="Calibri" w:hAnsiTheme="minorHAnsi" w:cstheme="minorHAnsi"/>
          <w:rtl/>
        </w:rPr>
        <w:t>א</w:t>
      </w:r>
      <w:r w:rsidR="00B923DC" w:rsidRPr="0080799D">
        <w:rPr>
          <w:rFonts w:asciiTheme="minorHAnsi" w:eastAsia="Calibri" w:hAnsiTheme="minorHAnsi" w:cstheme="minorHAnsi"/>
          <w:rtl/>
        </w:rPr>
        <w:t xml:space="preserve"> </w:t>
      </w:r>
      <w:r w:rsidR="00DA6566" w:rsidRPr="0080799D">
        <w:rPr>
          <w:rFonts w:asciiTheme="minorHAnsi" w:eastAsia="Calibri" w:hAnsiTheme="minorHAnsi" w:cstheme="minorHAnsi"/>
          <w:rtl/>
        </w:rPr>
        <w:t>הגור</w:t>
      </w:r>
      <w:r w:rsidR="009631E4" w:rsidRPr="0080799D">
        <w:rPr>
          <w:rFonts w:asciiTheme="minorHAnsi" w:eastAsia="Calibri" w:hAnsiTheme="minorHAnsi" w:cstheme="minorHAnsi"/>
          <w:rtl/>
        </w:rPr>
        <w:t>ם</w:t>
      </w:r>
      <w:r w:rsidR="00DA6566" w:rsidRPr="0080799D">
        <w:rPr>
          <w:rFonts w:asciiTheme="minorHAnsi" w:eastAsia="Calibri" w:hAnsiTheme="minorHAnsi" w:cstheme="minorHAnsi"/>
        </w:rPr>
        <w:t xml:space="preserve"> </w:t>
      </w:r>
      <w:r w:rsidR="00DA6566" w:rsidRPr="0080799D">
        <w:rPr>
          <w:rFonts w:asciiTheme="minorHAnsi" w:eastAsia="Calibri" w:hAnsiTheme="minorHAnsi" w:cstheme="minorHAnsi"/>
          <w:rtl/>
        </w:rPr>
        <w:t>העיקרי</w:t>
      </w:r>
      <w:r w:rsidR="00DA6566" w:rsidRPr="0080799D">
        <w:rPr>
          <w:rFonts w:asciiTheme="minorHAnsi" w:eastAsia="Calibri" w:hAnsiTheme="minorHAnsi" w:cstheme="minorHAnsi"/>
        </w:rPr>
        <w:t xml:space="preserve"> </w:t>
      </w:r>
      <w:r w:rsidR="00DA6566" w:rsidRPr="0080799D">
        <w:rPr>
          <w:rFonts w:asciiTheme="minorHAnsi" w:eastAsia="Calibri" w:hAnsiTheme="minorHAnsi" w:cstheme="minorHAnsi"/>
          <w:rtl/>
        </w:rPr>
        <w:t>להגמשה</w:t>
      </w:r>
      <w:r w:rsidR="00DA6566" w:rsidRPr="0080799D">
        <w:rPr>
          <w:rFonts w:asciiTheme="minorHAnsi" w:eastAsia="Calibri" w:hAnsiTheme="minorHAnsi" w:cstheme="minorHAnsi"/>
        </w:rPr>
        <w:t xml:space="preserve"> </w:t>
      </w:r>
      <w:r w:rsidR="00DA6566" w:rsidRPr="0080799D">
        <w:rPr>
          <w:rFonts w:asciiTheme="minorHAnsi" w:eastAsia="Calibri" w:hAnsiTheme="minorHAnsi" w:cstheme="minorHAnsi"/>
          <w:rtl/>
        </w:rPr>
        <w:t>במרווחים</w:t>
      </w:r>
      <w:r w:rsidR="00DE40CE" w:rsidRPr="0080799D">
        <w:rPr>
          <w:rFonts w:asciiTheme="minorHAnsi" w:eastAsia="Calibri" w:hAnsiTheme="minorHAnsi" w:cstheme="minorHAnsi"/>
          <w:rtl/>
        </w:rPr>
        <w:t>.</w:t>
      </w:r>
    </w:p>
    <w:p w:rsidR="00CA541E" w:rsidRPr="0080799D" w:rsidRDefault="00CA541E" w:rsidP="0019280F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:rsidR="001F42B8" w:rsidRPr="0080799D" w:rsidRDefault="001F42B8" w:rsidP="00CA541E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80799D">
        <w:rPr>
          <w:rFonts w:asciiTheme="minorHAnsi" w:eastAsia="Calibri" w:hAnsiTheme="minorHAnsi" w:cstheme="minorHAnsi"/>
          <w:rtl/>
        </w:rPr>
        <w:t>א. ביקוש לאשראי</w:t>
      </w:r>
    </w:p>
    <w:p w:rsidR="00E31EAB" w:rsidRPr="0080799D" w:rsidRDefault="00E3355B" w:rsidP="00887CFD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80799D">
        <w:rPr>
          <w:rFonts w:asciiTheme="minorHAnsi" w:eastAsia="Calibri" w:hAnsiTheme="minorHAnsi" w:cstheme="minorHAnsi"/>
          <w:rtl/>
        </w:rPr>
        <w:t xml:space="preserve">ברביע השלישי של השנה </w:t>
      </w:r>
      <w:r w:rsidR="00CA541E" w:rsidRPr="0080799D">
        <w:rPr>
          <w:rFonts w:asciiTheme="minorHAnsi" w:eastAsia="Calibri" w:hAnsiTheme="minorHAnsi" w:cstheme="minorHAnsi"/>
          <w:rtl/>
        </w:rPr>
        <w:t xml:space="preserve">הסתמנה ירידה מסוימת בביקוש לאשראי לדיור, </w:t>
      </w:r>
      <w:r w:rsidRPr="0080799D">
        <w:rPr>
          <w:rFonts w:asciiTheme="minorHAnsi" w:eastAsia="Calibri" w:hAnsiTheme="minorHAnsi" w:cstheme="minorHAnsi"/>
          <w:rtl/>
        </w:rPr>
        <w:t>ו</w:t>
      </w:r>
      <w:r w:rsidR="008F5A34" w:rsidRPr="0080799D">
        <w:rPr>
          <w:rFonts w:asciiTheme="minorHAnsi" w:eastAsia="Calibri" w:hAnsiTheme="minorHAnsi" w:cstheme="minorHAnsi"/>
          <w:rtl/>
        </w:rPr>
        <w:t xml:space="preserve">הצפי </w:t>
      </w:r>
      <w:r w:rsidR="0035729F" w:rsidRPr="0080799D">
        <w:rPr>
          <w:rFonts w:asciiTheme="minorHAnsi" w:eastAsia="Calibri" w:hAnsiTheme="minorHAnsi" w:cstheme="minorHAnsi"/>
          <w:rtl/>
        </w:rPr>
        <w:t xml:space="preserve">לרביע הבא </w:t>
      </w:r>
      <w:r w:rsidR="008F5A34" w:rsidRPr="0080799D">
        <w:rPr>
          <w:rFonts w:asciiTheme="minorHAnsi" w:eastAsia="Calibri" w:hAnsiTheme="minorHAnsi" w:cstheme="minorHAnsi"/>
          <w:rtl/>
        </w:rPr>
        <w:t>הוא לגידול</w:t>
      </w:r>
      <w:r w:rsidR="00E31EAB" w:rsidRPr="0080799D">
        <w:rPr>
          <w:rFonts w:asciiTheme="minorHAnsi" w:eastAsia="Calibri" w:hAnsiTheme="minorHAnsi" w:cstheme="minorHAnsi"/>
          <w:rtl/>
        </w:rPr>
        <w:t xml:space="preserve"> </w:t>
      </w:r>
      <w:r w:rsidR="0035729F" w:rsidRPr="0080799D">
        <w:rPr>
          <w:rFonts w:asciiTheme="minorHAnsi" w:eastAsia="Calibri" w:hAnsiTheme="minorHAnsi" w:cstheme="minorHAnsi"/>
          <w:rtl/>
        </w:rPr>
        <w:t>ב</w:t>
      </w:r>
      <w:r w:rsidRPr="0080799D">
        <w:rPr>
          <w:rFonts w:asciiTheme="minorHAnsi" w:eastAsia="Calibri" w:hAnsiTheme="minorHAnsi" w:cstheme="minorHAnsi"/>
          <w:rtl/>
        </w:rPr>
        <w:t xml:space="preserve">ו. </w:t>
      </w:r>
      <w:r w:rsidR="00E31EAB" w:rsidRPr="0080799D">
        <w:rPr>
          <w:rFonts w:asciiTheme="minorHAnsi" w:eastAsia="Calibri" w:hAnsiTheme="minorHAnsi" w:cstheme="minorHAnsi"/>
          <w:rtl/>
        </w:rPr>
        <w:t xml:space="preserve">במגזר </w:t>
      </w:r>
      <w:r w:rsidR="00DA2A0B" w:rsidRPr="0080799D">
        <w:rPr>
          <w:rFonts w:asciiTheme="minorHAnsi" w:eastAsia="Calibri" w:hAnsiTheme="minorHAnsi" w:cstheme="minorHAnsi"/>
          <w:rtl/>
        </w:rPr>
        <w:t>העסקי</w:t>
      </w:r>
      <w:r w:rsidR="00E31EAB" w:rsidRPr="0080799D">
        <w:rPr>
          <w:rFonts w:asciiTheme="minorHAnsi" w:eastAsia="Calibri" w:hAnsiTheme="minorHAnsi" w:cstheme="minorHAnsi"/>
          <w:rtl/>
        </w:rPr>
        <w:t xml:space="preserve"> </w:t>
      </w:r>
      <w:r w:rsidR="006A7B09" w:rsidRPr="0080799D">
        <w:rPr>
          <w:rFonts w:asciiTheme="minorHAnsi" w:eastAsia="Calibri" w:hAnsiTheme="minorHAnsi" w:cstheme="minorHAnsi"/>
          <w:rtl/>
        </w:rPr>
        <w:t>נמשך ה</w:t>
      </w:r>
      <w:r w:rsidR="00D869F0" w:rsidRPr="0080799D">
        <w:rPr>
          <w:rFonts w:asciiTheme="minorHAnsi" w:eastAsia="Calibri" w:hAnsiTheme="minorHAnsi" w:cstheme="minorHAnsi"/>
          <w:rtl/>
        </w:rPr>
        <w:t>גידול ב</w:t>
      </w:r>
      <w:r w:rsidR="00E31EAB" w:rsidRPr="0080799D">
        <w:rPr>
          <w:rFonts w:asciiTheme="minorHAnsi" w:eastAsia="Calibri" w:hAnsiTheme="minorHAnsi" w:cstheme="minorHAnsi"/>
          <w:rtl/>
        </w:rPr>
        <w:t xml:space="preserve">ביקוש לאשראי </w:t>
      </w:r>
      <w:r w:rsidR="00D869F0" w:rsidRPr="0080799D">
        <w:rPr>
          <w:rFonts w:asciiTheme="minorHAnsi" w:eastAsia="Calibri" w:hAnsiTheme="minorHAnsi" w:cstheme="minorHAnsi"/>
          <w:rtl/>
        </w:rPr>
        <w:t xml:space="preserve">של </w:t>
      </w:r>
      <w:r w:rsidR="00E31EAB" w:rsidRPr="0080799D">
        <w:rPr>
          <w:rFonts w:asciiTheme="minorHAnsi" w:eastAsia="Calibri" w:hAnsiTheme="minorHAnsi" w:cstheme="minorHAnsi"/>
          <w:rtl/>
        </w:rPr>
        <w:t xml:space="preserve">עסקים </w:t>
      </w:r>
      <w:r w:rsidR="00887CFD" w:rsidRPr="0080799D">
        <w:rPr>
          <w:rFonts w:asciiTheme="minorHAnsi" w:eastAsia="Calibri" w:hAnsiTheme="minorHAnsi" w:cstheme="minorHAnsi"/>
          <w:rtl/>
        </w:rPr>
        <w:t>זעירים ו</w:t>
      </w:r>
      <w:r w:rsidR="00E31EAB" w:rsidRPr="0080799D">
        <w:rPr>
          <w:rFonts w:asciiTheme="minorHAnsi" w:eastAsia="Calibri" w:hAnsiTheme="minorHAnsi" w:cstheme="minorHAnsi"/>
          <w:rtl/>
        </w:rPr>
        <w:t xml:space="preserve">קטנים </w:t>
      </w:r>
      <w:r w:rsidR="006A7B09" w:rsidRPr="0080799D">
        <w:rPr>
          <w:rFonts w:asciiTheme="minorHAnsi" w:eastAsia="Calibri" w:hAnsiTheme="minorHAnsi" w:cstheme="minorHAnsi"/>
          <w:rtl/>
        </w:rPr>
        <w:t xml:space="preserve">וירד </w:t>
      </w:r>
      <w:r w:rsidR="003B666C" w:rsidRPr="0080799D">
        <w:rPr>
          <w:rFonts w:asciiTheme="minorHAnsi" w:eastAsia="Calibri" w:hAnsiTheme="minorHAnsi" w:cstheme="minorHAnsi"/>
          <w:rtl/>
        </w:rPr>
        <w:t xml:space="preserve"> </w:t>
      </w:r>
      <w:r w:rsidR="006A7B09" w:rsidRPr="0080799D">
        <w:rPr>
          <w:rFonts w:asciiTheme="minorHAnsi" w:eastAsia="Calibri" w:hAnsiTheme="minorHAnsi" w:cstheme="minorHAnsi"/>
          <w:rtl/>
        </w:rPr>
        <w:t>ה</w:t>
      </w:r>
      <w:r w:rsidR="003B666C" w:rsidRPr="0080799D">
        <w:rPr>
          <w:rFonts w:asciiTheme="minorHAnsi" w:eastAsia="Calibri" w:hAnsiTheme="minorHAnsi" w:cstheme="minorHAnsi"/>
          <w:rtl/>
        </w:rPr>
        <w:t>ביקוש לאשראי לענ</w:t>
      </w:r>
      <w:r w:rsidR="006A7B09" w:rsidRPr="0080799D">
        <w:rPr>
          <w:rFonts w:asciiTheme="minorHAnsi" w:eastAsia="Calibri" w:hAnsiTheme="minorHAnsi" w:cstheme="minorHAnsi"/>
          <w:rtl/>
        </w:rPr>
        <w:t>פי</w:t>
      </w:r>
      <w:r w:rsidR="003B666C" w:rsidRPr="0080799D">
        <w:rPr>
          <w:rFonts w:asciiTheme="minorHAnsi" w:eastAsia="Calibri" w:hAnsiTheme="minorHAnsi" w:cstheme="minorHAnsi"/>
          <w:rtl/>
        </w:rPr>
        <w:t xml:space="preserve"> הנדל"ן </w:t>
      </w:r>
      <w:r w:rsidR="006A7B09" w:rsidRPr="0080799D">
        <w:rPr>
          <w:rFonts w:asciiTheme="minorHAnsi" w:eastAsia="Calibri" w:hAnsiTheme="minorHAnsi" w:cstheme="minorHAnsi"/>
          <w:rtl/>
        </w:rPr>
        <w:t>והבינוי</w:t>
      </w:r>
      <w:r w:rsidR="006A7B09" w:rsidRPr="0080799D">
        <w:rPr>
          <w:rStyle w:val="a5"/>
          <w:rFonts w:asciiTheme="minorHAnsi" w:eastAsia="Calibri" w:hAnsiTheme="minorHAnsi" w:cstheme="minorHAnsi"/>
          <w:rtl/>
        </w:rPr>
        <w:footnoteReference w:id="2"/>
      </w:r>
      <w:r w:rsidR="003B666C" w:rsidRPr="0080799D">
        <w:rPr>
          <w:rFonts w:asciiTheme="minorHAnsi" w:eastAsia="Calibri" w:hAnsiTheme="minorHAnsi" w:cstheme="minorHAnsi"/>
          <w:rtl/>
        </w:rPr>
        <w:t xml:space="preserve">. </w:t>
      </w:r>
      <w:r w:rsidR="00D869F0" w:rsidRPr="0080799D">
        <w:rPr>
          <w:rFonts w:asciiTheme="minorHAnsi" w:eastAsia="Calibri" w:hAnsiTheme="minorHAnsi" w:cstheme="minorHAnsi"/>
          <w:rtl/>
        </w:rPr>
        <w:t xml:space="preserve">הבנקים צופים </w:t>
      </w:r>
      <w:r w:rsidR="00E31EAB" w:rsidRPr="0080799D">
        <w:rPr>
          <w:rFonts w:asciiTheme="minorHAnsi" w:eastAsia="Calibri" w:hAnsiTheme="minorHAnsi" w:cstheme="minorHAnsi"/>
          <w:rtl/>
        </w:rPr>
        <w:t xml:space="preserve">גידול </w:t>
      </w:r>
      <w:r w:rsidR="00DA2A0B" w:rsidRPr="0080799D">
        <w:rPr>
          <w:rFonts w:asciiTheme="minorHAnsi" w:eastAsia="Calibri" w:hAnsiTheme="minorHAnsi" w:cstheme="minorHAnsi"/>
          <w:rtl/>
        </w:rPr>
        <w:t>ב</w:t>
      </w:r>
      <w:r w:rsidR="003B666C" w:rsidRPr="0080799D">
        <w:rPr>
          <w:rFonts w:asciiTheme="minorHAnsi" w:eastAsia="Calibri" w:hAnsiTheme="minorHAnsi" w:cstheme="minorHAnsi"/>
          <w:rtl/>
        </w:rPr>
        <w:t xml:space="preserve">ביקוש לאשראי </w:t>
      </w:r>
      <w:r w:rsidR="00596ADA" w:rsidRPr="0080799D">
        <w:rPr>
          <w:rFonts w:asciiTheme="minorHAnsi" w:eastAsia="Calibri" w:hAnsiTheme="minorHAnsi" w:cstheme="minorHAnsi"/>
          <w:rtl/>
        </w:rPr>
        <w:t>של עסקים קטנים וזעירים וירידה ב</w:t>
      </w:r>
      <w:r w:rsidR="003B666C" w:rsidRPr="0080799D">
        <w:rPr>
          <w:rFonts w:asciiTheme="minorHAnsi" w:eastAsia="Calibri" w:hAnsiTheme="minorHAnsi" w:cstheme="minorHAnsi"/>
          <w:rtl/>
        </w:rPr>
        <w:t xml:space="preserve">ענף הנדל"ן </w:t>
      </w:r>
      <w:r w:rsidR="00E31EAB" w:rsidRPr="0080799D">
        <w:rPr>
          <w:rFonts w:asciiTheme="minorHAnsi" w:eastAsia="Calibri" w:hAnsiTheme="minorHAnsi" w:cstheme="minorHAnsi"/>
          <w:rtl/>
        </w:rPr>
        <w:t>(תרשים 1).</w:t>
      </w:r>
    </w:p>
    <w:p w:rsidR="00162DF4" w:rsidRPr="0080799D" w:rsidRDefault="005C0D99" w:rsidP="00B30317">
      <w:pPr>
        <w:pStyle w:val="NormalWeb"/>
        <w:bidi/>
        <w:jc w:val="both"/>
        <w:rPr>
          <w:rFonts w:asciiTheme="minorHAnsi" w:eastAsia="Calibri" w:hAnsiTheme="minorHAnsi" w:cstheme="minorHAnsi"/>
          <w:rtl/>
        </w:rPr>
      </w:pPr>
      <w:r w:rsidRPr="0080799D">
        <w:rPr>
          <w:rFonts w:asciiTheme="minorHAnsi" w:eastAsia="Calibri" w:hAnsiTheme="minorHAnsi" w:cstheme="minorHAnsi"/>
          <w:rtl/>
        </w:rPr>
        <w:t>תרשים 1. מאזני נטו</w:t>
      </w:r>
      <w:r w:rsidR="00536101" w:rsidRPr="0080799D">
        <w:rPr>
          <w:rFonts w:asciiTheme="minorHAnsi" w:eastAsia="Calibri" w:hAnsiTheme="minorHAnsi" w:cstheme="minorHAnsi"/>
          <w:rtl/>
        </w:rPr>
        <w:t>*</w:t>
      </w:r>
      <w:r w:rsidRPr="0080799D">
        <w:rPr>
          <w:rFonts w:asciiTheme="minorHAnsi" w:eastAsia="Calibri" w:hAnsiTheme="minorHAnsi" w:cstheme="minorHAnsi"/>
          <w:rtl/>
        </w:rPr>
        <w:t xml:space="preserve"> של השינוי בביקוש לאשראי (</w:t>
      </w:r>
      <w:r w:rsidR="009B022C" w:rsidRPr="0080799D">
        <w:rPr>
          <w:rFonts w:asciiTheme="minorHAnsi" w:eastAsia="Calibri" w:hAnsiTheme="minorHAnsi" w:cstheme="minorHAnsi"/>
          <w:rtl/>
        </w:rPr>
        <w:t>נתוני ה</w:t>
      </w:r>
      <w:r w:rsidRPr="0080799D">
        <w:rPr>
          <w:rFonts w:asciiTheme="minorHAnsi" w:eastAsia="Calibri" w:hAnsiTheme="minorHAnsi" w:cstheme="minorHAnsi"/>
          <w:rtl/>
        </w:rPr>
        <w:t xml:space="preserve">צפי בקו מקווקו) </w:t>
      </w:r>
    </w:p>
    <w:p w:rsidR="003B6465" w:rsidRPr="0080799D" w:rsidRDefault="00CB6ADE" w:rsidP="003B6465">
      <w:pPr>
        <w:pStyle w:val="NormalWeb"/>
        <w:bidi/>
        <w:jc w:val="both"/>
        <w:rPr>
          <w:rFonts w:asciiTheme="minorHAnsi" w:eastAsia="Calibri" w:hAnsiTheme="minorHAnsi" w:cstheme="minorHAnsi"/>
          <w:rtl/>
        </w:rPr>
      </w:pPr>
      <w:r w:rsidRPr="0080799D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63FE935E" wp14:editId="38686A3F">
            <wp:extent cx="4582160" cy="2933700"/>
            <wp:effectExtent l="0" t="0" r="8890" b="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0D99" w:rsidRPr="0080799D" w:rsidRDefault="005C0D99" w:rsidP="00D34346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80799D">
        <w:rPr>
          <w:rFonts w:asciiTheme="minorHAnsi" w:eastAsia="Calibri" w:hAnsiTheme="minorHAnsi" w:cstheme="minorHAnsi"/>
          <w:rtl/>
        </w:rPr>
        <w:t xml:space="preserve"> </w:t>
      </w:r>
      <w:r w:rsidR="00CB6ADE" w:rsidRPr="0080799D">
        <w:rPr>
          <w:rFonts w:asciiTheme="minorHAnsi" w:hAnsiTheme="minorHAnsi" w:cstheme="minorHAnsi"/>
          <w:noProof/>
        </w:rPr>
        <w:drawing>
          <wp:inline distT="0" distB="0" distL="0" distR="0" wp14:anchorId="28C23F74" wp14:editId="3F09068E">
            <wp:extent cx="4588510" cy="3327400"/>
            <wp:effectExtent l="0" t="0" r="2540" b="6350"/>
            <wp:docPr id="9" name="תרשים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7360" w:rsidRPr="0080799D" w:rsidRDefault="00536101" w:rsidP="00C5486D">
      <w:pPr>
        <w:pStyle w:val="NormalWeb"/>
        <w:bidi/>
        <w:rPr>
          <w:rFonts w:asciiTheme="minorHAnsi" w:eastAsia="Calibri" w:hAnsiTheme="minorHAnsi" w:cstheme="minorHAnsi"/>
        </w:rPr>
      </w:pPr>
      <w:r w:rsidRPr="0080799D">
        <w:rPr>
          <w:rFonts w:asciiTheme="minorHAnsi" w:eastAsia="Calibri" w:hAnsiTheme="minorHAnsi" w:cstheme="minorHAnsi"/>
          <w:rtl/>
        </w:rPr>
        <w:t>* ערך חיובי מתאר גידול בביקוש לאשראי ולהיפך</w:t>
      </w:r>
    </w:p>
    <w:p w:rsidR="002B7360" w:rsidRPr="0080799D" w:rsidRDefault="007D08F5" w:rsidP="00E404BD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80799D">
        <w:rPr>
          <w:rFonts w:asciiTheme="minorHAnsi" w:eastAsia="Calibri" w:hAnsiTheme="minorHAnsi" w:cstheme="minorHAnsi"/>
          <w:rtl/>
        </w:rPr>
        <w:t xml:space="preserve">מבחינת ההשפעה של גורמים </w:t>
      </w:r>
      <w:r w:rsidR="00800697" w:rsidRPr="0080799D">
        <w:rPr>
          <w:rFonts w:asciiTheme="minorHAnsi" w:eastAsia="Calibri" w:hAnsiTheme="minorHAnsi" w:cstheme="minorHAnsi"/>
          <w:rtl/>
        </w:rPr>
        <w:t xml:space="preserve">שונים </w:t>
      </w:r>
      <w:r w:rsidRPr="0080799D">
        <w:rPr>
          <w:rFonts w:asciiTheme="minorHAnsi" w:eastAsia="Calibri" w:hAnsiTheme="minorHAnsi" w:cstheme="minorHAnsi"/>
          <w:rtl/>
        </w:rPr>
        <w:t>על הביקוש לאשראי נראה ש</w:t>
      </w:r>
      <w:r w:rsidR="00E404BD" w:rsidRPr="0080799D">
        <w:rPr>
          <w:rFonts w:asciiTheme="minorHAnsi" w:eastAsia="Calibri" w:hAnsiTheme="minorHAnsi" w:cstheme="minorHAnsi"/>
          <w:rtl/>
        </w:rPr>
        <w:t xml:space="preserve">שימוש בחלופות מימון היה </w:t>
      </w:r>
      <w:r w:rsidR="00ED6C0B" w:rsidRPr="0080799D">
        <w:rPr>
          <w:rFonts w:asciiTheme="minorHAnsi" w:eastAsia="Calibri" w:hAnsiTheme="minorHAnsi" w:cstheme="minorHAnsi"/>
          <w:rtl/>
        </w:rPr>
        <w:t>הגורם לירידה בביקוש לאשראי בענף הנדל"ן</w:t>
      </w:r>
      <w:r w:rsidR="00887CFD" w:rsidRPr="0080799D">
        <w:rPr>
          <w:rFonts w:asciiTheme="minorHAnsi" w:eastAsia="Calibri" w:hAnsiTheme="minorHAnsi" w:cstheme="minorHAnsi"/>
          <w:rtl/>
        </w:rPr>
        <w:t xml:space="preserve"> ברביע השלישי של 2025</w:t>
      </w:r>
      <w:r w:rsidR="00D152DB" w:rsidRPr="0080799D">
        <w:rPr>
          <w:rFonts w:asciiTheme="minorHAnsi" w:eastAsia="Calibri" w:hAnsiTheme="minorHAnsi" w:cstheme="minorHAnsi"/>
          <w:rtl/>
        </w:rPr>
        <w:t xml:space="preserve">. </w:t>
      </w:r>
      <w:r w:rsidR="00ED6C0B" w:rsidRPr="0080799D">
        <w:rPr>
          <w:rFonts w:asciiTheme="minorHAnsi" w:eastAsia="Calibri" w:hAnsiTheme="minorHAnsi" w:cstheme="minorHAnsi"/>
          <w:rtl/>
        </w:rPr>
        <w:t xml:space="preserve"> </w:t>
      </w:r>
      <w:r w:rsidR="008876E3" w:rsidRPr="0080799D">
        <w:rPr>
          <w:rFonts w:asciiTheme="minorHAnsi" w:eastAsia="Calibri" w:hAnsiTheme="minorHAnsi" w:cstheme="minorHAnsi"/>
          <w:rtl/>
        </w:rPr>
        <w:t>(תרשים 2).</w:t>
      </w:r>
    </w:p>
    <w:p w:rsidR="003D2919" w:rsidRPr="0080799D" w:rsidRDefault="00162DF4" w:rsidP="0080799D">
      <w:pPr>
        <w:pStyle w:val="NormalWeb"/>
        <w:bidi/>
        <w:spacing w:line="360" w:lineRule="auto"/>
        <w:rPr>
          <w:rFonts w:asciiTheme="minorHAnsi" w:eastAsia="Calibri" w:hAnsiTheme="minorHAnsi" w:cstheme="minorHAnsi"/>
          <w:rtl/>
        </w:rPr>
      </w:pPr>
      <w:r w:rsidRPr="0080799D">
        <w:rPr>
          <w:rFonts w:asciiTheme="minorHAnsi" w:eastAsia="Calibri" w:hAnsiTheme="minorHAnsi" w:cstheme="minorHAnsi"/>
          <w:rtl/>
        </w:rPr>
        <w:lastRenderedPageBreak/>
        <w:t>תרשים 2. מאזני נטו</w:t>
      </w:r>
      <w:r w:rsidR="003578FC" w:rsidRPr="0080799D">
        <w:rPr>
          <w:rFonts w:asciiTheme="minorHAnsi" w:eastAsia="Calibri" w:hAnsiTheme="minorHAnsi" w:cstheme="minorHAnsi"/>
          <w:rtl/>
        </w:rPr>
        <w:t>*</w:t>
      </w:r>
      <w:r w:rsidRPr="0080799D">
        <w:rPr>
          <w:rFonts w:asciiTheme="minorHAnsi" w:eastAsia="Calibri" w:hAnsiTheme="minorHAnsi" w:cstheme="minorHAnsi"/>
          <w:rtl/>
        </w:rPr>
        <w:t xml:space="preserve"> של השינוי בהשפעתם של גורמים שונים על הביקוש לאשראי</w:t>
      </w:r>
      <w:r w:rsidR="00ED6C0B" w:rsidRPr="0080799D">
        <w:rPr>
          <w:rFonts w:asciiTheme="minorHAnsi" w:eastAsia="Calibri" w:hAnsiTheme="minorHAnsi" w:cstheme="minorHAnsi"/>
          <w:noProof/>
          <w:rtl/>
        </w:rPr>
        <w:t xml:space="preserve"> </w:t>
      </w:r>
      <w:r w:rsidR="00ED6C0B" w:rsidRPr="0080799D">
        <w:rPr>
          <w:rFonts w:asciiTheme="minorHAnsi" w:eastAsia="Calibri" w:hAnsiTheme="minorHAnsi" w:cstheme="minorHAnsi"/>
          <w:rtl/>
        </w:rPr>
        <w:t>לענף</w:t>
      </w:r>
      <w:r w:rsidR="00CB6ADE" w:rsidRPr="0080799D">
        <w:rPr>
          <w:rFonts w:asciiTheme="minorHAnsi" w:eastAsia="Calibri" w:hAnsiTheme="minorHAnsi" w:cstheme="minorHAnsi"/>
          <w:rtl/>
        </w:rPr>
        <w:t xml:space="preserve"> הנדל"ן</w:t>
      </w:r>
      <w:r w:rsidR="00ED6C0B" w:rsidRPr="0080799D">
        <w:rPr>
          <w:rFonts w:asciiTheme="minorHAnsi" w:eastAsia="Calibri" w:hAnsiTheme="minorHAnsi" w:cstheme="minorHAnsi"/>
          <w:rtl/>
        </w:rPr>
        <w:t xml:space="preserve"> </w:t>
      </w:r>
      <w:r w:rsidR="00CB6ADE" w:rsidRPr="0080799D">
        <w:rPr>
          <w:rFonts w:asciiTheme="minorHAnsi" w:hAnsiTheme="minorHAnsi" w:cstheme="minorHAnsi"/>
          <w:noProof/>
        </w:rPr>
        <w:drawing>
          <wp:inline distT="0" distB="0" distL="0" distR="0" wp14:anchorId="52501AA7" wp14:editId="4102769A">
            <wp:extent cx="4895850" cy="3498850"/>
            <wp:effectExtent l="0" t="0" r="0" b="6350"/>
            <wp:docPr id="10" name="תרשים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0317" w:rsidRPr="0080799D" w:rsidRDefault="00CB6ADE" w:rsidP="0080799D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80799D">
        <w:rPr>
          <w:rFonts w:asciiTheme="minorHAnsi" w:eastAsia="Calibri" w:hAnsiTheme="minorHAnsi" w:cstheme="minorHAnsi"/>
          <w:rtl/>
        </w:rPr>
        <w:t>*</w:t>
      </w:r>
      <w:r w:rsidR="003578FC" w:rsidRPr="0080799D">
        <w:rPr>
          <w:rFonts w:asciiTheme="minorHAnsi" w:eastAsia="Calibri" w:hAnsiTheme="minorHAnsi" w:cstheme="minorHAnsi"/>
          <w:rtl/>
        </w:rPr>
        <w:t xml:space="preserve"> ערך חיוב</w:t>
      </w:r>
      <w:r w:rsidR="00B1613B" w:rsidRPr="0080799D">
        <w:rPr>
          <w:rFonts w:asciiTheme="minorHAnsi" w:eastAsia="Calibri" w:hAnsiTheme="minorHAnsi" w:cstheme="minorHAnsi"/>
          <w:rtl/>
        </w:rPr>
        <w:t>י מתאר תרומה לעליה בביקוש ולהיפך</w:t>
      </w:r>
    </w:p>
    <w:p w:rsidR="008876E3" w:rsidRPr="0080799D" w:rsidRDefault="008876E3" w:rsidP="00B30317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80799D">
        <w:rPr>
          <w:rFonts w:asciiTheme="minorHAnsi" w:eastAsia="Calibri" w:hAnsiTheme="minorHAnsi" w:cstheme="minorHAnsi"/>
          <w:rtl/>
        </w:rPr>
        <w:t>ב. היצע האשראי</w:t>
      </w:r>
    </w:p>
    <w:p w:rsidR="008468BD" w:rsidRPr="0080799D" w:rsidRDefault="008876E3" w:rsidP="0080799D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80799D">
        <w:rPr>
          <w:rFonts w:asciiTheme="minorHAnsi" w:eastAsia="Calibri" w:hAnsiTheme="minorHAnsi" w:cstheme="minorHAnsi"/>
          <w:rtl/>
        </w:rPr>
        <w:t xml:space="preserve">ההגמשה בתנאי האשראי נמשכה </w:t>
      </w:r>
      <w:r w:rsidR="00C702AC" w:rsidRPr="0080799D">
        <w:rPr>
          <w:rFonts w:asciiTheme="minorHAnsi" w:eastAsia="Calibri" w:hAnsiTheme="minorHAnsi" w:cstheme="minorHAnsi"/>
          <w:rtl/>
        </w:rPr>
        <w:t>ברביע ה</w:t>
      </w:r>
      <w:r w:rsidR="00141441" w:rsidRPr="0080799D">
        <w:rPr>
          <w:rFonts w:asciiTheme="minorHAnsi" w:eastAsia="Calibri" w:hAnsiTheme="minorHAnsi" w:cstheme="minorHAnsi"/>
          <w:rtl/>
        </w:rPr>
        <w:t>ש</w:t>
      </w:r>
      <w:r w:rsidR="00EE6789" w:rsidRPr="0080799D">
        <w:rPr>
          <w:rFonts w:asciiTheme="minorHAnsi" w:eastAsia="Calibri" w:hAnsiTheme="minorHAnsi" w:cstheme="minorHAnsi"/>
          <w:rtl/>
        </w:rPr>
        <w:t xml:space="preserve">לישי </w:t>
      </w:r>
      <w:r w:rsidR="00C702AC" w:rsidRPr="0080799D">
        <w:rPr>
          <w:rFonts w:asciiTheme="minorHAnsi" w:eastAsia="Calibri" w:hAnsiTheme="minorHAnsi" w:cstheme="minorHAnsi"/>
          <w:rtl/>
        </w:rPr>
        <w:t xml:space="preserve">של השנה </w:t>
      </w:r>
      <w:r w:rsidRPr="0080799D">
        <w:rPr>
          <w:rFonts w:asciiTheme="minorHAnsi" w:eastAsia="Calibri" w:hAnsiTheme="minorHAnsi" w:cstheme="minorHAnsi"/>
          <w:rtl/>
        </w:rPr>
        <w:t>ב</w:t>
      </w:r>
      <w:r w:rsidR="00C702AC" w:rsidRPr="0080799D">
        <w:rPr>
          <w:rFonts w:asciiTheme="minorHAnsi" w:eastAsia="Calibri" w:hAnsiTheme="minorHAnsi" w:cstheme="minorHAnsi"/>
          <w:rtl/>
        </w:rPr>
        <w:t xml:space="preserve">רב </w:t>
      </w:r>
      <w:r w:rsidR="0037416E" w:rsidRPr="0080799D">
        <w:rPr>
          <w:rFonts w:asciiTheme="minorHAnsi" w:eastAsia="Calibri" w:hAnsiTheme="minorHAnsi" w:cstheme="minorHAnsi"/>
          <w:rtl/>
        </w:rPr>
        <w:t>מגזרי האשראי</w:t>
      </w:r>
      <w:r w:rsidRPr="0080799D">
        <w:rPr>
          <w:rFonts w:asciiTheme="minorHAnsi" w:eastAsia="Calibri" w:hAnsiTheme="minorHAnsi" w:cstheme="minorHAnsi"/>
          <w:rtl/>
        </w:rPr>
        <w:t xml:space="preserve"> והתבטאה בעיקר במרווחי האשראי </w:t>
      </w:r>
      <w:r w:rsidR="00A10E1B" w:rsidRPr="0080799D">
        <w:rPr>
          <w:rFonts w:asciiTheme="minorHAnsi" w:eastAsia="Calibri" w:hAnsiTheme="minorHAnsi" w:cstheme="minorHAnsi"/>
          <w:rtl/>
        </w:rPr>
        <w:t>ברמת סיכון לא גבוהה</w:t>
      </w:r>
      <w:r w:rsidR="0037416E" w:rsidRPr="0080799D">
        <w:rPr>
          <w:rFonts w:asciiTheme="minorHAnsi" w:eastAsia="Calibri" w:hAnsiTheme="minorHAnsi" w:cstheme="minorHAnsi"/>
          <w:rtl/>
        </w:rPr>
        <w:t>.</w:t>
      </w:r>
      <w:r w:rsidR="00C702AC" w:rsidRPr="0080799D">
        <w:rPr>
          <w:rFonts w:asciiTheme="minorHAnsi" w:eastAsia="Calibri" w:hAnsiTheme="minorHAnsi" w:cstheme="minorHAnsi"/>
          <w:rtl/>
        </w:rPr>
        <w:t xml:space="preserve"> בצד זאת, </w:t>
      </w:r>
      <w:r w:rsidR="009631E4" w:rsidRPr="0080799D">
        <w:rPr>
          <w:rFonts w:asciiTheme="minorHAnsi" w:eastAsia="Calibri" w:hAnsiTheme="minorHAnsi" w:cstheme="minorHAnsi"/>
          <w:rtl/>
        </w:rPr>
        <w:t>הסתמנה</w:t>
      </w:r>
      <w:r w:rsidR="00C702AC" w:rsidRPr="0080799D">
        <w:rPr>
          <w:rFonts w:asciiTheme="minorHAnsi" w:eastAsia="Calibri" w:hAnsiTheme="minorHAnsi" w:cstheme="minorHAnsi"/>
          <w:rtl/>
        </w:rPr>
        <w:t xml:space="preserve"> הקשחה במרווחי האשראי לדיור</w:t>
      </w:r>
      <w:r w:rsidR="003A6F42" w:rsidRPr="0080799D">
        <w:rPr>
          <w:rFonts w:asciiTheme="minorHAnsi" w:eastAsia="Calibri" w:hAnsiTheme="minorHAnsi" w:cstheme="minorHAnsi"/>
          <w:rtl/>
        </w:rPr>
        <w:t xml:space="preserve"> ואשראי לעסקים זעירים וקטנים</w:t>
      </w:r>
      <w:r w:rsidR="00C702AC" w:rsidRPr="0080799D">
        <w:rPr>
          <w:rFonts w:asciiTheme="minorHAnsi" w:eastAsia="Calibri" w:hAnsiTheme="minorHAnsi" w:cstheme="minorHAnsi"/>
          <w:rtl/>
        </w:rPr>
        <w:t xml:space="preserve"> </w:t>
      </w:r>
      <w:r w:rsidR="0037416E" w:rsidRPr="0080799D">
        <w:rPr>
          <w:rFonts w:asciiTheme="minorHAnsi" w:eastAsia="Calibri" w:hAnsiTheme="minorHAnsi" w:cstheme="minorHAnsi"/>
          <w:rtl/>
        </w:rPr>
        <w:t xml:space="preserve">(תרשים 3). </w:t>
      </w:r>
      <w:r w:rsidR="00C702AC" w:rsidRPr="0080799D">
        <w:rPr>
          <w:rFonts w:asciiTheme="minorHAnsi" w:eastAsia="Calibri" w:hAnsiTheme="minorHAnsi" w:cstheme="minorHAnsi"/>
          <w:rtl/>
        </w:rPr>
        <w:t xml:space="preserve">   </w:t>
      </w:r>
      <w:r w:rsidR="00167E6E" w:rsidRPr="0080799D">
        <w:rPr>
          <w:rFonts w:asciiTheme="minorHAnsi" w:eastAsia="Calibri" w:hAnsiTheme="minorHAnsi" w:cstheme="minorHAnsi"/>
          <w:rtl/>
        </w:rPr>
        <w:t xml:space="preserve"> </w:t>
      </w:r>
    </w:p>
    <w:p w:rsidR="00D70679" w:rsidRPr="0080799D" w:rsidRDefault="00D70679" w:rsidP="008468BD">
      <w:pPr>
        <w:pStyle w:val="NormalWeb"/>
        <w:bidi/>
        <w:jc w:val="both"/>
        <w:rPr>
          <w:rFonts w:asciiTheme="minorHAnsi" w:eastAsia="Calibri" w:hAnsiTheme="minorHAnsi" w:cstheme="minorHAnsi"/>
          <w:rtl/>
        </w:rPr>
      </w:pPr>
      <w:r w:rsidRPr="0080799D">
        <w:rPr>
          <w:rFonts w:asciiTheme="minorHAnsi" w:eastAsia="Calibri" w:hAnsiTheme="minorHAnsi" w:cstheme="minorHAnsi"/>
          <w:rtl/>
        </w:rPr>
        <w:t>תרשים 3: מאזני נטו</w:t>
      </w:r>
      <w:r w:rsidR="00786E99" w:rsidRPr="0080799D">
        <w:rPr>
          <w:rFonts w:asciiTheme="minorHAnsi" w:eastAsia="Calibri" w:hAnsiTheme="minorHAnsi" w:cstheme="minorHAnsi"/>
          <w:rtl/>
        </w:rPr>
        <w:t>*</w:t>
      </w:r>
      <w:r w:rsidRPr="0080799D">
        <w:rPr>
          <w:rFonts w:asciiTheme="minorHAnsi" w:eastAsia="Calibri" w:hAnsiTheme="minorHAnsi" w:cstheme="minorHAnsi"/>
          <w:rtl/>
        </w:rPr>
        <w:t xml:space="preserve"> לשינוי בתנאי האשראי עבור בקשות חדשות להעמדות אשראי</w:t>
      </w:r>
    </w:p>
    <w:p w:rsidR="00D70679" w:rsidRPr="0080799D" w:rsidRDefault="0093259A" w:rsidP="00D70679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80799D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4175742F" wp14:editId="32B27894">
            <wp:extent cx="5032375" cy="3422650"/>
            <wp:effectExtent l="0" t="0" r="15875" b="6350"/>
            <wp:docPr id="11" name="תרשים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613B" w:rsidRPr="0080799D" w:rsidRDefault="0093259A" w:rsidP="00B1613B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80799D">
        <w:rPr>
          <w:rFonts w:asciiTheme="minorHAnsi" w:hAnsiTheme="minorHAnsi" w:cstheme="minorHAnsi"/>
          <w:noProof/>
        </w:rPr>
        <w:drawing>
          <wp:inline distT="0" distB="0" distL="0" distR="0" wp14:anchorId="0B93FC67" wp14:editId="75C58B73">
            <wp:extent cx="4976301" cy="3803650"/>
            <wp:effectExtent l="0" t="0" r="15240" b="6350"/>
            <wp:docPr id="12" name="תרשים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B7360" w:rsidRPr="0080799D" w:rsidRDefault="00786E99" w:rsidP="005B7915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</w:rPr>
      </w:pPr>
      <w:r w:rsidRPr="0080799D">
        <w:rPr>
          <w:rFonts w:asciiTheme="minorHAnsi" w:eastAsia="Calibri" w:hAnsiTheme="minorHAnsi" w:cstheme="minorHAnsi"/>
          <w:rtl/>
        </w:rPr>
        <w:t>* ערך חיוב</w:t>
      </w:r>
      <w:r w:rsidR="00B1613B" w:rsidRPr="0080799D">
        <w:rPr>
          <w:rFonts w:asciiTheme="minorHAnsi" w:eastAsia="Calibri" w:hAnsiTheme="minorHAnsi" w:cstheme="minorHAnsi"/>
          <w:rtl/>
        </w:rPr>
        <w:t>י מתאר הקשחה בתנאי האשראי ולהיפך</w:t>
      </w:r>
    </w:p>
    <w:p w:rsidR="0093259A" w:rsidRPr="0080799D" w:rsidRDefault="0093259A" w:rsidP="006D345F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</w:p>
    <w:p w:rsidR="006F4FDC" w:rsidRPr="0080799D" w:rsidRDefault="0084730E" w:rsidP="0093259A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80799D">
        <w:rPr>
          <w:rFonts w:asciiTheme="minorHAnsi" w:eastAsia="Calibri" w:hAnsiTheme="minorHAnsi" w:cstheme="minorHAnsi"/>
          <w:rtl/>
        </w:rPr>
        <w:lastRenderedPageBreak/>
        <w:t xml:space="preserve">הגורמים העיקריים להגמשה במרווחים </w:t>
      </w:r>
      <w:r w:rsidR="00135A3D" w:rsidRPr="0080799D">
        <w:rPr>
          <w:rFonts w:asciiTheme="minorHAnsi" w:eastAsia="Calibri" w:hAnsiTheme="minorHAnsi" w:cstheme="minorHAnsi"/>
          <w:rtl/>
        </w:rPr>
        <w:t>ה</w:t>
      </w:r>
      <w:r w:rsidRPr="0080799D">
        <w:rPr>
          <w:rFonts w:asciiTheme="minorHAnsi" w:eastAsia="Calibri" w:hAnsiTheme="minorHAnsi" w:cstheme="minorHAnsi"/>
          <w:rtl/>
        </w:rPr>
        <w:t>משיכו להיות גורמי</w:t>
      </w:r>
      <w:r w:rsidR="00CA541E" w:rsidRPr="0080799D">
        <w:rPr>
          <w:rFonts w:asciiTheme="minorHAnsi" w:eastAsia="Calibri" w:hAnsiTheme="minorHAnsi" w:cstheme="minorHAnsi"/>
          <w:rtl/>
        </w:rPr>
        <w:t xml:space="preserve"> התחרות</w:t>
      </w:r>
      <w:r w:rsidRPr="0080799D">
        <w:rPr>
          <w:rFonts w:asciiTheme="minorHAnsi" w:eastAsia="Calibri" w:hAnsiTheme="minorHAnsi" w:cstheme="minorHAnsi"/>
          <w:rtl/>
        </w:rPr>
        <w:t xml:space="preserve"> </w:t>
      </w:r>
      <w:r w:rsidR="006F4FDC" w:rsidRPr="0080799D">
        <w:rPr>
          <w:rFonts w:asciiTheme="minorHAnsi" w:eastAsia="Calibri" w:hAnsiTheme="minorHAnsi" w:cstheme="minorHAnsi"/>
          <w:rtl/>
        </w:rPr>
        <w:t>(תרשים 4)</w:t>
      </w:r>
      <w:r w:rsidRPr="0080799D">
        <w:rPr>
          <w:rFonts w:asciiTheme="minorHAnsi" w:eastAsia="Calibri" w:hAnsiTheme="minorHAnsi" w:cstheme="minorHAnsi"/>
          <w:rtl/>
        </w:rPr>
        <w:t>.</w:t>
      </w:r>
    </w:p>
    <w:p w:rsidR="00363ABE" w:rsidRPr="0080799D" w:rsidRDefault="006F4FDC" w:rsidP="00012FA3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80799D">
        <w:rPr>
          <w:rFonts w:asciiTheme="minorHAnsi" w:eastAsia="Calibri" w:hAnsiTheme="minorHAnsi" w:cstheme="minorHAnsi"/>
          <w:rtl/>
        </w:rPr>
        <w:t xml:space="preserve">תרשים 4. </w:t>
      </w:r>
      <w:r w:rsidR="00363ABE" w:rsidRPr="0080799D">
        <w:rPr>
          <w:rFonts w:asciiTheme="minorHAnsi" w:eastAsia="Calibri" w:hAnsiTheme="minorHAnsi" w:cstheme="minorHAnsi"/>
          <w:rtl/>
        </w:rPr>
        <w:t>מאזני נטו</w:t>
      </w:r>
      <w:r w:rsidR="00012FA3" w:rsidRPr="0080799D">
        <w:rPr>
          <w:rFonts w:asciiTheme="minorHAnsi" w:eastAsia="Calibri" w:hAnsiTheme="minorHAnsi" w:cstheme="minorHAnsi"/>
          <w:rtl/>
        </w:rPr>
        <w:t>*</w:t>
      </w:r>
      <w:r w:rsidR="00363ABE" w:rsidRPr="0080799D">
        <w:rPr>
          <w:rFonts w:asciiTheme="minorHAnsi" w:eastAsia="Calibri" w:hAnsiTheme="minorHAnsi" w:cstheme="minorHAnsi"/>
          <w:rtl/>
        </w:rPr>
        <w:t xml:space="preserve"> של השינויים בהשפעתם של גורמים שונים על השינוי במרווחי האשראי</w:t>
      </w:r>
      <w:r w:rsidR="00D20F2F" w:rsidRPr="0080799D">
        <w:rPr>
          <w:rFonts w:asciiTheme="minorHAnsi" w:eastAsia="Calibri" w:hAnsiTheme="minorHAnsi" w:cstheme="minorHAnsi"/>
          <w:rtl/>
        </w:rPr>
        <w:t xml:space="preserve"> </w:t>
      </w:r>
    </w:p>
    <w:p w:rsidR="002C664A" w:rsidRPr="0080799D" w:rsidRDefault="0093259A" w:rsidP="002C664A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80799D">
        <w:rPr>
          <w:rFonts w:asciiTheme="minorHAnsi" w:hAnsiTheme="minorHAnsi" w:cstheme="minorHAnsi"/>
          <w:noProof/>
        </w:rPr>
        <w:drawing>
          <wp:inline distT="0" distB="0" distL="0" distR="0" wp14:anchorId="7BFE4C63" wp14:editId="5659872E">
            <wp:extent cx="5714007" cy="3561715"/>
            <wp:effectExtent l="0" t="0" r="1270" b="635"/>
            <wp:docPr id="13" name="תרשים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63ABE" w:rsidRPr="0080799D" w:rsidRDefault="00F70670" w:rsidP="00C16B56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80799D">
        <w:rPr>
          <w:rFonts w:asciiTheme="minorHAnsi" w:hAnsiTheme="minorHAnsi" w:cstheme="minorHAnsi"/>
          <w:noProof/>
        </w:rPr>
        <w:drawing>
          <wp:inline distT="0" distB="0" distL="0" distR="0" wp14:anchorId="63ED3F9A" wp14:editId="19CB41A7">
            <wp:extent cx="5807351" cy="3593990"/>
            <wp:effectExtent l="0" t="0" r="3175" b="6985"/>
            <wp:docPr id="15" name="תרשים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1613B" w:rsidRPr="0080799D" w:rsidRDefault="00561A06" w:rsidP="00F70670">
      <w:pPr>
        <w:pStyle w:val="NormalWeb"/>
        <w:bidi/>
        <w:spacing w:line="360" w:lineRule="auto"/>
        <w:jc w:val="both"/>
        <w:rPr>
          <w:rFonts w:asciiTheme="minorHAnsi" w:eastAsia="Calibri" w:hAnsiTheme="minorHAnsi" w:cstheme="minorHAnsi"/>
          <w:rtl/>
        </w:rPr>
      </w:pPr>
      <w:r w:rsidRPr="0080799D">
        <w:rPr>
          <w:rFonts w:asciiTheme="minorHAnsi" w:eastAsia="Calibri" w:hAnsiTheme="minorHAnsi" w:cstheme="minorHAnsi"/>
          <w:rtl/>
        </w:rPr>
        <w:t>* ערך חיובי מתאר תרומה להקשחה במרווחים ולהיפך</w:t>
      </w:r>
    </w:p>
    <w:sectPr w:rsidR="00B1613B" w:rsidRPr="0080799D" w:rsidSect="0080799D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36" w:rsidRDefault="00D37836" w:rsidP="00343A83">
      <w:pPr>
        <w:spacing w:after="0" w:line="240" w:lineRule="auto"/>
      </w:pPr>
      <w:r>
        <w:separator/>
      </w:r>
    </w:p>
  </w:endnote>
  <w:endnote w:type="continuationSeparator" w:id="0">
    <w:p w:rsidR="00D37836" w:rsidRDefault="00D37836" w:rsidP="0034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36" w:rsidRDefault="00D37836" w:rsidP="00343A83">
      <w:pPr>
        <w:spacing w:after="0" w:line="240" w:lineRule="auto"/>
      </w:pPr>
      <w:r>
        <w:separator/>
      </w:r>
    </w:p>
  </w:footnote>
  <w:footnote w:type="continuationSeparator" w:id="0">
    <w:p w:rsidR="00D37836" w:rsidRDefault="00D37836" w:rsidP="00343A83">
      <w:pPr>
        <w:spacing w:after="0" w:line="240" w:lineRule="auto"/>
      </w:pPr>
      <w:r>
        <w:continuationSeparator/>
      </w:r>
    </w:p>
  </w:footnote>
  <w:footnote w:id="1">
    <w:p w:rsidR="00B51A9A" w:rsidRPr="0080799D" w:rsidRDefault="0084093E" w:rsidP="0080799D">
      <w:pPr>
        <w:pStyle w:val="a3"/>
        <w:ind w:left="-58"/>
        <w:jc w:val="left"/>
        <w:rPr>
          <w:rFonts w:asciiTheme="minorHAnsi" w:hAnsiTheme="minorHAnsi" w:cstheme="minorHAnsi"/>
          <w:sz w:val="16"/>
          <w:szCs w:val="16"/>
          <w:rtl/>
        </w:rPr>
      </w:pPr>
      <w:r w:rsidRPr="00ED21F7">
        <w:rPr>
          <w:rStyle w:val="a5"/>
          <w:rFonts w:asciiTheme="minorBidi" w:hAnsiTheme="minorBidi" w:cstheme="minorBidi"/>
        </w:rPr>
        <w:footnoteRef/>
      </w:r>
      <w:r w:rsidRPr="00ED21F7">
        <w:rPr>
          <w:rFonts w:asciiTheme="minorBidi" w:hAnsiTheme="minorBidi" w:cstheme="minorBidi"/>
          <w:rtl/>
        </w:rPr>
        <w:t xml:space="preserve"> </w:t>
      </w:r>
      <w:r w:rsidRPr="0080799D">
        <w:rPr>
          <w:rFonts w:asciiTheme="minorHAnsi" w:hAnsiTheme="minorHAnsi" w:cstheme="minorHAnsi"/>
          <w:sz w:val="16"/>
          <w:szCs w:val="16"/>
          <w:rtl/>
        </w:rPr>
        <w:t xml:space="preserve">מאזן נטו מחושב כהפרש בין אחוז התשובות בצד החיובי לאחוז התשובות בצד השלילי. בשאלות לגבי הביקוש לאשראי התשובות "עלה/עלה מאוד" הוגדרו בצד החיובי והתשובות "ירד/ירד מאוד" הוגדרו בצד השלילי, כך שמאזן נטו חיובי משקף עליה בביקוש לאשראי ולהיפך. בשאלות לגבי היצע האשראי כלומר מדיניות העמדת האשראי ותנאי האשראי התשובות "הקשחה ניכרת/הקשחה מסוימת" הוגדרו בצד החיובי והתשובות "הגמשה מסוימת/הגמשה ניכרת" הוגדרו בצד השלילי, כך שמאזן נטו </w:t>
      </w:r>
      <w:r w:rsidR="002F6E2A" w:rsidRPr="0080799D">
        <w:rPr>
          <w:rFonts w:asciiTheme="minorHAnsi" w:hAnsiTheme="minorHAnsi" w:cstheme="minorHAnsi"/>
          <w:sz w:val="16"/>
          <w:szCs w:val="16"/>
          <w:rtl/>
        </w:rPr>
        <w:t>חיובי</w:t>
      </w:r>
      <w:r w:rsidRPr="0080799D">
        <w:rPr>
          <w:rFonts w:asciiTheme="minorHAnsi" w:hAnsiTheme="minorHAnsi" w:cstheme="minorHAnsi"/>
          <w:sz w:val="16"/>
          <w:szCs w:val="16"/>
          <w:rtl/>
        </w:rPr>
        <w:t xml:space="preserve"> משקף הקשחה במדיניות או בתנאי האשראי ולהיפך. התשובות שוקללו בהתאם לנתח של כל בנק בכל סגמנט של אשראי.  </w:t>
      </w:r>
    </w:p>
    <w:p w:rsidR="0084093E" w:rsidRPr="0080799D" w:rsidRDefault="0084093E" w:rsidP="0080799D">
      <w:pPr>
        <w:pStyle w:val="a3"/>
        <w:ind w:left="-58"/>
        <w:jc w:val="left"/>
        <w:rPr>
          <w:rFonts w:asciiTheme="minorHAnsi" w:hAnsiTheme="minorHAnsi" w:cstheme="minorHAnsi"/>
          <w:sz w:val="16"/>
          <w:szCs w:val="16"/>
          <w:rtl/>
        </w:rPr>
      </w:pPr>
      <w:r w:rsidRPr="0080799D">
        <w:rPr>
          <w:rFonts w:asciiTheme="minorHAnsi" w:hAnsiTheme="minorHAnsi" w:cstheme="minorHAnsi"/>
          <w:sz w:val="16"/>
          <w:szCs w:val="16"/>
          <w:rtl/>
        </w:rPr>
        <w:t xml:space="preserve"> </w:t>
      </w:r>
    </w:p>
  </w:footnote>
  <w:footnote w:id="2">
    <w:p w:rsidR="006A7B09" w:rsidRPr="0080799D" w:rsidRDefault="006A7B09" w:rsidP="0080799D">
      <w:pPr>
        <w:pStyle w:val="a3"/>
        <w:ind w:left="0"/>
        <w:jc w:val="left"/>
        <w:rPr>
          <w:rFonts w:asciiTheme="minorHAnsi" w:hAnsiTheme="minorHAnsi" w:cstheme="minorHAnsi"/>
          <w:sz w:val="16"/>
          <w:szCs w:val="16"/>
          <w:rtl/>
        </w:rPr>
      </w:pPr>
      <w:r w:rsidRPr="0080799D">
        <w:rPr>
          <w:rStyle w:val="a5"/>
          <w:rFonts w:asciiTheme="minorHAnsi" w:hAnsiTheme="minorHAnsi" w:cstheme="minorHAnsi"/>
          <w:sz w:val="16"/>
          <w:szCs w:val="16"/>
        </w:rPr>
        <w:footnoteRef/>
      </w:r>
      <w:r w:rsidRPr="0080799D">
        <w:rPr>
          <w:rFonts w:asciiTheme="minorHAnsi" w:hAnsiTheme="minorHAnsi" w:cstheme="minorHAnsi"/>
          <w:sz w:val="16"/>
          <w:szCs w:val="16"/>
          <w:rtl/>
        </w:rPr>
        <w:t xml:space="preserve"> </w:t>
      </w:r>
      <w:r w:rsidRPr="0080799D">
        <w:rPr>
          <w:rFonts w:asciiTheme="minorHAnsi" w:hAnsiTheme="minorHAnsi" w:cstheme="minorHAnsi"/>
          <w:sz w:val="16"/>
          <w:szCs w:val="16"/>
          <w:rtl/>
        </w:rPr>
        <w:t xml:space="preserve">ההגדרה של ענפי הבינוי והנדל"ן היא בהתאם לסיווג האחיד של ענפי הכלכלה של הלשכה המרכזית לסטטיסטיקה. ענף הבינוי (סדר </w:t>
      </w:r>
      <w:r w:rsidRPr="0080799D">
        <w:rPr>
          <w:rFonts w:asciiTheme="minorHAnsi" w:hAnsiTheme="minorHAnsi" w:cstheme="minorHAnsi"/>
          <w:sz w:val="16"/>
          <w:szCs w:val="16"/>
        </w:rPr>
        <w:t>F</w:t>
      </w:r>
      <w:r w:rsidRPr="0080799D">
        <w:rPr>
          <w:rFonts w:asciiTheme="minorHAnsi" w:hAnsiTheme="minorHAnsi" w:cstheme="minorHAnsi"/>
          <w:sz w:val="16"/>
          <w:szCs w:val="16"/>
          <w:rtl/>
        </w:rPr>
        <w:t xml:space="preserve"> ) כולל בעיקר בניית מבנים ובניינים ותשתיות ואילו ענף הנדל"ן (סדר </w:t>
      </w:r>
      <w:r w:rsidRPr="0080799D">
        <w:rPr>
          <w:rFonts w:asciiTheme="minorHAnsi" w:hAnsiTheme="minorHAnsi" w:cstheme="minorHAnsi"/>
          <w:sz w:val="16"/>
          <w:szCs w:val="16"/>
        </w:rPr>
        <w:t>L</w:t>
      </w:r>
      <w:r w:rsidRPr="0080799D">
        <w:rPr>
          <w:rFonts w:asciiTheme="minorHAnsi" w:hAnsiTheme="minorHAnsi" w:cstheme="minorHAnsi"/>
          <w:sz w:val="16"/>
          <w:szCs w:val="16"/>
          <w:rtl/>
        </w:rPr>
        <w:t xml:space="preserve">) כולל פעילויות בנדל"ן בעיקר קנייה, מכירה, השכרה ותפעול של נדל"ן. הוא אינו כולל פיתוח מיזמי בנייה למכירה.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8172F"/>
    <w:multiLevelType w:val="hybridMultilevel"/>
    <w:tmpl w:val="4A98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01806"/>
    <w:multiLevelType w:val="hybridMultilevel"/>
    <w:tmpl w:val="B210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D0"/>
    <w:rsid w:val="000032FB"/>
    <w:rsid w:val="000070F2"/>
    <w:rsid w:val="00012FA3"/>
    <w:rsid w:val="00025639"/>
    <w:rsid w:val="00026412"/>
    <w:rsid w:val="00055125"/>
    <w:rsid w:val="00056C1E"/>
    <w:rsid w:val="00064492"/>
    <w:rsid w:val="00067A32"/>
    <w:rsid w:val="00067E12"/>
    <w:rsid w:val="000736C9"/>
    <w:rsid w:val="000736EC"/>
    <w:rsid w:val="00081262"/>
    <w:rsid w:val="0008332E"/>
    <w:rsid w:val="00085174"/>
    <w:rsid w:val="000A2E5A"/>
    <w:rsid w:val="000D14B9"/>
    <w:rsid w:val="000F6B9A"/>
    <w:rsid w:val="000F7525"/>
    <w:rsid w:val="00100E5B"/>
    <w:rsid w:val="0010181F"/>
    <w:rsid w:val="00103AFD"/>
    <w:rsid w:val="00112474"/>
    <w:rsid w:val="00112E6A"/>
    <w:rsid w:val="001166B5"/>
    <w:rsid w:val="00124491"/>
    <w:rsid w:val="00135A3D"/>
    <w:rsid w:val="00137BC6"/>
    <w:rsid w:val="001409FB"/>
    <w:rsid w:val="00141441"/>
    <w:rsid w:val="00162DF4"/>
    <w:rsid w:val="00167E6E"/>
    <w:rsid w:val="001740B1"/>
    <w:rsid w:val="00182960"/>
    <w:rsid w:val="0019073A"/>
    <w:rsid w:val="0019280F"/>
    <w:rsid w:val="00193B3E"/>
    <w:rsid w:val="001A0F3B"/>
    <w:rsid w:val="001A7959"/>
    <w:rsid w:val="001B79DF"/>
    <w:rsid w:val="001C190F"/>
    <w:rsid w:val="001C19DA"/>
    <w:rsid w:val="001C6431"/>
    <w:rsid w:val="001C7139"/>
    <w:rsid w:val="001D5AFF"/>
    <w:rsid w:val="001F42B8"/>
    <w:rsid w:val="001F445B"/>
    <w:rsid w:val="001F48FF"/>
    <w:rsid w:val="00210625"/>
    <w:rsid w:val="002178B8"/>
    <w:rsid w:val="00220E2F"/>
    <w:rsid w:val="00230B7D"/>
    <w:rsid w:val="00250383"/>
    <w:rsid w:val="00255CDB"/>
    <w:rsid w:val="00263D89"/>
    <w:rsid w:val="00282FC4"/>
    <w:rsid w:val="002926DF"/>
    <w:rsid w:val="002A6376"/>
    <w:rsid w:val="002A6D29"/>
    <w:rsid w:val="002B568A"/>
    <w:rsid w:val="002B7360"/>
    <w:rsid w:val="002B7436"/>
    <w:rsid w:val="002C2C8B"/>
    <w:rsid w:val="002C664A"/>
    <w:rsid w:val="002D72F8"/>
    <w:rsid w:val="002E1598"/>
    <w:rsid w:val="002F6E2A"/>
    <w:rsid w:val="00312AF1"/>
    <w:rsid w:val="00323060"/>
    <w:rsid w:val="00332438"/>
    <w:rsid w:val="00343A83"/>
    <w:rsid w:val="0035304D"/>
    <w:rsid w:val="0035729F"/>
    <w:rsid w:val="003578FC"/>
    <w:rsid w:val="00363ABE"/>
    <w:rsid w:val="00370566"/>
    <w:rsid w:val="0037416E"/>
    <w:rsid w:val="0038054D"/>
    <w:rsid w:val="00396D11"/>
    <w:rsid w:val="003A6F42"/>
    <w:rsid w:val="003B6465"/>
    <w:rsid w:val="003B666C"/>
    <w:rsid w:val="003B6E1E"/>
    <w:rsid w:val="003C7441"/>
    <w:rsid w:val="003D2919"/>
    <w:rsid w:val="003D5843"/>
    <w:rsid w:val="003D7E8E"/>
    <w:rsid w:val="003F6DD0"/>
    <w:rsid w:val="003F74BB"/>
    <w:rsid w:val="00411C4F"/>
    <w:rsid w:val="00413BB0"/>
    <w:rsid w:val="00416049"/>
    <w:rsid w:val="00445746"/>
    <w:rsid w:val="00445BB4"/>
    <w:rsid w:val="00457A95"/>
    <w:rsid w:val="00473805"/>
    <w:rsid w:val="0048018A"/>
    <w:rsid w:val="00482A5A"/>
    <w:rsid w:val="0048313A"/>
    <w:rsid w:val="004844E3"/>
    <w:rsid w:val="00494705"/>
    <w:rsid w:val="00496F32"/>
    <w:rsid w:val="004A3A9D"/>
    <w:rsid w:val="004C55B4"/>
    <w:rsid w:val="004D4EC7"/>
    <w:rsid w:val="004E7D65"/>
    <w:rsid w:val="004F235A"/>
    <w:rsid w:val="004F3976"/>
    <w:rsid w:val="00511B84"/>
    <w:rsid w:val="00511BA5"/>
    <w:rsid w:val="00512A56"/>
    <w:rsid w:val="00523A0D"/>
    <w:rsid w:val="00536101"/>
    <w:rsid w:val="005474DB"/>
    <w:rsid w:val="00561A06"/>
    <w:rsid w:val="005726C9"/>
    <w:rsid w:val="00581E60"/>
    <w:rsid w:val="00596ADA"/>
    <w:rsid w:val="00597062"/>
    <w:rsid w:val="005A1CE1"/>
    <w:rsid w:val="005A29F5"/>
    <w:rsid w:val="005B2161"/>
    <w:rsid w:val="005B7915"/>
    <w:rsid w:val="005C0D99"/>
    <w:rsid w:val="005D18D0"/>
    <w:rsid w:val="005D292E"/>
    <w:rsid w:val="005E37C6"/>
    <w:rsid w:val="00601612"/>
    <w:rsid w:val="00616B41"/>
    <w:rsid w:val="006278BB"/>
    <w:rsid w:val="00631FC8"/>
    <w:rsid w:val="006561C4"/>
    <w:rsid w:val="006956AB"/>
    <w:rsid w:val="006A6296"/>
    <w:rsid w:val="006A7B09"/>
    <w:rsid w:val="006B30B0"/>
    <w:rsid w:val="006C7B33"/>
    <w:rsid w:val="006D345F"/>
    <w:rsid w:val="006F4FDC"/>
    <w:rsid w:val="006F5BB4"/>
    <w:rsid w:val="00703FFF"/>
    <w:rsid w:val="00707EA1"/>
    <w:rsid w:val="00726451"/>
    <w:rsid w:val="00734CA9"/>
    <w:rsid w:val="00740145"/>
    <w:rsid w:val="00766DF5"/>
    <w:rsid w:val="00767645"/>
    <w:rsid w:val="007758D3"/>
    <w:rsid w:val="00786E99"/>
    <w:rsid w:val="0079053A"/>
    <w:rsid w:val="007A0787"/>
    <w:rsid w:val="007A4933"/>
    <w:rsid w:val="007A7E8C"/>
    <w:rsid w:val="007B5C95"/>
    <w:rsid w:val="007C1B2A"/>
    <w:rsid w:val="007C26E9"/>
    <w:rsid w:val="007D08F5"/>
    <w:rsid w:val="007E7F79"/>
    <w:rsid w:val="00800697"/>
    <w:rsid w:val="00805A48"/>
    <w:rsid w:val="0080799D"/>
    <w:rsid w:val="00824C84"/>
    <w:rsid w:val="0083144B"/>
    <w:rsid w:val="00832069"/>
    <w:rsid w:val="00833D32"/>
    <w:rsid w:val="00833FB8"/>
    <w:rsid w:val="0084093E"/>
    <w:rsid w:val="008468BD"/>
    <w:rsid w:val="0084730E"/>
    <w:rsid w:val="008525E1"/>
    <w:rsid w:val="00852D7D"/>
    <w:rsid w:val="00866044"/>
    <w:rsid w:val="008876E3"/>
    <w:rsid w:val="00887CFD"/>
    <w:rsid w:val="00891699"/>
    <w:rsid w:val="00891A26"/>
    <w:rsid w:val="008E008C"/>
    <w:rsid w:val="008E1467"/>
    <w:rsid w:val="008F5A34"/>
    <w:rsid w:val="008F71B1"/>
    <w:rsid w:val="00902D3D"/>
    <w:rsid w:val="00921990"/>
    <w:rsid w:val="0093259A"/>
    <w:rsid w:val="00933437"/>
    <w:rsid w:val="0094175F"/>
    <w:rsid w:val="009448A2"/>
    <w:rsid w:val="009473D1"/>
    <w:rsid w:val="00961D5B"/>
    <w:rsid w:val="009631E4"/>
    <w:rsid w:val="00965F81"/>
    <w:rsid w:val="0098530D"/>
    <w:rsid w:val="009A1AC9"/>
    <w:rsid w:val="009A57A0"/>
    <w:rsid w:val="009B022C"/>
    <w:rsid w:val="009C456F"/>
    <w:rsid w:val="009F191F"/>
    <w:rsid w:val="00A10E1B"/>
    <w:rsid w:val="00A203FD"/>
    <w:rsid w:val="00A4293C"/>
    <w:rsid w:val="00A53607"/>
    <w:rsid w:val="00A56BA5"/>
    <w:rsid w:val="00A5701F"/>
    <w:rsid w:val="00A60344"/>
    <w:rsid w:val="00A6324E"/>
    <w:rsid w:val="00A709A1"/>
    <w:rsid w:val="00A72780"/>
    <w:rsid w:val="00A76742"/>
    <w:rsid w:val="00A94AE8"/>
    <w:rsid w:val="00AB6DCF"/>
    <w:rsid w:val="00AE1FA2"/>
    <w:rsid w:val="00AE4C17"/>
    <w:rsid w:val="00AE79CA"/>
    <w:rsid w:val="00AF0A5A"/>
    <w:rsid w:val="00AF7B80"/>
    <w:rsid w:val="00B1613B"/>
    <w:rsid w:val="00B21F1F"/>
    <w:rsid w:val="00B30317"/>
    <w:rsid w:val="00B4178D"/>
    <w:rsid w:val="00B51A9A"/>
    <w:rsid w:val="00B8417C"/>
    <w:rsid w:val="00B8708C"/>
    <w:rsid w:val="00B923DC"/>
    <w:rsid w:val="00BA457A"/>
    <w:rsid w:val="00BB01A1"/>
    <w:rsid w:val="00BC5201"/>
    <w:rsid w:val="00BD0D89"/>
    <w:rsid w:val="00BD4380"/>
    <w:rsid w:val="00C06589"/>
    <w:rsid w:val="00C11051"/>
    <w:rsid w:val="00C12B91"/>
    <w:rsid w:val="00C16B56"/>
    <w:rsid w:val="00C16CAF"/>
    <w:rsid w:val="00C20778"/>
    <w:rsid w:val="00C265C2"/>
    <w:rsid w:val="00C4622E"/>
    <w:rsid w:val="00C51F68"/>
    <w:rsid w:val="00C53655"/>
    <w:rsid w:val="00C5486D"/>
    <w:rsid w:val="00C702AC"/>
    <w:rsid w:val="00C71C4A"/>
    <w:rsid w:val="00C96DD9"/>
    <w:rsid w:val="00CA45E8"/>
    <w:rsid w:val="00CA541E"/>
    <w:rsid w:val="00CB0CD0"/>
    <w:rsid w:val="00CB3B19"/>
    <w:rsid w:val="00CB6ADE"/>
    <w:rsid w:val="00CB714F"/>
    <w:rsid w:val="00CD03B2"/>
    <w:rsid w:val="00CD5EF6"/>
    <w:rsid w:val="00CE0381"/>
    <w:rsid w:val="00CE7AA4"/>
    <w:rsid w:val="00CF1FAB"/>
    <w:rsid w:val="00CF45DC"/>
    <w:rsid w:val="00D10F97"/>
    <w:rsid w:val="00D152DB"/>
    <w:rsid w:val="00D179D0"/>
    <w:rsid w:val="00D20F2F"/>
    <w:rsid w:val="00D31FEA"/>
    <w:rsid w:val="00D34346"/>
    <w:rsid w:val="00D37836"/>
    <w:rsid w:val="00D40E95"/>
    <w:rsid w:val="00D70679"/>
    <w:rsid w:val="00D7261F"/>
    <w:rsid w:val="00D74E5F"/>
    <w:rsid w:val="00D8448B"/>
    <w:rsid w:val="00D84E4C"/>
    <w:rsid w:val="00D869F0"/>
    <w:rsid w:val="00D92794"/>
    <w:rsid w:val="00D92A93"/>
    <w:rsid w:val="00D94E25"/>
    <w:rsid w:val="00D95F2B"/>
    <w:rsid w:val="00DA2A0B"/>
    <w:rsid w:val="00DA58ED"/>
    <w:rsid w:val="00DA6566"/>
    <w:rsid w:val="00DD5E9D"/>
    <w:rsid w:val="00DE0142"/>
    <w:rsid w:val="00DE40CE"/>
    <w:rsid w:val="00DF00BE"/>
    <w:rsid w:val="00E00F5C"/>
    <w:rsid w:val="00E06A1A"/>
    <w:rsid w:val="00E06C7B"/>
    <w:rsid w:val="00E21C82"/>
    <w:rsid w:val="00E31EAB"/>
    <w:rsid w:val="00E3355B"/>
    <w:rsid w:val="00E36222"/>
    <w:rsid w:val="00E36F1B"/>
    <w:rsid w:val="00E36F67"/>
    <w:rsid w:val="00E404BD"/>
    <w:rsid w:val="00E470EE"/>
    <w:rsid w:val="00E612DA"/>
    <w:rsid w:val="00E70AAF"/>
    <w:rsid w:val="00E71131"/>
    <w:rsid w:val="00E76C88"/>
    <w:rsid w:val="00E76C89"/>
    <w:rsid w:val="00E81196"/>
    <w:rsid w:val="00E90661"/>
    <w:rsid w:val="00EA34BF"/>
    <w:rsid w:val="00EB399A"/>
    <w:rsid w:val="00EB545B"/>
    <w:rsid w:val="00EB5EBA"/>
    <w:rsid w:val="00ED21F7"/>
    <w:rsid w:val="00ED2E03"/>
    <w:rsid w:val="00ED6C0B"/>
    <w:rsid w:val="00ED6D52"/>
    <w:rsid w:val="00EE4F05"/>
    <w:rsid w:val="00EE6789"/>
    <w:rsid w:val="00EF1F37"/>
    <w:rsid w:val="00F27F90"/>
    <w:rsid w:val="00F3664C"/>
    <w:rsid w:val="00F41D34"/>
    <w:rsid w:val="00F54160"/>
    <w:rsid w:val="00F573C1"/>
    <w:rsid w:val="00F61C4B"/>
    <w:rsid w:val="00F64AFC"/>
    <w:rsid w:val="00F70670"/>
    <w:rsid w:val="00FB08BB"/>
    <w:rsid w:val="00FC2675"/>
    <w:rsid w:val="00FE5B94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26410"/>
  <w15:chartTrackingRefBased/>
  <w15:docId w15:val="{98529589-97E6-47EE-A750-5597DDEB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5D18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5D18D0"/>
    <w:rPr>
      <w:color w:val="0000FF"/>
      <w:u w:val="single"/>
    </w:rPr>
  </w:style>
  <w:style w:type="paragraph" w:styleId="a3">
    <w:name w:val="footnote text"/>
    <w:basedOn w:val="a"/>
    <w:link w:val="a4"/>
    <w:uiPriority w:val="99"/>
    <w:semiHidden/>
    <w:unhideWhenUsed/>
    <w:rsid w:val="00343A83"/>
    <w:pPr>
      <w:widowControl w:val="0"/>
      <w:spacing w:after="0" w:line="240" w:lineRule="auto"/>
      <w:ind w:left="340"/>
      <w:contextualSpacing/>
      <w:jc w:val="both"/>
    </w:pPr>
    <w:rPr>
      <w:rFonts w:ascii="David" w:eastAsia="Calibri" w:hAnsi="David" w:cs="David"/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343A83"/>
    <w:rPr>
      <w:rFonts w:ascii="David" w:eastAsia="Calibri" w:hAnsi="David" w:cs="David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3A83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5A29F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29F5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5A29F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29F5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5A29F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29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5A29F5"/>
    <w:rPr>
      <w:rFonts w:ascii="Tahoma" w:hAnsi="Tahoma" w:cs="Tahoma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5A29F5"/>
    <w:pPr>
      <w:spacing w:after="0" w:line="240" w:lineRule="auto"/>
    </w:pPr>
    <w:rPr>
      <w:sz w:val="20"/>
      <w:szCs w:val="20"/>
    </w:rPr>
  </w:style>
  <w:style w:type="character" w:customStyle="1" w:styleId="ae">
    <w:name w:val="טקסט הערת סיום תו"/>
    <w:basedOn w:val="a0"/>
    <w:link w:val="ad"/>
    <w:uiPriority w:val="99"/>
    <w:semiHidden/>
    <w:rsid w:val="005A29F5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A2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508;&#1512;&#1493;&#1497;&#1511;&#1496;&#1497;&#1501;%20&#1502;&#1513;&#1493;&#1514;&#1508;&#1497;&#1501;%20-%207\&#1505;&#1511;&#1512;%20&#1511;&#1510;&#1497;&#1504;&#1497;%20&#1488;&#1513;&#1512;&#1488;&#1497;\2025Q3\&#1491;&#1497;&#1493;&#1493;&#1495;%20&#1500;&#1510;&#1497;&#1489;&#1493;&#1512;\&#1490;&#1512;&#1508;&#1497;&#1501;%20&#1488;&#1493;&#1496;&#1493;&#1502;&#1496;&#1497;%20&#1502;&#1506;&#1493;&#1491;&#1499;&#150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508;&#1512;&#1493;&#1497;&#1511;&#1496;&#1497;&#1501;%20&#1502;&#1513;&#1493;&#1514;&#1508;&#1497;&#1501;%20-%207\&#1505;&#1511;&#1512;%20&#1511;&#1510;&#1497;&#1504;&#1497;%20&#1488;&#1513;&#1512;&#1488;&#1497;\2025Q3\&#1491;&#1497;&#1493;&#1493;&#1495;%20&#1500;&#1510;&#1497;&#1489;&#1493;&#1512;\&#1490;&#1512;&#1508;&#1497;&#1501;%20&#1488;&#1493;&#1496;&#1493;&#1502;&#1496;&#1497;%20&#1502;&#1506;&#1493;&#1491;&#1499;&#150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508;&#1512;&#1493;&#1497;&#1511;&#1496;&#1497;&#1501;%20&#1502;&#1513;&#1493;&#1514;&#1508;&#1497;&#1501;%20-%207\&#1505;&#1511;&#1512;%20&#1511;&#1510;&#1497;&#1504;&#1497;%20&#1488;&#1513;&#1512;&#1488;&#1497;\2025Q3\&#1491;&#1497;&#1493;&#1493;&#1495;%20&#1500;&#1510;&#1497;&#1489;&#1493;&#1512;\&#1490;&#1512;&#1508;&#1497;&#1501;%20&#1488;&#1493;&#1496;&#1493;&#1502;&#1496;&#1497;%20&#1502;&#1506;&#1493;&#1491;&#1499;&#1503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508;&#1512;&#1493;&#1497;&#1511;&#1496;&#1497;&#1501;%20&#1502;&#1513;&#1493;&#1514;&#1508;&#1497;&#1501;%20-%207\&#1505;&#1511;&#1512;%20&#1511;&#1510;&#1497;&#1504;&#1497;%20&#1488;&#1513;&#1512;&#1488;&#1497;\2025Q3\&#1491;&#1497;&#1493;&#1493;&#1495;%20&#1500;&#1510;&#1497;&#1489;&#1493;&#1512;\&#1490;&#1512;&#1508;&#1497;&#1501;%20&#1488;&#1493;&#1496;&#1493;&#1502;&#1496;&#1497;%20&#1502;&#1506;&#1493;&#1491;&#1499;&#1503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508;&#1512;&#1493;&#1497;&#1511;&#1496;&#1497;&#1501;%20&#1502;&#1513;&#1493;&#1514;&#1508;&#1497;&#1501;%20-%207\&#1505;&#1511;&#1512;%20&#1511;&#1510;&#1497;&#1504;&#1497;%20&#1488;&#1513;&#1512;&#1488;&#1497;\2025Q3\&#1491;&#1497;&#1493;&#1493;&#1495;%20&#1500;&#1510;&#1497;&#1489;&#1493;&#1512;\&#1490;&#1512;&#1508;&#1497;&#1501;%20&#1488;&#1493;&#1496;&#1493;&#1502;&#1496;&#1497;%20&#1502;&#1506;&#1493;&#1491;&#1499;&#1503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508;&#1512;&#1493;&#1497;&#1511;&#1496;&#1497;&#1501;%20&#1502;&#1513;&#1493;&#1514;&#1508;&#1497;&#1501;%20-%207\&#1505;&#1511;&#1512;%20&#1511;&#1510;&#1497;&#1504;&#1497;%20&#1488;&#1513;&#1512;&#1488;&#1497;\2025Q3\&#1491;&#1497;&#1493;&#1493;&#1495;%20&#1500;&#1510;&#1497;&#1489;&#1493;&#1512;\&#1490;&#1512;&#1508;&#1497;&#1501;%20&#1488;&#1493;&#1496;&#1493;&#1502;&#1496;&#1497;%20&#1502;&#1506;&#1493;&#1491;&#1499;&#1503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508;&#1512;&#1493;&#1497;&#1511;&#1496;&#1497;&#1501;%20&#1502;&#1513;&#1493;&#1514;&#1508;&#1497;&#1501;%20-%207\&#1505;&#1511;&#1512;%20&#1511;&#1510;&#1497;&#1504;&#1497;%20&#1488;&#1513;&#1512;&#1488;&#1497;\2025Q3\&#1491;&#1497;&#1493;&#1493;&#1495;%20&#1500;&#1510;&#1497;&#1489;&#1493;&#1512;\&#1490;&#1512;&#1508;&#1497;&#1501;%20&#1488;&#1493;&#1496;&#1493;&#1502;&#1496;&#1497;%20&#1502;&#1506;&#1493;&#1491;&#1499;&#1503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r">
              <a:defRPr sz="1400" b="0" i="0" u="none" strike="noStrike" kern="1200" spc="0" baseline="0">
                <a:solidFill>
                  <a:schemeClr val="tx1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r>
              <a:rPr lang="he-IL" sz="1400" baseline="0">
                <a:solidFill>
                  <a:schemeClr val="tx1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א. משקי בית וסה"כ עסקים </a:t>
            </a:r>
            <a:endParaRPr lang="en-US" sz="1400">
              <a:solidFill>
                <a:schemeClr val="tx1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62823772770977881"/>
          <c:y val="2.38877240936598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r">
            <a:defRPr sz="1400" b="0" i="0" u="none" strike="noStrike" kern="1200" spc="0" baseline="0">
              <a:solidFill>
                <a:schemeClr val="tx1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8.911423349793221E-2"/>
          <c:y val="0.1478055460458747"/>
          <c:w val="0.88143463482599471"/>
          <c:h val="0.55500334197355761"/>
        </c:manualLayout>
      </c:layout>
      <c:lineChart>
        <c:grouping val="standard"/>
        <c:varyColors val="0"/>
        <c:ser>
          <c:idx val="0"/>
          <c:order val="0"/>
          <c:tx>
            <c:strRef>
              <c:f>'T:\ISD\פרויקטים משותפים - 7\סקר קציני אשראי\2024Q4\דיווח לציבור\[עותק של עותק של גרפים ידני.xlsx]גרף 1 - שינוי בביקוש לאשראי '!$B$4</c:f>
              <c:strCache>
                <c:ptCount val="1"/>
                <c:pt idx="0">
                  <c:v>דיור</c:v>
                </c:pt>
              </c:strCache>
            </c:strRef>
          </c:tx>
          <c:spPr>
            <a:ln w="28575" cap="rnd">
              <a:solidFill>
                <a:srgbClr val="008DA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DA3"/>
              </a:solidFill>
              <a:ln w="9525">
                <a:solidFill>
                  <a:srgbClr val="008DA3"/>
                </a:solidFill>
              </a:ln>
              <a:effectLst/>
            </c:spPr>
          </c:marker>
          <c:cat>
            <c:multiLvlStrRef>
              <c:f>'T:\ISD\פרויקטים משותפים - 7\סקר קציני אשראי\2024Q4\דיווח לציבור\[עותק של עותק של גרפים ידני.xlsx]גרף 1 - שינוי בביקוש לאשראי '!$C$2:$H$3</c:f>
              <c:multiLvlStrCache>
                <c:ptCount val="6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  <c:pt idx="5">
                    <c:v>Q4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'T:\ISD\פרויקטים משותפים - 7\סקר קציני אשראי\2024Q4\דיווח לציבור\[עותק של עותק של גרפים ידני.xlsx]גרף 1 - שינוי בביקוש לאשראי '!$C$4:$H$4</c:f>
              <c:numCache>
                <c:formatCode>General</c:formatCode>
                <c:ptCount val="6"/>
                <c:pt idx="0">
                  <c:v>48.888059116097779</c:v>
                </c:pt>
                <c:pt idx="1">
                  <c:v>47.538175828704922</c:v>
                </c:pt>
                <c:pt idx="2">
                  <c:v>24.742823519951543</c:v>
                </c:pt>
                <c:pt idx="3">
                  <c:v>12.346153461312346</c:v>
                </c:pt>
                <c:pt idx="4">
                  <c:v>-21.752485331100001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AF-4BDF-842D-07974CCFE9D0}"/>
            </c:ext>
          </c:extLst>
        </c:ser>
        <c:ser>
          <c:idx val="1"/>
          <c:order val="1"/>
          <c:tx>
            <c:strRef>
              <c:f>'T:\ISD\פרויקטים משותפים - 7\סקר קציני אשראי\2024Q4\דיווח לציבור\[עותק של עותק של גרפים ידני.xlsx]גרף 1 - שינוי בביקוש לאשראי '!$B$5</c:f>
              <c:strCache>
                <c:ptCount val="1"/>
                <c:pt idx="0">
                  <c:v>צרכני</c:v>
                </c:pt>
              </c:strCache>
            </c:strRef>
          </c:tx>
          <c:spPr>
            <a:ln w="28575" cap="rnd">
              <a:solidFill>
                <a:srgbClr val="D98D2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98D25"/>
              </a:solidFill>
              <a:ln w="9525">
                <a:solidFill>
                  <a:srgbClr val="D98D25"/>
                </a:solidFill>
              </a:ln>
              <a:effectLst/>
            </c:spPr>
          </c:marker>
          <c:cat>
            <c:multiLvlStrRef>
              <c:f>'T:\ISD\פרויקטים משותפים - 7\סקר קציני אשראי\2024Q4\דיווח לציבור\[עותק של עותק של גרפים ידני.xlsx]גרף 1 - שינוי בביקוש לאשראי '!$C$2:$H$3</c:f>
              <c:multiLvlStrCache>
                <c:ptCount val="6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  <c:pt idx="5">
                    <c:v>Q4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'T:\ISD\פרויקטים משותפים - 7\סקר קציני אשראי\2024Q4\דיווח לציבור\[עותק של עותק של גרפים ידני.xlsx]גרף 1 - שינוי בביקוש לאשראי '!$C$5:$H$5</c:f>
              <c:numCache>
                <c:formatCode>General</c:formatCode>
                <c:ptCount val="6"/>
                <c:pt idx="0">
                  <c:v>33.916860796901751</c:v>
                </c:pt>
                <c:pt idx="1">
                  <c:v>-25.405358684950812</c:v>
                </c:pt>
                <c:pt idx="2">
                  <c:v>13.135229482573729</c:v>
                </c:pt>
                <c:pt idx="3">
                  <c:v>-3.0185925688909441</c:v>
                </c:pt>
                <c:pt idx="4">
                  <c:v>4.1263618851999997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AF-4BDF-842D-07974CCFE9D0}"/>
            </c:ext>
          </c:extLst>
        </c:ser>
        <c:ser>
          <c:idx val="2"/>
          <c:order val="2"/>
          <c:tx>
            <c:strRef>
              <c:f>'T:\ISD\פרויקטים משותפים - 7\סקר קציני אשראי\2024Q4\דיווח לציבור\[עותק של עותק של גרפים ידני.xlsx]גרף 1 - שינוי בביקוש לאשראי '!$B$6</c:f>
              <c:strCache>
                <c:ptCount val="1"/>
                <c:pt idx="0">
                  <c:v>עסקים - סך הכל</c:v>
                </c:pt>
              </c:strCache>
            </c:strRef>
          </c:tx>
          <c:spPr>
            <a:ln w="28575" cap="rnd">
              <a:solidFill>
                <a:srgbClr val="6C63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C63FF"/>
              </a:solidFill>
              <a:ln w="9525">
                <a:solidFill>
                  <a:srgbClr val="6C63FF"/>
                </a:solidFill>
              </a:ln>
              <a:effectLst/>
            </c:spPr>
          </c:marker>
          <c:cat>
            <c:multiLvlStrRef>
              <c:f>'T:\ISD\פרויקטים משותפים - 7\סקר קציני אשראי\2024Q4\דיווח לציבור\[עותק של עותק של גרפים ידני.xlsx]גרף 1 - שינוי בביקוש לאשראי '!$C$2:$H$3</c:f>
              <c:multiLvlStrCache>
                <c:ptCount val="6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  <c:pt idx="5">
                    <c:v>Q4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'T:\ISD\פרויקטים משותפים - 7\סקר קציני אשראי\2024Q4\דיווח לציבור\[עותק של עותק של גרפים ידני.xlsx]גרף 1 - שינוי בביקוש לאשראי '!$C$6:$H$6</c:f>
              <c:numCache>
                <c:formatCode>General</c:formatCode>
                <c:ptCount val="6"/>
                <c:pt idx="0">
                  <c:v>-33.4</c:v>
                </c:pt>
                <c:pt idx="1">
                  <c:v>0</c:v>
                </c:pt>
                <c:pt idx="2">
                  <c:v>0</c:v>
                </c:pt>
                <c:pt idx="3">
                  <c:v>0.54262305339565897</c:v>
                </c:pt>
                <c:pt idx="4">
                  <c:v>-25.643322936800001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AF-4BDF-842D-07974CCFE9D0}"/>
            </c:ext>
          </c:extLst>
        </c:ser>
        <c:ser>
          <c:idx val="3"/>
          <c:order val="3"/>
          <c:tx>
            <c:strRef>
              <c:f>'T:\ISD\פרויקטים משותפים - 7\סקר קציני אשראי\2024Q4\דיווח לציבור\[עותק של עותק של גרפים ידני.xlsx]גרף 1 - שינוי בביקוש לאשראי '!$B$7</c:f>
              <c:strCache>
                <c:ptCount val="1"/>
                <c:pt idx="0">
                  <c:v>דיור</c:v>
                </c:pt>
              </c:strCache>
            </c:strRef>
          </c:tx>
          <c:spPr>
            <a:ln w="28575" cap="rnd">
              <a:solidFill>
                <a:srgbClr val="008DA3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rgbClr val="008DA3"/>
              </a:solidFill>
              <a:ln w="9525">
                <a:solidFill>
                  <a:srgbClr val="008DA3"/>
                </a:solidFill>
              </a:ln>
              <a:effectLst/>
            </c:spPr>
          </c:marker>
          <c:cat>
            <c:multiLvlStrRef>
              <c:f>'T:\ISD\פרויקטים משותפים - 7\סקר קציני אשראי\2024Q4\דיווח לציבור\[עותק של עותק של גרפים ידני.xlsx]גרף 1 - שינוי בביקוש לאשראי '!$C$2:$H$3</c:f>
              <c:multiLvlStrCache>
                <c:ptCount val="6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  <c:pt idx="5">
                    <c:v>Q4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'T:\ISD\פרויקטים משותפים - 7\סקר קציני אשראי\2024Q4\דיווח לציבור\[עותק של עותק של גרפים ידני.xlsx]גרף 1 - שינוי בביקוש לאשראי '!$C$7:$H$7</c:f>
              <c:numCache>
                <c:formatCode>General</c:formatCode>
                <c:ptCount val="6"/>
                <c:pt idx="4">
                  <c:v>-21.752485331100001</c:v>
                </c:pt>
                <c:pt idx="5">
                  <c:v>20.449053062899999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EAF-4BDF-842D-07974CCFE9D0}"/>
            </c:ext>
          </c:extLst>
        </c:ser>
        <c:ser>
          <c:idx val="4"/>
          <c:order val="4"/>
          <c:tx>
            <c:strRef>
              <c:f>'T:\ISD\פרויקטים משותפים - 7\סקר קציני אשראי\2024Q4\דיווח לציבור\[עותק של עותק של גרפים ידני.xlsx]גרף 1 - שינוי בביקוש לאשראי '!$B$8</c:f>
              <c:strCache>
                <c:ptCount val="1"/>
                <c:pt idx="0">
                  <c:v>צרכני</c:v>
                </c:pt>
              </c:strCache>
            </c:strRef>
          </c:tx>
          <c:spPr>
            <a:ln w="28575" cap="rnd">
              <a:solidFill>
                <a:schemeClr val="accent5"/>
              </a:solidFill>
              <a:prstDash val="dashDot"/>
              <a:round/>
            </a:ln>
            <a:effectLst/>
          </c:spPr>
          <c:marker>
            <c:symbol val="circle"/>
            <c:size val="5"/>
            <c:spPr>
              <a:solidFill>
                <a:srgbClr val="D98D25"/>
              </a:solidFill>
              <a:ln w="9525">
                <a:solidFill>
                  <a:srgbClr val="D98D25"/>
                </a:solidFill>
              </a:ln>
              <a:effectLst/>
            </c:spPr>
          </c:marker>
          <c:dPt>
            <c:idx val="5"/>
            <c:marker>
              <c:symbol val="circle"/>
              <c:size val="5"/>
              <c:spPr>
                <a:solidFill>
                  <a:srgbClr val="D98D25"/>
                </a:solidFill>
                <a:ln w="9525">
                  <a:solidFill>
                    <a:srgbClr val="D98D25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D98D25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0EAF-4BDF-842D-07974CCFE9D0}"/>
              </c:ext>
            </c:extLst>
          </c:dPt>
          <c:cat>
            <c:multiLvlStrRef>
              <c:f>'T:\ISD\פרויקטים משותפים - 7\סקר קציני אשראי\2024Q4\דיווח לציבור\[עותק של עותק של גרפים ידני.xlsx]גרף 1 - שינוי בביקוש לאשראי '!$C$2:$H$3</c:f>
              <c:multiLvlStrCache>
                <c:ptCount val="6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  <c:pt idx="5">
                    <c:v>Q4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'T:\ISD\פרויקטים משותפים - 7\סקר קציני אשראי\2024Q4\דיווח לציבור\[עותק של עותק של גרפים ידני.xlsx]גרף 1 - שינוי בביקוש לאשראי '!$C$8:$H$8</c:f>
              <c:numCache>
                <c:formatCode>General</c:formatCode>
                <c:ptCount val="6"/>
                <c:pt idx="4">
                  <c:v>4.1263618851999997</c:v>
                </c:pt>
                <c:pt idx="5">
                  <c:v>27.393284505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0EAF-4BDF-842D-07974CCFE9D0}"/>
            </c:ext>
          </c:extLst>
        </c:ser>
        <c:ser>
          <c:idx val="5"/>
          <c:order val="5"/>
          <c:tx>
            <c:strRef>
              <c:f>'T:\ISD\פרויקטים משותפים - 7\סקר קציני אשראי\2024Q4\דיווח לציבור\[עותק של עותק של גרפים ידני.xlsx]גרף 1 - שינוי בביקוש לאשראי '!$B$9</c:f>
              <c:strCache>
                <c:ptCount val="1"/>
                <c:pt idx="0">
                  <c:v>עסקים - סך הכל</c:v>
                </c:pt>
              </c:strCache>
            </c:strRef>
          </c:tx>
          <c:spPr>
            <a:ln w="28575" cap="rnd">
              <a:solidFill>
                <a:srgbClr val="6C63FF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rgbClr val="6C63FF"/>
              </a:solidFill>
              <a:ln w="9525">
                <a:solidFill>
                  <a:srgbClr val="6C63FF"/>
                </a:solidFill>
              </a:ln>
              <a:effectLst/>
            </c:spPr>
          </c:marker>
          <c:cat>
            <c:multiLvlStrRef>
              <c:f>'T:\ISD\פרויקטים משותפים - 7\סקר קציני אשראי\2024Q4\דיווח לציבור\[עותק של עותק של גרפים ידני.xlsx]גרף 1 - שינוי בביקוש לאשראי '!$C$2:$H$3</c:f>
              <c:multiLvlStrCache>
                <c:ptCount val="6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  <c:pt idx="5">
                    <c:v>Q4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'T:\ISD\פרויקטים משותפים - 7\סקר קציני אשראי\2024Q4\דיווח לציבור\[עותק של עותק של גרפים ידני.xlsx]גרף 1 - שינוי בביקוש לאשראי '!$C$9:$H$9</c:f>
              <c:numCache>
                <c:formatCode>General</c:formatCode>
                <c:ptCount val="6"/>
                <c:pt idx="4">
                  <c:v>-25.643322936800001</c:v>
                </c:pt>
                <c:pt idx="5">
                  <c:v>14.8848877601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0EAF-4BDF-842D-07974CCFE9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5308968"/>
        <c:axId val="765309296"/>
      </c:lineChart>
      <c:catAx>
        <c:axId val="765308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765309296"/>
        <c:crossesAt val="-100"/>
        <c:auto val="1"/>
        <c:lblAlgn val="ctr"/>
        <c:lblOffset val="100"/>
        <c:noMultiLvlLbl val="0"/>
      </c:catAx>
      <c:valAx>
        <c:axId val="765309296"/>
        <c:scaling>
          <c:orientation val="minMax"/>
          <c:min val="-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765308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6.6536818965866482E-2"/>
          <c:y val="0.8889595504191008"/>
          <c:w val="0.73424290688278115"/>
          <c:h val="8.68469011938023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he-IL" sz="1400">
                <a:solidFill>
                  <a:schemeClr val="tx1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ב. עסקים לפי גודל עסק וענפי הבינוי והנדל"ן</a:t>
            </a:r>
            <a:endParaRPr lang="en-US" sz="1400">
              <a:solidFill>
                <a:schemeClr val="tx1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37272862852066629"/>
          <c:y val="3.587876987074727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8.1773064371010423E-2"/>
          <c:y val="0.1388888888888889"/>
          <c:w val="0.86695722152967347"/>
          <c:h val="0.5548367323649761"/>
        </c:manualLayout>
      </c:layout>
      <c:lineChart>
        <c:grouping val="standard"/>
        <c:varyColors val="0"/>
        <c:ser>
          <c:idx val="0"/>
          <c:order val="0"/>
          <c:tx>
            <c:strRef>
              <c:f>'T:\ISD\פרויקטים משותפים - 7\סקר קציני אשראי\2024Q4\דיווח לציבור\[עותק של עותק של גרפים ידני.xlsx]גרף 1 - שינוי בביקוש לאשראי '!$Q$4</c:f>
              <c:strCache>
                <c:ptCount val="1"/>
                <c:pt idx="0">
                  <c:v>עסקים זעירים וקטנים</c:v>
                </c:pt>
              </c:strCache>
            </c:strRef>
          </c:tx>
          <c:spPr>
            <a:ln w="28575" cap="rnd">
              <a:solidFill>
                <a:srgbClr val="008DA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DA3"/>
              </a:solidFill>
              <a:ln w="9525">
                <a:solidFill>
                  <a:srgbClr val="008DA3"/>
                </a:solidFill>
              </a:ln>
              <a:effectLst/>
            </c:spPr>
          </c:marker>
          <c:cat>
            <c:multiLvlStrRef>
              <c:f>'T:\ISD\פרויקטים משותפים - 7\סקר קציני אשראי\2024Q4\דיווח לציבור\[עותק של עותק של גרפים ידני.xlsx]גרף 1 - שינוי בביקוש לאשראי '!$R$2:$W$3</c:f>
              <c:multiLvlStrCache>
                <c:ptCount val="6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  <c:pt idx="5">
                    <c:v>Q4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'T:\ISD\פרויקטים משותפים - 7\סקר קציני אשראי\2024Q4\דיווח לציבור\[עותק של עותק של גרפים ידני.xlsx]גרף 1 - שינוי בביקוש לאשראי '!$R$4:$W$4</c:f>
              <c:numCache>
                <c:formatCode>General</c:formatCode>
                <c:ptCount val="6"/>
                <c:pt idx="0">
                  <c:v>29.569823856954837</c:v>
                </c:pt>
                <c:pt idx="1">
                  <c:v>56.930939943172277</c:v>
                </c:pt>
                <c:pt idx="2">
                  <c:v>8.7490614426825015</c:v>
                </c:pt>
                <c:pt idx="3">
                  <c:v>14.450496214740999</c:v>
                </c:pt>
                <c:pt idx="4">
                  <c:v>31.675195576099998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24-4BFC-8D8B-60E377803EFD}"/>
            </c:ext>
          </c:extLst>
        </c:ser>
        <c:ser>
          <c:idx val="1"/>
          <c:order val="1"/>
          <c:tx>
            <c:strRef>
              <c:f>'T:\ISD\פרויקטים משותפים - 7\סקר קציני אשראי\2024Q4\דיווח לציבור\[עותק של עותק של גרפים ידני.xlsx]גרף 1 - שינוי בביקוש לאשראי '!$Q$5</c:f>
              <c:strCache>
                <c:ptCount val="1"/>
                <c:pt idx="0">
                  <c:v>עסקים בינוניים</c:v>
                </c:pt>
              </c:strCache>
            </c:strRef>
          </c:tx>
          <c:spPr>
            <a:ln w="28575" cap="rnd">
              <a:solidFill>
                <a:srgbClr val="357C3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357C32"/>
              </a:solidFill>
              <a:ln w="9525">
                <a:solidFill>
                  <a:srgbClr val="357C32"/>
                </a:solidFill>
              </a:ln>
              <a:effectLst/>
            </c:spPr>
          </c:marker>
          <c:cat>
            <c:multiLvlStrRef>
              <c:f>'T:\ISD\פרויקטים משותפים - 7\סקר קציני אשראי\2024Q4\דיווח לציבור\[עותק של עותק של גרפים ידני.xlsx]גרף 1 - שינוי בביקוש לאשראי '!$R$2:$W$3</c:f>
              <c:multiLvlStrCache>
                <c:ptCount val="6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  <c:pt idx="5">
                    <c:v>Q4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'T:\ISD\פרויקטים משותפים - 7\סקר קציני אשראי\2024Q4\דיווח לציבור\[עותק של עותק של גרפים ידני.xlsx]גרף 1 - שינוי בביקוש לאשראי '!$R$5:$W$5</c:f>
              <c:numCache>
                <c:formatCode>General</c:formatCode>
                <c:ptCount val="6"/>
                <c:pt idx="0">
                  <c:v>-32.983328747967015</c:v>
                </c:pt>
                <c:pt idx="1">
                  <c:v>34.783672077965214</c:v>
                </c:pt>
                <c:pt idx="2">
                  <c:v>35.081598319350817</c:v>
                </c:pt>
                <c:pt idx="3">
                  <c:v>3.3786240640067571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24-4BFC-8D8B-60E377803EFD}"/>
            </c:ext>
          </c:extLst>
        </c:ser>
        <c:ser>
          <c:idx val="2"/>
          <c:order val="2"/>
          <c:tx>
            <c:strRef>
              <c:f>'T:\ISD\פרויקטים משותפים - 7\סקר קציני אשראי\2024Q4\דיווח לציבור\[עותק של עותק של גרפים ידני.xlsx]גרף 1 - שינוי בביקוש לאשראי '!$Q$6</c:f>
              <c:strCache>
                <c:ptCount val="1"/>
                <c:pt idx="0">
                  <c:v>עסקים גדולים</c:v>
                </c:pt>
              </c:strCache>
            </c:strRef>
          </c:tx>
          <c:spPr>
            <a:ln w="28575" cap="rnd">
              <a:solidFill>
                <a:srgbClr val="D98D2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98D25"/>
              </a:solidFill>
              <a:ln w="9525">
                <a:solidFill>
                  <a:srgbClr val="D98D25"/>
                </a:solidFill>
              </a:ln>
              <a:effectLst/>
            </c:spPr>
          </c:marker>
          <c:cat>
            <c:multiLvlStrRef>
              <c:f>'T:\ISD\פרויקטים משותפים - 7\סקר קציני אשראי\2024Q4\דיווח לציבור\[עותק של עותק של גרפים ידני.xlsx]גרף 1 - שינוי בביקוש לאשראי '!$R$2:$W$3</c:f>
              <c:multiLvlStrCache>
                <c:ptCount val="6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  <c:pt idx="5">
                    <c:v>Q4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'T:\ISD\פרויקטים משותפים - 7\סקר קציני אשראי\2024Q4\דיווח לציבור\[עותק של עותק של גרפים ידני.xlsx]גרף 1 - שינוי בביקוש לאשראי '!$R$6:$W$6</c:f>
              <c:numCache>
                <c:formatCode>General</c:formatCode>
                <c:ptCount val="6"/>
                <c:pt idx="0">
                  <c:v>-52.700357952258102</c:v>
                </c:pt>
                <c:pt idx="1">
                  <c:v>0</c:v>
                </c:pt>
                <c:pt idx="2">
                  <c:v>1.4931210104955206</c:v>
                </c:pt>
                <c:pt idx="3">
                  <c:v>0</c:v>
                </c:pt>
                <c:pt idx="4">
                  <c:v>-29.3937070807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24-4BFC-8D8B-60E377803EFD}"/>
            </c:ext>
          </c:extLst>
        </c:ser>
        <c:ser>
          <c:idx val="3"/>
          <c:order val="3"/>
          <c:tx>
            <c:strRef>
              <c:f>'T:\ISD\פרויקטים משותפים - 7\סקר קציני אשראי\2024Q4\דיווח לציבור\[עותק של עותק של גרפים ידני.xlsx]גרף 1 - שינוי בביקוש לאשראי '!$Q$7</c:f>
              <c:strCache>
                <c:ptCount val="1"/>
                <c:pt idx="0">
                  <c:v>ענף הבינוי</c:v>
                </c:pt>
              </c:strCache>
            </c:strRef>
          </c:tx>
          <c:spPr>
            <a:ln w="28575" cap="rnd">
              <a:solidFill>
                <a:srgbClr val="D8758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87585"/>
              </a:solidFill>
              <a:ln w="9525">
                <a:solidFill>
                  <a:srgbClr val="D87585"/>
                </a:solidFill>
              </a:ln>
              <a:effectLst/>
            </c:spPr>
          </c:marker>
          <c:cat>
            <c:multiLvlStrRef>
              <c:f>'T:\ISD\פרויקטים משותפים - 7\סקר קציני אשראי\2024Q4\דיווח לציבור\[עותק של עותק של גרפים ידני.xlsx]גרף 1 - שינוי בביקוש לאשראי '!$R$2:$W$3</c:f>
              <c:multiLvlStrCache>
                <c:ptCount val="6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  <c:pt idx="5">
                    <c:v>Q4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'T:\ISD\פרויקטים משותפים - 7\סקר קציני אשראי\2024Q4\דיווח לציבור\[עותק של עותק של גרפים ידני.xlsx]גרף 1 - שינוי בביקוש לאשראי '!$R$7:$W$7</c:f>
              <c:numCache>
                <c:formatCode>General</c:formatCode>
                <c:ptCount val="6"/>
                <c:pt idx="0">
                  <c:v>-7.3938900949778184</c:v>
                </c:pt>
                <c:pt idx="1">
                  <c:v>28.337336286999999</c:v>
                </c:pt>
                <c:pt idx="2">
                  <c:v>48.124578623855626</c:v>
                </c:pt>
                <c:pt idx="3">
                  <c:v>0</c:v>
                </c:pt>
                <c:pt idx="4">
                  <c:v>-28.749985218199999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C24-4BFC-8D8B-60E377803EFD}"/>
            </c:ext>
          </c:extLst>
        </c:ser>
        <c:ser>
          <c:idx val="4"/>
          <c:order val="4"/>
          <c:tx>
            <c:strRef>
              <c:f>'T:\ISD\פרויקטים משותפים - 7\סקר קציני אשראי\2024Q4\דיווח לציבור\[עותק של עותק של גרפים ידני.xlsx]גרף 1 - שינוי בביקוש לאשראי '!$Q$8</c:f>
              <c:strCache>
                <c:ptCount val="1"/>
                <c:pt idx="0">
                  <c:v>ענף הנדל"ן</c:v>
                </c:pt>
              </c:strCache>
            </c:strRef>
          </c:tx>
          <c:spPr>
            <a:ln w="28575" cap="rnd">
              <a:solidFill>
                <a:srgbClr val="2E2A7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2E2A74"/>
              </a:solidFill>
              <a:ln w="9525">
                <a:solidFill>
                  <a:srgbClr val="2E2A74"/>
                </a:solidFill>
              </a:ln>
              <a:effectLst/>
            </c:spPr>
          </c:marker>
          <c:cat>
            <c:multiLvlStrRef>
              <c:f>'T:\ISD\פרויקטים משותפים - 7\סקר קציני אשראי\2024Q4\דיווח לציבור\[עותק של עותק של גרפים ידני.xlsx]גרף 1 - שינוי בביקוש לאשראי '!$R$2:$W$3</c:f>
              <c:multiLvlStrCache>
                <c:ptCount val="6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  <c:pt idx="5">
                    <c:v>Q4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'T:\ISD\פרויקטים משותפים - 7\סקר קציני אשראי\2024Q4\דיווח לציבור\[עותק של עותק של גרפים ידני.xlsx]גרף 1 - שינוי בביקוש לאשראי '!$R$8:$W$8</c:f>
              <c:numCache>
                <c:formatCode>General</c:formatCode>
                <c:ptCount val="6"/>
                <c:pt idx="0">
                  <c:v>-40.600966908162405</c:v>
                </c:pt>
                <c:pt idx="1">
                  <c:v>0</c:v>
                </c:pt>
                <c:pt idx="2">
                  <c:v>3.7403553282074808</c:v>
                </c:pt>
                <c:pt idx="3">
                  <c:v>-36.911376615910697</c:v>
                </c:pt>
                <c:pt idx="4">
                  <c:v>-30.668856992199999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C24-4BFC-8D8B-60E377803EFD}"/>
            </c:ext>
          </c:extLst>
        </c:ser>
        <c:ser>
          <c:idx val="5"/>
          <c:order val="5"/>
          <c:tx>
            <c:strRef>
              <c:f>'T:\ISD\פרויקטים משותפים - 7\סקר קציני אשראי\2024Q4\דיווח לציבור\[עותק של עותק של גרפים ידני.xlsx]גרף 1 - שינוי בביקוש לאשראי '!$Q$9</c:f>
              <c:strCache>
                <c:ptCount val="1"/>
                <c:pt idx="0">
                  <c:v>אשראי לעסקים זעירים וקטנים</c:v>
                </c:pt>
              </c:strCache>
            </c:strRef>
          </c:tx>
          <c:spPr>
            <a:ln w="28575" cap="rnd">
              <a:solidFill>
                <a:srgbClr val="008DA3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rgbClr val="008DA3"/>
              </a:solidFill>
              <a:ln w="9525">
                <a:solidFill>
                  <a:srgbClr val="008DA3"/>
                </a:solidFill>
              </a:ln>
              <a:effectLst/>
            </c:spPr>
          </c:marker>
          <c:cat>
            <c:multiLvlStrRef>
              <c:f>'T:\ISD\פרויקטים משותפים - 7\סקר קציני אשראי\2024Q4\דיווח לציבור\[עותק של עותק של גרפים ידני.xlsx]גרף 1 - שינוי בביקוש לאשראי '!$R$2:$W$3</c:f>
              <c:multiLvlStrCache>
                <c:ptCount val="6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  <c:pt idx="5">
                    <c:v>Q4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'T:\ISD\פרויקטים משותפים - 7\סקר קציני אשראי\2024Q4\דיווח לציבור\[עותק של עותק של גרפים ידני.xlsx]גרף 1 - שינוי בביקוש לאשראי '!$R$9:$W$9</c:f>
              <c:numCache>
                <c:formatCode>General</c:formatCode>
                <c:ptCount val="6"/>
                <c:pt idx="4">
                  <c:v>31.675195576099998</c:v>
                </c:pt>
                <c:pt idx="5">
                  <c:v>53.631289998699998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C24-4BFC-8D8B-60E377803EFD}"/>
            </c:ext>
          </c:extLst>
        </c:ser>
        <c:ser>
          <c:idx val="6"/>
          <c:order val="6"/>
          <c:tx>
            <c:strRef>
              <c:f>'T:\ISD\פרויקטים משותפים - 7\סקר קציני אשראי\2024Q4\דיווח לציבור\[עותק של עותק של גרפים ידני.xlsx]גרף 1 - שינוי בביקוש לאשראי '!$Q$10</c:f>
              <c:strCache>
                <c:ptCount val="1"/>
                <c:pt idx="0">
                  <c:v>אשראי לעסקים בינוניים</c:v>
                </c:pt>
              </c:strCache>
            </c:strRef>
          </c:tx>
          <c:spPr>
            <a:ln w="28575" cap="rnd">
              <a:solidFill>
                <a:srgbClr val="357C32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rgbClr val="357C32"/>
              </a:solidFill>
              <a:ln w="9525">
                <a:solidFill>
                  <a:srgbClr val="357C32"/>
                </a:solidFill>
              </a:ln>
              <a:effectLst/>
            </c:spPr>
          </c:marker>
          <c:cat>
            <c:multiLvlStrRef>
              <c:f>'T:\ISD\פרויקטים משותפים - 7\סקר קציני אשראי\2024Q4\דיווח לציבור\[עותק של עותק של גרפים ידני.xlsx]גרף 1 - שינוי בביקוש לאשראי '!$R$2:$W$3</c:f>
              <c:multiLvlStrCache>
                <c:ptCount val="6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  <c:pt idx="5">
                    <c:v>Q4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'T:\ISD\פרויקטים משותפים - 7\סקר קציני אשראי\2024Q4\דיווח לציבור\[עותק של עותק של גרפים ידני.xlsx]גרף 1 - שינוי בביקוש לאשראי '!$R$10:$W$10</c:f>
              <c:numCache>
                <c:formatCode>General</c:formatCode>
                <c:ptCount val="6"/>
                <c:pt idx="4">
                  <c:v>0</c:v>
                </c:pt>
                <c:pt idx="5">
                  <c:v>17.598248346399998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C24-4BFC-8D8B-60E377803EFD}"/>
            </c:ext>
          </c:extLst>
        </c:ser>
        <c:ser>
          <c:idx val="7"/>
          <c:order val="7"/>
          <c:tx>
            <c:strRef>
              <c:f>'T:\ISD\פרויקטים משותפים - 7\סקר קציני אשראי\2024Q4\דיווח לציבור\[עותק של עותק של גרפים ידני.xlsx]גרף 1 - שינוי בביקוש לאשראי '!$Q$11</c:f>
              <c:strCache>
                <c:ptCount val="1"/>
                <c:pt idx="0">
                  <c:v>אשראי לעסקים גדולים</c:v>
                </c:pt>
              </c:strCache>
            </c:strRef>
          </c:tx>
          <c:spPr>
            <a:ln w="28575" cap="rnd">
              <a:solidFill>
                <a:srgbClr val="D98D25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rgbClr val="D98D25"/>
              </a:solidFill>
              <a:ln w="9525">
                <a:solidFill>
                  <a:srgbClr val="D98D25"/>
                </a:solidFill>
              </a:ln>
              <a:effectLst/>
            </c:spPr>
          </c:marker>
          <c:cat>
            <c:multiLvlStrRef>
              <c:f>'T:\ISD\פרויקטים משותפים - 7\סקר קציני אשראי\2024Q4\דיווח לציבור\[עותק של עותק של גרפים ידני.xlsx]גרף 1 - שינוי בביקוש לאשראי '!$R$2:$W$3</c:f>
              <c:multiLvlStrCache>
                <c:ptCount val="6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  <c:pt idx="5">
                    <c:v>Q4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'T:\ISD\פרויקטים משותפים - 7\סקר קציני אשראי\2024Q4\דיווח לציבור\[עותק של עותק של גרפים ידני.xlsx]גרף 1 - שינוי בביקוש לאשראי '!$R$11:$W$11</c:f>
              <c:numCache>
                <c:formatCode>General</c:formatCode>
                <c:ptCount val="6"/>
                <c:pt idx="4">
                  <c:v>-29.3937070807</c:v>
                </c:pt>
                <c:pt idx="5">
                  <c:v>9.1834067924999996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CC24-4BFC-8D8B-60E377803EFD}"/>
            </c:ext>
          </c:extLst>
        </c:ser>
        <c:ser>
          <c:idx val="8"/>
          <c:order val="8"/>
          <c:tx>
            <c:strRef>
              <c:f>'T:\ISD\פרויקטים משותפים - 7\סקר קציני אשראי\2024Q4\דיווח לציבור\[עותק של עותק של גרפים ידני.xlsx]גרף 1 - שינוי בביקוש לאשראי '!$Q$12</c:f>
              <c:strCache>
                <c:ptCount val="1"/>
                <c:pt idx="0">
                  <c:v>אשראי לענף הבינוי</c:v>
                </c:pt>
              </c:strCache>
            </c:strRef>
          </c:tx>
          <c:spPr>
            <a:ln w="28575" cap="rnd">
              <a:solidFill>
                <a:srgbClr val="D87585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rgbClr val="D87585"/>
              </a:solidFill>
              <a:ln w="9525">
                <a:solidFill>
                  <a:srgbClr val="D87585"/>
                </a:solidFill>
              </a:ln>
              <a:effectLst/>
            </c:spPr>
          </c:marker>
          <c:cat>
            <c:multiLvlStrRef>
              <c:f>'T:\ISD\פרויקטים משותפים - 7\סקר קציני אשראי\2024Q4\דיווח לציבור\[עותק של עותק של גרפים ידני.xlsx]גרף 1 - שינוי בביקוש לאשראי '!$R$2:$W$3</c:f>
              <c:multiLvlStrCache>
                <c:ptCount val="6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  <c:pt idx="5">
                    <c:v>Q4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'T:\ISD\פרויקטים משותפים - 7\סקר קציני אשראי\2024Q4\דיווח לציבור\[עותק של עותק של גרפים ידני.xlsx]גרף 1 - שינוי בביקוש לאשראי '!$R$12:$W$12</c:f>
              <c:numCache>
                <c:formatCode>General</c:formatCode>
                <c:ptCount val="6"/>
                <c:pt idx="4">
                  <c:v>-28.749985218199999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CC24-4BFC-8D8B-60E377803EFD}"/>
            </c:ext>
          </c:extLst>
        </c:ser>
        <c:ser>
          <c:idx val="9"/>
          <c:order val="9"/>
          <c:tx>
            <c:strRef>
              <c:f>'T:\ISD\פרויקטים משותפים - 7\סקר קציני אשראי\2024Q4\דיווח לציבור\[עותק של עותק של גרפים ידני.xlsx]גרף 1 - שינוי בביקוש לאשראי '!$Q$13</c:f>
              <c:strCache>
                <c:ptCount val="1"/>
                <c:pt idx="0">
                  <c:v>אשראי לענף הנדל"ן</c:v>
                </c:pt>
              </c:strCache>
            </c:strRef>
          </c:tx>
          <c:spPr>
            <a:ln w="28575" cap="rnd">
              <a:solidFill>
                <a:srgbClr val="0D2B3B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rgbClr val="2E2A74"/>
              </a:solidFill>
              <a:ln w="9525">
                <a:solidFill>
                  <a:srgbClr val="0D2B3B"/>
                </a:solidFill>
              </a:ln>
              <a:effectLst/>
            </c:spPr>
          </c:marker>
          <c:cat>
            <c:multiLvlStrRef>
              <c:f>'T:\ISD\פרויקטים משותפים - 7\סקר קציני אשראי\2024Q4\דיווח לציבור\[עותק של עותק של גרפים ידני.xlsx]גרף 1 - שינוי בביקוש לאשראי '!$R$2:$W$3</c:f>
              <c:multiLvlStrCache>
                <c:ptCount val="6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  <c:pt idx="5">
                    <c:v>Q4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'T:\ISD\פרויקטים משותפים - 7\סקר קציני אשראי\2024Q4\דיווח לציבור\[עותק של עותק של גרפים ידני.xlsx]גרף 1 - שינוי בביקוש לאשראי '!$R$13:$W$13</c:f>
              <c:numCache>
                <c:formatCode>General</c:formatCode>
                <c:ptCount val="6"/>
                <c:pt idx="4">
                  <c:v>-30.668856992199999</c:v>
                </c:pt>
                <c:pt idx="5">
                  <c:v>-30.668856992199999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CC24-4BFC-8D8B-60E377803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1717416"/>
        <c:axId val="771717744"/>
      </c:lineChart>
      <c:catAx>
        <c:axId val="771717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771717744"/>
        <c:crossesAt val="-100"/>
        <c:auto val="0"/>
        <c:lblAlgn val="ctr"/>
        <c:lblOffset val="100"/>
        <c:noMultiLvlLbl val="0"/>
      </c:catAx>
      <c:valAx>
        <c:axId val="771717744"/>
        <c:scaling>
          <c:orientation val="minMax"/>
          <c:max val="100"/>
          <c:min val="-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77171741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l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1.055658590697198E-2"/>
          <c:y val="0.86490047439722206"/>
          <c:w val="0.97630211114283283"/>
          <c:h val="0.135099421472839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2!גרף 2 א 5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circle"/>
          <c:size val="5"/>
          <c:spPr>
            <a:noFill/>
            <a:ln w="9525">
              <a:noFill/>
            </a:ln>
            <a:effectLst/>
          </c:spPr>
        </c:marker>
      </c:pivotFmt>
      <c:pivotFmt>
        <c:idx val="8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circle"/>
          <c:size val="5"/>
          <c:spPr>
            <a:noFill/>
            <a:ln w="9525">
              <a:noFill/>
            </a:ln>
            <a:effectLst/>
          </c:spPr>
        </c:marker>
      </c:pivotFmt>
      <c:pivotFmt>
        <c:idx val="9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10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circle"/>
          <c:size val="5"/>
          <c:spPr>
            <a:noFill/>
            <a:ln w="9525">
              <a:noFill/>
            </a:ln>
            <a:effectLst/>
          </c:spPr>
        </c:marker>
      </c:pivotFmt>
      <c:pivotFmt>
        <c:idx val="13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15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6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circle"/>
          <c:size val="5"/>
          <c:spPr>
            <a:noFill/>
            <a:ln w="9525">
              <a:noFill/>
            </a:ln>
            <a:effectLst/>
          </c:spPr>
        </c:marker>
      </c:pivotFmt>
    </c:pivotFmts>
    <c:plotArea>
      <c:layout>
        <c:manualLayout>
          <c:layoutTarget val="inner"/>
          <c:xMode val="edge"/>
          <c:yMode val="edge"/>
          <c:x val="7.1050694000257875E-2"/>
          <c:y val="7.4982026703183838E-2"/>
          <c:w val="0.91686650846239826"/>
          <c:h val="0.63624415154627412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'טבלאות תרשים 2'!$AP$3:$AP$4</c:f>
              <c:strCache>
                <c:ptCount val="1"/>
                <c:pt idx="0">
                  <c:v>מטרת האשראי או המניע לאשראי</c:v>
                </c:pt>
              </c:strCache>
            </c:strRef>
          </c:tx>
          <c:spPr>
            <a:solidFill>
              <a:srgbClr val="008DA3"/>
            </a:solidFill>
            <a:ln>
              <a:noFill/>
            </a:ln>
            <a:effectLst/>
          </c:spPr>
          <c:invertIfNegative val="0"/>
          <c:cat>
            <c:multiLvlStrRef>
              <c:f>'טבלאות תרשים 2'!$AN$5:$AN$11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2'!$AP$5:$AP$11</c:f>
              <c:numCache>
                <c:formatCode>General</c:formatCode>
                <c:ptCount val="5"/>
                <c:pt idx="0">
                  <c:v>-7.8473284545313895</c:v>
                </c:pt>
                <c:pt idx="1">
                  <c:v>-7.8476849108078479</c:v>
                </c:pt>
                <c:pt idx="2">
                  <c:v>-0.76841989764153684</c:v>
                </c:pt>
                <c:pt idx="3">
                  <c:v>-2.4133376123272399</c:v>
                </c:pt>
                <c:pt idx="4">
                  <c:v>0.54958361796329747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9E-4557-958F-7C5B392E9C50}"/>
            </c:ext>
          </c:extLst>
        </c:ser>
        <c:ser>
          <c:idx val="2"/>
          <c:order val="2"/>
          <c:tx>
            <c:strRef>
              <c:f>'טבלאות תרשים 2'!$AQ$3:$AQ$4</c:f>
              <c:strCache>
                <c:ptCount val="1"/>
                <c:pt idx="0">
                  <c:v>רמת הריבית</c:v>
                </c:pt>
              </c:strCache>
            </c:strRef>
          </c:tx>
          <c:spPr>
            <a:solidFill>
              <a:srgbClr val="6C63FF"/>
            </a:solidFill>
            <a:ln>
              <a:noFill/>
            </a:ln>
            <a:effectLst/>
          </c:spPr>
          <c:invertIfNegative val="0"/>
          <c:cat>
            <c:multiLvlStrRef>
              <c:f>'טבלאות תרשים 2'!$AN$5:$AN$11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2'!$AQ$5:$AQ$11</c:f>
              <c:numCache>
                <c:formatCode>General</c:formatCode>
                <c:ptCount val="5"/>
                <c:pt idx="0">
                  <c:v>-60.681776831942727</c:v>
                </c:pt>
                <c:pt idx="1">
                  <c:v>-49.487985818849488</c:v>
                </c:pt>
                <c:pt idx="2">
                  <c:v>-6.0163162538120325</c:v>
                </c:pt>
                <c:pt idx="3">
                  <c:v>-6.0333440308180997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9E-4557-958F-7C5B392E9C50}"/>
            </c:ext>
          </c:extLst>
        </c:ser>
        <c:ser>
          <c:idx val="3"/>
          <c:order val="3"/>
          <c:tx>
            <c:strRef>
              <c:f>'טבלאות תרשים 2'!$AR$3:$AR$4</c:f>
              <c:strCache>
                <c:ptCount val="1"/>
                <c:pt idx="0">
                  <c:v>שימוש בחלופות מימון</c:v>
                </c:pt>
              </c:strCache>
            </c:strRef>
          </c:tx>
          <c:spPr>
            <a:solidFill>
              <a:srgbClr val="D98D25"/>
            </a:solidFill>
            <a:ln>
              <a:noFill/>
            </a:ln>
            <a:effectLst/>
          </c:spPr>
          <c:invertIfNegative val="0"/>
          <c:cat>
            <c:multiLvlStrRef>
              <c:f>'טבלאות תרשים 2'!$AN$5:$AN$11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2'!$AR$5:$AR$11</c:f>
              <c:numCache>
                <c:formatCode>General</c:formatCode>
                <c:ptCount val="5"/>
                <c:pt idx="0">
                  <c:v>-14.241104676081964</c:v>
                </c:pt>
                <c:pt idx="1">
                  <c:v>-17.108982506867108</c:v>
                </c:pt>
                <c:pt idx="2">
                  <c:v>35.957954875021919</c:v>
                </c:pt>
                <c:pt idx="3">
                  <c:v>-1.5083360077045249</c:v>
                </c:pt>
                <c:pt idx="4">
                  <c:v>-2.2588563165635533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9E-4557-958F-7C5B392E9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35468432"/>
        <c:axId val="935465480"/>
      </c:barChart>
      <c:lineChart>
        <c:grouping val="standard"/>
        <c:varyColors val="0"/>
        <c:ser>
          <c:idx val="0"/>
          <c:order val="0"/>
          <c:tx>
            <c:strRef>
              <c:f>'טבלאות תרשים 2'!$AO$3:$AO$4</c:f>
              <c:strCache>
                <c:ptCount val="1"/>
                <c:pt idx="0">
                  <c:v>השינוי שחל בביקוש לאשראי</c:v>
                </c:pt>
              </c:strCache>
            </c:strRef>
          </c:tx>
          <c:spPr>
            <a:ln w="28575" cap="rnd">
              <a:solidFill>
                <a:srgbClr val="00000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multiLvlStrRef>
              <c:f>'טבלאות תרשים 2'!$AN$5:$AN$11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2'!$AO$5:$AO$11</c:f>
              <c:numCache>
                <c:formatCode>General</c:formatCode>
                <c:ptCount val="5"/>
                <c:pt idx="0">
                  <c:v>-40.600966908162405</c:v>
                </c:pt>
                <c:pt idx="1">
                  <c:v>0</c:v>
                </c:pt>
                <c:pt idx="2">
                  <c:v>3.7403553282074808</c:v>
                </c:pt>
                <c:pt idx="3">
                  <c:v>-36.911376615910733</c:v>
                </c:pt>
                <c:pt idx="4">
                  <c:v>-30.668856992184015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49E-4557-958F-7C5B392E9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5468432"/>
        <c:axId val="935465480"/>
      </c:lineChart>
      <c:catAx>
        <c:axId val="93546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935465480"/>
        <c:crosses val="autoZero"/>
        <c:auto val="1"/>
        <c:lblAlgn val="ctr"/>
        <c:lblOffset val="100"/>
        <c:noMultiLvlLbl val="0"/>
      </c:catAx>
      <c:valAx>
        <c:axId val="935465480"/>
        <c:scaling>
          <c:orientation val="minMax"/>
          <c:max val="200"/>
          <c:min val="-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93546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7536859522994404"/>
          <c:w val="1"/>
          <c:h val="0.124631386193004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3!גרף 3 א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r>
              <a:rPr lang="he-IL" sz="140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א. מרווחי אשראי ב</a:t>
            </a:r>
            <a:r>
              <a:rPr lang="he-IL" sz="1400" b="0" i="0" u="none" strike="noStrike" baseline="0">
                <a:effectLst/>
              </a:rPr>
              <a:t>רמת סיכון לא גבוהה 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63109459317585304"/>
          <c:y val="1.960883921767843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</c:pivotFmt>
      <c:pivotFmt>
        <c:idx val="3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chemeClr val="accent3"/>
              </a:solidFill>
            </a:ln>
            <a:effectLst/>
          </c:spPr>
        </c:marker>
      </c:pivotFmt>
      <c:pivotFmt>
        <c:idx val="4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5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6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7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6"/>
            </a:solidFill>
            <a:ln w="9525">
              <a:solidFill>
                <a:schemeClr val="accent6"/>
              </a:solidFill>
            </a:ln>
            <a:effectLst/>
          </c:spPr>
        </c:marker>
      </c:pivotFmt>
      <c:pivotFmt>
        <c:idx val="8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>
                <a:lumMod val="60000"/>
              </a:schemeClr>
            </a:solidFill>
            <a:ln w="9525">
              <a:solidFill>
                <a:schemeClr val="accent1">
                  <a:lumMod val="60000"/>
                </a:schemeClr>
              </a:solidFill>
            </a:ln>
            <a:effectLst/>
          </c:spPr>
        </c:marker>
      </c:pivotFmt>
      <c:pivotFmt>
        <c:idx val="9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1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</c:pivotFmt>
      <c:pivotFmt>
        <c:idx val="13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chemeClr val="accent3"/>
              </a:solidFill>
            </a:ln>
            <a:effectLst/>
          </c:spPr>
        </c:marker>
      </c:pivotFmt>
      <c:pivotFmt>
        <c:idx val="14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15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6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6"/>
            </a:solidFill>
            <a:ln w="9525">
              <a:solidFill>
                <a:schemeClr val="accent6"/>
              </a:solidFill>
            </a:ln>
            <a:effectLst/>
          </c:spPr>
        </c:marker>
      </c:pivotFmt>
      <c:pivotFmt>
        <c:idx val="17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>
                <a:lumMod val="60000"/>
              </a:schemeClr>
            </a:solidFill>
            <a:ln w="9525">
              <a:solidFill>
                <a:schemeClr val="accent1">
                  <a:lumMod val="60000"/>
                </a:schemeClr>
              </a:solidFill>
            </a:ln>
            <a:effectLst/>
          </c:spPr>
        </c:marker>
      </c:pivotFmt>
      <c:pivotFmt>
        <c:idx val="18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9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</c:pivotFmt>
      <c:pivotFmt>
        <c:idx val="20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chemeClr val="accent3"/>
              </a:solidFill>
            </a:ln>
            <a:effectLst/>
          </c:spPr>
        </c:marker>
      </c:pivotFmt>
      <c:pivotFmt>
        <c:idx val="21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22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2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6"/>
            </a:solidFill>
            <a:ln w="9525">
              <a:solidFill>
                <a:schemeClr val="accent6"/>
              </a:solidFill>
            </a:ln>
            <a:effectLst/>
          </c:spPr>
        </c:marker>
      </c:pivotFmt>
      <c:pivotFmt>
        <c:idx val="24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>
                <a:lumMod val="60000"/>
              </a:schemeClr>
            </a:solidFill>
            <a:ln w="9525">
              <a:solidFill>
                <a:schemeClr val="accent1">
                  <a:lumMod val="60000"/>
                </a:schemeClr>
              </a:solidFill>
            </a:ln>
            <a:effectLst/>
          </c:spPr>
        </c:marker>
      </c:pivotFmt>
    </c:pivotFmts>
    <c:plotArea>
      <c:layout>
        <c:manualLayout>
          <c:layoutTarget val="inner"/>
          <c:xMode val="edge"/>
          <c:yMode val="edge"/>
          <c:x val="8.1872335958005249E-2"/>
          <c:y val="0.10431276598899712"/>
          <c:w val="0.85948010498687677"/>
          <c:h val="0.56705280484007292"/>
        </c:manualLayout>
      </c:layout>
      <c:lineChart>
        <c:grouping val="standard"/>
        <c:varyColors val="0"/>
        <c:ser>
          <c:idx val="0"/>
          <c:order val="0"/>
          <c:tx>
            <c:strRef>
              <c:f>'טבלאות תרשים 3'!$B$3:$B$4</c:f>
              <c:strCache>
                <c:ptCount val="1"/>
                <c:pt idx="0">
                  <c:v>בינוי</c:v>
                </c:pt>
              </c:strCache>
            </c:strRef>
          </c:tx>
          <c:spPr>
            <a:ln w="28575" cap="rnd">
              <a:solidFill>
                <a:srgbClr val="D8758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87585"/>
              </a:solidFill>
              <a:ln w="9525">
                <a:solidFill>
                  <a:srgbClr val="D87585"/>
                </a:solidFill>
              </a:ln>
              <a:effectLst/>
            </c:spPr>
          </c:marker>
          <c:cat>
            <c:multiLvlStrRef>
              <c:f>'טבלאות תרשים 3'!$A$5:$A$11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3'!$B$5:$B$11</c:f>
              <c:numCache>
                <c:formatCode>General</c:formatCode>
                <c:ptCount val="5"/>
                <c:pt idx="0">
                  <c:v>-66.090939345601726</c:v>
                </c:pt>
                <c:pt idx="1">
                  <c:v>-79.580551563</c:v>
                </c:pt>
                <c:pt idx="2">
                  <c:v>-94.450527062516642</c:v>
                </c:pt>
                <c:pt idx="3">
                  <c:v>-78.647516114293239</c:v>
                </c:pt>
                <c:pt idx="4">
                  <c:v>-43.78019288336268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0F-4DE4-BBA6-6DC024CD0EC5}"/>
            </c:ext>
          </c:extLst>
        </c:ser>
        <c:ser>
          <c:idx val="1"/>
          <c:order val="1"/>
          <c:tx>
            <c:strRef>
              <c:f>'טבלאות תרשים 3'!$C$3:$C$4</c:f>
              <c:strCache>
                <c:ptCount val="1"/>
                <c:pt idx="0">
                  <c:v>דיור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multiLvlStrRef>
              <c:f>'טבלאות תרשים 3'!$A$5:$A$11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3'!$C$5:$C$11</c:f>
              <c:numCache>
                <c:formatCode>General</c:formatCode>
                <c:ptCount val="5"/>
                <c:pt idx="0">
                  <c:v>-58.796929473517594</c:v>
                </c:pt>
                <c:pt idx="1">
                  <c:v>-63.531385119572938</c:v>
                </c:pt>
                <c:pt idx="2">
                  <c:v>4.8901452272706587</c:v>
                </c:pt>
                <c:pt idx="3">
                  <c:v>-7.715854731707716</c:v>
                </c:pt>
                <c:pt idx="4">
                  <c:v>43.354522974056643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00F-4DE4-BBA6-6DC024CD0EC5}"/>
            </c:ext>
          </c:extLst>
        </c:ser>
        <c:ser>
          <c:idx val="2"/>
          <c:order val="2"/>
          <c:tx>
            <c:strRef>
              <c:f>'טבלאות תרשים 3'!$D$3:$D$4</c:f>
              <c:strCache>
                <c:ptCount val="1"/>
                <c:pt idx="0">
                  <c:v>נדל"ן</c:v>
                </c:pt>
              </c:strCache>
            </c:strRef>
          </c:tx>
          <c:spPr>
            <a:ln w="28575" cap="rnd">
              <a:solidFill>
                <a:srgbClr val="6C63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C63FF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multiLvlStrRef>
              <c:f>'טבלאות תרשים 3'!$A$5:$A$11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3'!$D$5:$D$11</c:f>
              <c:numCache>
                <c:formatCode>General</c:formatCode>
                <c:ptCount val="5"/>
                <c:pt idx="0">
                  <c:v>-91.242610371264973</c:v>
                </c:pt>
                <c:pt idx="1">
                  <c:v>-79.838715352179833</c:v>
                </c:pt>
                <c:pt idx="2">
                  <c:v>-93.983683746187964</c:v>
                </c:pt>
                <c:pt idx="3">
                  <c:v>-85.744179676257232</c:v>
                </c:pt>
                <c:pt idx="4">
                  <c:v>-45.2001184380712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00F-4DE4-BBA6-6DC024CD0EC5}"/>
            </c:ext>
          </c:extLst>
        </c:ser>
        <c:ser>
          <c:idx val="3"/>
          <c:order val="3"/>
          <c:tx>
            <c:strRef>
              <c:f>'טבלאות תרשים 3'!$E$3:$E$4</c:f>
              <c:strCache>
                <c:ptCount val="1"/>
                <c:pt idx="0">
                  <c:v>עסקים בינוניים</c:v>
                </c:pt>
              </c:strCache>
            </c:strRef>
          </c:tx>
          <c:spPr>
            <a:ln w="28575" cap="rnd">
              <a:solidFill>
                <a:srgbClr val="D98D2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98D25"/>
              </a:solidFill>
              <a:ln w="9525">
                <a:solidFill>
                  <a:srgbClr val="D98D25"/>
                </a:solidFill>
              </a:ln>
              <a:effectLst/>
            </c:spPr>
          </c:marker>
          <c:cat>
            <c:multiLvlStrRef>
              <c:f>'טבלאות תרשים 3'!$A$5:$A$11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3'!$E$5:$E$11</c:f>
              <c:numCache>
                <c:formatCode>General</c:formatCode>
                <c:ptCount val="5"/>
                <c:pt idx="0">
                  <c:v>-67.060992417932937</c:v>
                </c:pt>
                <c:pt idx="1">
                  <c:v>-73.533776930326468</c:v>
                </c:pt>
                <c:pt idx="2">
                  <c:v>-44.693977485946938</c:v>
                </c:pt>
                <c:pt idx="3">
                  <c:v>-94.407862908888816</c:v>
                </c:pt>
                <c:pt idx="4">
                  <c:v>-56.880553362244953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00F-4DE4-BBA6-6DC024CD0EC5}"/>
            </c:ext>
          </c:extLst>
        </c:ser>
        <c:ser>
          <c:idx val="4"/>
          <c:order val="4"/>
          <c:tx>
            <c:strRef>
              <c:f>'טבלאות תרשים 3'!$F$3:$F$4</c:f>
              <c:strCache>
                <c:ptCount val="1"/>
                <c:pt idx="0">
                  <c:v>עסקים גדולים</c:v>
                </c:pt>
              </c:strCache>
            </c:strRef>
          </c:tx>
          <c:spPr>
            <a:ln w="28575" cap="rnd">
              <a:solidFill>
                <a:srgbClr val="008DA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DA3"/>
              </a:solidFill>
              <a:ln w="9525">
                <a:solidFill>
                  <a:srgbClr val="008DA3"/>
                </a:solidFill>
              </a:ln>
              <a:effectLst/>
            </c:spPr>
          </c:marker>
          <c:cat>
            <c:multiLvlStrRef>
              <c:f>'טבלאות תרשים 3'!$A$5:$A$11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3'!$F$5:$F$11</c:f>
              <c:numCache>
                <c:formatCode>General</c:formatCode>
                <c:ptCount val="5"/>
                <c:pt idx="0">
                  <c:v>-81.333262546244001</c:v>
                </c:pt>
                <c:pt idx="1">
                  <c:v>-81.278122288756165</c:v>
                </c:pt>
                <c:pt idx="2">
                  <c:v>-82.366098035252904</c:v>
                </c:pt>
                <c:pt idx="3">
                  <c:v>-90.923836095154613</c:v>
                </c:pt>
                <c:pt idx="4">
                  <c:v>-46.395600701482437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00F-4DE4-BBA6-6DC024CD0EC5}"/>
            </c:ext>
          </c:extLst>
        </c:ser>
        <c:ser>
          <c:idx val="5"/>
          <c:order val="5"/>
          <c:tx>
            <c:strRef>
              <c:f>'טבלאות תרשים 3'!$G$3:$G$4</c:f>
              <c:strCache>
                <c:ptCount val="1"/>
                <c:pt idx="0">
                  <c:v>עסקים קטנים וזעירים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multiLvlStrRef>
              <c:f>'טבלאות תרשים 3'!$A$5:$A$11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3'!$G$5:$G$11</c:f>
              <c:numCache>
                <c:formatCode>General</c:formatCode>
                <c:ptCount val="5"/>
                <c:pt idx="0">
                  <c:v>-76.969999666023639</c:v>
                </c:pt>
                <c:pt idx="1">
                  <c:v>-59.69195148536123</c:v>
                </c:pt>
                <c:pt idx="2">
                  <c:v>-34.28655054213143</c:v>
                </c:pt>
                <c:pt idx="3">
                  <c:v>-75.1175800023737</c:v>
                </c:pt>
                <c:pt idx="4">
                  <c:v>25.14032274560056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00F-4DE4-BBA6-6DC024CD0EC5}"/>
            </c:ext>
          </c:extLst>
        </c:ser>
        <c:ser>
          <c:idx val="6"/>
          <c:order val="6"/>
          <c:tx>
            <c:strRef>
              <c:f>'טבלאות תרשים 3'!$H$3:$H$4</c:f>
              <c:strCache>
                <c:ptCount val="1"/>
                <c:pt idx="0">
                  <c:v>צרכני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multiLvlStrRef>
              <c:f>'טבלאות תרשים 3'!$A$5:$A$11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3'!$H$5:$H$11</c:f>
              <c:numCache>
                <c:formatCode>General</c:formatCode>
                <c:ptCount val="5"/>
                <c:pt idx="0">
                  <c:v>-66.581487750299743</c:v>
                </c:pt>
                <c:pt idx="1">
                  <c:v>-58.388926487116777</c:v>
                </c:pt>
                <c:pt idx="2">
                  <c:v>-35.375446285729247</c:v>
                </c:pt>
                <c:pt idx="3">
                  <c:v>-25.139798099224581</c:v>
                </c:pt>
                <c:pt idx="4">
                  <c:v>-34.252416531197241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00F-4DE4-BBA6-6DC024CD0E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5424480"/>
        <c:axId val="935421528"/>
        <c:extLst/>
      </c:lineChart>
      <c:catAx>
        <c:axId val="93542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935421528"/>
        <c:crosses val="autoZero"/>
        <c:auto val="1"/>
        <c:lblAlgn val="ctr"/>
        <c:lblOffset val="100"/>
        <c:noMultiLvlLbl val="0"/>
      </c:catAx>
      <c:valAx>
        <c:axId val="935421528"/>
        <c:scaling>
          <c:orientation val="minMax"/>
          <c:max val="100"/>
          <c:min val="-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935424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50708661417324E-3"/>
          <c:y val="0.85313134559478765"/>
          <c:w val="0.99454929133858272"/>
          <c:h val="0.146868654405212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3!גרף 3 ב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e-IL" sz="140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ב. מרווחי אשראי ב</a:t>
            </a:r>
            <a:r>
              <a:rPr lang="he-IL" sz="1400" b="0" i="0" u="none" strike="noStrike" baseline="0">
                <a:effectLst/>
              </a:rPr>
              <a:t>רמת סיכון גבוהה 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62937270877950069"/>
          <c:y val="3.29112086795602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3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4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5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6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6"/>
            </a:solidFill>
            <a:ln w="9525">
              <a:solidFill>
                <a:schemeClr val="accent6"/>
              </a:solidFill>
            </a:ln>
            <a:effectLst/>
          </c:spPr>
        </c:marker>
      </c:pivotFmt>
      <c:pivotFmt>
        <c:idx val="7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>
                <a:lumMod val="60000"/>
              </a:schemeClr>
            </a:solidFill>
            <a:ln w="9525">
              <a:solidFill>
                <a:schemeClr val="accent1">
                  <a:lumMod val="60000"/>
                </a:schemeClr>
              </a:solidFill>
            </a:ln>
            <a:effectLst/>
          </c:spPr>
        </c:marker>
      </c:pivotFmt>
      <c:pivotFmt>
        <c:idx val="8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9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0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</c:pivotFmt>
      <c:pivotFmt>
        <c:idx val="12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13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14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5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6"/>
            </a:solidFill>
            <a:ln w="9525">
              <a:solidFill>
                <a:schemeClr val="accent6"/>
              </a:solidFill>
            </a:ln>
            <a:effectLst/>
          </c:spPr>
        </c:marker>
      </c:pivotFmt>
      <c:pivotFmt>
        <c:idx val="16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>
                <a:lumMod val="60000"/>
              </a:schemeClr>
            </a:solidFill>
            <a:ln w="9525">
              <a:solidFill>
                <a:schemeClr val="accent1">
                  <a:lumMod val="60000"/>
                </a:schemeClr>
              </a:solidFill>
            </a:ln>
            <a:effectLst/>
          </c:spPr>
        </c:marker>
      </c:pivotFmt>
      <c:pivotFmt>
        <c:idx val="17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8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</c:pivotFmt>
      <c:pivotFmt>
        <c:idx val="19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20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21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2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6"/>
            </a:solidFill>
            <a:ln w="9525">
              <a:solidFill>
                <a:schemeClr val="accent6"/>
              </a:solidFill>
            </a:ln>
            <a:effectLst/>
          </c:spPr>
        </c:marker>
      </c:pivotFmt>
      <c:pivotFmt>
        <c:idx val="2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>
                <a:lumMod val="60000"/>
              </a:schemeClr>
            </a:solidFill>
            <a:ln w="9525">
              <a:solidFill>
                <a:schemeClr val="accent1">
                  <a:lumMod val="60000"/>
                </a:schemeClr>
              </a:solidFill>
            </a:ln>
            <a:effectLst/>
          </c:spPr>
        </c:marker>
      </c:pivotFmt>
    </c:pivotFmts>
    <c:plotArea>
      <c:layout>
        <c:manualLayout>
          <c:layoutTarget val="inner"/>
          <c:xMode val="edge"/>
          <c:yMode val="edge"/>
          <c:x val="7.6521515707885249E-2"/>
          <c:y val="0.10431276598899712"/>
          <c:w val="0.84580482504268883"/>
          <c:h val="0.58965167489657011"/>
        </c:manualLayout>
      </c:layout>
      <c:lineChart>
        <c:grouping val="standard"/>
        <c:varyColors val="0"/>
        <c:ser>
          <c:idx val="0"/>
          <c:order val="0"/>
          <c:tx>
            <c:strRef>
              <c:f>'טבלאות תרשים 3'!$L$3:$L$4</c:f>
              <c:strCache>
                <c:ptCount val="1"/>
                <c:pt idx="0">
                  <c:v>בינוי</c:v>
                </c:pt>
              </c:strCache>
            </c:strRef>
          </c:tx>
          <c:spPr>
            <a:ln w="28575" cap="rnd">
              <a:solidFill>
                <a:srgbClr val="D8758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87585"/>
              </a:solidFill>
              <a:ln w="9525">
                <a:solidFill>
                  <a:srgbClr val="D87585"/>
                </a:solidFill>
              </a:ln>
              <a:effectLst/>
            </c:spPr>
          </c:marker>
          <c:cat>
            <c:multiLvlStrRef>
              <c:f>'טבלאות תרשים 3'!$K$5:$K$11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3'!$L$5:$L$11</c:f>
              <c:numCache>
                <c:formatCode>General</c:formatCode>
                <c:ptCount val="5"/>
                <c:pt idx="0">
                  <c:v>2.184679518793446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4E7-42FC-B029-14FC680B1881}"/>
            </c:ext>
          </c:extLst>
        </c:ser>
        <c:ser>
          <c:idx val="1"/>
          <c:order val="1"/>
          <c:tx>
            <c:strRef>
              <c:f>'טבלאות תרשים 3'!$M$3:$M$4</c:f>
              <c:strCache>
                <c:ptCount val="1"/>
                <c:pt idx="0">
                  <c:v>דיור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multiLvlStrRef>
              <c:f>'טבלאות תרשים 3'!$K$5:$K$11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3'!$M$5:$M$11</c:f>
              <c:numCache>
                <c:formatCode>General</c:formatCode>
                <c:ptCount val="5"/>
                <c:pt idx="0">
                  <c:v>13.1497960314263</c:v>
                </c:pt>
                <c:pt idx="1">
                  <c:v>21.27471974885745</c:v>
                </c:pt>
                <c:pt idx="2">
                  <c:v>40.095033866059431</c:v>
                </c:pt>
                <c:pt idx="3">
                  <c:v>14.838501792314839</c:v>
                </c:pt>
                <c:pt idx="4">
                  <c:v>20.803049915079196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4E7-42FC-B029-14FC680B1881}"/>
            </c:ext>
          </c:extLst>
        </c:ser>
        <c:ser>
          <c:idx val="2"/>
          <c:order val="2"/>
          <c:tx>
            <c:strRef>
              <c:f>'טבלאות תרשים 3'!$N$3:$N$4</c:f>
              <c:strCache>
                <c:ptCount val="1"/>
                <c:pt idx="0">
                  <c:v>נדל"ן</c:v>
                </c:pt>
              </c:strCache>
            </c:strRef>
          </c:tx>
          <c:spPr>
            <a:ln w="28575" cap="rnd">
              <a:solidFill>
                <a:srgbClr val="6C63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C63FF"/>
              </a:solidFill>
              <a:ln w="9525">
                <a:solidFill>
                  <a:srgbClr val="6C63FF"/>
                </a:solidFill>
              </a:ln>
              <a:effectLst/>
            </c:spPr>
          </c:marker>
          <c:cat>
            <c:multiLvlStrRef>
              <c:f>'טבלאות תרשים 3'!$K$5:$K$11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3'!$N$5:$N$11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4E7-42FC-B029-14FC680B1881}"/>
            </c:ext>
          </c:extLst>
        </c:ser>
        <c:ser>
          <c:idx val="3"/>
          <c:order val="3"/>
          <c:tx>
            <c:strRef>
              <c:f>'טבלאות תרשים 3'!$O$3:$O$4</c:f>
              <c:strCache>
                <c:ptCount val="1"/>
                <c:pt idx="0">
                  <c:v>עסקים בינוניים</c:v>
                </c:pt>
              </c:strCache>
            </c:strRef>
          </c:tx>
          <c:spPr>
            <a:ln w="28575" cap="rnd">
              <a:solidFill>
                <a:srgbClr val="D98D2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98D25"/>
              </a:solidFill>
              <a:ln w="9525">
                <a:solidFill>
                  <a:srgbClr val="D98D25"/>
                </a:solidFill>
              </a:ln>
              <a:effectLst/>
            </c:spPr>
          </c:marker>
          <c:cat>
            <c:multiLvlStrRef>
              <c:f>'טבלאות תרשים 3'!$K$5:$K$11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3'!$O$5:$O$11</c:f>
              <c:numCache>
                <c:formatCode>General</c:formatCode>
                <c:ptCount val="5"/>
                <c:pt idx="0">
                  <c:v>49.84993038145015</c:v>
                </c:pt>
                <c:pt idx="1">
                  <c:v>43.145480247956854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4E7-42FC-B029-14FC680B1881}"/>
            </c:ext>
          </c:extLst>
        </c:ser>
        <c:ser>
          <c:idx val="4"/>
          <c:order val="4"/>
          <c:tx>
            <c:strRef>
              <c:f>'טבלאות תרשים 3'!$P$3:$P$4</c:f>
              <c:strCache>
                <c:ptCount val="1"/>
                <c:pt idx="0">
                  <c:v>עסקים גדולים</c:v>
                </c:pt>
              </c:strCache>
            </c:strRef>
          </c:tx>
          <c:spPr>
            <a:ln w="28575" cap="rnd">
              <a:solidFill>
                <a:srgbClr val="008DA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DA3"/>
              </a:solidFill>
              <a:ln w="9525">
                <a:solidFill>
                  <a:srgbClr val="008DA3"/>
                </a:solidFill>
              </a:ln>
              <a:effectLst/>
            </c:spPr>
          </c:marker>
          <c:cat>
            <c:multiLvlStrRef>
              <c:f>'טבלאות תרשים 3'!$K$5:$K$11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3'!$P$5:$P$11</c:f>
              <c:numCache>
                <c:formatCode>General</c:formatCode>
                <c:ptCount val="5"/>
                <c:pt idx="0">
                  <c:v>10.375200383531126</c:v>
                </c:pt>
                <c:pt idx="1">
                  <c:v>8.9104081618732689</c:v>
                </c:pt>
                <c:pt idx="2">
                  <c:v>-15.425582625953723</c:v>
                </c:pt>
                <c:pt idx="3">
                  <c:v>1.4845305248074228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4E7-42FC-B029-14FC680B1881}"/>
            </c:ext>
          </c:extLst>
        </c:ser>
        <c:ser>
          <c:idx val="5"/>
          <c:order val="5"/>
          <c:tx>
            <c:strRef>
              <c:f>'טבלאות תרשים 3'!$Q$3:$Q$4</c:f>
              <c:strCache>
                <c:ptCount val="1"/>
                <c:pt idx="0">
                  <c:v>עסקים קטנים וזעירים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multiLvlStrRef>
              <c:f>'טבלאות תרשים 3'!$K$5:$K$11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3'!$Q$5:$Q$11</c:f>
              <c:numCache>
                <c:formatCode>General</c:formatCode>
                <c:ptCount val="5"/>
                <c:pt idx="0">
                  <c:v>-23.958981049387507</c:v>
                </c:pt>
                <c:pt idx="1">
                  <c:v>-25.501608870897993</c:v>
                </c:pt>
                <c:pt idx="2">
                  <c:v>0</c:v>
                </c:pt>
                <c:pt idx="3">
                  <c:v>18.647281486594881</c:v>
                </c:pt>
                <c:pt idx="4">
                  <c:v>31.675195576126701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4E7-42FC-B029-14FC680B1881}"/>
            </c:ext>
          </c:extLst>
        </c:ser>
        <c:ser>
          <c:idx val="6"/>
          <c:order val="6"/>
          <c:tx>
            <c:strRef>
              <c:f>'טבלאות תרשים 3'!$R$3:$R$4</c:f>
              <c:strCache>
                <c:ptCount val="1"/>
                <c:pt idx="0">
                  <c:v>צרכני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multiLvlStrRef>
              <c:f>'טבלאות תרשים 3'!$K$5:$K$11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3'!$R$5:$R$11</c:f>
              <c:numCache>
                <c:formatCode>General</c:formatCode>
                <c:ptCount val="5"/>
                <c:pt idx="0">
                  <c:v>-13.927856785941783</c:v>
                </c:pt>
                <c:pt idx="1">
                  <c:v>-17.22493632453445</c:v>
                </c:pt>
                <c:pt idx="2">
                  <c:v>-8.3245190163833502</c:v>
                </c:pt>
                <c:pt idx="3">
                  <c:v>-12.140218356263579</c:v>
                </c:pt>
                <c:pt idx="4">
                  <c:v>-8.1520906022755444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4E7-42FC-B029-14FC680B18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5473352"/>
        <c:axId val="935472368"/>
      </c:lineChart>
      <c:catAx>
        <c:axId val="935473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935472368"/>
        <c:crosses val="autoZero"/>
        <c:auto val="1"/>
        <c:lblAlgn val="ctr"/>
        <c:lblOffset val="100"/>
        <c:noMultiLvlLbl val="0"/>
      </c:catAx>
      <c:valAx>
        <c:axId val="935472368"/>
        <c:scaling>
          <c:orientation val="minMax"/>
          <c:max val="100"/>
          <c:min val="-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935473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6896100012814944E-3"/>
          <c:y val="0.86750962890907413"/>
          <c:w val="0.99131032916263995"/>
          <c:h val="0.132490371090925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5!PivotTable29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r>
              <a:rPr lang="he-IL" sz="140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א.</a:t>
            </a:r>
            <a:r>
              <a:rPr lang="he-IL" sz="1400" baseline="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 אשראי לעסקים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75029678982434889"/>
          <c:y val="4.285816731924903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title>
    <c:autoTitleDeleted val="0"/>
    <c:pivotFmts>
      <c:pivotFmt>
        <c:idx val="0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5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10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</c:pivotFmts>
    <c:plotArea>
      <c:layout>
        <c:manualLayout>
          <c:layoutTarget val="inner"/>
          <c:xMode val="edge"/>
          <c:yMode val="edge"/>
          <c:x val="6.8131138153185403E-2"/>
          <c:y val="0.12200435729847495"/>
          <c:w val="0.92068565974707706"/>
          <c:h val="0.5897416921245499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'טבלאות תרשים 5'!$B$3:$B$4</c:f>
              <c:strCache>
                <c:ptCount val="1"/>
                <c:pt idx="0">
                  <c:v>לחצי תחרות</c:v>
                </c:pt>
              </c:strCache>
            </c:strRef>
          </c:tx>
          <c:spPr>
            <a:solidFill>
              <a:srgbClr val="D98D25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5'!$A$5:$A$11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5'!$B$5:$B$11</c:f>
              <c:numCache>
                <c:formatCode>General</c:formatCode>
                <c:ptCount val="5"/>
                <c:pt idx="0">
                  <c:v>-45.08382243193909</c:v>
                </c:pt>
                <c:pt idx="1">
                  <c:v>-49.428250642598854</c:v>
                </c:pt>
                <c:pt idx="2">
                  <c:v>-50.106956603384084</c:v>
                </c:pt>
                <c:pt idx="3">
                  <c:v>-62.397462791234155</c:v>
                </c:pt>
                <c:pt idx="4">
                  <c:v>-50.488305229381865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C5-4017-ADC0-C3FE3FC4EFD8}"/>
            </c:ext>
          </c:extLst>
        </c:ser>
        <c:ser>
          <c:idx val="1"/>
          <c:order val="1"/>
          <c:tx>
            <c:strRef>
              <c:f>'טבלאות תרשים 5'!$C$3:$C$4</c:f>
              <c:strCache>
                <c:ptCount val="1"/>
                <c:pt idx="0">
                  <c:v>עלויות גיוס המקורות ומגבלות הרכב המאזן</c:v>
                </c:pt>
              </c:strCache>
            </c:strRef>
          </c:tx>
          <c:spPr>
            <a:solidFill>
              <a:srgbClr val="008DA3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5'!$A$5:$A$11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5'!$C$5:$C$11</c:f>
              <c:numCache>
                <c:formatCode>General</c:formatCode>
                <c:ptCount val="5"/>
                <c:pt idx="0">
                  <c:v>-22.527219485869413</c:v>
                </c:pt>
                <c:pt idx="1">
                  <c:v>-18.011808378702689</c:v>
                </c:pt>
                <c:pt idx="2">
                  <c:v>-13.500200477094502</c:v>
                </c:pt>
                <c:pt idx="3">
                  <c:v>-20.962091295832302</c:v>
                </c:pt>
                <c:pt idx="4">
                  <c:v>-9.75418131630407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C5-4017-ADC0-C3FE3FC4EFD8}"/>
            </c:ext>
          </c:extLst>
        </c:ser>
        <c:ser>
          <c:idx val="2"/>
          <c:order val="2"/>
          <c:tx>
            <c:strRef>
              <c:f>'טבלאות תרשים 5'!$D$3:$D$4</c:f>
              <c:strCache>
                <c:ptCount val="1"/>
                <c:pt idx="0">
                  <c:v>תאבון וקיבולת לסיכון אשראי</c:v>
                </c:pt>
              </c:strCache>
            </c:strRef>
          </c:tx>
          <c:spPr>
            <a:solidFill>
              <a:srgbClr val="D87585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5'!$A$5:$A$11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5'!$D$5:$D$11</c:f>
              <c:numCache>
                <c:formatCode>General</c:formatCode>
                <c:ptCount val="5"/>
                <c:pt idx="0">
                  <c:v>-24.533247020220799</c:v>
                </c:pt>
                <c:pt idx="1">
                  <c:v>-10.981724558021963</c:v>
                </c:pt>
                <c:pt idx="2">
                  <c:v>0</c:v>
                </c:pt>
                <c:pt idx="3">
                  <c:v>-3.6972571060704218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C5-4017-ADC0-C3FE3FC4EFD8}"/>
            </c:ext>
          </c:extLst>
        </c:ser>
        <c:ser>
          <c:idx val="3"/>
          <c:order val="3"/>
          <c:tx>
            <c:strRef>
              <c:f>'טבלאות תרשים 5'!$E$3:$E$4</c:f>
              <c:strCache>
                <c:ptCount val="1"/>
                <c:pt idx="0">
                  <c:v>תפיסת סיכון בבנק</c:v>
                </c:pt>
              </c:strCache>
            </c:strRef>
          </c:tx>
          <c:spPr>
            <a:solidFill>
              <a:srgbClr val="6C63FF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5'!$A$5:$A$11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5'!$E$5:$E$11</c:f>
              <c:numCache>
                <c:formatCode>General</c:formatCode>
                <c:ptCount val="5"/>
                <c:pt idx="0">
                  <c:v>15.986020816877208</c:v>
                </c:pt>
                <c:pt idx="1">
                  <c:v>3.6605748526739879</c:v>
                </c:pt>
                <c:pt idx="2">
                  <c:v>0</c:v>
                </c:pt>
                <c:pt idx="3">
                  <c:v>1.2324190353568074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C5-4017-ADC0-C3FE3FC4EF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5520288"/>
        <c:axId val="1035517664"/>
      </c:barChart>
      <c:lineChart>
        <c:grouping val="standard"/>
        <c:varyColors val="0"/>
        <c:ser>
          <c:idx val="4"/>
          <c:order val="4"/>
          <c:tx>
            <c:strRef>
              <c:f>'טבלאות תרשים 5'!$F$3:$F$4</c:f>
              <c:strCache>
                <c:ptCount val="1"/>
                <c:pt idx="0">
                  <c:v>השינוי שחל במרווחים</c:v>
                </c:pt>
              </c:strCache>
            </c:strRef>
          </c:tx>
          <c:spPr>
            <a:ln w="28575" cap="rnd">
              <a:solidFill>
                <a:srgbClr val="000000"/>
              </a:solidFill>
              <a:round/>
            </a:ln>
            <a:effectLst/>
          </c:spPr>
          <c:marker>
            <c:symbol val="none"/>
          </c:marker>
          <c:cat>
            <c:multiLvlStrRef>
              <c:f>'טבלאות תרשים 5'!$A$5:$A$11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5'!$F$5:$F$11</c:f>
              <c:numCache>
                <c:formatCode>General</c:formatCode>
                <c:ptCount val="5"/>
                <c:pt idx="0">
                  <c:v>-58.966442424530698</c:v>
                </c:pt>
                <c:pt idx="1">
                  <c:v>-57.244972258864493</c:v>
                </c:pt>
                <c:pt idx="2">
                  <c:v>-45.745872862870222</c:v>
                </c:pt>
                <c:pt idx="3">
                  <c:v>-41.915636115764677</c:v>
                </c:pt>
                <c:pt idx="4">
                  <c:v>-23.198305758480405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1C5-4017-ADC0-C3FE3FC4EF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5520288"/>
        <c:axId val="1035517664"/>
      </c:lineChart>
      <c:catAx>
        <c:axId val="103552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035517664"/>
        <c:crosses val="autoZero"/>
        <c:auto val="1"/>
        <c:lblAlgn val="ctr"/>
        <c:lblOffset val="100"/>
        <c:noMultiLvlLbl val="0"/>
      </c:catAx>
      <c:valAx>
        <c:axId val="1035517664"/>
        <c:scaling>
          <c:orientation val="minMax"/>
          <c:max val="200"/>
          <c:min val="-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1035520288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6340298244842284"/>
          <c:w val="0.99335447737251703"/>
          <c:h val="0.136597017551576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5!PivotTable31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e-IL" sz="140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ב. אשראי צרכני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79152579972122805"/>
          <c:y val="7.43807301095673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ivotFmts>
      <c:pivotFmt>
        <c:idx val="0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5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10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</c:pivotFmts>
    <c:plotArea>
      <c:layout>
        <c:manualLayout>
          <c:layoutTarget val="inner"/>
          <c:xMode val="edge"/>
          <c:yMode val="edge"/>
          <c:x val="6.9465942420154816E-2"/>
          <c:y val="9.3880951861626719E-2"/>
          <c:w val="0.90939100945984919"/>
          <c:h val="0.61880515628067279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'טבלאות תרשים 5'!$Q$3:$Q$4</c:f>
              <c:strCache>
                <c:ptCount val="1"/>
                <c:pt idx="0">
                  <c:v>לחצי תחרות</c:v>
                </c:pt>
              </c:strCache>
            </c:strRef>
          </c:tx>
          <c:spPr>
            <a:solidFill>
              <a:srgbClr val="D98D25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5'!$O$5:$O$11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5'!$Q$5:$Q$11</c:f>
              <c:numCache>
                <c:formatCode>General</c:formatCode>
                <c:ptCount val="5"/>
                <c:pt idx="0">
                  <c:v>-98.665359882095999</c:v>
                </c:pt>
                <c:pt idx="1">
                  <c:v>-99.611458273799229</c:v>
                </c:pt>
                <c:pt idx="2">
                  <c:v>-50.346578741499307</c:v>
                </c:pt>
                <c:pt idx="3">
                  <c:v>-61.499653497615498</c:v>
                </c:pt>
                <c:pt idx="4">
                  <c:v>-48.409189459054772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85-4FDD-9E7D-FDB2BCF49835}"/>
            </c:ext>
          </c:extLst>
        </c:ser>
        <c:ser>
          <c:idx val="2"/>
          <c:order val="2"/>
          <c:tx>
            <c:strRef>
              <c:f>'טבלאות תרשים 5'!$R$3:$R$4</c:f>
              <c:strCache>
                <c:ptCount val="1"/>
                <c:pt idx="0">
                  <c:v>עלויות גיוס המקורות ומגבלות הרכב המאזן</c:v>
                </c:pt>
              </c:strCache>
            </c:strRef>
          </c:tx>
          <c:spPr>
            <a:solidFill>
              <a:srgbClr val="008DA3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5'!$O$5:$O$11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5'!$R$5:$R$11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85-4FDD-9E7D-FDB2BCF49835}"/>
            </c:ext>
          </c:extLst>
        </c:ser>
        <c:ser>
          <c:idx val="3"/>
          <c:order val="3"/>
          <c:tx>
            <c:strRef>
              <c:f>'טבלאות תרשים 5'!$S$3:$S$4</c:f>
              <c:strCache>
                <c:ptCount val="1"/>
                <c:pt idx="0">
                  <c:v>תאבון וקיבולת לסיכון אשראי</c:v>
                </c:pt>
              </c:strCache>
            </c:strRef>
          </c:tx>
          <c:spPr>
            <a:solidFill>
              <a:srgbClr val="D87585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5'!$O$5:$O$11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5'!$S$5:$S$11</c:f>
              <c:numCache>
                <c:formatCode>General</c:formatCode>
                <c:ptCount val="5"/>
                <c:pt idx="0">
                  <c:v>0</c:v>
                </c:pt>
                <c:pt idx="1">
                  <c:v>-22.306118013044614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85-4FDD-9E7D-FDB2BCF49835}"/>
            </c:ext>
          </c:extLst>
        </c:ser>
        <c:ser>
          <c:idx val="4"/>
          <c:order val="4"/>
          <c:tx>
            <c:strRef>
              <c:f>'טבלאות תרשים 5'!$T$3:$T$4</c:f>
              <c:strCache>
                <c:ptCount val="1"/>
                <c:pt idx="0">
                  <c:v>תפיסת סיכון בבנק</c:v>
                </c:pt>
              </c:strCache>
            </c:strRef>
          </c:tx>
          <c:spPr>
            <a:solidFill>
              <a:srgbClr val="6C63FF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5'!$O$5:$O$11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5'!$T$5:$T$11</c:f>
              <c:numCache>
                <c:formatCode>General</c:formatCode>
                <c:ptCount val="5"/>
                <c:pt idx="0">
                  <c:v>0.18936644820056811</c:v>
                </c:pt>
                <c:pt idx="1">
                  <c:v>0</c:v>
                </c:pt>
                <c:pt idx="2">
                  <c:v>0</c:v>
                </c:pt>
                <c:pt idx="3">
                  <c:v>-3.9022200143882935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85-4FDD-9E7D-FDB2BCF498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9071736"/>
        <c:axId val="1039065176"/>
      </c:barChart>
      <c:lineChart>
        <c:grouping val="standard"/>
        <c:varyColors val="0"/>
        <c:ser>
          <c:idx val="0"/>
          <c:order val="0"/>
          <c:tx>
            <c:strRef>
              <c:f>'טבלאות תרשים 5'!$P$3:$P$4</c:f>
              <c:strCache>
                <c:ptCount val="1"/>
                <c:pt idx="0">
                  <c:v>השינוי שחל במרווחים</c:v>
                </c:pt>
              </c:strCache>
            </c:strRef>
          </c:tx>
          <c:spPr>
            <a:ln w="28575" cap="rnd">
              <a:solidFill>
                <a:srgbClr val="000000"/>
              </a:solidFill>
              <a:round/>
            </a:ln>
            <a:effectLst/>
          </c:spPr>
          <c:marker>
            <c:symbol val="none"/>
          </c:marker>
          <c:cat>
            <c:multiLvlStrRef>
              <c:f>'טבלאות תרשים 5'!$O$5:$O$11</c:f>
              <c:multiLvlStrCache>
                <c:ptCount val="5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  <c:pt idx="4">
                    <c:v>Q3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5'!$P$5:$P$11</c:f>
              <c:numCache>
                <c:formatCode>General</c:formatCode>
                <c:ptCount val="5"/>
                <c:pt idx="0">
                  <c:v>-40.254672268120764</c:v>
                </c:pt>
                <c:pt idx="1">
                  <c:v>-37.806931405825615</c:v>
                </c:pt>
                <c:pt idx="2">
                  <c:v>-21.849982651056301</c:v>
                </c:pt>
                <c:pt idx="3">
                  <c:v>-18.64000822774408</c:v>
                </c:pt>
                <c:pt idx="4">
                  <c:v>-21.202253566736392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985-4FDD-9E7D-FDB2BCF498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9071736"/>
        <c:axId val="1039065176"/>
      </c:lineChart>
      <c:catAx>
        <c:axId val="1039071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039065176"/>
        <c:crosses val="autoZero"/>
        <c:auto val="1"/>
        <c:lblAlgn val="ctr"/>
        <c:lblOffset val="100"/>
        <c:noMultiLvlLbl val="0"/>
      </c:catAx>
      <c:valAx>
        <c:axId val="1039065176"/>
        <c:scaling>
          <c:orientation val="minMax"/>
          <c:max val="200"/>
          <c:min val="-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039071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5126830755500146E-2"/>
          <c:y val="0.86980418566100293"/>
          <c:w val="0.96041549598775522"/>
          <c:h val="0.122301077496891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32BD-EE7D-49FD-BEC6-FDF156AD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373</Words>
  <Characters>1868</Characters>
  <Application>Microsoft Office Word</Application>
  <DocSecurity>4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רמסיס גרא</dc:creator>
  <cp:keywords/>
  <dc:description/>
  <cp:lastModifiedBy>רוסול דכוור</cp:lastModifiedBy>
  <cp:revision>2</cp:revision>
  <dcterms:created xsi:type="dcterms:W3CDTF">2025-10-22T08:36:00Z</dcterms:created>
  <dcterms:modified xsi:type="dcterms:W3CDTF">2025-10-22T08:36:00Z</dcterms:modified>
</cp:coreProperties>
</file>