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8" w:rsidRPr="003B4DD7" w:rsidRDefault="002235F5" w:rsidP="00BE5D8E">
      <w:pPr>
        <w:bidi w:val="0"/>
        <w:jc w:val="center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  <w:noProof/>
        </w:rPr>
        <w:drawing>
          <wp:inline distT="0" distB="0" distL="0" distR="0">
            <wp:extent cx="975360" cy="975360"/>
            <wp:effectExtent l="0" t="0" r="0" b="0"/>
            <wp:docPr id="1" name="Picture 1" descr="\\portals\DavWWWRoot\sites\boi\about\Mitug\DocList\Logo Bank of Israel 2 color\Logo Bank of Israel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s\DavWWWRoot\sites\boi\about\Mitug\DocList\Logo Bank of Israel 2 color\Logo Bank of Israel 2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6" w:rsidRPr="003B4DD7" w:rsidRDefault="00892A46" w:rsidP="00BE5D8E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  <w:b/>
          <w:bCs/>
        </w:rPr>
      </w:pPr>
      <w:r w:rsidRPr="003B4DD7">
        <w:rPr>
          <w:rFonts w:asciiTheme="majorBidi" w:hAnsiTheme="majorBidi" w:cstheme="majorBidi"/>
          <w:b/>
          <w:bCs/>
        </w:rPr>
        <w:t>BANK OF ISRAEL</w:t>
      </w:r>
    </w:p>
    <w:p w:rsidR="00892A46" w:rsidRPr="003B4DD7" w:rsidRDefault="00892A46" w:rsidP="00BE5D8E">
      <w:pPr>
        <w:pStyle w:val="regpar"/>
        <w:spacing w:line="300" w:lineRule="atLeast"/>
        <w:ind w:firstLine="0"/>
        <w:jc w:val="center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Office of the Spokesperson and Economic Information</w:t>
      </w:r>
    </w:p>
    <w:p w:rsidR="00B533D5" w:rsidRPr="003B4DD7" w:rsidRDefault="007926C7" w:rsidP="00BE5D8E">
      <w:pPr>
        <w:bidi w:val="0"/>
        <w:jc w:val="both"/>
        <w:rPr>
          <w:rFonts w:asciiTheme="majorBidi" w:hAnsiTheme="majorBidi" w:cstheme="majorBidi"/>
          <w:rtl/>
        </w:rPr>
      </w:pPr>
      <w:r w:rsidRPr="003B4DD7">
        <w:rPr>
          <w:rFonts w:asciiTheme="majorBidi" w:hAnsiTheme="majorBidi" w:cstheme="majorBidi"/>
        </w:rPr>
        <w:br/>
      </w:r>
    </w:p>
    <w:p w:rsidR="007926C7" w:rsidRPr="003B4DD7" w:rsidRDefault="00FC1DE3" w:rsidP="00C8210B">
      <w:pPr>
        <w:bidi w:val="0"/>
        <w:jc w:val="right"/>
        <w:rPr>
          <w:rFonts w:asciiTheme="majorBidi" w:hAnsiTheme="majorBidi" w:cstheme="majorBidi"/>
        </w:rPr>
      </w:pPr>
      <w:bookmarkStart w:id="0" w:name="_GoBack"/>
      <w:r w:rsidRPr="00756AA6">
        <w:rPr>
          <w:rFonts w:asciiTheme="majorBidi" w:hAnsiTheme="majorBidi" w:cstheme="majorBidi"/>
        </w:rPr>
        <w:t xml:space="preserve">November </w:t>
      </w:r>
      <w:r w:rsidR="00E658FC">
        <w:rPr>
          <w:rFonts w:asciiTheme="majorBidi" w:hAnsiTheme="majorBidi" w:cstheme="majorBidi"/>
        </w:rPr>
        <w:t>19</w:t>
      </w:r>
      <w:r w:rsidRPr="00756AA6">
        <w:rPr>
          <w:rFonts w:asciiTheme="majorBidi" w:hAnsiTheme="majorBidi" w:cstheme="majorBidi"/>
        </w:rPr>
        <w:t>, 2023</w:t>
      </w:r>
    </w:p>
    <w:bookmarkEnd w:id="0"/>
    <w:p w:rsidR="007926C7" w:rsidRPr="003B4DD7" w:rsidRDefault="007926C7" w:rsidP="00BE5D8E">
      <w:pPr>
        <w:bidi w:val="0"/>
        <w:jc w:val="both"/>
        <w:rPr>
          <w:rFonts w:asciiTheme="majorBidi" w:hAnsiTheme="majorBidi" w:cstheme="majorBidi"/>
        </w:rPr>
      </w:pPr>
    </w:p>
    <w:p w:rsidR="00892A46" w:rsidRPr="003B4DD7" w:rsidRDefault="00892A46" w:rsidP="00BE5D8E">
      <w:pPr>
        <w:bidi w:val="0"/>
        <w:jc w:val="both"/>
        <w:rPr>
          <w:rFonts w:asciiTheme="majorBidi" w:hAnsiTheme="majorBidi" w:cstheme="majorBidi"/>
        </w:rPr>
      </w:pPr>
      <w:r w:rsidRPr="003B4DD7">
        <w:rPr>
          <w:rFonts w:asciiTheme="majorBidi" w:hAnsiTheme="majorBidi" w:cstheme="majorBidi"/>
        </w:rPr>
        <w:t>Press Release:</w:t>
      </w:r>
    </w:p>
    <w:p w:rsidR="00892A46" w:rsidRPr="003B4DD7" w:rsidRDefault="00892A46" w:rsidP="00BE5D8E">
      <w:pPr>
        <w:tabs>
          <w:tab w:val="center" w:pos="4156"/>
          <w:tab w:val="right" w:pos="8312"/>
        </w:tabs>
        <w:bidi w:val="0"/>
        <w:jc w:val="both"/>
        <w:rPr>
          <w:rFonts w:asciiTheme="majorBidi" w:hAnsiTheme="majorBidi" w:cstheme="majorBidi"/>
        </w:rPr>
      </w:pPr>
    </w:p>
    <w:p w:rsidR="000D4E65" w:rsidRPr="00C8210B" w:rsidRDefault="00C74B78" w:rsidP="00C74B78">
      <w:pPr>
        <w:bidi w:val="0"/>
        <w:jc w:val="center"/>
        <w:rPr>
          <w:b/>
          <w:bCs/>
          <w:sz w:val="28"/>
          <w:szCs w:val="28"/>
          <w:rtl/>
        </w:rPr>
      </w:pPr>
      <w:r w:rsidRPr="00C8210B">
        <w:rPr>
          <w:b/>
          <w:bCs/>
          <w:sz w:val="28"/>
          <w:szCs w:val="28"/>
        </w:rPr>
        <w:t>O</w:t>
      </w:r>
      <w:r w:rsidR="00FC1DE3" w:rsidRPr="00C8210B">
        <w:rPr>
          <w:b/>
          <w:bCs/>
          <w:sz w:val="28"/>
          <w:szCs w:val="28"/>
        </w:rPr>
        <w:t>pen</w:t>
      </w:r>
      <w:r w:rsidRPr="00C8210B">
        <w:rPr>
          <w:b/>
          <w:bCs/>
          <w:sz w:val="28"/>
          <w:szCs w:val="28"/>
        </w:rPr>
        <w:t xml:space="preserve"> access to the Israel </w:t>
      </w:r>
      <w:r w:rsidR="00FC1DE3" w:rsidRPr="00C8210B">
        <w:rPr>
          <w:b/>
          <w:bCs/>
          <w:sz w:val="28"/>
          <w:szCs w:val="28"/>
        </w:rPr>
        <w:t xml:space="preserve">economy to </w:t>
      </w:r>
      <w:r w:rsidRPr="00C8210B">
        <w:rPr>
          <w:b/>
          <w:bCs/>
          <w:sz w:val="28"/>
          <w:szCs w:val="28"/>
        </w:rPr>
        <w:t xml:space="preserve">merchant </w:t>
      </w:r>
      <w:r w:rsidR="00FC1DE3" w:rsidRPr="00C8210B">
        <w:rPr>
          <w:b/>
          <w:bCs/>
          <w:sz w:val="28"/>
          <w:szCs w:val="28"/>
        </w:rPr>
        <w:t>acquirers holding a foreign license</w:t>
      </w:r>
    </w:p>
    <w:p w:rsidR="00C06B06" w:rsidRDefault="00C06B06" w:rsidP="00BE5D8E">
      <w:pPr>
        <w:bidi w:val="0"/>
        <w:jc w:val="both"/>
        <w:rPr>
          <w:b/>
          <w:bCs/>
          <w:sz w:val="32"/>
          <w:szCs w:val="32"/>
        </w:rPr>
      </w:pPr>
    </w:p>
    <w:p w:rsidR="00A962CF" w:rsidRPr="00022C59" w:rsidRDefault="00FC1DE3" w:rsidP="005B5A76">
      <w:pPr>
        <w:bidi w:val="0"/>
        <w:jc w:val="both"/>
      </w:pPr>
      <w:r w:rsidRPr="00022C59">
        <w:t xml:space="preserve">The Bank of Israel </w:t>
      </w:r>
      <w:r w:rsidR="00C74B78" w:rsidRPr="00022C59">
        <w:t xml:space="preserve">is </w:t>
      </w:r>
      <w:r w:rsidR="001C309D" w:rsidRPr="00022C59">
        <w:t>enabl</w:t>
      </w:r>
      <w:r w:rsidR="00C74B78" w:rsidRPr="00022C59">
        <w:t>ing</w:t>
      </w:r>
      <w:r w:rsidR="001C309D" w:rsidRPr="00022C59">
        <w:t xml:space="preserve"> international </w:t>
      </w:r>
      <w:r w:rsidR="00C74B78" w:rsidRPr="00022C59">
        <w:t xml:space="preserve">merchant </w:t>
      </w:r>
      <w:r w:rsidR="001C309D" w:rsidRPr="00022C59">
        <w:t>acquirers holding a license from a recognized country</w:t>
      </w:r>
      <w:r w:rsidR="00F0081B" w:rsidRPr="00022C59">
        <w:rPr>
          <w:rStyle w:val="ad"/>
        </w:rPr>
        <w:footnoteReference w:id="1"/>
      </w:r>
      <w:r w:rsidR="001C309D" w:rsidRPr="00022C59">
        <w:t xml:space="preserve"> to begin the process of </w:t>
      </w:r>
      <w:r w:rsidR="00C74B78" w:rsidRPr="00022C59">
        <w:t xml:space="preserve">accessing </w:t>
      </w:r>
      <w:r w:rsidR="008A4F51" w:rsidRPr="00022C59">
        <w:t>the</w:t>
      </w:r>
      <w:r w:rsidR="00E73D2B" w:rsidRPr="00022C59">
        <w:t xml:space="preserve"> Payment card </w:t>
      </w:r>
      <w:r w:rsidR="008A4F51" w:rsidRPr="00022C59">
        <w:t>services</w:t>
      </w:r>
      <w:r w:rsidR="004A3F5C" w:rsidRPr="00022C59">
        <w:t xml:space="preserve">, </w:t>
      </w:r>
      <w:r w:rsidR="001C309D" w:rsidRPr="00022C59">
        <w:t xml:space="preserve">operated by </w:t>
      </w:r>
      <w:r w:rsidR="005B5A76" w:rsidRPr="00A57635">
        <w:t xml:space="preserve">SHVA </w:t>
      </w:r>
      <w:r w:rsidR="001C309D" w:rsidRPr="00022C59">
        <w:t xml:space="preserve">in Israel, </w:t>
      </w:r>
      <w:r w:rsidR="00C74B78" w:rsidRPr="00022C59">
        <w:t xml:space="preserve">prior to commencing </w:t>
      </w:r>
      <w:r w:rsidR="001C309D" w:rsidRPr="00022C59">
        <w:t xml:space="preserve">acquiring </w:t>
      </w:r>
      <w:r w:rsidR="00C74B78" w:rsidRPr="00022C59">
        <w:t>operations in production</w:t>
      </w:r>
      <w:r w:rsidR="001C309D" w:rsidRPr="00022C59">
        <w:t xml:space="preserve">. This </w:t>
      </w:r>
      <w:r w:rsidR="00C74B78" w:rsidRPr="00022C59">
        <w:t xml:space="preserve">access will be made available prior to merchant acquirers applying </w:t>
      </w:r>
      <w:r w:rsidR="001C309D" w:rsidRPr="00022C59">
        <w:t>for</w:t>
      </w:r>
      <w:r w:rsidR="00C74B78" w:rsidRPr="00022C59">
        <w:t xml:space="preserve"> a </w:t>
      </w:r>
      <w:r w:rsidR="001C309D" w:rsidRPr="00022C59">
        <w:t xml:space="preserve">license </w:t>
      </w:r>
      <w:r w:rsidR="00C74B78" w:rsidRPr="00022C59">
        <w:t xml:space="preserve">for </w:t>
      </w:r>
      <w:r w:rsidR="001C309D" w:rsidRPr="00022C59">
        <w:t>the provi</w:t>
      </w:r>
      <w:r w:rsidR="00093197" w:rsidRPr="00022C59">
        <w:t xml:space="preserve">sion </w:t>
      </w:r>
      <w:r w:rsidR="001C309D" w:rsidRPr="00022C59">
        <w:t xml:space="preserve">of acquiring services in Israel. This </w:t>
      </w:r>
      <w:r w:rsidR="00C74B78" w:rsidRPr="00022C59">
        <w:t xml:space="preserve">regulatory action </w:t>
      </w:r>
      <w:r w:rsidR="001C309D" w:rsidRPr="00022C59">
        <w:t xml:space="preserve">is expected to </w:t>
      </w:r>
      <w:r w:rsidR="00C74B78" w:rsidRPr="00022C59">
        <w:t xml:space="preserve">accelerate </w:t>
      </w:r>
      <w:r w:rsidR="001C309D" w:rsidRPr="00022C59">
        <w:t>the</w:t>
      </w:r>
      <w:r w:rsidR="005B5A76">
        <w:t xml:space="preserve"> entry</w:t>
      </w:r>
      <w:r w:rsidR="001C309D" w:rsidRPr="00022C59">
        <w:t xml:space="preserve"> time for </w:t>
      </w:r>
      <w:r w:rsidR="00C74B78" w:rsidRPr="00022C59">
        <w:t xml:space="preserve">Israel market by </w:t>
      </w:r>
      <w:r w:rsidR="001C309D" w:rsidRPr="00022C59">
        <w:t xml:space="preserve">international </w:t>
      </w:r>
      <w:r w:rsidR="00C74B78" w:rsidRPr="00022C59">
        <w:t>payment service providers</w:t>
      </w:r>
      <w:r w:rsidR="007F6A05" w:rsidRPr="00022C59">
        <w:t>, and as a direct result to</w:t>
      </w:r>
      <w:r w:rsidR="005B5A76">
        <w:t xml:space="preserve"> contribute to innovation</w:t>
      </w:r>
      <w:r w:rsidR="007F6A05" w:rsidRPr="00022C59">
        <w:t xml:space="preserve"> </w:t>
      </w:r>
      <w:r w:rsidR="005B5A76" w:rsidRPr="004F1C05">
        <w:t xml:space="preserve">and </w:t>
      </w:r>
      <w:r w:rsidR="00C74B78" w:rsidRPr="00022C59">
        <w:t>accelerate</w:t>
      </w:r>
      <w:r w:rsidR="007F6A05" w:rsidRPr="00022C59">
        <w:t xml:space="preserve"> competition in the payments </w:t>
      </w:r>
      <w:r w:rsidR="00C74B78" w:rsidRPr="00022C59">
        <w:t>sector</w:t>
      </w:r>
      <w:r w:rsidR="007F6A05" w:rsidRPr="00022C59">
        <w:t>.</w:t>
      </w:r>
    </w:p>
    <w:p w:rsidR="007F6A05" w:rsidRPr="00BE5D8E" w:rsidRDefault="007F6A05" w:rsidP="00BE5D8E">
      <w:pPr>
        <w:bidi w:val="0"/>
        <w:jc w:val="both"/>
      </w:pPr>
    </w:p>
    <w:p w:rsidR="006C76B6" w:rsidRPr="00BE5D8E" w:rsidRDefault="001C2DFE">
      <w:pPr>
        <w:bidi w:val="0"/>
        <w:jc w:val="both"/>
      </w:pPr>
      <w:r w:rsidRPr="00BE5D8E">
        <w:t xml:space="preserve">International </w:t>
      </w:r>
      <w:r w:rsidR="00C74B78">
        <w:t xml:space="preserve">merchant </w:t>
      </w:r>
      <w:r w:rsidRPr="00BE5D8E">
        <w:t xml:space="preserve">acquirers </w:t>
      </w:r>
      <w:r w:rsidR="00C74B78">
        <w:t xml:space="preserve">seeking to </w:t>
      </w:r>
      <w:r w:rsidRPr="00BE5D8E">
        <w:t>provid</w:t>
      </w:r>
      <w:r w:rsidR="00C74B78">
        <w:t>e</w:t>
      </w:r>
      <w:r w:rsidRPr="00BE5D8E">
        <w:t xml:space="preserve"> acquiring services in Israel </w:t>
      </w:r>
      <w:r w:rsidR="00C74B78">
        <w:t xml:space="preserve">are required to </w:t>
      </w:r>
      <w:r w:rsidR="00484A9E">
        <w:t xml:space="preserve">complete two processes in parallel: </w:t>
      </w:r>
      <w:r w:rsidR="00C74B78">
        <w:t>obtain</w:t>
      </w:r>
      <w:r w:rsidR="00484A9E">
        <w:t>ing</w:t>
      </w:r>
      <w:r w:rsidR="00C74B78">
        <w:t xml:space="preserve"> </w:t>
      </w:r>
      <w:r w:rsidRPr="00BE5D8E">
        <w:t xml:space="preserve">a local license </w:t>
      </w:r>
      <w:r w:rsidR="00D16E03" w:rsidRPr="00BE5D8E">
        <w:t xml:space="preserve">and </w:t>
      </w:r>
      <w:r w:rsidR="00C74B78">
        <w:t>obtain</w:t>
      </w:r>
      <w:r w:rsidR="00484A9E">
        <w:t>ing</w:t>
      </w:r>
      <w:r w:rsidR="00C74B78">
        <w:t xml:space="preserve"> </w:t>
      </w:r>
      <w:r w:rsidR="00D16E03" w:rsidRPr="00BE5D8E">
        <w:t xml:space="preserve">access to the </w:t>
      </w:r>
      <w:r w:rsidR="00484A9E">
        <w:t xml:space="preserve">domestic payment card switch, known as </w:t>
      </w:r>
      <w:r w:rsidR="00E73D2B" w:rsidRPr="00E73D2B">
        <w:t>Payment card services</w:t>
      </w:r>
      <w:r w:rsidR="00C74B78" w:rsidRPr="00C0722D">
        <w:t xml:space="preserve">, </w:t>
      </w:r>
      <w:r w:rsidR="00484A9E" w:rsidRPr="00C0722D">
        <w:t xml:space="preserve">operated by </w:t>
      </w:r>
      <w:r w:rsidR="005B5A76" w:rsidRPr="00C0722D">
        <w:t>SHVA</w:t>
      </w:r>
      <w:r w:rsidR="00484A9E" w:rsidRPr="00C0722D">
        <w:t>.</w:t>
      </w:r>
      <w:r w:rsidR="00484A9E">
        <w:rPr>
          <w:b/>
          <w:bCs/>
        </w:rPr>
        <w:t xml:space="preserve"> </w:t>
      </w:r>
      <w:r w:rsidR="003B2F4E" w:rsidRPr="00BE5D8E">
        <w:t xml:space="preserve">These </w:t>
      </w:r>
      <w:r w:rsidR="00484A9E">
        <w:t>two</w:t>
      </w:r>
      <w:r w:rsidR="003B2F4E" w:rsidRPr="00BE5D8E">
        <w:t xml:space="preserve"> processes</w:t>
      </w:r>
      <w:r w:rsidR="00484A9E">
        <w:t xml:space="preserve"> </w:t>
      </w:r>
      <w:r w:rsidR="003B2F4E" w:rsidRPr="00BE5D8E">
        <w:t>are inter</w:t>
      </w:r>
      <w:r w:rsidR="00484A9E">
        <w:t>related</w:t>
      </w:r>
      <w:r w:rsidR="00CB7AF9">
        <w:t xml:space="preserve">. </w:t>
      </w:r>
      <w:r w:rsidR="00484A9E">
        <w:t xml:space="preserve">Prior to beginning engagement and initial testing with the domestic payment card switch, the merchant acquirer is required to submit an initial approval from its Israeli </w:t>
      </w:r>
      <w:r w:rsidR="003B2F4E" w:rsidRPr="00BE5D8E">
        <w:t>regulator</w:t>
      </w:r>
      <w:r w:rsidR="00484A9E">
        <w:t>.  At a later stage, before proceeding to active merchant acquiring operations in production, the merchant acquirer is required to submit a final</w:t>
      </w:r>
      <w:r w:rsidR="00514EDF">
        <w:t xml:space="preserve"> </w:t>
      </w:r>
      <w:r w:rsidR="003B2F4E" w:rsidRPr="00BE5D8E">
        <w:t>local license</w:t>
      </w:r>
      <w:r w:rsidR="00484A9E">
        <w:t xml:space="preserve"> issued by its domestic regulator</w:t>
      </w:r>
      <w:r w:rsidR="003B2F4E" w:rsidRPr="00BE5D8E">
        <w:t xml:space="preserve">, in accordance with </w:t>
      </w:r>
      <w:r w:rsidR="00484A9E">
        <w:t xml:space="preserve">its </w:t>
      </w:r>
      <w:r w:rsidR="003B2F4E" w:rsidRPr="00BE5D8E">
        <w:t xml:space="preserve">licensing </w:t>
      </w:r>
      <w:r w:rsidR="00484A9E">
        <w:t xml:space="preserve">requirements </w:t>
      </w:r>
      <w:r w:rsidR="003B2F4E" w:rsidRPr="00BE5D8E">
        <w:t xml:space="preserve">under </w:t>
      </w:r>
      <w:r w:rsidR="00484A9E">
        <w:t xml:space="preserve">local </w:t>
      </w:r>
      <w:r w:rsidR="003B2F4E" w:rsidRPr="00BE5D8E">
        <w:t xml:space="preserve">law. </w:t>
      </w:r>
      <w:r w:rsidR="001F38F0">
        <w:t>R</w:t>
      </w:r>
      <w:r w:rsidR="00484A9E">
        <w:t xml:space="preserve">ecent legislation established that the authority to issue licenses for merchant </w:t>
      </w:r>
      <w:r w:rsidR="003B2F4E" w:rsidRPr="00BE5D8E">
        <w:t>acquir</w:t>
      </w:r>
      <w:r w:rsidR="00484A9E">
        <w:t xml:space="preserve">ers that are not deemed systemically important will </w:t>
      </w:r>
      <w:r w:rsidR="00514EDF">
        <w:t xml:space="preserve">transfer </w:t>
      </w:r>
      <w:r w:rsidR="00514EDF" w:rsidRPr="00BE5D8E">
        <w:t>from</w:t>
      </w:r>
      <w:r w:rsidR="003B2F4E" w:rsidRPr="00BE5D8E">
        <w:t xml:space="preserve"> the Banking Supervision Department </w:t>
      </w:r>
      <w:r w:rsidR="00484A9E">
        <w:t xml:space="preserve">at the Bank of Israel, </w:t>
      </w:r>
      <w:r w:rsidR="00EA3B1D" w:rsidRPr="00BE5D8E">
        <w:t>to</w:t>
      </w:r>
      <w:r w:rsidR="003B2F4E" w:rsidRPr="00BE5D8E">
        <w:t xml:space="preserve"> the Israel Securities Authority</w:t>
      </w:r>
      <w:r w:rsidR="001F38F0">
        <w:t>.</w:t>
      </w:r>
      <w:r w:rsidR="00514EDF" w:rsidRPr="00BE5D8E">
        <w:t xml:space="preserve"> </w:t>
      </w:r>
      <w:r w:rsidR="00514EDF">
        <w:t>The</w:t>
      </w:r>
      <w:r w:rsidR="003B2F4E" w:rsidRPr="00BE5D8E">
        <w:t xml:space="preserve"> Bank of Israel is aware that </w:t>
      </w:r>
      <w:r w:rsidR="00484A9E">
        <w:t xml:space="preserve">some international merchant </w:t>
      </w:r>
      <w:r w:rsidR="003B2F4E" w:rsidRPr="00BE5D8E">
        <w:t xml:space="preserve">acquirers </w:t>
      </w:r>
      <w:r w:rsidR="001F38F0">
        <w:t xml:space="preserve">choose </w:t>
      </w:r>
      <w:r w:rsidR="003B2F4E" w:rsidRPr="00BE5D8E">
        <w:t xml:space="preserve">to wait </w:t>
      </w:r>
      <w:r w:rsidR="00484A9E">
        <w:t xml:space="preserve">for the transfer of such authority to become effective, </w:t>
      </w:r>
      <w:r w:rsidR="003B2F4E" w:rsidRPr="00BE5D8E">
        <w:t xml:space="preserve">and </w:t>
      </w:r>
      <w:r w:rsidR="001F38F0">
        <w:t xml:space="preserve">only then to </w:t>
      </w:r>
      <w:r w:rsidR="003B2F4E" w:rsidRPr="00BE5D8E">
        <w:t xml:space="preserve">submit </w:t>
      </w:r>
      <w:r w:rsidR="00484A9E">
        <w:t xml:space="preserve">their application </w:t>
      </w:r>
      <w:r w:rsidR="003B2F4E" w:rsidRPr="00BE5D8E">
        <w:t>for a license to the Israel Securities Authority.</w:t>
      </w:r>
      <w:r w:rsidR="006C76B6" w:rsidRPr="00BE5D8E">
        <w:t xml:space="preserve"> </w:t>
      </w:r>
      <w:r w:rsidR="001F38F0">
        <w:t xml:space="preserve">To accelerate the process, effective immediately, </w:t>
      </w:r>
      <w:r w:rsidR="006C76B6" w:rsidRPr="00BE5D8E">
        <w:t xml:space="preserve">the Bank of Israel </w:t>
      </w:r>
      <w:r w:rsidR="001F38F0">
        <w:t xml:space="preserve">will </w:t>
      </w:r>
      <w:r w:rsidR="006C76B6" w:rsidRPr="00BE5D8E">
        <w:t xml:space="preserve">permits such entities to </w:t>
      </w:r>
      <w:r w:rsidR="001F38F0">
        <w:t>commence engagement with the domestic payment card switch prior to obtaining an initial approval from Israel Securities Authority</w:t>
      </w:r>
      <w:r w:rsidR="006C76B6" w:rsidRPr="00BE5D8E">
        <w:t>.</w:t>
      </w:r>
    </w:p>
    <w:p w:rsidR="006C76B6" w:rsidRPr="00BE5D8E" w:rsidRDefault="006C76B6" w:rsidP="00BE5D8E">
      <w:pPr>
        <w:bidi w:val="0"/>
        <w:jc w:val="both"/>
      </w:pPr>
    </w:p>
    <w:p w:rsidR="006C76B6" w:rsidRPr="00BE5D8E" w:rsidRDefault="006C76B6">
      <w:pPr>
        <w:bidi w:val="0"/>
        <w:jc w:val="both"/>
      </w:pPr>
      <w:r w:rsidRPr="00BE5D8E">
        <w:t xml:space="preserve">International </w:t>
      </w:r>
      <w:r w:rsidR="001F38F0">
        <w:t xml:space="preserve">merchant </w:t>
      </w:r>
      <w:r w:rsidRPr="00BE5D8E">
        <w:t xml:space="preserve">acquirers </w:t>
      </w:r>
      <w:r w:rsidR="001F38F0">
        <w:t xml:space="preserve">are now </w:t>
      </w:r>
      <w:r w:rsidR="00372E1E">
        <w:t xml:space="preserve">able </w:t>
      </w:r>
      <w:r w:rsidRPr="00BE5D8E">
        <w:t>to begin the process of access</w:t>
      </w:r>
      <w:r w:rsidR="001F38F0">
        <w:t xml:space="preserve"> to the domestic payment card switch</w:t>
      </w:r>
      <w:r w:rsidRPr="00BE5D8E">
        <w:t xml:space="preserve"> even before submitting a </w:t>
      </w:r>
      <w:r w:rsidR="009906BF" w:rsidRPr="00BE5D8E">
        <w:t xml:space="preserve">local </w:t>
      </w:r>
      <w:r w:rsidR="00372E1E">
        <w:t xml:space="preserve">license </w:t>
      </w:r>
      <w:r w:rsidR="001F38F0">
        <w:t>application</w:t>
      </w:r>
      <w:r w:rsidR="009906BF" w:rsidRPr="00BE5D8E">
        <w:t xml:space="preserve">, </w:t>
      </w:r>
      <w:r w:rsidR="001F38F0">
        <w:t>under</w:t>
      </w:r>
      <w:r w:rsidR="009906BF" w:rsidRPr="00BE5D8E">
        <w:t xml:space="preserve"> on Track A in the framework formulated for international payment service </w:t>
      </w:r>
      <w:r w:rsidR="00EA3B1D" w:rsidRPr="00BE5D8E">
        <w:t>providers</w:t>
      </w:r>
      <w:r w:rsidR="00F0081B">
        <w:rPr>
          <w:rStyle w:val="ad"/>
        </w:rPr>
        <w:footnoteReference w:id="2"/>
      </w:r>
      <w:r w:rsidR="009906BF" w:rsidRPr="00BE5D8E">
        <w:t xml:space="preserve">, </w:t>
      </w:r>
      <w:r w:rsidR="009906BF" w:rsidRPr="00BE5D8E">
        <w:lastRenderedPageBreak/>
        <w:t xml:space="preserve">which </w:t>
      </w:r>
      <w:r w:rsidR="00EA3B1D" w:rsidRPr="00BE5D8E">
        <w:t>includes</w:t>
      </w:r>
      <w:r w:rsidR="009906BF" w:rsidRPr="00BE5D8E">
        <w:t xml:space="preserve"> </w:t>
      </w:r>
      <w:r w:rsidR="001F38F0">
        <w:t xml:space="preserve">submission of </w:t>
      </w:r>
      <w:r w:rsidR="009906BF" w:rsidRPr="00BE5D8E">
        <w:t xml:space="preserve">a comfort letter and authorizations from their regulator in the recognized country in which they </w:t>
      </w:r>
      <w:r w:rsidR="001F38F0">
        <w:t xml:space="preserve">hold </w:t>
      </w:r>
      <w:r w:rsidR="009906BF" w:rsidRPr="00BE5D8E">
        <w:t>a license.</w:t>
      </w:r>
      <w:r w:rsidR="00F0081B">
        <w:rPr>
          <w:rStyle w:val="ad"/>
        </w:rPr>
        <w:footnoteReference w:id="3"/>
      </w:r>
      <w:r w:rsidR="009906BF" w:rsidRPr="00BE5D8E">
        <w:t xml:space="preserve"> In order to </w:t>
      </w:r>
      <w:r w:rsidR="00EA3B1D" w:rsidRPr="00BE5D8E">
        <w:t xml:space="preserve">begin </w:t>
      </w:r>
      <w:r w:rsidR="009906BF" w:rsidRPr="00BE5D8E">
        <w:t xml:space="preserve">providing </w:t>
      </w:r>
      <w:r w:rsidR="001F38F0">
        <w:t xml:space="preserve">commercial </w:t>
      </w:r>
      <w:r w:rsidR="009906BF" w:rsidRPr="00BE5D8E">
        <w:t xml:space="preserve">acquiring services </w:t>
      </w:r>
      <w:r w:rsidR="000073B0" w:rsidRPr="00BE5D8E">
        <w:t xml:space="preserve">and to </w:t>
      </w:r>
      <w:r w:rsidR="001F38F0">
        <w:t xml:space="preserve">access </w:t>
      </w:r>
      <w:r w:rsidR="000073B0" w:rsidRPr="00BE5D8E">
        <w:t>the production environment, these entities will be required to present a local license from the Israel Securities Authority.</w:t>
      </w:r>
      <w:r w:rsidR="00FE2FB0" w:rsidRPr="00BE5D8E">
        <w:t xml:space="preserve"> Th</w:t>
      </w:r>
      <w:r w:rsidR="001F38F0">
        <w:t>is</w:t>
      </w:r>
      <w:r w:rsidR="00FE2FB0" w:rsidRPr="00BE5D8E">
        <w:t xml:space="preserve"> framework makes it possible to begin </w:t>
      </w:r>
      <w:r w:rsidR="001F38F0">
        <w:t>local engagement immediately</w:t>
      </w:r>
      <w:r w:rsidR="00FE2FB0" w:rsidRPr="00BE5D8E">
        <w:t xml:space="preserve">, and as a direct result, the </w:t>
      </w:r>
      <w:r w:rsidR="001F38F0">
        <w:t xml:space="preserve">international merchant </w:t>
      </w:r>
      <w:r w:rsidR="00FE2FB0" w:rsidRPr="00BE5D8E">
        <w:t xml:space="preserve">acquirers </w:t>
      </w:r>
      <w:r w:rsidR="001F38F0">
        <w:t>may secure fast</w:t>
      </w:r>
      <w:r w:rsidR="00514EDF">
        <w:t>er</w:t>
      </w:r>
      <w:r w:rsidR="001F38F0">
        <w:t xml:space="preserve"> time to market in Israel</w:t>
      </w:r>
      <w:r w:rsidR="00FE2FB0" w:rsidRPr="00BE5D8E">
        <w:t>.</w:t>
      </w:r>
      <w:r w:rsidR="00F0081B">
        <w:rPr>
          <w:rStyle w:val="ad"/>
        </w:rPr>
        <w:footnoteReference w:id="4"/>
      </w:r>
    </w:p>
    <w:p w:rsidR="007B0A87" w:rsidRPr="00BE5D8E" w:rsidRDefault="007B0A87" w:rsidP="00BE5D8E">
      <w:pPr>
        <w:bidi w:val="0"/>
        <w:jc w:val="both"/>
      </w:pPr>
    </w:p>
    <w:p w:rsidR="00B203BF" w:rsidRDefault="007B0A87" w:rsidP="003A77BE">
      <w:pPr>
        <w:bidi w:val="0"/>
        <w:jc w:val="both"/>
      </w:pPr>
      <w:r w:rsidRPr="00BE5D8E">
        <w:rPr>
          <w:b/>
          <w:bCs/>
        </w:rPr>
        <w:t>Payment and Settlement Systems Department Director Mr. Oded Salom</w:t>
      </w:r>
      <w:r w:rsidR="00BD11CD" w:rsidRPr="00BE5D8E">
        <w:rPr>
          <w:b/>
          <w:bCs/>
        </w:rPr>
        <w:t>y</w:t>
      </w:r>
      <w:r w:rsidR="003A77BE">
        <w:t>:</w:t>
      </w:r>
      <w:r w:rsidRPr="00BE5D8E">
        <w:t xml:space="preserve"> “</w:t>
      </w:r>
      <w:r w:rsidR="001F38F0">
        <w:t>D</w:t>
      </w:r>
      <w:r w:rsidR="00BD11CD" w:rsidRPr="00BE5D8E">
        <w:t xml:space="preserve">uring this </w:t>
      </w:r>
      <w:r w:rsidR="001F38F0">
        <w:t xml:space="preserve">period </w:t>
      </w:r>
      <w:r w:rsidR="00BD11CD" w:rsidRPr="00BE5D8E">
        <w:t xml:space="preserve">of </w:t>
      </w:r>
      <w:r w:rsidR="001F38F0">
        <w:t xml:space="preserve">national </w:t>
      </w:r>
      <w:r w:rsidR="00BD11CD" w:rsidRPr="00BE5D8E">
        <w:t xml:space="preserve">emergency </w:t>
      </w:r>
      <w:r w:rsidR="001F38F0">
        <w:t xml:space="preserve">we are have seen that </w:t>
      </w:r>
      <w:r w:rsidR="00BD11CD" w:rsidRPr="00BE5D8E">
        <w:t xml:space="preserve">that various </w:t>
      </w:r>
      <w:r w:rsidR="001F38F0">
        <w:t xml:space="preserve">individuals and entities </w:t>
      </w:r>
      <w:r w:rsidR="00BD11CD" w:rsidRPr="00BE5D8E">
        <w:t xml:space="preserve">worldwide </w:t>
      </w:r>
      <w:r w:rsidR="001F38F0">
        <w:t xml:space="preserve">seek to utilize </w:t>
      </w:r>
      <w:r w:rsidR="000A25C4" w:rsidRPr="00BE5D8E">
        <w:t>international technology companies’ infrastructure</w:t>
      </w:r>
      <w:r w:rsidR="003F6059">
        <w:t xml:space="preserve">s </w:t>
      </w:r>
      <w:r w:rsidR="009776AB" w:rsidRPr="00BE5D8E">
        <w:t xml:space="preserve">to transfer </w:t>
      </w:r>
      <w:r w:rsidR="001F38F0">
        <w:t xml:space="preserve">funds </w:t>
      </w:r>
      <w:r w:rsidR="009776AB" w:rsidRPr="00BE5D8E">
        <w:t xml:space="preserve">and donations to entities </w:t>
      </w:r>
      <w:r w:rsidR="001F38F0">
        <w:t xml:space="preserve">and individuals </w:t>
      </w:r>
      <w:r w:rsidR="009776AB" w:rsidRPr="00BE5D8E">
        <w:t xml:space="preserve">in Israel, such as nonprofit organizations providing assistance to soldiers, to </w:t>
      </w:r>
      <w:r w:rsidR="007C2310">
        <w:t>evacuees from areas near</w:t>
      </w:r>
      <w:r w:rsidR="001F38F0">
        <w:t xml:space="preserve"> the country’s borders who have been </w:t>
      </w:r>
      <w:r w:rsidR="009776AB" w:rsidRPr="00C0722D">
        <w:t>forced out of their homes,</w:t>
      </w:r>
      <w:r w:rsidR="009776AB" w:rsidRPr="00BE5D8E">
        <w:t xml:space="preserve"> and to </w:t>
      </w:r>
      <w:r w:rsidR="007C2310">
        <w:t xml:space="preserve">other </w:t>
      </w:r>
      <w:r w:rsidR="009776AB" w:rsidRPr="00BE5D8E">
        <w:t>families impacted by the security situation. Open</w:t>
      </w:r>
      <w:r w:rsidR="007C2310">
        <w:t xml:space="preserve"> access to the Israel</w:t>
      </w:r>
      <w:r w:rsidR="009776AB" w:rsidRPr="00BE5D8E">
        <w:t xml:space="preserve"> m</w:t>
      </w:r>
      <w:r w:rsidR="00500BE1">
        <w:t xml:space="preserve">arket to international entities </w:t>
      </w:r>
      <w:r w:rsidR="007C2310">
        <w:t xml:space="preserve">active in </w:t>
      </w:r>
      <w:r w:rsidR="009776AB" w:rsidRPr="00BE5D8E">
        <w:t xml:space="preserve">the payments </w:t>
      </w:r>
      <w:r w:rsidR="007C2310">
        <w:t>sector</w:t>
      </w:r>
      <w:r w:rsidR="009776AB" w:rsidRPr="00BE5D8E">
        <w:t xml:space="preserve">, and </w:t>
      </w:r>
      <w:r w:rsidR="007C2310">
        <w:t xml:space="preserve">accelerating time to market by </w:t>
      </w:r>
      <w:r w:rsidR="009776AB" w:rsidRPr="00BE5D8E">
        <w:t xml:space="preserve">international </w:t>
      </w:r>
      <w:r w:rsidR="007C2310">
        <w:t xml:space="preserve">merchant </w:t>
      </w:r>
      <w:r w:rsidR="009776AB" w:rsidRPr="00BE5D8E">
        <w:t>acquirers</w:t>
      </w:r>
      <w:r w:rsidR="00514EDF">
        <w:t xml:space="preserve"> which is </w:t>
      </w:r>
      <w:r w:rsidR="00514EDF" w:rsidRPr="00514EDF">
        <w:t>faster than the timetables set in the existing legislation</w:t>
      </w:r>
      <w:r w:rsidR="009776AB" w:rsidRPr="00BE5D8E">
        <w:t>, will</w:t>
      </w:r>
      <w:r w:rsidR="007C2310">
        <w:t xml:space="preserve"> promote move innovative, faster and cheaper </w:t>
      </w:r>
      <w:r w:rsidR="00B203BF" w:rsidRPr="00BE5D8E">
        <w:t>payment services</w:t>
      </w:r>
      <w:r w:rsidR="007C2310">
        <w:t xml:space="preserve"> to the Israeli public</w:t>
      </w:r>
      <w:r w:rsidR="00B203BF" w:rsidRPr="00BE5D8E">
        <w:t xml:space="preserve">. </w:t>
      </w:r>
      <w:r w:rsidR="007C2310">
        <w:t xml:space="preserve">We expect this move will ultimately cultivate the provision of </w:t>
      </w:r>
      <w:r w:rsidR="00B203BF" w:rsidRPr="00BE5D8E">
        <w:t xml:space="preserve">additional financial services </w:t>
      </w:r>
      <w:r w:rsidR="007C2310">
        <w:t xml:space="preserve">deriving from digital </w:t>
      </w:r>
      <w:r w:rsidR="00B203BF" w:rsidRPr="00BE5D8E">
        <w:t>payment</w:t>
      </w:r>
      <w:r w:rsidR="007C2310">
        <w:t>s</w:t>
      </w:r>
      <w:r w:rsidR="00B203BF" w:rsidRPr="00BE5D8E">
        <w:t xml:space="preserve">. International </w:t>
      </w:r>
      <w:r w:rsidR="007C2310">
        <w:t xml:space="preserve">merchant </w:t>
      </w:r>
      <w:r w:rsidR="00B203BF" w:rsidRPr="00BE5D8E">
        <w:t xml:space="preserve">acquirers </w:t>
      </w:r>
      <w:r w:rsidR="007C2310">
        <w:t xml:space="preserve">seeking to launch commercial operations </w:t>
      </w:r>
      <w:r w:rsidR="00B203BF" w:rsidRPr="00BE5D8E">
        <w:t>in Israel are invited to contact</w:t>
      </w:r>
      <w:r w:rsidR="00F0081B">
        <w:rPr>
          <w:rStyle w:val="ad"/>
        </w:rPr>
        <w:footnoteReference w:id="5"/>
      </w:r>
      <w:r w:rsidR="00B203BF" w:rsidRPr="00BE5D8E">
        <w:t xml:space="preserve"> the Payment Systems Oversight Division</w:t>
      </w:r>
      <w:r w:rsidR="007C2310">
        <w:t xml:space="preserve"> in our Department</w:t>
      </w:r>
      <w:r w:rsidR="00B203BF" w:rsidRPr="00BE5D8E">
        <w:t>.</w:t>
      </w:r>
      <w:r w:rsidR="007C2310">
        <w:t>”</w:t>
      </w:r>
    </w:p>
    <w:p w:rsidR="00514EDF" w:rsidRDefault="00514EDF">
      <w:pPr>
        <w:bidi w:val="0"/>
        <w:jc w:val="both"/>
      </w:pPr>
    </w:p>
    <w:p w:rsidR="00514EDF" w:rsidRPr="00BE5D8E" w:rsidRDefault="00514EDF">
      <w:pPr>
        <w:bidi w:val="0"/>
        <w:jc w:val="both"/>
      </w:pPr>
    </w:p>
    <w:sectPr w:rsidR="00514EDF" w:rsidRPr="00BE5D8E" w:rsidSect="00D11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797" w:bottom="624" w:left="179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35" w:rsidRDefault="00A57635" w:rsidP="00E64B36">
      <w:r>
        <w:separator/>
      </w:r>
    </w:p>
  </w:endnote>
  <w:endnote w:type="continuationSeparator" w:id="0">
    <w:p w:rsidR="00A57635" w:rsidRDefault="00A57635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22" w:rsidRPr="009D5720" w:rsidRDefault="00B96022" w:rsidP="009D5720">
    <w:pPr>
      <w:pStyle w:val="a6"/>
      <w:rPr>
        <w:rtl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35" w:rsidRDefault="00A57635" w:rsidP="00E64B36">
      <w:r>
        <w:separator/>
      </w:r>
    </w:p>
  </w:footnote>
  <w:footnote w:type="continuationSeparator" w:id="0">
    <w:p w:rsidR="00A57635" w:rsidRDefault="00A57635" w:rsidP="00E64B36">
      <w:r>
        <w:continuationSeparator/>
      </w:r>
    </w:p>
  </w:footnote>
  <w:footnote w:id="1">
    <w:p w:rsidR="00F0081B" w:rsidRDefault="00F0081B">
      <w:pPr>
        <w:pStyle w:val="ab"/>
      </w:pPr>
      <w:r>
        <w:rPr>
          <w:rStyle w:val="ad"/>
        </w:rPr>
        <w:footnoteRef/>
      </w:r>
      <w:r>
        <w:t xml:space="preserve"> </w:t>
      </w:r>
      <w:r w:rsidR="00675F4D">
        <w:t>“Recognized country”—the UIK, EU countries, and the US.</w:t>
      </w:r>
    </w:p>
  </w:footnote>
  <w:footnote w:id="2">
    <w:p w:rsidR="00675F4D" w:rsidRDefault="00F0081B" w:rsidP="00514EDF">
      <w:pPr>
        <w:pStyle w:val="ab"/>
      </w:pPr>
      <w:r>
        <w:rPr>
          <w:rStyle w:val="ad"/>
        </w:rPr>
        <w:footnoteRef/>
      </w:r>
      <w:r>
        <w:t xml:space="preserve"> </w:t>
      </w:r>
      <w:r w:rsidR="00675F4D">
        <w:t xml:space="preserve">The previous framework for opening </w:t>
      </w:r>
      <w:r w:rsidR="007C2310">
        <w:t xml:space="preserve">access to </w:t>
      </w:r>
      <w:r w:rsidR="00675F4D">
        <w:t xml:space="preserve">payment systems in Israel to payment service providers that are not </w:t>
      </w:r>
      <w:r w:rsidR="007C2310">
        <w:t xml:space="preserve">merchant </w:t>
      </w:r>
      <w:r w:rsidR="00675F4D">
        <w:t xml:space="preserve">acquirers is published on the Bank of Israel website, at </w:t>
      </w:r>
      <w:hyperlink r:id="rId1" w:history="1">
        <w:r w:rsidR="00675F4D" w:rsidRPr="00126704">
          <w:rPr>
            <w:rStyle w:val="Hyperlink"/>
          </w:rPr>
          <w:t>https://www.boi.org.il/en/communication-and-publications/press-releases/providing-international-payment-service-providers-access-to-israeli-payment-systems/</w:t>
        </w:r>
      </w:hyperlink>
      <w:r w:rsidR="00675F4D">
        <w:t xml:space="preserve"> . The previous framework does not apply to acquiring services, as it is based on the Ministry of Finance’s exemption from a license to provide financial asset services.</w:t>
      </w:r>
      <w:r w:rsidR="00C20FE2">
        <w:t xml:space="preserve"> Therefore, as the </w:t>
      </w:r>
      <w:r w:rsidR="007C2310">
        <w:t xml:space="preserve">merchant </w:t>
      </w:r>
      <w:r w:rsidR="00C20FE2">
        <w:t>acquirer license is not subject to the exemption, it is not covered by the application of the previous framework.</w:t>
      </w:r>
    </w:p>
  </w:footnote>
  <w:footnote w:id="3">
    <w:p w:rsidR="00F0081B" w:rsidRDefault="00F0081B" w:rsidP="00514EDF">
      <w:pPr>
        <w:pStyle w:val="ab"/>
      </w:pPr>
      <w:r>
        <w:rPr>
          <w:rStyle w:val="ad"/>
        </w:rPr>
        <w:footnoteRef/>
      </w:r>
      <w:r>
        <w:t xml:space="preserve"> </w:t>
      </w:r>
      <w:r w:rsidR="00514EDF" w:rsidRPr="00514EDF">
        <w:t>Instead of</w:t>
      </w:r>
      <w:r w:rsidR="00514EDF">
        <w:t xml:space="preserve"> </w:t>
      </w:r>
      <w:r w:rsidR="00C20FE2">
        <w:t xml:space="preserve">authorizations from the local regulator </w:t>
      </w:r>
      <w:r w:rsidR="007B4357">
        <w:t>and through the start date of the Regulation of Payment Services Occupation Law.</w:t>
      </w:r>
    </w:p>
  </w:footnote>
  <w:footnote w:id="4">
    <w:p w:rsidR="00F0081B" w:rsidRDefault="00F0081B" w:rsidP="007C2310">
      <w:pPr>
        <w:pStyle w:val="ab"/>
      </w:pPr>
      <w:r>
        <w:rPr>
          <w:rStyle w:val="ad"/>
        </w:rPr>
        <w:footnoteRef/>
      </w:r>
      <w:r>
        <w:t xml:space="preserve"> </w:t>
      </w:r>
      <w:r w:rsidR="007C082C">
        <w:t xml:space="preserve">It should be clarified that </w:t>
      </w:r>
      <w:r w:rsidR="007C2310">
        <w:t xml:space="preserve">commencement of access to the </w:t>
      </w:r>
      <w:r w:rsidR="007C082C">
        <w:t>test</w:t>
      </w:r>
      <w:r w:rsidR="007C2310">
        <w:t>ing</w:t>
      </w:r>
      <w:r w:rsidR="007C082C">
        <w:t xml:space="preserve"> environment </w:t>
      </w:r>
      <w:r w:rsidR="007C2310">
        <w:t>must take place at a time close to the date of an access period during which the payment systems adds participants to its</w:t>
      </w:r>
      <w:r w:rsidR="007C082C">
        <w:t xml:space="preserve"> production environment (up to several months before </w:t>
      </w:r>
      <w:r w:rsidR="007C2310">
        <w:t xml:space="preserve">migrating </w:t>
      </w:r>
      <w:r w:rsidR="007C082C">
        <w:t xml:space="preserve">to the production environment). Therefore, advancing through the preliminary stages before </w:t>
      </w:r>
      <w:r w:rsidR="007C2310">
        <w:t xml:space="preserve">reaching </w:t>
      </w:r>
      <w:r w:rsidR="007C082C">
        <w:t xml:space="preserve"> the test environment will be permitted, even before submitting</w:t>
      </w:r>
      <w:r w:rsidR="00F746F0">
        <w:t xml:space="preserve"> a license </w:t>
      </w:r>
      <w:r w:rsidR="007C2310">
        <w:t>application</w:t>
      </w:r>
      <w:r w:rsidR="00F746F0">
        <w:t xml:space="preserve">, although in order to </w:t>
      </w:r>
      <w:r w:rsidR="007C2310">
        <w:t xml:space="preserve">advance </w:t>
      </w:r>
      <w:r w:rsidR="00F746F0">
        <w:t xml:space="preserve">to the test environment, </w:t>
      </w:r>
      <w:r w:rsidR="007C2310">
        <w:t xml:space="preserve">the merchant acquirer </w:t>
      </w:r>
      <w:r w:rsidR="00F746F0">
        <w:t>will be required to submit a</w:t>
      </w:r>
      <w:r w:rsidR="007C2310">
        <w:t>n application</w:t>
      </w:r>
      <w:r w:rsidR="00F746F0">
        <w:t xml:space="preserve"> for a local license, and after consultation with the regulator in Israel regarding the date that the license is granted, among other things by </w:t>
      </w:r>
      <w:r w:rsidR="007C2310">
        <w:t xml:space="preserve">selecting testing dates </w:t>
      </w:r>
      <w:r w:rsidR="00F746F0">
        <w:t xml:space="preserve">close to the </w:t>
      </w:r>
      <w:r w:rsidR="007C2310">
        <w:t xml:space="preserve">period available accessing </w:t>
      </w:r>
      <w:r w:rsidR="00F746F0">
        <w:t xml:space="preserve">the </w:t>
      </w:r>
      <w:r w:rsidR="007C082C">
        <w:t xml:space="preserve">production </w:t>
      </w:r>
      <w:r w:rsidR="00F746F0">
        <w:t>environment.</w:t>
      </w:r>
    </w:p>
  </w:footnote>
  <w:footnote w:id="5">
    <w:p w:rsidR="00F0081B" w:rsidRDefault="00F0081B">
      <w:pPr>
        <w:pStyle w:val="ab"/>
      </w:pPr>
      <w:r>
        <w:rPr>
          <w:rStyle w:val="ad"/>
        </w:rPr>
        <w:footnoteRef/>
      </w:r>
      <w:r>
        <w:t xml:space="preserve"> </w:t>
      </w:r>
      <w:r w:rsidR="005F7384">
        <w:t>The enquiry can be carried out, among other things, by email</w:t>
      </w:r>
      <w:r w:rsidR="00514EDF">
        <w:t xml:space="preserve"> - </w:t>
      </w:r>
      <w:hyperlink r:id="rId2" w:history="1">
        <w:r w:rsidR="005F7384" w:rsidRPr="00A82237">
          <w:rPr>
            <w:rStyle w:val="Hyperlink"/>
            <w:rFonts w:ascii="Assistant" w:hAnsi="Assistant" w:cs="Assistant"/>
          </w:rPr>
          <w:t>payments-oversight@boi.org.il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D" w:rsidRDefault="00464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A40E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ED9"/>
    <w:multiLevelType w:val="hybridMultilevel"/>
    <w:tmpl w:val="9B74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E03CF"/>
    <w:multiLevelType w:val="hybridMultilevel"/>
    <w:tmpl w:val="710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F55FD"/>
    <w:multiLevelType w:val="hybridMultilevel"/>
    <w:tmpl w:val="1CF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96A"/>
    <w:multiLevelType w:val="hybridMultilevel"/>
    <w:tmpl w:val="E89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73B0"/>
    <w:rsid w:val="00007FFE"/>
    <w:rsid w:val="0001385E"/>
    <w:rsid w:val="0001413F"/>
    <w:rsid w:val="00022C59"/>
    <w:rsid w:val="00022DA8"/>
    <w:rsid w:val="00033569"/>
    <w:rsid w:val="00051247"/>
    <w:rsid w:val="000526A0"/>
    <w:rsid w:val="0005726E"/>
    <w:rsid w:val="00065D9C"/>
    <w:rsid w:val="00093197"/>
    <w:rsid w:val="000A25C4"/>
    <w:rsid w:val="000A520E"/>
    <w:rsid w:val="000C31A0"/>
    <w:rsid w:val="000C710C"/>
    <w:rsid w:val="000D4E65"/>
    <w:rsid w:val="000F48F6"/>
    <w:rsid w:val="000F4BF2"/>
    <w:rsid w:val="001001A2"/>
    <w:rsid w:val="00101B55"/>
    <w:rsid w:val="00130245"/>
    <w:rsid w:val="001428C4"/>
    <w:rsid w:val="00143F3A"/>
    <w:rsid w:val="00151D84"/>
    <w:rsid w:val="00160B25"/>
    <w:rsid w:val="00162F5E"/>
    <w:rsid w:val="00165CB6"/>
    <w:rsid w:val="00175CDA"/>
    <w:rsid w:val="001815E1"/>
    <w:rsid w:val="00182CF0"/>
    <w:rsid w:val="001963C6"/>
    <w:rsid w:val="001A4816"/>
    <w:rsid w:val="001B4E73"/>
    <w:rsid w:val="001C1BC1"/>
    <w:rsid w:val="001C2DFE"/>
    <w:rsid w:val="001C309D"/>
    <w:rsid w:val="001C388F"/>
    <w:rsid w:val="001C71E8"/>
    <w:rsid w:val="001D381C"/>
    <w:rsid w:val="001F38F0"/>
    <w:rsid w:val="001F57DE"/>
    <w:rsid w:val="00202E77"/>
    <w:rsid w:val="002117DC"/>
    <w:rsid w:val="0021327F"/>
    <w:rsid w:val="002235F5"/>
    <w:rsid w:val="002271A2"/>
    <w:rsid w:val="00237CE5"/>
    <w:rsid w:val="00247387"/>
    <w:rsid w:val="00252C62"/>
    <w:rsid w:val="00273AE1"/>
    <w:rsid w:val="00281C70"/>
    <w:rsid w:val="00283FB7"/>
    <w:rsid w:val="0029640A"/>
    <w:rsid w:val="00297100"/>
    <w:rsid w:val="002A0D2A"/>
    <w:rsid w:val="002B48CC"/>
    <w:rsid w:val="002C6A25"/>
    <w:rsid w:val="002E74F5"/>
    <w:rsid w:val="002F4149"/>
    <w:rsid w:val="002F7EEF"/>
    <w:rsid w:val="0030279B"/>
    <w:rsid w:val="003129D6"/>
    <w:rsid w:val="003136EE"/>
    <w:rsid w:val="00321832"/>
    <w:rsid w:val="00322C28"/>
    <w:rsid w:val="003276ED"/>
    <w:rsid w:val="003365E0"/>
    <w:rsid w:val="00344E60"/>
    <w:rsid w:val="00360B5C"/>
    <w:rsid w:val="00364AF8"/>
    <w:rsid w:val="00364C08"/>
    <w:rsid w:val="00371527"/>
    <w:rsid w:val="003727EE"/>
    <w:rsid w:val="00372E1E"/>
    <w:rsid w:val="003772AF"/>
    <w:rsid w:val="00385CB3"/>
    <w:rsid w:val="00387840"/>
    <w:rsid w:val="0039059D"/>
    <w:rsid w:val="00390CA5"/>
    <w:rsid w:val="003A1AC9"/>
    <w:rsid w:val="003A335C"/>
    <w:rsid w:val="003A3813"/>
    <w:rsid w:val="003A77BE"/>
    <w:rsid w:val="003B2F4E"/>
    <w:rsid w:val="003B4DD7"/>
    <w:rsid w:val="003B715F"/>
    <w:rsid w:val="003B7DC3"/>
    <w:rsid w:val="003C7815"/>
    <w:rsid w:val="003D6F31"/>
    <w:rsid w:val="003D7860"/>
    <w:rsid w:val="003D7BF1"/>
    <w:rsid w:val="003E3F4C"/>
    <w:rsid w:val="003F479F"/>
    <w:rsid w:val="003F6059"/>
    <w:rsid w:val="003F745D"/>
    <w:rsid w:val="00401395"/>
    <w:rsid w:val="004033B8"/>
    <w:rsid w:val="00403D99"/>
    <w:rsid w:val="00411BA4"/>
    <w:rsid w:val="00412846"/>
    <w:rsid w:val="00413339"/>
    <w:rsid w:val="004147FC"/>
    <w:rsid w:val="0042309E"/>
    <w:rsid w:val="00430365"/>
    <w:rsid w:val="004309C6"/>
    <w:rsid w:val="00443044"/>
    <w:rsid w:val="00445B15"/>
    <w:rsid w:val="00447E5A"/>
    <w:rsid w:val="0046455D"/>
    <w:rsid w:val="0046672E"/>
    <w:rsid w:val="00474107"/>
    <w:rsid w:val="00482E08"/>
    <w:rsid w:val="00484A9E"/>
    <w:rsid w:val="00492391"/>
    <w:rsid w:val="004A20A5"/>
    <w:rsid w:val="004A3F5C"/>
    <w:rsid w:val="004D02F4"/>
    <w:rsid w:val="004D32A7"/>
    <w:rsid w:val="004D5D6F"/>
    <w:rsid w:val="004E25DD"/>
    <w:rsid w:val="004E4AEC"/>
    <w:rsid w:val="004F4341"/>
    <w:rsid w:val="00500BE1"/>
    <w:rsid w:val="0050183E"/>
    <w:rsid w:val="00513B3C"/>
    <w:rsid w:val="00514EDF"/>
    <w:rsid w:val="005165DB"/>
    <w:rsid w:val="005221FC"/>
    <w:rsid w:val="005406F8"/>
    <w:rsid w:val="00540B03"/>
    <w:rsid w:val="005462D0"/>
    <w:rsid w:val="0055455A"/>
    <w:rsid w:val="00555C8A"/>
    <w:rsid w:val="00556A1C"/>
    <w:rsid w:val="005576E1"/>
    <w:rsid w:val="00566FAC"/>
    <w:rsid w:val="00567733"/>
    <w:rsid w:val="005713A8"/>
    <w:rsid w:val="00583DAD"/>
    <w:rsid w:val="0059277F"/>
    <w:rsid w:val="00592A99"/>
    <w:rsid w:val="00596FB4"/>
    <w:rsid w:val="00597EED"/>
    <w:rsid w:val="005A2991"/>
    <w:rsid w:val="005B51D2"/>
    <w:rsid w:val="005B5A76"/>
    <w:rsid w:val="005D0AF8"/>
    <w:rsid w:val="005F3A83"/>
    <w:rsid w:val="005F3E47"/>
    <w:rsid w:val="005F7384"/>
    <w:rsid w:val="0060215A"/>
    <w:rsid w:val="00607DE2"/>
    <w:rsid w:val="0061692C"/>
    <w:rsid w:val="006216F9"/>
    <w:rsid w:val="00621BB5"/>
    <w:rsid w:val="0062658F"/>
    <w:rsid w:val="00640EEA"/>
    <w:rsid w:val="0064482B"/>
    <w:rsid w:val="00652D53"/>
    <w:rsid w:val="00662FB1"/>
    <w:rsid w:val="0067516F"/>
    <w:rsid w:val="00675F4D"/>
    <w:rsid w:val="006832D0"/>
    <w:rsid w:val="006A36CC"/>
    <w:rsid w:val="006A66C5"/>
    <w:rsid w:val="006B029C"/>
    <w:rsid w:val="006B4683"/>
    <w:rsid w:val="006B5BA9"/>
    <w:rsid w:val="006B679C"/>
    <w:rsid w:val="006C714C"/>
    <w:rsid w:val="006C76B6"/>
    <w:rsid w:val="006D3582"/>
    <w:rsid w:val="006D7651"/>
    <w:rsid w:val="006E1B6A"/>
    <w:rsid w:val="0070010B"/>
    <w:rsid w:val="0070029F"/>
    <w:rsid w:val="00701734"/>
    <w:rsid w:val="00721560"/>
    <w:rsid w:val="00726036"/>
    <w:rsid w:val="0074341E"/>
    <w:rsid w:val="00751F08"/>
    <w:rsid w:val="00756AA6"/>
    <w:rsid w:val="00760371"/>
    <w:rsid w:val="007666A8"/>
    <w:rsid w:val="0076711A"/>
    <w:rsid w:val="00776535"/>
    <w:rsid w:val="007806C5"/>
    <w:rsid w:val="00786563"/>
    <w:rsid w:val="00787142"/>
    <w:rsid w:val="007926C7"/>
    <w:rsid w:val="00793399"/>
    <w:rsid w:val="007A2030"/>
    <w:rsid w:val="007A589B"/>
    <w:rsid w:val="007A64CC"/>
    <w:rsid w:val="007B0A87"/>
    <w:rsid w:val="007B2769"/>
    <w:rsid w:val="007B4357"/>
    <w:rsid w:val="007C082C"/>
    <w:rsid w:val="007C2310"/>
    <w:rsid w:val="007C6400"/>
    <w:rsid w:val="007D57EE"/>
    <w:rsid w:val="007E0C1F"/>
    <w:rsid w:val="007E1CB3"/>
    <w:rsid w:val="007F6A05"/>
    <w:rsid w:val="007F7993"/>
    <w:rsid w:val="00803027"/>
    <w:rsid w:val="0081026B"/>
    <w:rsid w:val="00830099"/>
    <w:rsid w:val="008306A4"/>
    <w:rsid w:val="008403F1"/>
    <w:rsid w:val="00842057"/>
    <w:rsid w:val="00842BAF"/>
    <w:rsid w:val="0086005B"/>
    <w:rsid w:val="00864C55"/>
    <w:rsid w:val="0086637C"/>
    <w:rsid w:val="00884167"/>
    <w:rsid w:val="008914B1"/>
    <w:rsid w:val="00892A46"/>
    <w:rsid w:val="008A4F51"/>
    <w:rsid w:val="008A7212"/>
    <w:rsid w:val="008B2431"/>
    <w:rsid w:val="008B257A"/>
    <w:rsid w:val="008C082F"/>
    <w:rsid w:val="008C366C"/>
    <w:rsid w:val="008C5FC9"/>
    <w:rsid w:val="008D390B"/>
    <w:rsid w:val="008D6FB6"/>
    <w:rsid w:val="008E38F1"/>
    <w:rsid w:val="008E4D8E"/>
    <w:rsid w:val="008F17A3"/>
    <w:rsid w:val="008F1FCF"/>
    <w:rsid w:val="00900453"/>
    <w:rsid w:val="009016A5"/>
    <w:rsid w:val="00904100"/>
    <w:rsid w:val="0090462E"/>
    <w:rsid w:val="00905463"/>
    <w:rsid w:val="0091307F"/>
    <w:rsid w:val="00933EF4"/>
    <w:rsid w:val="0093574D"/>
    <w:rsid w:val="00961BD6"/>
    <w:rsid w:val="0097278E"/>
    <w:rsid w:val="009744A0"/>
    <w:rsid w:val="00976781"/>
    <w:rsid w:val="009776AB"/>
    <w:rsid w:val="00986270"/>
    <w:rsid w:val="009906BF"/>
    <w:rsid w:val="009B166B"/>
    <w:rsid w:val="009B66C8"/>
    <w:rsid w:val="009C21B3"/>
    <w:rsid w:val="009C2C42"/>
    <w:rsid w:val="009D5720"/>
    <w:rsid w:val="009E3D4E"/>
    <w:rsid w:val="009E6A28"/>
    <w:rsid w:val="009F010F"/>
    <w:rsid w:val="009F3FB7"/>
    <w:rsid w:val="00A117D2"/>
    <w:rsid w:val="00A17420"/>
    <w:rsid w:val="00A239A7"/>
    <w:rsid w:val="00A3549C"/>
    <w:rsid w:val="00A374AC"/>
    <w:rsid w:val="00A37869"/>
    <w:rsid w:val="00A44A88"/>
    <w:rsid w:val="00A52CF1"/>
    <w:rsid w:val="00A57635"/>
    <w:rsid w:val="00A6527A"/>
    <w:rsid w:val="00A72122"/>
    <w:rsid w:val="00A74752"/>
    <w:rsid w:val="00A749E1"/>
    <w:rsid w:val="00A81B6C"/>
    <w:rsid w:val="00A94748"/>
    <w:rsid w:val="00A94775"/>
    <w:rsid w:val="00A962CF"/>
    <w:rsid w:val="00AB75B4"/>
    <w:rsid w:val="00AC74EC"/>
    <w:rsid w:val="00AD7CC8"/>
    <w:rsid w:val="00AE6E25"/>
    <w:rsid w:val="00AF6B3A"/>
    <w:rsid w:val="00B054AD"/>
    <w:rsid w:val="00B108AE"/>
    <w:rsid w:val="00B13C9D"/>
    <w:rsid w:val="00B203BF"/>
    <w:rsid w:val="00B2426C"/>
    <w:rsid w:val="00B360D8"/>
    <w:rsid w:val="00B40E49"/>
    <w:rsid w:val="00B533D5"/>
    <w:rsid w:val="00B54F09"/>
    <w:rsid w:val="00B57F23"/>
    <w:rsid w:val="00B71972"/>
    <w:rsid w:val="00B84789"/>
    <w:rsid w:val="00B85769"/>
    <w:rsid w:val="00B87F00"/>
    <w:rsid w:val="00B9176B"/>
    <w:rsid w:val="00B96022"/>
    <w:rsid w:val="00BC113A"/>
    <w:rsid w:val="00BC71FF"/>
    <w:rsid w:val="00BD0FFD"/>
    <w:rsid w:val="00BD11CD"/>
    <w:rsid w:val="00BE27B4"/>
    <w:rsid w:val="00BE4CAF"/>
    <w:rsid w:val="00BE52BF"/>
    <w:rsid w:val="00BE5D8E"/>
    <w:rsid w:val="00C00BB8"/>
    <w:rsid w:val="00C02233"/>
    <w:rsid w:val="00C05BED"/>
    <w:rsid w:val="00C06B06"/>
    <w:rsid w:val="00C0722D"/>
    <w:rsid w:val="00C106C2"/>
    <w:rsid w:val="00C15121"/>
    <w:rsid w:val="00C171FF"/>
    <w:rsid w:val="00C20FE2"/>
    <w:rsid w:val="00C21009"/>
    <w:rsid w:val="00C21363"/>
    <w:rsid w:val="00C2294B"/>
    <w:rsid w:val="00C37129"/>
    <w:rsid w:val="00C47A56"/>
    <w:rsid w:val="00C52224"/>
    <w:rsid w:val="00C52FC2"/>
    <w:rsid w:val="00C5755A"/>
    <w:rsid w:val="00C600ED"/>
    <w:rsid w:val="00C67CE0"/>
    <w:rsid w:val="00C74B78"/>
    <w:rsid w:val="00C74F11"/>
    <w:rsid w:val="00C7643D"/>
    <w:rsid w:val="00C76E10"/>
    <w:rsid w:val="00C8210B"/>
    <w:rsid w:val="00CB5D78"/>
    <w:rsid w:val="00CB7AF9"/>
    <w:rsid w:val="00CC58F8"/>
    <w:rsid w:val="00CD0A35"/>
    <w:rsid w:val="00CD5F91"/>
    <w:rsid w:val="00CD6927"/>
    <w:rsid w:val="00CE0B40"/>
    <w:rsid w:val="00CE58C2"/>
    <w:rsid w:val="00D040A2"/>
    <w:rsid w:val="00D114C9"/>
    <w:rsid w:val="00D13C47"/>
    <w:rsid w:val="00D16E03"/>
    <w:rsid w:val="00D21685"/>
    <w:rsid w:val="00D318A3"/>
    <w:rsid w:val="00D326DC"/>
    <w:rsid w:val="00D353EC"/>
    <w:rsid w:val="00D354E8"/>
    <w:rsid w:val="00D44122"/>
    <w:rsid w:val="00D554DA"/>
    <w:rsid w:val="00D60BFC"/>
    <w:rsid w:val="00D60FF3"/>
    <w:rsid w:val="00D655F5"/>
    <w:rsid w:val="00D67C46"/>
    <w:rsid w:val="00D70591"/>
    <w:rsid w:val="00D75CFB"/>
    <w:rsid w:val="00D77847"/>
    <w:rsid w:val="00D907A2"/>
    <w:rsid w:val="00DA6116"/>
    <w:rsid w:val="00DD195D"/>
    <w:rsid w:val="00DD4976"/>
    <w:rsid w:val="00DE01A0"/>
    <w:rsid w:val="00DE0699"/>
    <w:rsid w:val="00DF4CC2"/>
    <w:rsid w:val="00DF6966"/>
    <w:rsid w:val="00E04222"/>
    <w:rsid w:val="00E0503C"/>
    <w:rsid w:val="00E1281F"/>
    <w:rsid w:val="00E16FFB"/>
    <w:rsid w:val="00E2493A"/>
    <w:rsid w:val="00E35F4A"/>
    <w:rsid w:val="00E369B9"/>
    <w:rsid w:val="00E4365F"/>
    <w:rsid w:val="00E50F50"/>
    <w:rsid w:val="00E51E99"/>
    <w:rsid w:val="00E64B36"/>
    <w:rsid w:val="00E658FC"/>
    <w:rsid w:val="00E660F1"/>
    <w:rsid w:val="00E715DC"/>
    <w:rsid w:val="00E7204F"/>
    <w:rsid w:val="00E73D2B"/>
    <w:rsid w:val="00E74DBF"/>
    <w:rsid w:val="00E8008F"/>
    <w:rsid w:val="00E8413B"/>
    <w:rsid w:val="00E85DB1"/>
    <w:rsid w:val="00EA3B1D"/>
    <w:rsid w:val="00EB0782"/>
    <w:rsid w:val="00EB0DEC"/>
    <w:rsid w:val="00EB44F5"/>
    <w:rsid w:val="00EB669A"/>
    <w:rsid w:val="00EC126C"/>
    <w:rsid w:val="00EC13FB"/>
    <w:rsid w:val="00EC3D5A"/>
    <w:rsid w:val="00EC48D4"/>
    <w:rsid w:val="00ED5226"/>
    <w:rsid w:val="00EE2AA0"/>
    <w:rsid w:val="00EE3596"/>
    <w:rsid w:val="00EF1554"/>
    <w:rsid w:val="00EF1AC2"/>
    <w:rsid w:val="00F0081B"/>
    <w:rsid w:val="00F033FC"/>
    <w:rsid w:val="00F15E93"/>
    <w:rsid w:val="00F45181"/>
    <w:rsid w:val="00F45972"/>
    <w:rsid w:val="00F53236"/>
    <w:rsid w:val="00F56917"/>
    <w:rsid w:val="00F576F6"/>
    <w:rsid w:val="00F746F0"/>
    <w:rsid w:val="00F806F6"/>
    <w:rsid w:val="00FA13BA"/>
    <w:rsid w:val="00FA4548"/>
    <w:rsid w:val="00FC1DE3"/>
    <w:rsid w:val="00FC2A67"/>
    <w:rsid w:val="00FE2FB0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PS">
    <w:name w:val="PS"/>
    <w:basedOn w:val="a"/>
    <w:rsid w:val="00A3549C"/>
    <w:pPr>
      <w:bidi w:val="0"/>
      <w:ind w:firstLine="432"/>
    </w:pPr>
    <w:rPr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ayments-oversight@boi.org.il" TargetMode="External"/><Relationship Id="rId1" Type="http://schemas.openxmlformats.org/officeDocument/2006/relationships/hyperlink" Target="https://www.boi.org.il/en/communication-and-publications/press-releases/providing-international-payment-service-providers-access-to-israeli-payment-system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DA0A-02AC-4D19-BC34-09DC8FE7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4172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2023-11-19T07:29:00Z</dcterms:created>
  <dcterms:modified xsi:type="dcterms:W3CDTF">2023-11-19T07:29:00Z</dcterms:modified>
</cp:coreProperties>
</file>