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91"/>
        <w:bidiVisual/>
        <w:tblW w:w="9530" w:type="dxa"/>
        <w:tblLayout w:type="fixed"/>
        <w:tblLook w:val="0000" w:firstRow="0" w:lastRow="0" w:firstColumn="0" w:lastColumn="0" w:noHBand="0" w:noVBand="0"/>
      </w:tblPr>
      <w:tblGrid>
        <w:gridCol w:w="3343"/>
        <w:gridCol w:w="2596"/>
        <w:gridCol w:w="3591"/>
      </w:tblGrid>
      <w:tr w:rsidR="00A501E4" w:rsidRPr="001D3673" w:rsidTr="0024395D">
        <w:tc>
          <w:tcPr>
            <w:tcW w:w="3343" w:type="dxa"/>
            <w:tcBorders>
              <w:top w:val="nil"/>
              <w:left w:val="nil"/>
              <w:bottom w:val="nil"/>
              <w:right w:val="nil"/>
            </w:tcBorders>
            <w:vAlign w:val="center"/>
          </w:tcPr>
          <w:p w:rsidR="00A501E4" w:rsidRPr="001D3673" w:rsidRDefault="00A501E4" w:rsidP="0024395D">
            <w:pPr>
              <w:spacing w:line="480" w:lineRule="auto"/>
              <w:ind w:left="97"/>
              <w:jc w:val="center"/>
              <w:rPr>
                <w:rFonts w:cs="David"/>
                <w:b/>
                <w:bCs/>
                <w:sz w:val="24"/>
                <w:szCs w:val="24"/>
              </w:rPr>
            </w:pPr>
            <w:r w:rsidRPr="001D3673">
              <w:rPr>
                <w:rFonts w:cs="David"/>
                <w:b/>
                <w:bCs/>
                <w:sz w:val="28"/>
                <w:szCs w:val="28"/>
                <w:rtl/>
              </w:rPr>
              <w:t>בנ</w:t>
            </w:r>
            <w:r w:rsidRPr="001D3673">
              <w:rPr>
                <w:rFonts w:cs="David" w:hint="cs"/>
                <w:b/>
                <w:bCs/>
                <w:sz w:val="28"/>
                <w:szCs w:val="28"/>
                <w:rtl/>
              </w:rPr>
              <w:t xml:space="preserve">ק </w:t>
            </w:r>
            <w:r w:rsidRPr="001D3673">
              <w:rPr>
                <w:rFonts w:cs="David"/>
                <w:b/>
                <w:bCs/>
                <w:sz w:val="28"/>
                <w:szCs w:val="28"/>
                <w:rtl/>
              </w:rPr>
              <w:t>יש</w:t>
            </w:r>
            <w:r w:rsidRPr="001D3673">
              <w:rPr>
                <w:rFonts w:cs="David" w:hint="cs"/>
                <w:b/>
                <w:bCs/>
                <w:sz w:val="28"/>
                <w:szCs w:val="28"/>
                <w:rtl/>
              </w:rPr>
              <w:t>ראל</w:t>
            </w:r>
          </w:p>
          <w:p w:rsidR="00A501E4" w:rsidRPr="001D3673" w:rsidRDefault="00A501E4" w:rsidP="0024395D">
            <w:pPr>
              <w:spacing w:line="480" w:lineRule="auto"/>
              <w:ind w:left="97" w:right="-101"/>
              <w:jc w:val="center"/>
              <w:rPr>
                <w:sz w:val="24"/>
                <w:szCs w:val="24"/>
              </w:rPr>
            </w:pPr>
            <w:r w:rsidRPr="001D3673">
              <w:rPr>
                <w:rFonts w:cs="David"/>
                <w:sz w:val="24"/>
                <w:szCs w:val="24"/>
                <w:rtl/>
              </w:rPr>
              <w:t>דו</w:t>
            </w:r>
            <w:r w:rsidRPr="001D3673">
              <w:rPr>
                <w:rFonts w:cs="David" w:hint="cs"/>
                <w:sz w:val="24"/>
                <w:szCs w:val="24"/>
                <w:rtl/>
              </w:rPr>
              <w:t>בר</w:t>
            </w:r>
            <w:r w:rsidRPr="001D3673">
              <w:rPr>
                <w:rFonts w:cs="David"/>
                <w:sz w:val="24"/>
                <w:szCs w:val="24"/>
                <w:rtl/>
              </w:rPr>
              <w:t>ות</w:t>
            </w:r>
            <w:r w:rsidRPr="001D3673">
              <w:rPr>
                <w:rFonts w:cs="David" w:hint="cs"/>
                <w:sz w:val="24"/>
                <w:szCs w:val="24"/>
                <w:rtl/>
              </w:rPr>
              <w:t xml:space="preserve"> והסברה כלכלית</w:t>
            </w:r>
          </w:p>
        </w:tc>
        <w:tc>
          <w:tcPr>
            <w:tcW w:w="2596" w:type="dxa"/>
            <w:tcBorders>
              <w:top w:val="nil"/>
              <w:left w:val="nil"/>
              <w:bottom w:val="nil"/>
              <w:right w:val="nil"/>
            </w:tcBorders>
            <w:shd w:val="clear" w:color="auto" w:fill="FFFFFF" w:themeFill="background1"/>
          </w:tcPr>
          <w:p w:rsidR="00A501E4" w:rsidRPr="001D3673" w:rsidRDefault="00A501E4" w:rsidP="0024395D">
            <w:pPr>
              <w:jc w:val="center"/>
              <w:rPr>
                <w:sz w:val="24"/>
                <w:szCs w:val="24"/>
              </w:rPr>
            </w:pPr>
            <w:r w:rsidRPr="001D3673">
              <w:rPr>
                <w:noProof/>
                <w:sz w:val="24"/>
                <w:szCs w:val="24"/>
              </w:rPr>
              <w:drawing>
                <wp:inline distT="0" distB="0" distL="0" distR="0" wp14:anchorId="28790776" wp14:editId="4620120F">
                  <wp:extent cx="945515" cy="945515"/>
                  <wp:effectExtent l="0" t="0" r="6985" b="6985"/>
                  <wp:docPr id="3" name="תמונה 3" descr="לוגו בנק ישראל"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pic:spPr>
                      </pic:pic>
                    </a:graphicData>
                  </a:graphic>
                </wp:inline>
              </w:drawing>
            </w:r>
          </w:p>
        </w:tc>
        <w:tc>
          <w:tcPr>
            <w:tcW w:w="3591" w:type="dxa"/>
            <w:tcBorders>
              <w:top w:val="nil"/>
              <w:left w:val="nil"/>
              <w:bottom w:val="nil"/>
              <w:right w:val="nil"/>
            </w:tcBorders>
            <w:vAlign w:val="center"/>
          </w:tcPr>
          <w:p w:rsidR="00A501E4" w:rsidRPr="001D3673" w:rsidRDefault="00A501E4" w:rsidP="00C60D34">
            <w:pPr>
              <w:spacing w:line="480" w:lineRule="auto"/>
              <w:jc w:val="right"/>
              <w:rPr>
                <w:rFonts w:cs="David"/>
                <w:sz w:val="24"/>
                <w:szCs w:val="24"/>
              </w:rPr>
            </w:pPr>
            <w:r w:rsidRPr="001D3673">
              <w:rPr>
                <w:rFonts w:cs="David" w:hint="eastAsia"/>
                <w:sz w:val="24"/>
                <w:szCs w:val="24"/>
                <w:rtl/>
              </w:rPr>
              <w:t>‏</w:t>
            </w:r>
            <w:r w:rsidRPr="001D3673">
              <w:rPr>
                <w:rFonts w:cs="David" w:hint="cs"/>
                <w:sz w:val="24"/>
                <w:szCs w:val="24"/>
                <w:rtl/>
              </w:rPr>
              <w:t xml:space="preserve">ירושלים, </w:t>
            </w:r>
            <w:r w:rsidR="00C60D34">
              <w:rPr>
                <w:rFonts w:cs="David" w:hint="cs"/>
                <w:sz w:val="24"/>
                <w:szCs w:val="24"/>
                <w:rtl/>
              </w:rPr>
              <w:t>ח'</w:t>
            </w:r>
            <w:r>
              <w:rPr>
                <w:rFonts w:cs="David" w:hint="cs"/>
                <w:sz w:val="24"/>
                <w:szCs w:val="24"/>
                <w:rtl/>
              </w:rPr>
              <w:t xml:space="preserve"> </w:t>
            </w:r>
            <w:r w:rsidR="008B34B1">
              <w:rPr>
                <w:rFonts w:cs="David" w:hint="cs"/>
                <w:sz w:val="24"/>
                <w:szCs w:val="24"/>
                <w:rtl/>
              </w:rPr>
              <w:t>בשבט</w:t>
            </w:r>
            <w:r w:rsidRPr="001D3673">
              <w:rPr>
                <w:rFonts w:cs="David"/>
                <w:sz w:val="24"/>
                <w:szCs w:val="24"/>
                <w:rtl/>
              </w:rPr>
              <w:t>, תש</w:t>
            </w:r>
            <w:r>
              <w:rPr>
                <w:rFonts w:cs="David" w:hint="cs"/>
                <w:sz w:val="24"/>
                <w:szCs w:val="24"/>
                <w:rtl/>
              </w:rPr>
              <w:t>פ</w:t>
            </w:r>
            <w:r w:rsidRPr="001D3673">
              <w:rPr>
                <w:rFonts w:cs="David" w:hint="cs"/>
                <w:sz w:val="24"/>
                <w:szCs w:val="24"/>
                <w:rtl/>
              </w:rPr>
              <w:t>"</w:t>
            </w:r>
            <w:r w:rsidR="008A2C8B">
              <w:rPr>
                <w:rFonts w:cs="David" w:hint="cs"/>
                <w:sz w:val="24"/>
                <w:szCs w:val="24"/>
                <w:rtl/>
              </w:rPr>
              <w:t>ג</w:t>
            </w:r>
          </w:p>
          <w:p w:rsidR="00A501E4" w:rsidRPr="001D3673" w:rsidRDefault="00C60D34" w:rsidP="008B34B1">
            <w:pPr>
              <w:spacing w:line="480" w:lineRule="auto"/>
              <w:jc w:val="right"/>
              <w:rPr>
                <w:rFonts w:cs="David"/>
                <w:sz w:val="24"/>
                <w:szCs w:val="24"/>
              </w:rPr>
            </w:pPr>
            <w:r>
              <w:rPr>
                <w:rFonts w:cs="David" w:hint="cs"/>
                <w:sz w:val="24"/>
                <w:szCs w:val="24"/>
                <w:rtl/>
              </w:rPr>
              <w:t>30</w:t>
            </w:r>
            <w:r w:rsidR="00A501E4">
              <w:rPr>
                <w:rFonts w:cs="David" w:hint="cs"/>
                <w:sz w:val="24"/>
                <w:szCs w:val="24"/>
                <w:rtl/>
              </w:rPr>
              <w:t xml:space="preserve"> </w:t>
            </w:r>
            <w:r w:rsidR="006E6AA1">
              <w:rPr>
                <w:rFonts w:cs="David" w:hint="cs"/>
                <w:sz w:val="24"/>
                <w:szCs w:val="24"/>
                <w:rtl/>
              </w:rPr>
              <w:t>בינואר</w:t>
            </w:r>
            <w:r w:rsidR="00A501E4">
              <w:rPr>
                <w:rFonts w:cs="David" w:hint="cs"/>
                <w:sz w:val="24"/>
                <w:szCs w:val="24"/>
                <w:rtl/>
              </w:rPr>
              <w:t xml:space="preserve"> </w:t>
            </w:r>
            <w:r w:rsidR="008B34B1">
              <w:rPr>
                <w:rFonts w:cs="David" w:hint="cs"/>
                <w:sz w:val="24"/>
                <w:szCs w:val="24"/>
                <w:rtl/>
              </w:rPr>
              <w:t>2023</w:t>
            </w:r>
          </w:p>
        </w:tc>
      </w:tr>
    </w:tbl>
    <w:p w:rsidR="00A501E4" w:rsidRDefault="00A501E4" w:rsidP="00A501E4">
      <w:pPr>
        <w:jc w:val="both"/>
        <w:rPr>
          <w:rFonts w:ascii="David" w:hAnsi="David" w:cs="David"/>
          <w:b/>
          <w:bCs/>
          <w:sz w:val="28"/>
          <w:szCs w:val="28"/>
          <w:rtl/>
        </w:rPr>
      </w:pPr>
    </w:p>
    <w:p w:rsidR="00A501E4" w:rsidRDefault="00A501E4" w:rsidP="00A501E4">
      <w:pPr>
        <w:spacing w:line="360" w:lineRule="auto"/>
        <w:rPr>
          <w:rFonts w:asciiTheme="minorBidi" w:hAnsiTheme="minorBidi" w:cs="David"/>
          <w:color w:val="000000" w:themeColor="text1"/>
          <w:sz w:val="24"/>
          <w:szCs w:val="24"/>
          <w:rtl/>
        </w:rPr>
      </w:pPr>
      <w:r w:rsidRPr="0083233A">
        <w:rPr>
          <w:rFonts w:asciiTheme="minorBidi" w:hAnsiTheme="minorBidi" w:cs="David"/>
          <w:color w:val="000000" w:themeColor="text1"/>
          <w:sz w:val="24"/>
          <w:szCs w:val="24"/>
          <w:rtl/>
        </w:rPr>
        <w:t>הודעה לעיתונות:</w:t>
      </w:r>
    </w:p>
    <w:p w:rsidR="00725796" w:rsidRDefault="007B3F9F" w:rsidP="006E6AA1">
      <w:pPr>
        <w:spacing w:line="360" w:lineRule="auto"/>
        <w:jc w:val="center"/>
        <w:rPr>
          <w:rFonts w:ascii="David" w:hAnsi="David" w:cs="David"/>
          <w:b/>
          <w:bCs/>
          <w:sz w:val="28"/>
          <w:szCs w:val="28"/>
          <w:rtl/>
        </w:rPr>
      </w:pPr>
      <w:proofErr w:type="spellStart"/>
      <w:r>
        <w:rPr>
          <w:rFonts w:ascii="David" w:hAnsi="David" w:cs="David" w:hint="cs"/>
          <w:b/>
          <w:bCs/>
          <w:sz w:val="28"/>
          <w:szCs w:val="28"/>
          <w:rtl/>
        </w:rPr>
        <w:t>תוכנית</w:t>
      </w:r>
      <w:proofErr w:type="spellEnd"/>
      <w:r>
        <w:rPr>
          <w:rFonts w:ascii="David" w:hAnsi="David" w:cs="David" w:hint="cs"/>
          <w:b/>
          <w:bCs/>
          <w:sz w:val="28"/>
          <w:szCs w:val="28"/>
          <w:rtl/>
        </w:rPr>
        <w:t xml:space="preserve"> בנק ישראל להאצת הצמיחה במשק: </w:t>
      </w:r>
      <w:r w:rsidR="008B34B1">
        <w:rPr>
          <w:rFonts w:ascii="David" w:hAnsi="David" w:cs="David" w:hint="cs"/>
          <w:b/>
          <w:bCs/>
          <w:sz w:val="28"/>
          <w:szCs w:val="28"/>
          <w:rtl/>
        </w:rPr>
        <w:t>צירי פעולה אסטרטגיים מומלצים לממשלה</w:t>
      </w:r>
    </w:p>
    <w:p w:rsidR="00135CF3" w:rsidRDefault="007B3F9F" w:rsidP="00E21ACD">
      <w:pPr>
        <w:spacing w:line="360" w:lineRule="auto"/>
        <w:rPr>
          <w:rFonts w:ascii="David" w:hAnsi="David" w:cs="David"/>
          <w:b/>
          <w:bCs/>
          <w:sz w:val="24"/>
          <w:szCs w:val="24"/>
          <w:rtl/>
        </w:rPr>
      </w:pPr>
      <w:r w:rsidRPr="007B3F9F">
        <w:rPr>
          <w:rFonts w:ascii="David" w:hAnsi="David" w:cs="David" w:hint="cs"/>
          <w:b/>
          <w:bCs/>
          <w:sz w:val="24"/>
          <w:szCs w:val="24"/>
          <w:rtl/>
        </w:rPr>
        <w:t>בנק ישראל הגיש היום ל</w:t>
      </w:r>
      <w:r w:rsidR="00135CF3">
        <w:rPr>
          <w:rFonts w:ascii="David" w:hAnsi="David" w:cs="David" w:hint="cs"/>
          <w:b/>
          <w:bCs/>
          <w:sz w:val="24"/>
          <w:szCs w:val="24"/>
          <w:rtl/>
        </w:rPr>
        <w:t>שרי ה</w:t>
      </w:r>
      <w:r w:rsidRPr="007B3F9F">
        <w:rPr>
          <w:rFonts w:ascii="David" w:hAnsi="David" w:cs="David" w:hint="cs"/>
          <w:b/>
          <w:bCs/>
          <w:sz w:val="24"/>
          <w:szCs w:val="24"/>
          <w:rtl/>
        </w:rPr>
        <w:t>ממשלה את התוכנית האס</w:t>
      </w:r>
      <w:r w:rsidR="00135CF3">
        <w:rPr>
          <w:rFonts w:ascii="David" w:hAnsi="David" w:cs="David" w:hint="cs"/>
          <w:b/>
          <w:bCs/>
          <w:sz w:val="24"/>
          <w:szCs w:val="24"/>
          <w:rtl/>
        </w:rPr>
        <w:t xml:space="preserve">טרטגית שהכין להאצת הצמיחה במשק. תכנית הבנק כוללת שישה נושאים נדרשים לקידום הכלכלה: פיתוח הון האנוש, תשתיות תחבורה, שוק הדיור, אנרגיה ואקלים, תשתיות דיגיטליות והמלצות הבנק לטיפול ביוקר המחיה. המלצות הבנק </w:t>
      </w:r>
      <w:r w:rsidR="00E21ACD">
        <w:rPr>
          <w:rFonts w:ascii="David" w:hAnsi="David" w:cs="David" w:hint="cs"/>
          <w:b/>
          <w:bCs/>
          <w:sz w:val="24"/>
          <w:szCs w:val="24"/>
          <w:rtl/>
        </w:rPr>
        <w:t>הוצגו</w:t>
      </w:r>
      <w:r w:rsidR="00135CF3">
        <w:rPr>
          <w:rFonts w:ascii="David" w:hAnsi="David" w:cs="David" w:hint="cs"/>
          <w:b/>
          <w:bCs/>
          <w:sz w:val="24"/>
          <w:szCs w:val="24"/>
          <w:rtl/>
        </w:rPr>
        <w:t xml:space="preserve"> על ידי הנגיד </w:t>
      </w:r>
      <w:hyperlink r:id="rId7" w:history="1">
        <w:r w:rsidR="00135CF3" w:rsidRPr="00E45576">
          <w:rPr>
            <w:rStyle w:val="Hyperlink"/>
            <w:rFonts w:ascii="David" w:hAnsi="David" w:cs="David" w:hint="cs"/>
            <w:b/>
            <w:bCs/>
            <w:sz w:val="24"/>
            <w:szCs w:val="24"/>
            <w:rtl/>
          </w:rPr>
          <w:t>לראש הממשלה, חה"כ בנימין נתניהו</w:t>
        </w:r>
      </w:hyperlink>
      <w:r w:rsidR="00135CF3">
        <w:rPr>
          <w:rFonts w:ascii="David" w:hAnsi="David" w:cs="David" w:hint="cs"/>
          <w:b/>
          <w:bCs/>
          <w:sz w:val="24"/>
          <w:szCs w:val="24"/>
          <w:rtl/>
        </w:rPr>
        <w:t xml:space="preserve">, </w:t>
      </w:r>
      <w:hyperlink r:id="rId8" w:history="1">
        <w:r w:rsidR="00135CF3" w:rsidRPr="00E45576">
          <w:rPr>
            <w:rStyle w:val="Hyperlink"/>
            <w:rFonts w:ascii="David" w:hAnsi="David" w:cs="David" w:hint="cs"/>
            <w:b/>
            <w:bCs/>
            <w:sz w:val="24"/>
            <w:szCs w:val="24"/>
            <w:rtl/>
          </w:rPr>
          <w:t>שר האוצר</w:t>
        </w:r>
      </w:hyperlink>
      <w:r w:rsidR="00135CF3">
        <w:rPr>
          <w:rFonts w:ascii="David" w:hAnsi="David" w:cs="David" w:hint="cs"/>
          <w:b/>
          <w:bCs/>
          <w:sz w:val="24"/>
          <w:szCs w:val="24"/>
          <w:rtl/>
        </w:rPr>
        <w:t xml:space="preserve">, </w:t>
      </w:r>
      <w:hyperlink r:id="rId9" w:history="1">
        <w:r w:rsidR="00135CF3" w:rsidRPr="00E45576">
          <w:rPr>
            <w:rStyle w:val="Hyperlink"/>
            <w:rFonts w:ascii="David" w:hAnsi="David" w:cs="David" w:hint="cs"/>
            <w:b/>
            <w:bCs/>
            <w:sz w:val="24"/>
            <w:szCs w:val="24"/>
            <w:rtl/>
          </w:rPr>
          <w:t xml:space="preserve">שר הכלכלה </w:t>
        </w:r>
      </w:hyperlink>
      <w:r w:rsidR="00135CF3">
        <w:rPr>
          <w:rFonts w:ascii="David" w:hAnsi="David" w:cs="David" w:hint="cs"/>
          <w:b/>
          <w:bCs/>
          <w:sz w:val="24"/>
          <w:szCs w:val="24"/>
          <w:rtl/>
        </w:rPr>
        <w:t>ושורת שרים נוספים.</w:t>
      </w:r>
    </w:p>
    <w:p w:rsidR="007B3F9F" w:rsidRPr="007B3F9F" w:rsidRDefault="007B3F9F" w:rsidP="007B3F9F">
      <w:pPr>
        <w:spacing w:line="360" w:lineRule="auto"/>
        <w:rPr>
          <w:rFonts w:ascii="David" w:hAnsi="David" w:cs="David"/>
          <w:b/>
          <w:bCs/>
          <w:sz w:val="24"/>
          <w:szCs w:val="24"/>
          <w:rtl/>
        </w:rPr>
      </w:pPr>
      <w:r w:rsidRPr="007B3F9F">
        <w:rPr>
          <w:rFonts w:ascii="David" w:hAnsi="David" w:cs="David" w:hint="cs"/>
          <w:b/>
          <w:bCs/>
          <w:sz w:val="24"/>
          <w:szCs w:val="24"/>
          <w:rtl/>
        </w:rPr>
        <w:t xml:space="preserve">להלן מכתב נגיד בנק ישראל, פרופ' אמיר ירון: </w:t>
      </w:r>
    </w:p>
    <w:p w:rsidR="001661E3" w:rsidRDefault="001661E3" w:rsidP="001661E3">
      <w:pPr>
        <w:spacing w:line="360" w:lineRule="auto"/>
        <w:rPr>
          <w:rFonts w:ascii="David" w:hAnsi="David" w:cs="David"/>
          <w:sz w:val="24"/>
          <w:szCs w:val="24"/>
          <w:rtl/>
        </w:rPr>
      </w:pPr>
      <w:r w:rsidRPr="001661E3">
        <w:rPr>
          <w:rFonts w:ascii="David" w:hAnsi="David" w:cs="David"/>
          <w:sz w:val="24"/>
          <w:szCs w:val="24"/>
          <w:rtl/>
        </w:rPr>
        <w:t>תכנית</w:t>
      </w:r>
      <w:r w:rsidR="00C71108">
        <w:rPr>
          <w:rFonts w:ascii="David" w:hAnsi="David" w:cs="David"/>
          <w:sz w:val="24"/>
          <w:szCs w:val="24"/>
          <w:rtl/>
        </w:rPr>
        <w:t xml:space="preserve"> זו מוגשת לממשלה ה-37 עם תחילת </w:t>
      </w:r>
      <w:r w:rsidRPr="001661E3">
        <w:rPr>
          <w:rFonts w:ascii="David" w:hAnsi="David" w:cs="David"/>
          <w:sz w:val="24"/>
          <w:szCs w:val="24"/>
          <w:rtl/>
        </w:rPr>
        <w:t xml:space="preserve">כהונתה בפרוס שנת </w:t>
      </w:r>
      <w:r w:rsidR="007B3F9F">
        <w:rPr>
          <w:rFonts w:ascii="David" w:hAnsi="David" w:cs="David"/>
          <w:sz w:val="24"/>
          <w:szCs w:val="24"/>
          <w:rtl/>
        </w:rPr>
        <w:t xml:space="preserve">2023, לאחר כמעט שלוש </w:t>
      </w:r>
      <w:r w:rsidRPr="001661E3">
        <w:rPr>
          <w:rFonts w:ascii="David" w:hAnsi="David" w:cs="David"/>
          <w:sz w:val="24"/>
          <w:szCs w:val="24"/>
          <w:rtl/>
        </w:rPr>
        <w:t xml:space="preserve">שנים </w:t>
      </w:r>
      <w:r w:rsidR="00306A97">
        <w:rPr>
          <w:rFonts w:ascii="David" w:hAnsi="David" w:cs="David"/>
          <w:sz w:val="24"/>
          <w:szCs w:val="24"/>
          <w:rtl/>
        </w:rPr>
        <w:t xml:space="preserve">בהן רבצה על המשק עננת הקורונה. </w:t>
      </w:r>
      <w:r w:rsidRPr="001661E3">
        <w:rPr>
          <w:rFonts w:ascii="David" w:hAnsi="David" w:cs="David"/>
          <w:sz w:val="24"/>
          <w:szCs w:val="24"/>
          <w:rtl/>
        </w:rPr>
        <w:t>מבחינות רבות ה</w:t>
      </w:r>
      <w:r w:rsidR="00306A97">
        <w:rPr>
          <w:rFonts w:ascii="David" w:hAnsi="David" w:cs="David"/>
          <w:sz w:val="24"/>
          <w:szCs w:val="24"/>
          <w:rtl/>
        </w:rPr>
        <w:t xml:space="preserve">דביק המשק הישראלי בשנה </w:t>
      </w:r>
      <w:r w:rsidRPr="001661E3">
        <w:rPr>
          <w:rFonts w:ascii="David" w:hAnsi="David" w:cs="David"/>
          <w:sz w:val="24"/>
          <w:szCs w:val="24"/>
          <w:rtl/>
        </w:rPr>
        <w:t>האחרונה את הפערים המקרו כלכליים שנוצרו בתקופת הק</w:t>
      </w:r>
      <w:r w:rsidR="00306A97">
        <w:rPr>
          <w:rFonts w:ascii="David" w:hAnsi="David" w:cs="David"/>
          <w:sz w:val="24"/>
          <w:szCs w:val="24"/>
          <w:rtl/>
        </w:rPr>
        <w:t xml:space="preserve">ורונה: צמיחת התוצר שבה למסלולה </w:t>
      </w:r>
      <w:r w:rsidRPr="001661E3">
        <w:rPr>
          <w:rFonts w:ascii="David" w:hAnsi="David" w:cs="David"/>
          <w:sz w:val="24"/>
          <w:szCs w:val="24"/>
          <w:rtl/>
        </w:rPr>
        <w:t>ארוך הטווח והתעסוקה הדביקה את שיעוריה</w:t>
      </w:r>
      <w:r w:rsidR="006C0237">
        <w:rPr>
          <w:rFonts w:ascii="David" w:hAnsi="David" w:cs="David" w:hint="cs"/>
          <w:sz w:val="24"/>
          <w:szCs w:val="24"/>
          <w:rtl/>
        </w:rPr>
        <w:t xml:space="preserve"> </w:t>
      </w:r>
      <w:r w:rsidR="006C0237" w:rsidRPr="001661E3">
        <w:rPr>
          <w:rFonts w:ascii="David" w:hAnsi="David" w:cs="David"/>
          <w:sz w:val="24"/>
          <w:szCs w:val="24"/>
          <w:rtl/>
        </w:rPr>
        <w:t>טרם  המגפה.</w:t>
      </w:r>
      <w:bookmarkStart w:id="0" w:name="_GoBack"/>
      <w:bookmarkEnd w:id="0"/>
    </w:p>
    <w:p w:rsidR="001661E3" w:rsidRPr="001661E3" w:rsidRDefault="001661E3" w:rsidP="001661E3">
      <w:pPr>
        <w:spacing w:line="360" w:lineRule="auto"/>
        <w:rPr>
          <w:rFonts w:ascii="David" w:hAnsi="David" w:cs="David"/>
          <w:sz w:val="24"/>
          <w:szCs w:val="24"/>
          <w:rtl/>
        </w:rPr>
      </w:pPr>
      <w:r w:rsidRPr="001661E3">
        <w:rPr>
          <w:rFonts w:ascii="David" w:hAnsi="David" w:cs="David"/>
          <w:sz w:val="24"/>
          <w:szCs w:val="24"/>
          <w:rtl/>
        </w:rPr>
        <w:t xml:space="preserve">שלל ההתפתחויות העולמיות והמקומיות בשנה שחלפה הראו כי אין רגע דל בכלכלה של ימינו. אירוע רודף אירוע והשפעותיהם האפשריות על המשק העולמי והישראלי נרחבות. בשנה  האחרונה האינפלציה עלתה במהירות, פרץ משבר עולמי של היצע חומרי אנרגיה ומזון, שווקי  ההון ספגו ירידות חדות, מתחוללת מלחמה באירופה ואירועי אקלים פקדו מקומות שונים בעולם. אלה חידדו ביתר שאת את חשיבותה של מדיניות כלכלית אחראית, הרואה את צורכי השעה ובה בעת צופה את פני העתיד. עיצובה ויישומה של מדיניות כזאת מתבססים על מחויבות ארוכת שנים לטפל באתגרים למשק כתוצאה מהתפתחויות </w:t>
      </w:r>
      <w:r w:rsidR="00C71108">
        <w:rPr>
          <w:rFonts w:ascii="David" w:hAnsi="David" w:cs="David"/>
          <w:sz w:val="24"/>
          <w:szCs w:val="24"/>
          <w:rtl/>
        </w:rPr>
        <w:t xml:space="preserve">דמוגרפיות, טכנולוגיות, חברתיות </w:t>
      </w:r>
      <w:r w:rsidRPr="001661E3">
        <w:rPr>
          <w:rFonts w:ascii="David" w:hAnsi="David" w:cs="David"/>
          <w:sz w:val="24"/>
          <w:szCs w:val="24"/>
          <w:rtl/>
        </w:rPr>
        <w:t xml:space="preserve">וסביבתיות.  </w:t>
      </w:r>
    </w:p>
    <w:p w:rsidR="001661E3" w:rsidRPr="001661E3" w:rsidRDefault="001661E3" w:rsidP="001661E3">
      <w:pPr>
        <w:spacing w:line="360" w:lineRule="auto"/>
        <w:rPr>
          <w:rFonts w:ascii="David" w:hAnsi="David" w:cs="David"/>
          <w:sz w:val="24"/>
          <w:szCs w:val="24"/>
          <w:rtl/>
        </w:rPr>
      </w:pPr>
      <w:r w:rsidRPr="001661E3">
        <w:rPr>
          <w:rFonts w:ascii="David" w:hAnsi="David" w:cs="David"/>
          <w:sz w:val="24"/>
          <w:szCs w:val="24"/>
          <w:rtl/>
        </w:rPr>
        <w:t xml:space="preserve">מול התאוששותו המרשימה של המשק הישראלי ממשבר הקורונה, עומדת נחיתותו בשורה של  נושאים תשתיתיים, ובעטיה רמת החיים בישראל נמוכה יחסית למדינות </w:t>
      </w:r>
      <w:r w:rsidRPr="001661E3">
        <w:rPr>
          <w:rFonts w:ascii="David" w:hAnsi="David" w:cs="David"/>
          <w:sz w:val="24"/>
          <w:szCs w:val="24"/>
        </w:rPr>
        <w:t>OECD</w:t>
      </w:r>
      <w:r w:rsidRPr="001661E3">
        <w:rPr>
          <w:rFonts w:ascii="David" w:hAnsi="David" w:cs="David"/>
          <w:sz w:val="24"/>
          <w:szCs w:val="24"/>
          <w:rtl/>
        </w:rPr>
        <w:t>. בנק ישראל  פרסם ב-2019 דו"ח מיוחד שהצביע על פריון העבודה הנמוך בישראל כגורם מרכזי לפער ברמת  החיים בין ישראל למדינות מפותחות אחרות, והמליץ על דרכים להגדלתו. בזמן שחלף מאז, נותרו בעינם הנושאים האסטרטגיים עמם צריכה להתמ</w:t>
      </w:r>
      <w:r w:rsidR="00306A97">
        <w:rPr>
          <w:rFonts w:ascii="David" w:hAnsi="David" w:cs="David"/>
          <w:sz w:val="24"/>
          <w:szCs w:val="24"/>
          <w:rtl/>
        </w:rPr>
        <w:t xml:space="preserve">ודד הכלכלה הישראלית. זאת, מפני </w:t>
      </w:r>
      <w:r w:rsidRPr="001661E3">
        <w:rPr>
          <w:rFonts w:ascii="David" w:hAnsi="David" w:cs="David"/>
          <w:sz w:val="24"/>
          <w:szCs w:val="24"/>
          <w:rtl/>
        </w:rPr>
        <w:t>שמדובר בנושאים שהטיפול בהם הוא ארוך טווח ודורש התוויה רב שנתית ועקביות בביצוע התכניות. תכנית זו היא תמצית עדכנית לתכנית אסטרטג</w:t>
      </w:r>
      <w:r w:rsidR="00306A97">
        <w:rPr>
          <w:rFonts w:ascii="David" w:hAnsi="David" w:cs="David"/>
          <w:sz w:val="24"/>
          <w:szCs w:val="24"/>
          <w:rtl/>
        </w:rPr>
        <w:t xml:space="preserve">יה כלכלית רחבה שבנק ישראל הגיש </w:t>
      </w:r>
      <w:r w:rsidRPr="001661E3">
        <w:rPr>
          <w:rFonts w:ascii="David" w:hAnsi="David" w:cs="David"/>
          <w:sz w:val="24"/>
          <w:szCs w:val="24"/>
          <w:rtl/>
        </w:rPr>
        <w:t>לממשלה ה-36. מרכיבי התכנית כוללים ששה נושאים אסטרטגיים, שתמציתם מובאת להלן, וכן המלצות לצעדים נוספים לקידום התחרות והחדשנות במערכת הפיננסית.</w:t>
      </w:r>
    </w:p>
    <w:p w:rsidR="0033071B" w:rsidRDefault="001661E3" w:rsidP="006C0237">
      <w:pPr>
        <w:spacing w:line="360" w:lineRule="auto"/>
        <w:jc w:val="both"/>
        <w:rPr>
          <w:rFonts w:ascii="David" w:hAnsi="David" w:cs="David"/>
          <w:sz w:val="24"/>
          <w:szCs w:val="24"/>
          <w:rtl/>
        </w:rPr>
      </w:pPr>
      <w:r w:rsidRPr="001661E3">
        <w:rPr>
          <w:rFonts w:ascii="David" w:hAnsi="David" w:cs="David"/>
          <w:sz w:val="24"/>
          <w:szCs w:val="24"/>
          <w:rtl/>
        </w:rPr>
        <w:lastRenderedPageBreak/>
        <w:t xml:space="preserve">ההון האנושי - הנבנה על ידי מערכת החינוך - הוא מרכיב קריטי בצמיחתם של משקים  מודרניים, בעיקר לנוכח השינויים הטכנולוגיים התכופים הדורשים מיומנויות אנושיות מגוונות והתחדשות מתמדת של הידע. שורה ארוכה של מדדים מראים כי ההון האנושי בישראל נמוך  בהשוואה בין לאומית. יתר על כן, קיימים פערים גדולים באיכות ההון האנושי בין הקבוצות המרכיבות את החברה הישראלית. המלצות לפיתוחו נכללות בנושא הראשון. </w:t>
      </w:r>
    </w:p>
    <w:p w:rsidR="001661E3" w:rsidRPr="001661E3" w:rsidRDefault="001661E3" w:rsidP="001661E3">
      <w:pPr>
        <w:spacing w:line="360" w:lineRule="auto"/>
        <w:rPr>
          <w:rFonts w:ascii="David" w:hAnsi="David" w:cs="David"/>
          <w:sz w:val="24"/>
          <w:szCs w:val="24"/>
          <w:rtl/>
        </w:rPr>
      </w:pPr>
      <w:r w:rsidRPr="001661E3">
        <w:rPr>
          <w:rFonts w:ascii="David" w:hAnsi="David" w:cs="David"/>
          <w:sz w:val="24"/>
          <w:szCs w:val="24"/>
          <w:rtl/>
        </w:rPr>
        <w:t>מרכיב מרכזי בפער הפריון בין ישראל למדינות המפותחות הוא מלאי ההון הפיזי הנמוך,  ובפרט מלאי התשתיות. בנוסף לפיגור במלאי ההון ההתחלתי, ישראל התברכה בקצב גידול אוכלוסייה מהגבוהים בקרב המדינות המפותחות. בצדה של הברכה, הגידול הדמוגרפי מחייב השקעה ניכרת בתשתיות פיזיות, בראשן תשת</w:t>
      </w:r>
      <w:r w:rsidR="00C71108">
        <w:rPr>
          <w:rFonts w:ascii="David" w:hAnsi="David" w:cs="David"/>
          <w:sz w:val="24"/>
          <w:szCs w:val="24"/>
          <w:rtl/>
        </w:rPr>
        <w:t>יות תחבורה ודיור, מעל ומעבר לזו</w:t>
      </w:r>
      <w:r w:rsidRPr="001661E3">
        <w:rPr>
          <w:rFonts w:ascii="David" w:hAnsi="David" w:cs="David"/>
          <w:sz w:val="24"/>
          <w:szCs w:val="24"/>
          <w:rtl/>
        </w:rPr>
        <w:t xml:space="preserve"> הנדרשת ביתר המדינות המפותחות. המלצות הנכל</w:t>
      </w:r>
      <w:r w:rsidR="00C71108">
        <w:rPr>
          <w:rFonts w:ascii="David" w:hAnsi="David" w:cs="David"/>
          <w:sz w:val="24"/>
          <w:szCs w:val="24"/>
          <w:rtl/>
        </w:rPr>
        <w:t xml:space="preserve">לות בנושאים השני והשלישי נועדו </w:t>
      </w:r>
      <w:r w:rsidRPr="001661E3">
        <w:rPr>
          <w:rFonts w:ascii="David" w:hAnsi="David" w:cs="David"/>
          <w:sz w:val="24"/>
          <w:szCs w:val="24"/>
          <w:rtl/>
        </w:rPr>
        <w:t>לקדם זאת.</w:t>
      </w:r>
    </w:p>
    <w:p w:rsidR="001661E3" w:rsidRPr="001661E3" w:rsidRDefault="001661E3" w:rsidP="001661E3">
      <w:pPr>
        <w:spacing w:line="360" w:lineRule="auto"/>
        <w:rPr>
          <w:rFonts w:ascii="David" w:hAnsi="David" w:cs="David"/>
          <w:sz w:val="24"/>
          <w:szCs w:val="24"/>
          <w:rtl/>
        </w:rPr>
      </w:pPr>
      <w:r w:rsidRPr="001661E3">
        <w:rPr>
          <w:rFonts w:ascii="David" w:hAnsi="David" w:cs="David"/>
          <w:sz w:val="24"/>
          <w:szCs w:val="24"/>
          <w:rtl/>
        </w:rPr>
        <w:t>משבר האנרגיה הנוכחי הגיע בעת בה מושקע מאמץ עולמי ארוך שנים בתחום מדיניות אקלים ואנרגיה. השנה התחדד ביתר שאת המתח הקיים בין שימור ביטחון אנרגטי ברמת  המשק לבין קידום יעדים סביבתיים ארוכי טווח, אותם יש לקדם מבלי לפגוע ביכולתם של  האזרחים לצרוך אנרגיה. גם בתחום זה נדרשת מדיניות מקומית, המחויבת לצורכי המשק הישראלי כעת ובעתיד, ובה בעת מתיישבת עם ההתחייבויות הבין לאומיות של הממשלה  והנורמות התהוות במדינות המפותחות. תחת הנושא הרביעי מובאות המלצות בתחום זה.</w:t>
      </w:r>
    </w:p>
    <w:p w:rsidR="001661E3" w:rsidRPr="001661E3" w:rsidRDefault="001661E3" w:rsidP="001661E3">
      <w:pPr>
        <w:spacing w:line="360" w:lineRule="auto"/>
        <w:rPr>
          <w:rFonts w:ascii="David" w:hAnsi="David" w:cs="David"/>
          <w:sz w:val="24"/>
          <w:szCs w:val="24"/>
          <w:rtl/>
        </w:rPr>
      </w:pPr>
      <w:r w:rsidRPr="001661E3">
        <w:rPr>
          <w:rFonts w:ascii="David" w:hAnsi="David" w:cs="David"/>
          <w:sz w:val="24"/>
          <w:szCs w:val="24"/>
          <w:rtl/>
        </w:rPr>
        <w:t xml:space="preserve">"אומת ההייטק הישראלית" מובילה עולמית בחלקו של מגזר ההייטק בתוצר ובחדשנותו. למרות גודלו ותרומתו הניכרת של המגזר לכלכלה ולחברה, סובל המשק הישראלי מפערים  טכנולוגיים ניכרים בין ענפי המשק ובהבדלים ניכרים בסיכוייהם של ילדים שגדלו במקומות שונים להשתלב בתעסוקה בענפים ועסקים בעלי פריון גבוה. השקעה בתשתיות תקשורת מתקדמות הפרושות היטב בכל המדינה היא אבן יסוד בביסוסה של הכלכלה הדיגיטלית וסגירת פערים חברתיים-כלכליים באמצעותה. הטמעת תשתיות דיגיטליות וטכנולוגיות  בעבודת הממשלה ובשירותים שהיא מספקת לתושבים ולעסקים נדרשת לא רק לשם  שיפור חוויית המשתמש של האזרח הישראלי, אלא גם לשם קידום התשתיות הדיגיטליות של המגזר העסקי, הטמעת טכנולוגיות מקדמות פריון בשורה ארוכה של תחומים וצמצום  פערים חברתיים וכלכליים בין אזוריים. יתרון נוסף בכך הוא חיזוק השותפויות בין המגזר הציבורי והעסקי בהן פוטנציאל כלכלי רב. הנושא החמישי כולל שורת המלצות לביסוס תשתיות תקשורת </w:t>
      </w:r>
      <w:proofErr w:type="spellStart"/>
      <w:r w:rsidRPr="001661E3">
        <w:rPr>
          <w:rFonts w:ascii="David" w:hAnsi="David" w:cs="David"/>
          <w:sz w:val="24"/>
          <w:szCs w:val="24"/>
          <w:rtl/>
        </w:rPr>
        <w:t>ודיגיטליזציה</w:t>
      </w:r>
      <w:proofErr w:type="spellEnd"/>
      <w:r w:rsidRPr="001661E3">
        <w:rPr>
          <w:rFonts w:ascii="David" w:hAnsi="David" w:cs="David"/>
          <w:sz w:val="24"/>
          <w:szCs w:val="24"/>
          <w:rtl/>
        </w:rPr>
        <w:t>.</w:t>
      </w:r>
    </w:p>
    <w:p w:rsidR="001661E3" w:rsidRDefault="001661E3" w:rsidP="001661E3">
      <w:pPr>
        <w:spacing w:line="360" w:lineRule="auto"/>
        <w:jc w:val="both"/>
        <w:rPr>
          <w:rFonts w:ascii="David" w:hAnsi="David" w:cs="David"/>
          <w:sz w:val="24"/>
          <w:szCs w:val="24"/>
          <w:rtl/>
        </w:rPr>
      </w:pPr>
      <w:r w:rsidRPr="001661E3">
        <w:rPr>
          <w:rFonts w:ascii="David" w:hAnsi="David" w:cs="David"/>
          <w:sz w:val="24"/>
          <w:szCs w:val="24"/>
          <w:rtl/>
        </w:rPr>
        <w:t>המרכיבים השונים המשפיעים על פריון העבודה תלויים זה בזה. כך למשל, שיפור תהליכים  של רגולציה ועבודה מול הממשלה משפיע על הפריון באופן ישיר, שכן הוא מייעל תהליכי עבודה; התועלת ממנו גם עקיפה: הוא מגביר את תמריציהם של האנשים להשקיע בהון  האנושי שלהם ואת הנכונות של חברות במשק להשקיע</w:t>
      </w:r>
      <w:r w:rsidR="00C71108">
        <w:rPr>
          <w:rFonts w:ascii="David" w:hAnsi="David" w:cs="David"/>
          <w:sz w:val="24"/>
          <w:szCs w:val="24"/>
          <w:rtl/>
        </w:rPr>
        <w:t xml:space="preserve"> בהון פיזי. יוקר המחייה</w:t>
      </w:r>
      <w:r w:rsidR="00C71108">
        <w:rPr>
          <w:rFonts w:ascii="David" w:hAnsi="David" w:cs="David" w:hint="cs"/>
          <w:sz w:val="24"/>
          <w:szCs w:val="24"/>
          <w:rtl/>
        </w:rPr>
        <w:t xml:space="preserve"> </w:t>
      </w:r>
      <w:r w:rsidR="00C71108">
        <w:rPr>
          <w:rFonts w:ascii="David" w:hAnsi="David" w:cs="David"/>
          <w:sz w:val="24"/>
          <w:szCs w:val="24"/>
          <w:rtl/>
        </w:rPr>
        <w:t xml:space="preserve">בישראל </w:t>
      </w:r>
      <w:r w:rsidRPr="001661E3">
        <w:rPr>
          <w:rFonts w:ascii="David" w:hAnsi="David" w:cs="David"/>
          <w:sz w:val="24"/>
          <w:szCs w:val="24"/>
          <w:rtl/>
        </w:rPr>
        <w:t>נובע פעמים רבות מרגולציה מורכבת. צעדים רגולטורים להפחתת הנטל הרגולטורי שיביאו  להעלאת הפריון ולהורדת יוקר המחייה מובאים בנושא השישי.</w:t>
      </w:r>
    </w:p>
    <w:p w:rsidR="001661E3" w:rsidRPr="001661E3" w:rsidRDefault="001661E3" w:rsidP="001661E3">
      <w:pPr>
        <w:spacing w:line="360" w:lineRule="auto"/>
        <w:rPr>
          <w:rFonts w:ascii="David" w:hAnsi="David" w:cs="David"/>
          <w:sz w:val="24"/>
          <w:szCs w:val="24"/>
          <w:rtl/>
        </w:rPr>
      </w:pPr>
      <w:r w:rsidRPr="001661E3">
        <w:rPr>
          <w:rFonts w:ascii="David" w:hAnsi="David" w:cs="David"/>
          <w:sz w:val="24"/>
          <w:szCs w:val="24"/>
          <w:rtl/>
        </w:rPr>
        <w:t xml:space="preserve">הסרת חסמים לפיתוחה של המערכת הפיננסית וגיוון  מוצרי האשראי הקיימים, עשויים להבטיח הקצאה יעילה יותר של מקורות המימון במשק, לטייב את חלוקת  הסיכונים בין ספקי האשראי </w:t>
      </w:r>
      <w:r w:rsidRPr="001661E3">
        <w:rPr>
          <w:rFonts w:ascii="David" w:hAnsi="David" w:cs="David"/>
          <w:sz w:val="24"/>
          <w:szCs w:val="24"/>
          <w:rtl/>
        </w:rPr>
        <w:lastRenderedPageBreak/>
        <w:t>השונים ובכך יתרמו לצמיחה בת קיימא. המלצות לקידום התחרות  והחדשנות במערכת הפיננסית מובאות בחלק האחרון של מסמך זה.</w:t>
      </w:r>
    </w:p>
    <w:p w:rsidR="001661E3" w:rsidRPr="00A501E4" w:rsidRDefault="001661E3" w:rsidP="001661E3">
      <w:pPr>
        <w:spacing w:line="360" w:lineRule="auto"/>
        <w:jc w:val="both"/>
        <w:rPr>
          <w:rFonts w:ascii="David" w:hAnsi="David" w:cs="David"/>
          <w:sz w:val="24"/>
          <w:szCs w:val="24"/>
          <w:rtl/>
        </w:rPr>
      </w:pPr>
      <w:r w:rsidRPr="001661E3">
        <w:rPr>
          <w:rFonts w:ascii="David" w:hAnsi="David" w:cs="David"/>
          <w:sz w:val="24"/>
          <w:szCs w:val="24"/>
          <w:rtl/>
        </w:rPr>
        <w:t xml:space="preserve">התכנית </w:t>
      </w:r>
      <w:r w:rsidR="00C71108">
        <w:rPr>
          <w:rFonts w:ascii="David" w:hAnsi="David" w:cs="David"/>
          <w:sz w:val="24"/>
          <w:szCs w:val="24"/>
          <w:rtl/>
        </w:rPr>
        <w:t xml:space="preserve">המצורפת פורסת כאמור את הנדבכים </w:t>
      </w:r>
      <w:r w:rsidRPr="001661E3">
        <w:rPr>
          <w:rFonts w:ascii="David" w:hAnsi="David" w:cs="David"/>
          <w:sz w:val="24"/>
          <w:szCs w:val="24"/>
          <w:rtl/>
        </w:rPr>
        <w:t>העיקריים שנכון לדעתנו לקדם בראייה כלכלית אסטרטגית. אני סמוך ובטוח שהממשלה הנכנסת  תעשה כל שבידה לקדם נושאים חשובים אלו, מתוך  ראייה כלכלית צופת פני עתיד. אנו בבנק ישראל  רתומים לייעץ לממש</w:t>
      </w:r>
      <w:r>
        <w:rPr>
          <w:rFonts w:ascii="David" w:hAnsi="David" w:cs="David"/>
          <w:sz w:val="24"/>
          <w:szCs w:val="24"/>
          <w:rtl/>
        </w:rPr>
        <w:t xml:space="preserve">לה לצורך גיבוש תכניות בכיוונים </w:t>
      </w:r>
      <w:r w:rsidRPr="001661E3">
        <w:rPr>
          <w:rFonts w:ascii="David" w:hAnsi="David" w:cs="David"/>
          <w:sz w:val="24"/>
          <w:szCs w:val="24"/>
          <w:rtl/>
        </w:rPr>
        <w:t>המפורטים במסמך זה.</w:t>
      </w:r>
    </w:p>
    <w:sectPr w:rsidR="001661E3" w:rsidRPr="00A501E4" w:rsidSect="0069557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98B" w:rsidRDefault="00F2098B" w:rsidP="001F3B90">
      <w:pPr>
        <w:spacing w:after="0" w:line="240" w:lineRule="auto"/>
      </w:pPr>
      <w:r>
        <w:separator/>
      </w:r>
    </w:p>
  </w:endnote>
  <w:endnote w:type="continuationSeparator" w:id="0">
    <w:p w:rsidR="00F2098B" w:rsidRDefault="00F2098B" w:rsidP="001F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66" w:rsidRDefault="00FC74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66" w:rsidRDefault="00FC746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66" w:rsidRDefault="00FC74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98B" w:rsidRDefault="00F2098B" w:rsidP="001F3B90">
      <w:pPr>
        <w:spacing w:after="0" w:line="240" w:lineRule="auto"/>
      </w:pPr>
      <w:r>
        <w:separator/>
      </w:r>
    </w:p>
  </w:footnote>
  <w:footnote w:type="continuationSeparator" w:id="0">
    <w:p w:rsidR="00F2098B" w:rsidRDefault="00F2098B" w:rsidP="001F3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66" w:rsidRDefault="00FC746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66" w:rsidRDefault="00FC746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466" w:rsidRDefault="00FC74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96"/>
    <w:rsid w:val="00014597"/>
    <w:rsid w:val="00040A7F"/>
    <w:rsid w:val="00047626"/>
    <w:rsid w:val="00065B9B"/>
    <w:rsid w:val="000727FD"/>
    <w:rsid w:val="00084B5A"/>
    <w:rsid w:val="000857B7"/>
    <w:rsid w:val="00095555"/>
    <w:rsid w:val="000A5329"/>
    <w:rsid w:val="000D2157"/>
    <w:rsid w:val="000D5445"/>
    <w:rsid w:val="000E7ED2"/>
    <w:rsid w:val="00100012"/>
    <w:rsid w:val="00113BC9"/>
    <w:rsid w:val="00115277"/>
    <w:rsid w:val="00115FEF"/>
    <w:rsid w:val="00135CF3"/>
    <w:rsid w:val="00151A07"/>
    <w:rsid w:val="00156135"/>
    <w:rsid w:val="00162DCC"/>
    <w:rsid w:val="001661E3"/>
    <w:rsid w:val="00166DBC"/>
    <w:rsid w:val="00177653"/>
    <w:rsid w:val="00184E4C"/>
    <w:rsid w:val="0019079B"/>
    <w:rsid w:val="001A2670"/>
    <w:rsid w:val="001A53CE"/>
    <w:rsid w:val="001B05C6"/>
    <w:rsid w:val="001B28C8"/>
    <w:rsid w:val="001B5E43"/>
    <w:rsid w:val="001C194B"/>
    <w:rsid w:val="001C7D79"/>
    <w:rsid w:val="001D5E62"/>
    <w:rsid w:val="001E0275"/>
    <w:rsid w:val="001E2886"/>
    <w:rsid w:val="001F2BE7"/>
    <w:rsid w:val="001F3B90"/>
    <w:rsid w:val="00206314"/>
    <w:rsid w:val="00223D37"/>
    <w:rsid w:val="00225BDF"/>
    <w:rsid w:val="00245BA3"/>
    <w:rsid w:val="00265657"/>
    <w:rsid w:val="00275FE8"/>
    <w:rsid w:val="00297F94"/>
    <w:rsid w:val="002A2E4C"/>
    <w:rsid w:val="002A3CC4"/>
    <w:rsid w:val="002A65B8"/>
    <w:rsid w:val="002B7877"/>
    <w:rsid w:val="002C05A5"/>
    <w:rsid w:val="002C754F"/>
    <w:rsid w:val="002D7AA8"/>
    <w:rsid w:val="002E5F96"/>
    <w:rsid w:val="00301F96"/>
    <w:rsid w:val="00306A97"/>
    <w:rsid w:val="0031701E"/>
    <w:rsid w:val="00326A9D"/>
    <w:rsid w:val="0032792A"/>
    <w:rsid w:val="0033071B"/>
    <w:rsid w:val="003552BD"/>
    <w:rsid w:val="003641E2"/>
    <w:rsid w:val="00370E6F"/>
    <w:rsid w:val="0037101B"/>
    <w:rsid w:val="00375149"/>
    <w:rsid w:val="00376D59"/>
    <w:rsid w:val="00391DAF"/>
    <w:rsid w:val="003C2931"/>
    <w:rsid w:val="003E4B68"/>
    <w:rsid w:val="003F01E4"/>
    <w:rsid w:val="003F13AC"/>
    <w:rsid w:val="003F57B2"/>
    <w:rsid w:val="00404676"/>
    <w:rsid w:val="00407D90"/>
    <w:rsid w:val="00437FBA"/>
    <w:rsid w:val="004537A7"/>
    <w:rsid w:val="004561A3"/>
    <w:rsid w:val="00460DDF"/>
    <w:rsid w:val="004A120F"/>
    <w:rsid w:val="004A32D7"/>
    <w:rsid w:val="004C6182"/>
    <w:rsid w:val="004C7925"/>
    <w:rsid w:val="004F5E3C"/>
    <w:rsid w:val="005066CA"/>
    <w:rsid w:val="00525482"/>
    <w:rsid w:val="00564CA7"/>
    <w:rsid w:val="00567B1A"/>
    <w:rsid w:val="0057422C"/>
    <w:rsid w:val="005A52A2"/>
    <w:rsid w:val="005D5F2B"/>
    <w:rsid w:val="005F607B"/>
    <w:rsid w:val="00632CD2"/>
    <w:rsid w:val="006344CC"/>
    <w:rsid w:val="00640309"/>
    <w:rsid w:val="00660075"/>
    <w:rsid w:val="006811C3"/>
    <w:rsid w:val="006907D5"/>
    <w:rsid w:val="0069557C"/>
    <w:rsid w:val="006C0237"/>
    <w:rsid w:val="006E39BF"/>
    <w:rsid w:val="006E6AA1"/>
    <w:rsid w:val="00715D7F"/>
    <w:rsid w:val="007172E4"/>
    <w:rsid w:val="00725796"/>
    <w:rsid w:val="00737090"/>
    <w:rsid w:val="007576E8"/>
    <w:rsid w:val="00780795"/>
    <w:rsid w:val="00783F55"/>
    <w:rsid w:val="007916D5"/>
    <w:rsid w:val="0079406F"/>
    <w:rsid w:val="0079549D"/>
    <w:rsid w:val="00797111"/>
    <w:rsid w:val="007A25C0"/>
    <w:rsid w:val="007A2A08"/>
    <w:rsid w:val="007B2299"/>
    <w:rsid w:val="007B2E35"/>
    <w:rsid w:val="007B3F9F"/>
    <w:rsid w:val="007F3E28"/>
    <w:rsid w:val="00801261"/>
    <w:rsid w:val="00803D2A"/>
    <w:rsid w:val="008137A5"/>
    <w:rsid w:val="0082496F"/>
    <w:rsid w:val="00832597"/>
    <w:rsid w:val="008371BA"/>
    <w:rsid w:val="008466F0"/>
    <w:rsid w:val="00850CC4"/>
    <w:rsid w:val="00886388"/>
    <w:rsid w:val="00890D13"/>
    <w:rsid w:val="008A2C8B"/>
    <w:rsid w:val="008B3199"/>
    <w:rsid w:val="008B34B1"/>
    <w:rsid w:val="008C4A46"/>
    <w:rsid w:val="008C706D"/>
    <w:rsid w:val="008E2484"/>
    <w:rsid w:val="008F0B52"/>
    <w:rsid w:val="008F617A"/>
    <w:rsid w:val="00914AC1"/>
    <w:rsid w:val="00922DAD"/>
    <w:rsid w:val="00965C79"/>
    <w:rsid w:val="00984B1A"/>
    <w:rsid w:val="009A089E"/>
    <w:rsid w:val="009B2E19"/>
    <w:rsid w:val="009C6D0D"/>
    <w:rsid w:val="009E2FD2"/>
    <w:rsid w:val="00A076E6"/>
    <w:rsid w:val="00A13844"/>
    <w:rsid w:val="00A139D6"/>
    <w:rsid w:val="00A501E4"/>
    <w:rsid w:val="00A6309F"/>
    <w:rsid w:val="00A678C6"/>
    <w:rsid w:val="00A730E0"/>
    <w:rsid w:val="00A8460D"/>
    <w:rsid w:val="00A92A3D"/>
    <w:rsid w:val="00AB37A4"/>
    <w:rsid w:val="00AC35CD"/>
    <w:rsid w:val="00AF1FA7"/>
    <w:rsid w:val="00B071B6"/>
    <w:rsid w:val="00B13490"/>
    <w:rsid w:val="00B1473E"/>
    <w:rsid w:val="00B70E6F"/>
    <w:rsid w:val="00B91BF0"/>
    <w:rsid w:val="00BB6985"/>
    <w:rsid w:val="00BD0783"/>
    <w:rsid w:val="00BD17EF"/>
    <w:rsid w:val="00BF4F97"/>
    <w:rsid w:val="00C02512"/>
    <w:rsid w:val="00C25C86"/>
    <w:rsid w:val="00C27A37"/>
    <w:rsid w:val="00C36D00"/>
    <w:rsid w:val="00C463C1"/>
    <w:rsid w:val="00C46931"/>
    <w:rsid w:val="00C47A89"/>
    <w:rsid w:val="00C60D34"/>
    <w:rsid w:val="00C71108"/>
    <w:rsid w:val="00C73E6B"/>
    <w:rsid w:val="00C85D4E"/>
    <w:rsid w:val="00CA2ACF"/>
    <w:rsid w:val="00CB5C9F"/>
    <w:rsid w:val="00CB74C6"/>
    <w:rsid w:val="00CC0796"/>
    <w:rsid w:val="00CC3CE0"/>
    <w:rsid w:val="00CD11DB"/>
    <w:rsid w:val="00CD2037"/>
    <w:rsid w:val="00D004D1"/>
    <w:rsid w:val="00D06884"/>
    <w:rsid w:val="00D15579"/>
    <w:rsid w:val="00D45541"/>
    <w:rsid w:val="00D5214B"/>
    <w:rsid w:val="00D53BFE"/>
    <w:rsid w:val="00D747A1"/>
    <w:rsid w:val="00DC23E1"/>
    <w:rsid w:val="00DC727C"/>
    <w:rsid w:val="00DF4B57"/>
    <w:rsid w:val="00DF6FCE"/>
    <w:rsid w:val="00E21ACD"/>
    <w:rsid w:val="00E22BAA"/>
    <w:rsid w:val="00E45576"/>
    <w:rsid w:val="00E52D98"/>
    <w:rsid w:val="00E52DAA"/>
    <w:rsid w:val="00E566ED"/>
    <w:rsid w:val="00E731F0"/>
    <w:rsid w:val="00E84228"/>
    <w:rsid w:val="00ED67BE"/>
    <w:rsid w:val="00EE15BC"/>
    <w:rsid w:val="00EF41BE"/>
    <w:rsid w:val="00F11065"/>
    <w:rsid w:val="00F2098B"/>
    <w:rsid w:val="00F35702"/>
    <w:rsid w:val="00F40307"/>
    <w:rsid w:val="00F571F9"/>
    <w:rsid w:val="00FB3D7B"/>
    <w:rsid w:val="00FB6F6A"/>
    <w:rsid w:val="00FC67CB"/>
    <w:rsid w:val="00FC7466"/>
    <w:rsid w:val="00FD61EB"/>
    <w:rsid w:val="00FE33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595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B90"/>
    <w:pPr>
      <w:tabs>
        <w:tab w:val="center" w:pos="4153"/>
        <w:tab w:val="right" w:pos="8306"/>
      </w:tabs>
      <w:spacing w:after="0" w:line="240" w:lineRule="auto"/>
    </w:pPr>
  </w:style>
  <w:style w:type="character" w:customStyle="1" w:styleId="a4">
    <w:name w:val="כותרת עליונה תו"/>
    <w:basedOn w:val="a0"/>
    <w:link w:val="a3"/>
    <w:uiPriority w:val="99"/>
    <w:rsid w:val="001F3B90"/>
  </w:style>
  <w:style w:type="paragraph" w:styleId="a5">
    <w:name w:val="footer"/>
    <w:basedOn w:val="a"/>
    <w:link w:val="a6"/>
    <w:uiPriority w:val="99"/>
    <w:unhideWhenUsed/>
    <w:rsid w:val="001F3B90"/>
    <w:pPr>
      <w:tabs>
        <w:tab w:val="center" w:pos="4153"/>
        <w:tab w:val="right" w:pos="8306"/>
      </w:tabs>
      <w:spacing w:after="0" w:line="240" w:lineRule="auto"/>
    </w:pPr>
  </w:style>
  <w:style w:type="character" w:customStyle="1" w:styleId="a6">
    <w:name w:val="כותרת תחתונה תו"/>
    <w:basedOn w:val="a0"/>
    <w:link w:val="a5"/>
    <w:uiPriority w:val="99"/>
    <w:rsid w:val="001F3B90"/>
  </w:style>
  <w:style w:type="character" w:styleId="Hyperlink">
    <w:name w:val="Hyperlink"/>
    <w:basedOn w:val="a0"/>
    <w:uiPriority w:val="99"/>
    <w:unhideWhenUsed/>
    <w:rsid w:val="00C71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i.org.il/publications/1607/%D7%A4%D7%92%D7%99%D7%A9%D7%AA-%D7%A0%D7%92%D7%99%D7%93-%D7%91%D7%A0%D7%A7-%D7%99%D7%A9%D7%A8%D7%90%D7%9C-%D7%95%D7%A9%D7%A8-%D7%94%D7%90%D7%95%D7%A6%D7%A8/"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boi.org.il/publications/1607/%D7%A8%D7%90%D7%A9-%D7%94%D7%9E%D7%9E%D7%A9%D7%9C%D7%94-%D7%97%D7%9B-%D7%91%D7%A0%D7%99%D7%9E%D7%99%D7%9F-%D7%A0%D7%AA%D7%A0%D7%99%D7%94%D7%95-%D7%95%D7%A0%D7%92%D7%99%D7%93-%D7%91%D7%A0%D7%A7-%D7%99%D7%A9%D7%A8%D7%90%D7%9C-%D7%A4%D7%A8%D7%95%D7%A4-%D7%90%D7%9E%D7%99%D7%A8-%D7%99%D7%A8%D7%95%D7%9F-%D7%A0%D7%95%D7%A2%D7%93%D7%95-%D7%94%D7%99%D7%95%D7%9D-%D7%91%D7%9C%D7%A9%D7%9B%D7%AA-%D7%A8%D7%95%D7%94%D7%9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oi.org.il/publications/1607/%D7%A4%D7%92%D7%99%D7%A9%D7%AA-%D7%A0%D7%92%D7%99%D7%93-%D7%91%D7%A0%D7%A7-%D7%99%D7%A9%D7%A8%D7%90%D7%9C-%D7%95%D7%A9%D7%A8-%D7%94%D7%9B%D7%9C%D7%9B%D7%9C%D7%94-%D7%95%D7%94%D7%AA%D7%A2%D7%A9%D7%99%D7%99%D7%94/" TargetMode="Externa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5087</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2023-01-30T08:02:00Z</dcterms:created>
  <dcterms:modified xsi:type="dcterms:W3CDTF">2023-01-30T09:25:00Z</dcterms:modified>
</cp:coreProperties>
</file>