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18"/>
        <w:gridCol w:w="2845"/>
        <w:gridCol w:w="2845"/>
      </w:tblGrid>
      <w:tr w:rsidR="009608EE" w:rsidRPr="00752E50" w:rsidTr="00360AB1">
        <w:tblPrEx>
          <w:tblCellMar>
            <w:top w:w="0" w:type="dxa"/>
            <w:bottom w:w="0" w:type="dxa"/>
          </w:tblCellMar>
        </w:tblPrEx>
        <w:trPr>
          <w:trHeight w:val="907"/>
          <w:tblHeader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E52BDF" w:rsidRDefault="00E52BDF" w:rsidP="00C97CB5">
            <w:pPr>
              <w:spacing w:line="480" w:lineRule="auto"/>
              <w:jc w:val="right"/>
              <w:rPr>
                <w:rFonts w:cs="David" w:hint="cs"/>
                <w:sz w:val="22"/>
                <w:szCs w:val="22"/>
                <w:rtl/>
              </w:rPr>
            </w:pPr>
            <w:r w:rsidRP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B36FEC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E24D19">
              <w:rPr>
                <w:rFonts w:cs="David" w:hint="cs"/>
                <w:sz w:val="22"/>
                <w:szCs w:val="22"/>
                <w:rtl/>
              </w:rPr>
              <w:t xml:space="preserve">ירושלים, </w:t>
            </w:r>
            <w:r w:rsidR="00B36FEC">
              <w:rPr>
                <w:rFonts w:cs="David" w:hint="eastAsia"/>
                <w:sz w:val="22"/>
                <w:szCs w:val="22"/>
                <w:rtl/>
              </w:rPr>
              <w:t>יום </w:t>
            </w:r>
            <w:r w:rsidR="00C97CB5">
              <w:rPr>
                <w:rFonts w:cs="David" w:hint="cs"/>
                <w:sz w:val="22"/>
                <w:szCs w:val="22"/>
                <w:rtl/>
              </w:rPr>
              <w:t>שלישי</w:t>
            </w:r>
            <w:r w:rsidR="00B36FEC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C97CB5">
              <w:rPr>
                <w:rFonts w:cs="David" w:hint="cs"/>
                <w:sz w:val="22"/>
                <w:szCs w:val="22"/>
                <w:rtl/>
              </w:rPr>
              <w:t>ג</w:t>
            </w:r>
            <w:r w:rsidR="00380AF5">
              <w:rPr>
                <w:rFonts w:cs="David" w:hint="cs"/>
                <w:sz w:val="22"/>
                <w:szCs w:val="22"/>
                <w:rtl/>
              </w:rPr>
              <w:t>'</w:t>
            </w:r>
            <w:r w:rsidR="00B36FEC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AF6AC6">
              <w:rPr>
                <w:rFonts w:cs="David" w:hint="cs"/>
                <w:sz w:val="22"/>
                <w:szCs w:val="22"/>
                <w:rtl/>
              </w:rPr>
              <w:t>ב</w:t>
            </w:r>
            <w:r w:rsidR="00C97CB5">
              <w:rPr>
                <w:rFonts w:cs="David" w:hint="cs"/>
                <w:sz w:val="22"/>
                <w:szCs w:val="22"/>
                <w:rtl/>
              </w:rPr>
              <w:t>טבת</w:t>
            </w:r>
            <w:r w:rsidR="00AF6AC6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E24D19">
              <w:rPr>
                <w:rFonts w:cs="David" w:hint="cs"/>
                <w:sz w:val="22"/>
                <w:szCs w:val="22"/>
                <w:rtl/>
              </w:rPr>
              <w:t>ה</w:t>
            </w:r>
            <w:r w:rsidR="00AF6AC6">
              <w:rPr>
                <w:rFonts w:cs="David"/>
                <w:sz w:val="22"/>
                <w:szCs w:val="22"/>
                <w:rtl/>
              </w:rPr>
              <w:t>תשע"</w:t>
            </w:r>
            <w:r w:rsidR="00380AF5">
              <w:rPr>
                <w:rFonts w:cs="David" w:hint="cs"/>
                <w:sz w:val="22"/>
                <w:szCs w:val="22"/>
                <w:rtl/>
              </w:rPr>
              <w:t>ו</w:t>
            </w:r>
          </w:p>
          <w:p w:rsidR="00972D12" w:rsidRPr="00E52BDF" w:rsidRDefault="00972D12" w:rsidP="004678AD">
            <w:pPr>
              <w:spacing w:line="480" w:lineRule="auto"/>
              <w:jc w:val="right"/>
              <w:rPr>
                <w:rFonts w:cs="David" w:hint="cs"/>
                <w:sz w:val="22"/>
                <w:szCs w:val="22"/>
                <w:rtl/>
              </w:rPr>
            </w:pPr>
            <w:r w:rsidRPr="00972D12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4678AD">
              <w:rPr>
                <w:rFonts w:cs="David" w:hint="cs"/>
                <w:sz w:val="22"/>
                <w:szCs w:val="22"/>
                <w:rtl/>
              </w:rPr>
              <w:t>15</w:t>
            </w:r>
            <w:r w:rsidR="00E52BDF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AF6AC6">
              <w:rPr>
                <w:rFonts w:cs="David" w:hint="cs"/>
                <w:sz w:val="22"/>
                <w:szCs w:val="22"/>
                <w:rtl/>
              </w:rPr>
              <w:t>ב</w:t>
            </w:r>
            <w:r w:rsidR="004678AD">
              <w:rPr>
                <w:rFonts w:cs="David" w:hint="cs"/>
                <w:sz w:val="22"/>
                <w:szCs w:val="22"/>
                <w:rtl/>
              </w:rPr>
              <w:t>דצמב</w:t>
            </w:r>
            <w:r w:rsidR="00380AF5">
              <w:rPr>
                <w:rFonts w:cs="David" w:hint="cs"/>
                <w:sz w:val="22"/>
                <w:szCs w:val="22"/>
                <w:rtl/>
              </w:rPr>
              <w:t>ר</w:t>
            </w:r>
            <w:r w:rsidR="00E52BDF">
              <w:rPr>
                <w:rFonts w:cs="David"/>
                <w:sz w:val="22"/>
                <w:szCs w:val="22"/>
                <w:rtl/>
              </w:rPr>
              <w:t xml:space="preserve"> 201</w:t>
            </w:r>
            <w:r w:rsidR="00C450DB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608EE" w:rsidRDefault="00360AB1" w:rsidP="00A73408">
            <w:pPr>
              <w:jc w:val="center"/>
              <w:rPr>
                <w:rFonts w:hint="cs"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5FC5795" wp14:editId="2CB8B6C3">
                  <wp:extent cx="774700" cy="768350"/>
                  <wp:effectExtent l="0" t="0" r="635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/>
                <w:b/>
                <w:bCs/>
                <w:szCs w:val="28"/>
                <w:rtl/>
              </w:rPr>
              <w:t>בנק ישראל</w:t>
            </w:r>
          </w:p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 w:hint="cs"/>
                <w:rtl/>
              </w:rPr>
              <w:t>דוברות והסברה כלכלית</w:t>
            </w:r>
          </w:p>
          <w:p w:rsidR="009608EE" w:rsidRPr="00752E50" w:rsidRDefault="009608EE" w:rsidP="00F466A9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9608EE" w:rsidRPr="00972D12" w:rsidRDefault="00DB2C69" w:rsidP="00972D12">
      <w:pPr>
        <w:spacing w:line="360" w:lineRule="auto"/>
        <w:rPr>
          <w:rFonts w:cs="David" w:hint="cs"/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BB4BBF" w:rsidRPr="00360AB1" w:rsidRDefault="00673D6C" w:rsidP="00360AB1">
      <w:pPr>
        <w:pStyle w:val="ab"/>
        <w:rPr>
          <w:rFonts w:hint="cs"/>
          <w:rtl/>
        </w:rPr>
      </w:pPr>
      <w:r w:rsidRPr="00360AB1">
        <w:rPr>
          <w:rtl/>
        </w:rPr>
        <w:t xml:space="preserve">הנכסים וההתחייבויות של המשק </w:t>
      </w:r>
      <w:r w:rsidR="00807F97" w:rsidRPr="00360AB1">
        <w:rPr>
          <w:rFonts w:hint="cs"/>
          <w:rtl/>
        </w:rPr>
        <w:t xml:space="preserve">מול </w:t>
      </w:r>
      <w:r w:rsidRPr="00360AB1">
        <w:rPr>
          <w:rtl/>
        </w:rPr>
        <w:t>חו"ל</w:t>
      </w:r>
      <w:r w:rsidR="00922F75" w:rsidRPr="00360AB1">
        <w:rPr>
          <w:rFonts w:hint="cs"/>
          <w:rtl/>
        </w:rPr>
        <w:t>,</w:t>
      </w:r>
      <w:r w:rsidR="00D77467" w:rsidRPr="00360AB1">
        <w:rPr>
          <w:rFonts w:hint="cs"/>
          <w:rtl/>
        </w:rPr>
        <w:t xml:space="preserve"> </w:t>
      </w:r>
      <w:r w:rsidR="004678AD" w:rsidRPr="00360AB1">
        <w:rPr>
          <w:rFonts w:hint="cs"/>
          <w:rtl/>
        </w:rPr>
        <w:t>ספטמבר</w:t>
      </w:r>
      <w:r w:rsidR="00391D54" w:rsidRPr="00360AB1">
        <w:rPr>
          <w:rFonts w:hint="cs"/>
          <w:rtl/>
        </w:rPr>
        <w:t xml:space="preserve"> </w:t>
      </w:r>
      <w:r w:rsidR="000D38A1" w:rsidRPr="00360AB1">
        <w:rPr>
          <w:rFonts w:hint="cs"/>
          <w:rtl/>
        </w:rPr>
        <w:t>201</w:t>
      </w:r>
      <w:r w:rsidR="009637EB" w:rsidRPr="00360AB1">
        <w:rPr>
          <w:rFonts w:hint="cs"/>
          <w:rtl/>
        </w:rPr>
        <w:t>5</w:t>
      </w:r>
    </w:p>
    <w:p w:rsidR="0036470E" w:rsidRPr="002E7E75" w:rsidRDefault="00BB4BBF" w:rsidP="00360AB1">
      <w:pPr>
        <w:numPr>
          <w:ilvl w:val="0"/>
          <w:numId w:val="9"/>
        </w:numPr>
        <w:spacing w:before="240" w:after="240" w:line="360" w:lineRule="auto"/>
        <w:ind w:left="641" w:right="425" w:hanging="357"/>
        <w:jc w:val="both"/>
        <w:rPr>
          <w:rFonts w:ascii="Arial" w:hAnsi="Arial" w:cs="David" w:hint="cs"/>
          <w:b/>
          <w:bCs/>
        </w:rPr>
      </w:pPr>
      <w:r w:rsidRPr="002E7E75">
        <w:rPr>
          <w:rFonts w:ascii="Arial" w:hAnsi="Arial" w:cs="David" w:hint="cs"/>
          <w:b/>
          <w:bCs/>
          <w:rtl/>
        </w:rPr>
        <w:t>ברביע ה</w:t>
      </w:r>
      <w:r w:rsidR="00790288" w:rsidRPr="002E7E75">
        <w:rPr>
          <w:rFonts w:ascii="Arial" w:hAnsi="Arial" w:cs="David" w:hint="cs"/>
          <w:b/>
          <w:bCs/>
          <w:rtl/>
        </w:rPr>
        <w:t>ש</w:t>
      </w:r>
      <w:r w:rsidR="002E7E75">
        <w:rPr>
          <w:rFonts w:ascii="Arial" w:hAnsi="Arial" w:cs="David" w:hint="cs"/>
          <w:b/>
          <w:bCs/>
          <w:rtl/>
        </w:rPr>
        <w:t>ליש</w:t>
      </w:r>
      <w:r w:rsidR="00790288" w:rsidRPr="002E7E75">
        <w:rPr>
          <w:rFonts w:ascii="Arial" w:hAnsi="Arial" w:cs="David" w:hint="cs"/>
          <w:b/>
          <w:bCs/>
          <w:rtl/>
        </w:rPr>
        <w:t>י</w:t>
      </w:r>
      <w:r w:rsidRPr="002E7E75">
        <w:rPr>
          <w:rFonts w:ascii="Arial" w:hAnsi="Arial" w:cs="David" w:hint="cs"/>
          <w:b/>
          <w:bCs/>
          <w:rtl/>
        </w:rPr>
        <w:t xml:space="preserve"> של שנת 201</w:t>
      </w:r>
      <w:r w:rsidR="007570EA" w:rsidRPr="002E7E75">
        <w:rPr>
          <w:rFonts w:ascii="Arial" w:hAnsi="Arial" w:cs="David" w:hint="cs"/>
          <w:b/>
          <w:bCs/>
          <w:rtl/>
        </w:rPr>
        <w:t>5</w:t>
      </w:r>
      <w:r w:rsidRPr="002E7E75">
        <w:rPr>
          <w:rFonts w:ascii="Arial" w:hAnsi="Arial" w:cs="David" w:hint="cs"/>
          <w:b/>
          <w:bCs/>
          <w:rtl/>
        </w:rPr>
        <w:t xml:space="preserve"> חלה </w:t>
      </w:r>
      <w:r w:rsidR="00B16266">
        <w:rPr>
          <w:rFonts w:ascii="Arial" w:hAnsi="Arial" w:cs="David" w:hint="cs"/>
          <w:b/>
          <w:bCs/>
          <w:rtl/>
        </w:rPr>
        <w:t>עלייה</w:t>
      </w:r>
      <w:r w:rsidR="008B7B60" w:rsidRPr="002E7E75">
        <w:rPr>
          <w:rFonts w:ascii="Arial" w:hAnsi="Arial" w:cs="David" w:hint="cs"/>
          <w:b/>
          <w:bCs/>
          <w:rtl/>
        </w:rPr>
        <w:t xml:space="preserve"> </w:t>
      </w:r>
      <w:r w:rsidRPr="002E7E75">
        <w:rPr>
          <w:rFonts w:ascii="Arial" w:hAnsi="Arial" w:cs="David" w:hint="cs"/>
          <w:b/>
          <w:bCs/>
          <w:rtl/>
        </w:rPr>
        <w:t>של</w:t>
      </w:r>
      <w:r w:rsidR="00413CCA" w:rsidRPr="002E7E75">
        <w:rPr>
          <w:rFonts w:ascii="Arial" w:hAnsi="Arial" w:cs="David" w:hint="cs"/>
          <w:b/>
          <w:bCs/>
          <w:rtl/>
        </w:rPr>
        <w:t xml:space="preserve"> </w:t>
      </w:r>
      <w:r w:rsidR="00790288" w:rsidRPr="002E7E75">
        <w:rPr>
          <w:rFonts w:ascii="Arial" w:hAnsi="Arial" w:cs="David" w:hint="cs"/>
          <w:b/>
          <w:bCs/>
          <w:rtl/>
        </w:rPr>
        <w:t>2</w:t>
      </w:r>
      <w:r w:rsidR="00941D39" w:rsidRPr="002E7E75">
        <w:rPr>
          <w:rFonts w:ascii="Arial" w:hAnsi="Arial" w:cs="David" w:hint="cs"/>
          <w:b/>
          <w:bCs/>
          <w:rtl/>
        </w:rPr>
        <w:t>.</w:t>
      </w:r>
      <w:r w:rsidR="00B16266">
        <w:rPr>
          <w:rFonts w:ascii="Arial" w:hAnsi="Arial" w:cs="David" w:hint="cs"/>
          <w:b/>
          <w:bCs/>
          <w:rtl/>
        </w:rPr>
        <w:t>1</w:t>
      </w:r>
      <w:r w:rsidR="00413CCA" w:rsidRPr="002E7E75">
        <w:rPr>
          <w:rFonts w:ascii="Arial" w:hAnsi="Arial" w:cs="David" w:hint="cs"/>
          <w:b/>
          <w:bCs/>
          <w:rtl/>
        </w:rPr>
        <w:t xml:space="preserve"> מיליארדי דולרים (</w:t>
      </w:r>
      <w:r w:rsidR="00B16266">
        <w:rPr>
          <w:rFonts w:ascii="Arial" w:hAnsi="Arial" w:cs="David" w:hint="cs"/>
          <w:b/>
          <w:bCs/>
          <w:rtl/>
        </w:rPr>
        <w:t>3</w:t>
      </w:r>
      <w:r w:rsidR="00413CCA" w:rsidRPr="002E7E75">
        <w:rPr>
          <w:rFonts w:ascii="Arial" w:hAnsi="Arial" w:cs="David" w:hint="cs"/>
          <w:b/>
          <w:bCs/>
          <w:rtl/>
        </w:rPr>
        <w:t>%)</w:t>
      </w:r>
      <w:r w:rsidRPr="002E7E75">
        <w:rPr>
          <w:rFonts w:ascii="Arial" w:hAnsi="Arial" w:cs="David" w:hint="cs"/>
          <w:b/>
          <w:bCs/>
          <w:rtl/>
        </w:rPr>
        <w:t xml:space="preserve"> בעודף הנכסים של המשק מול חו"ל</w:t>
      </w:r>
      <w:r w:rsidR="0036470E" w:rsidRPr="002E7E75">
        <w:rPr>
          <w:rFonts w:ascii="Arial" w:hAnsi="Arial" w:cs="David" w:hint="cs"/>
          <w:b/>
          <w:bCs/>
          <w:rtl/>
        </w:rPr>
        <w:t>, זאת ב</w:t>
      </w:r>
      <w:r w:rsidR="00B16266">
        <w:rPr>
          <w:rFonts w:ascii="Arial" w:hAnsi="Arial" w:cs="David" w:hint="cs"/>
          <w:b/>
          <w:bCs/>
          <w:rtl/>
        </w:rPr>
        <w:t>המשך</w:t>
      </w:r>
      <w:r w:rsidR="0036470E" w:rsidRPr="002E7E75">
        <w:rPr>
          <w:rFonts w:ascii="Arial" w:hAnsi="Arial" w:cs="David" w:hint="cs"/>
          <w:b/>
          <w:bCs/>
          <w:rtl/>
        </w:rPr>
        <w:t xml:space="preserve"> לעלייה של כ-</w:t>
      </w:r>
      <w:r w:rsidR="00B16266">
        <w:rPr>
          <w:rFonts w:ascii="Arial" w:hAnsi="Arial" w:cs="David" w:hint="cs"/>
          <w:b/>
          <w:bCs/>
          <w:rtl/>
        </w:rPr>
        <w:t>4.7</w:t>
      </w:r>
      <w:r w:rsidR="00790288" w:rsidRPr="002E7E75">
        <w:rPr>
          <w:rFonts w:ascii="Arial" w:hAnsi="Arial" w:cs="David" w:hint="cs"/>
          <w:b/>
          <w:bCs/>
          <w:rtl/>
        </w:rPr>
        <w:t xml:space="preserve"> </w:t>
      </w:r>
      <w:r w:rsidR="0036470E" w:rsidRPr="002E7E75">
        <w:rPr>
          <w:rFonts w:ascii="Arial" w:hAnsi="Arial" w:cs="David" w:hint="cs"/>
          <w:b/>
          <w:bCs/>
          <w:rtl/>
        </w:rPr>
        <w:t>מיליארדי דולרים (</w:t>
      </w:r>
      <w:r w:rsidR="00B16266">
        <w:rPr>
          <w:rFonts w:ascii="Arial" w:hAnsi="Arial" w:cs="David" w:hint="cs"/>
          <w:b/>
          <w:bCs/>
          <w:rtl/>
        </w:rPr>
        <w:t>7.1</w:t>
      </w:r>
      <w:r w:rsidR="0036470E" w:rsidRPr="002E7E75">
        <w:rPr>
          <w:rFonts w:ascii="Arial" w:hAnsi="Arial" w:cs="David" w:hint="cs"/>
          <w:b/>
          <w:bCs/>
          <w:rtl/>
        </w:rPr>
        <w:t>%) ברביע ה</w:t>
      </w:r>
      <w:r w:rsidR="00B16266">
        <w:rPr>
          <w:rFonts w:ascii="Arial" w:hAnsi="Arial" w:cs="David" w:hint="cs"/>
          <w:b/>
          <w:bCs/>
          <w:rtl/>
        </w:rPr>
        <w:t>שני</w:t>
      </w:r>
      <w:r w:rsidR="0036470E" w:rsidRPr="002E7E75">
        <w:rPr>
          <w:rFonts w:ascii="Arial" w:hAnsi="Arial" w:cs="David" w:hint="cs"/>
          <w:b/>
          <w:bCs/>
          <w:rtl/>
        </w:rPr>
        <w:t xml:space="preserve"> של שנת </w:t>
      </w:r>
      <w:r w:rsidR="00790288" w:rsidRPr="002E7E75">
        <w:rPr>
          <w:rFonts w:ascii="Arial" w:hAnsi="Arial" w:cs="David" w:hint="cs"/>
          <w:b/>
          <w:bCs/>
          <w:rtl/>
        </w:rPr>
        <w:t>2015</w:t>
      </w:r>
      <w:r w:rsidR="0036470E" w:rsidRPr="002E7E75">
        <w:rPr>
          <w:rFonts w:ascii="Arial" w:hAnsi="Arial" w:cs="David" w:hint="cs"/>
          <w:b/>
          <w:bCs/>
          <w:rtl/>
        </w:rPr>
        <w:t>.</w:t>
      </w:r>
      <w:r w:rsidR="0000504E" w:rsidRPr="002E7E75">
        <w:rPr>
          <w:rFonts w:ascii="Arial" w:hAnsi="Arial" w:cs="David" w:hint="cs"/>
          <w:b/>
          <w:bCs/>
          <w:rtl/>
        </w:rPr>
        <w:t xml:space="preserve"> </w:t>
      </w:r>
    </w:p>
    <w:p w:rsidR="006515C7" w:rsidRPr="00E836D2" w:rsidRDefault="00B16266" w:rsidP="0026725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B16266">
        <w:rPr>
          <w:rFonts w:ascii="Arial" w:hAnsi="Arial" w:cs="David" w:hint="cs"/>
          <w:b/>
          <w:bCs/>
          <w:rtl/>
        </w:rPr>
        <w:t xml:space="preserve">ירידה של כ-8.2 מיליארדים (2.9%) בשווי יתרת התחייבויות של המשק כלפי תושבי חוץ </w:t>
      </w:r>
      <w:r>
        <w:rPr>
          <w:rFonts w:ascii="Arial" w:hAnsi="Arial" w:cs="David" w:hint="cs"/>
          <w:b/>
          <w:bCs/>
          <w:rtl/>
        </w:rPr>
        <w:t>במקביל</w:t>
      </w:r>
      <w:r w:rsidRPr="00B16266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ל</w:t>
      </w:r>
      <w:r w:rsidRPr="00B16266">
        <w:rPr>
          <w:rFonts w:ascii="Arial" w:hAnsi="Arial" w:cs="David" w:hint="cs"/>
          <w:b/>
          <w:bCs/>
          <w:rtl/>
        </w:rPr>
        <w:t>ירידה של כ- 6.1 מיליארדי דולרים (1.7%) בשווי יתרת הנכסים של המ</w:t>
      </w:r>
      <w:bookmarkStart w:id="0" w:name="_GoBack"/>
      <w:bookmarkEnd w:id="0"/>
      <w:r w:rsidRPr="00B16266">
        <w:rPr>
          <w:rFonts w:ascii="Arial" w:hAnsi="Arial" w:cs="David" w:hint="cs"/>
          <w:b/>
          <w:bCs/>
          <w:rtl/>
        </w:rPr>
        <w:t>שק בחו"ל</w:t>
      </w:r>
      <w:r>
        <w:rPr>
          <w:rFonts w:ascii="Arial" w:hAnsi="Arial" w:cs="David" w:hint="cs"/>
          <w:b/>
          <w:bCs/>
          <w:rtl/>
        </w:rPr>
        <w:t>.</w:t>
      </w:r>
      <w:r w:rsidRPr="00B16266">
        <w:rPr>
          <w:rFonts w:ascii="Arial" w:hAnsi="Arial" w:cs="David" w:hint="cs"/>
          <w:b/>
          <w:bCs/>
          <w:rtl/>
        </w:rPr>
        <w:t xml:space="preserve"> </w:t>
      </w:r>
    </w:p>
    <w:p w:rsidR="00E4248C" w:rsidRDefault="00E4248C" w:rsidP="0026725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2E7E75">
        <w:rPr>
          <w:rFonts w:ascii="Arial" w:hAnsi="Arial" w:cs="David" w:hint="cs"/>
          <w:b/>
          <w:bCs/>
          <w:rtl/>
        </w:rPr>
        <w:t>ה</w:t>
      </w:r>
      <w:r w:rsidR="00FC4EE9" w:rsidRPr="002E7E75">
        <w:rPr>
          <w:rFonts w:ascii="Arial" w:hAnsi="Arial" w:cs="David" w:hint="cs"/>
          <w:b/>
          <w:bCs/>
          <w:rtl/>
        </w:rPr>
        <w:t>ירידה</w:t>
      </w:r>
      <w:r w:rsidRPr="002E7E75">
        <w:rPr>
          <w:rFonts w:ascii="Arial" w:hAnsi="Arial" w:cs="David" w:hint="cs"/>
          <w:b/>
          <w:bCs/>
          <w:rtl/>
        </w:rPr>
        <w:t xml:space="preserve"> ביתרת ההתחייבויות ברוטו של המשק לחו"ל נבעה בעיקר מ</w:t>
      </w:r>
      <w:r w:rsidR="00FC4EE9" w:rsidRPr="002E7E75">
        <w:rPr>
          <w:rFonts w:ascii="Arial" w:hAnsi="Arial" w:cs="David" w:hint="cs"/>
          <w:b/>
          <w:bCs/>
          <w:rtl/>
        </w:rPr>
        <w:t>ירידת</w:t>
      </w:r>
      <w:r w:rsidRPr="002E7E75">
        <w:rPr>
          <w:rFonts w:ascii="Arial" w:hAnsi="Arial" w:cs="David" w:hint="cs"/>
          <w:b/>
          <w:bCs/>
          <w:rtl/>
        </w:rPr>
        <w:t xml:space="preserve"> מחירי המניות שמחזיקים תושבי חוץ (</w:t>
      </w:r>
      <w:r w:rsidR="00E836D2">
        <w:rPr>
          <w:rFonts w:ascii="Arial" w:hAnsi="Arial" w:cs="David" w:hint="cs"/>
          <w:b/>
          <w:bCs/>
          <w:rtl/>
        </w:rPr>
        <w:t>5</w:t>
      </w:r>
      <w:r w:rsidRPr="002E7E75">
        <w:rPr>
          <w:rFonts w:ascii="Arial" w:hAnsi="Arial" w:cs="David" w:hint="cs"/>
          <w:b/>
          <w:bCs/>
          <w:rtl/>
        </w:rPr>
        <w:t xml:space="preserve"> מיליארדי דולרים, כ-</w:t>
      </w:r>
      <w:r w:rsidR="00E836D2">
        <w:rPr>
          <w:rFonts w:ascii="Arial" w:hAnsi="Arial" w:cs="David" w:hint="cs"/>
          <w:b/>
          <w:bCs/>
          <w:rtl/>
        </w:rPr>
        <w:t>5.4%)</w:t>
      </w:r>
      <w:r w:rsidRPr="002E7E75">
        <w:rPr>
          <w:rFonts w:ascii="Arial" w:hAnsi="Arial" w:cs="David" w:hint="cs"/>
          <w:b/>
          <w:bCs/>
          <w:rtl/>
        </w:rPr>
        <w:t xml:space="preserve"> </w:t>
      </w:r>
      <w:r w:rsidR="00FC4EE9" w:rsidRPr="002E7E75">
        <w:rPr>
          <w:rFonts w:ascii="Arial" w:hAnsi="Arial" w:cs="David" w:hint="cs"/>
          <w:b/>
          <w:bCs/>
          <w:rtl/>
        </w:rPr>
        <w:t xml:space="preserve">אשר </w:t>
      </w:r>
      <w:r w:rsidR="00E836D2">
        <w:rPr>
          <w:rFonts w:ascii="Arial" w:hAnsi="Arial" w:cs="David" w:hint="cs"/>
          <w:b/>
          <w:bCs/>
          <w:rtl/>
        </w:rPr>
        <w:t>לוותה</w:t>
      </w:r>
      <w:r w:rsidR="00FC4EE9" w:rsidRPr="002E7E75">
        <w:rPr>
          <w:rFonts w:ascii="Arial" w:hAnsi="Arial" w:cs="David" w:hint="cs"/>
          <w:b/>
          <w:bCs/>
          <w:rtl/>
        </w:rPr>
        <w:t xml:space="preserve"> </w:t>
      </w:r>
      <w:r w:rsidR="00E836D2">
        <w:rPr>
          <w:rFonts w:ascii="Arial" w:hAnsi="Arial" w:cs="David" w:hint="cs"/>
          <w:b/>
          <w:bCs/>
          <w:rtl/>
        </w:rPr>
        <w:t>בירידה בשווי הדולרי של יתרת ההתחייבויות בהשפעת פיחות השקל (1.5 מיליארדי דולרים, 0.5%).</w:t>
      </w:r>
    </w:p>
    <w:p w:rsidR="00E836D2" w:rsidRPr="002E7E75" w:rsidRDefault="00E836D2" w:rsidP="0026725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2E7E75">
        <w:rPr>
          <w:rFonts w:ascii="Arial" w:hAnsi="Arial" w:cs="David" w:hint="cs"/>
          <w:b/>
          <w:bCs/>
          <w:rtl/>
        </w:rPr>
        <w:t>ה</w:t>
      </w:r>
      <w:r>
        <w:rPr>
          <w:rFonts w:ascii="Arial" w:hAnsi="Arial" w:cs="David" w:hint="cs"/>
          <w:b/>
          <w:bCs/>
          <w:rtl/>
        </w:rPr>
        <w:t>ירידה בשווי הנכסים</w:t>
      </w:r>
      <w:r w:rsidRPr="002E7E75">
        <w:rPr>
          <w:rFonts w:ascii="Arial" w:hAnsi="Arial" w:cs="David" w:hint="cs"/>
          <w:b/>
          <w:bCs/>
          <w:rtl/>
        </w:rPr>
        <w:t xml:space="preserve"> נבע</w:t>
      </w:r>
      <w:r>
        <w:rPr>
          <w:rFonts w:ascii="Arial" w:hAnsi="Arial" w:cs="David" w:hint="cs"/>
          <w:b/>
          <w:bCs/>
          <w:rtl/>
        </w:rPr>
        <w:t>ה</w:t>
      </w:r>
      <w:r w:rsidRPr="002E7E75">
        <w:rPr>
          <w:rFonts w:ascii="Arial" w:hAnsi="Arial" w:cs="David" w:hint="cs"/>
          <w:b/>
          <w:bCs/>
          <w:rtl/>
        </w:rPr>
        <w:t xml:space="preserve"> בעיקר מירידת מחירי </w:t>
      </w:r>
      <w:r w:rsidR="00144A74">
        <w:rPr>
          <w:rFonts w:ascii="Arial" w:hAnsi="Arial" w:cs="David" w:hint="cs"/>
          <w:b/>
          <w:bCs/>
          <w:rtl/>
        </w:rPr>
        <w:t>ני"ע זרים (מניות ואג"ח)</w:t>
      </w:r>
      <w:r>
        <w:rPr>
          <w:rFonts w:ascii="Arial" w:hAnsi="Arial" w:cs="David" w:hint="cs"/>
          <w:b/>
          <w:bCs/>
          <w:rtl/>
        </w:rPr>
        <w:t xml:space="preserve"> </w:t>
      </w:r>
      <w:r w:rsidRPr="002E7E75">
        <w:rPr>
          <w:rFonts w:ascii="Arial" w:hAnsi="Arial" w:cs="David" w:hint="cs"/>
          <w:b/>
          <w:bCs/>
          <w:rtl/>
        </w:rPr>
        <w:t xml:space="preserve">שמחזיקים תושבי </w:t>
      </w:r>
      <w:r>
        <w:rPr>
          <w:rFonts w:ascii="Arial" w:hAnsi="Arial" w:cs="David" w:hint="cs"/>
          <w:b/>
          <w:bCs/>
          <w:rtl/>
        </w:rPr>
        <w:t>ישראל</w:t>
      </w:r>
      <w:r w:rsidRPr="002E7E75">
        <w:rPr>
          <w:rFonts w:ascii="Arial" w:hAnsi="Arial" w:cs="David" w:hint="cs"/>
          <w:b/>
          <w:bCs/>
          <w:rtl/>
        </w:rPr>
        <w:t xml:space="preserve"> </w:t>
      </w:r>
      <w:r w:rsidR="00144A74">
        <w:rPr>
          <w:rFonts w:ascii="Arial" w:hAnsi="Arial" w:cs="David" w:hint="cs"/>
          <w:b/>
          <w:bCs/>
          <w:rtl/>
        </w:rPr>
        <w:t xml:space="preserve">(7 מיליארדי דולרים, 6%) אשר קוזזה בחלקה על ידי </w:t>
      </w:r>
      <w:r w:rsidRPr="002E7E75">
        <w:rPr>
          <w:rFonts w:ascii="Arial" w:hAnsi="Arial" w:cs="David" w:hint="cs"/>
          <w:b/>
          <w:bCs/>
          <w:rtl/>
        </w:rPr>
        <w:t>רכישות מט"ח של בנק ישראל (</w:t>
      </w:r>
      <w:r w:rsidR="00144A74">
        <w:rPr>
          <w:rFonts w:ascii="Arial" w:hAnsi="Arial" w:cs="David" w:hint="cs"/>
          <w:b/>
          <w:bCs/>
          <w:rtl/>
        </w:rPr>
        <w:t>1.9</w:t>
      </w:r>
      <w:r w:rsidRPr="002E7E75">
        <w:rPr>
          <w:rFonts w:ascii="Arial" w:hAnsi="Arial" w:cs="David" w:hint="cs"/>
          <w:b/>
          <w:bCs/>
          <w:rtl/>
        </w:rPr>
        <w:t xml:space="preserve"> מיליארדי דולרים, כ- </w:t>
      </w:r>
      <w:r w:rsidR="00144A74">
        <w:rPr>
          <w:rFonts w:ascii="Arial" w:hAnsi="Arial" w:cs="David" w:hint="cs"/>
          <w:b/>
          <w:bCs/>
          <w:rtl/>
        </w:rPr>
        <w:t>2.1</w:t>
      </w:r>
      <w:r w:rsidRPr="002E7E75">
        <w:rPr>
          <w:rFonts w:ascii="Arial" w:hAnsi="Arial" w:cs="David" w:hint="cs"/>
          <w:b/>
          <w:bCs/>
          <w:rtl/>
        </w:rPr>
        <w:t xml:space="preserve">%) </w:t>
      </w:r>
      <w:r w:rsidR="00144A74">
        <w:rPr>
          <w:rFonts w:ascii="Arial" w:hAnsi="Arial" w:cs="David" w:hint="cs"/>
          <w:b/>
          <w:bCs/>
          <w:rtl/>
        </w:rPr>
        <w:t>ו</w:t>
      </w:r>
      <w:r w:rsidRPr="002E7E75">
        <w:rPr>
          <w:rFonts w:ascii="Arial" w:hAnsi="Arial" w:cs="David" w:hint="cs"/>
          <w:b/>
          <w:bCs/>
          <w:rtl/>
        </w:rPr>
        <w:t xml:space="preserve">זרם השקעות </w:t>
      </w:r>
      <w:r w:rsidR="00144A74">
        <w:rPr>
          <w:rFonts w:ascii="Arial" w:hAnsi="Arial" w:cs="David" w:hint="cs"/>
          <w:b/>
          <w:bCs/>
          <w:rtl/>
        </w:rPr>
        <w:t>ישירות בחו"ל</w:t>
      </w:r>
      <w:r w:rsidRPr="002E7E75">
        <w:rPr>
          <w:rFonts w:ascii="Arial" w:hAnsi="Arial" w:cs="David" w:hint="cs"/>
          <w:b/>
          <w:bCs/>
          <w:rtl/>
        </w:rPr>
        <w:t xml:space="preserve"> (1.</w:t>
      </w:r>
      <w:r w:rsidR="00144A74">
        <w:rPr>
          <w:rFonts w:ascii="Arial" w:hAnsi="Arial" w:cs="David" w:hint="cs"/>
          <w:b/>
          <w:bCs/>
          <w:rtl/>
        </w:rPr>
        <w:t>2</w:t>
      </w:r>
      <w:r w:rsidRPr="002E7E75">
        <w:rPr>
          <w:rFonts w:ascii="Arial" w:hAnsi="Arial" w:cs="David" w:hint="cs"/>
          <w:b/>
          <w:bCs/>
          <w:rtl/>
        </w:rPr>
        <w:t xml:space="preserve"> מיליארדי דולרים, כ-</w:t>
      </w:r>
      <w:r w:rsidR="00144A74">
        <w:rPr>
          <w:rFonts w:ascii="Arial" w:hAnsi="Arial" w:cs="David" w:hint="cs"/>
          <w:b/>
          <w:bCs/>
          <w:rtl/>
        </w:rPr>
        <w:t>1.5</w:t>
      </w:r>
      <w:r w:rsidRPr="002E7E75">
        <w:rPr>
          <w:rFonts w:ascii="Arial" w:hAnsi="Arial" w:cs="David" w:hint="cs"/>
          <w:b/>
          <w:bCs/>
          <w:rtl/>
        </w:rPr>
        <w:t xml:space="preserve">%). </w:t>
      </w:r>
    </w:p>
    <w:p w:rsidR="00AD79F3" w:rsidRPr="002E7E75" w:rsidRDefault="00AD736C" w:rsidP="0026725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2E7E75">
        <w:rPr>
          <w:rFonts w:ascii="Arial" w:hAnsi="Arial" w:cs="David" w:hint="cs"/>
          <w:b/>
          <w:bCs/>
          <w:rtl/>
        </w:rPr>
        <w:t>היחס שבין החוב החיצוני</w:t>
      </w:r>
      <w:r w:rsidR="0078042E" w:rsidRPr="002E7E75">
        <w:rPr>
          <w:rFonts w:ascii="Arial" w:hAnsi="Arial" w:cs="David" w:hint="cs"/>
          <w:b/>
          <w:bCs/>
          <w:rtl/>
        </w:rPr>
        <w:t xml:space="preserve"> ברוטו</w:t>
      </w:r>
      <w:r w:rsidRPr="002E7E75">
        <w:rPr>
          <w:rFonts w:ascii="Arial" w:hAnsi="Arial" w:cs="David" w:hint="cs"/>
          <w:b/>
          <w:bCs/>
          <w:rtl/>
        </w:rPr>
        <w:t xml:space="preserve"> לתמ"ג </w:t>
      </w:r>
      <w:r w:rsidR="007948DF">
        <w:rPr>
          <w:rFonts w:ascii="Arial" w:hAnsi="Arial" w:cs="David" w:hint="cs"/>
          <w:b/>
          <w:bCs/>
          <w:rtl/>
        </w:rPr>
        <w:t>לא השתנה ברביע</w:t>
      </w:r>
      <w:r w:rsidR="008A5484" w:rsidRPr="002E7E75">
        <w:rPr>
          <w:rFonts w:ascii="Arial" w:hAnsi="Arial" w:cs="David" w:hint="cs"/>
          <w:b/>
          <w:bCs/>
          <w:rtl/>
        </w:rPr>
        <w:t xml:space="preserve"> ה</w:t>
      </w:r>
      <w:r w:rsidR="00DF0375" w:rsidRPr="002E7E75">
        <w:rPr>
          <w:rFonts w:ascii="Arial" w:hAnsi="Arial" w:cs="David" w:hint="cs"/>
          <w:b/>
          <w:bCs/>
          <w:rtl/>
        </w:rPr>
        <w:t>ש</w:t>
      </w:r>
      <w:r w:rsidR="007948DF">
        <w:rPr>
          <w:rFonts w:ascii="Arial" w:hAnsi="Arial" w:cs="David" w:hint="cs"/>
          <w:b/>
          <w:bCs/>
          <w:rtl/>
        </w:rPr>
        <w:t>לישי</w:t>
      </w:r>
      <w:r w:rsidR="008A5484" w:rsidRPr="002E7E75">
        <w:rPr>
          <w:rFonts w:ascii="Arial" w:hAnsi="Arial" w:cs="David" w:hint="cs"/>
          <w:b/>
          <w:bCs/>
          <w:rtl/>
        </w:rPr>
        <w:t xml:space="preserve"> של שנת</w:t>
      </w:r>
      <w:r w:rsidR="00FF1FF2" w:rsidRPr="002E7E75">
        <w:rPr>
          <w:rFonts w:ascii="Arial" w:hAnsi="Arial" w:cs="David" w:hint="cs"/>
          <w:b/>
          <w:bCs/>
          <w:rtl/>
        </w:rPr>
        <w:t xml:space="preserve"> 2015</w:t>
      </w:r>
      <w:r w:rsidRPr="002E7E75">
        <w:rPr>
          <w:rFonts w:ascii="Arial" w:hAnsi="Arial" w:cs="David" w:hint="cs"/>
          <w:b/>
          <w:bCs/>
          <w:rtl/>
        </w:rPr>
        <w:t xml:space="preserve"> ועמד בסוף </w:t>
      </w:r>
      <w:r w:rsidR="007948DF">
        <w:rPr>
          <w:rFonts w:ascii="Arial" w:hAnsi="Arial" w:cs="David" w:hint="cs"/>
          <w:b/>
          <w:bCs/>
          <w:rtl/>
        </w:rPr>
        <w:t>ספטמבר</w:t>
      </w:r>
      <w:r w:rsidRPr="002E7E75">
        <w:rPr>
          <w:rFonts w:ascii="Arial" w:hAnsi="Arial" w:cs="David" w:hint="cs"/>
          <w:b/>
          <w:bCs/>
          <w:rtl/>
        </w:rPr>
        <w:t xml:space="preserve"> על</w:t>
      </w:r>
      <w:r w:rsidR="0078042E" w:rsidRPr="002E7E75">
        <w:rPr>
          <w:rFonts w:ascii="Arial" w:hAnsi="Arial" w:cs="David" w:hint="cs"/>
          <w:b/>
          <w:bCs/>
          <w:rtl/>
        </w:rPr>
        <w:t xml:space="preserve"> כ-</w:t>
      </w:r>
      <w:r w:rsidRPr="002E7E75">
        <w:rPr>
          <w:rFonts w:ascii="Arial" w:hAnsi="Arial" w:cs="David" w:hint="cs"/>
          <w:b/>
          <w:bCs/>
          <w:rtl/>
        </w:rPr>
        <w:t xml:space="preserve"> </w:t>
      </w:r>
      <w:r w:rsidR="0078042E" w:rsidRPr="002E7E75">
        <w:rPr>
          <w:rFonts w:ascii="Arial" w:hAnsi="Arial" w:cs="David" w:hint="cs"/>
          <w:b/>
          <w:bCs/>
          <w:rtl/>
        </w:rPr>
        <w:t>3</w:t>
      </w:r>
      <w:r w:rsidR="00DF0375" w:rsidRPr="002E7E75">
        <w:rPr>
          <w:rFonts w:ascii="Arial" w:hAnsi="Arial" w:cs="David" w:hint="cs"/>
          <w:b/>
          <w:bCs/>
          <w:rtl/>
        </w:rPr>
        <w:t>1</w:t>
      </w:r>
      <w:r w:rsidR="0078042E" w:rsidRPr="002E7E75">
        <w:rPr>
          <w:rFonts w:ascii="Arial" w:hAnsi="Arial" w:cs="David" w:hint="cs"/>
          <w:b/>
          <w:bCs/>
          <w:rtl/>
        </w:rPr>
        <w:t>%.</w:t>
      </w:r>
      <w:r w:rsidRPr="002E7E75">
        <w:rPr>
          <w:rFonts w:ascii="Arial" w:hAnsi="Arial" w:cs="David" w:hint="cs"/>
          <w:b/>
          <w:bCs/>
          <w:rtl/>
        </w:rPr>
        <w:t xml:space="preserve"> </w:t>
      </w:r>
    </w:p>
    <w:p w:rsidR="002D5576" w:rsidRPr="002A40D2" w:rsidRDefault="00F54E7B" w:rsidP="00267258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 w:hint="cs"/>
          <w:b/>
          <w:bCs/>
          <w:u w:val="single"/>
          <w:rtl/>
        </w:rPr>
      </w:pPr>
      <w:r w:rsidRPr="002A40D2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</w:t>
      </w:r>
      <w:r w:rsidR="00784606" w:rsidRPr="002A40D2">
        <w:rPr>
          <w:rFonts w:ascii="Arial" w:hAnsi="Arial" w:cs="David" w:hint="cs"/>
          <w:b/>
          <w:bCs/>
          <w:rtl/>
        </w:rPr>
        <w:t>עלה</w:t>
      </w:r>
      <w:r w:rsidRPr="002A40D2">
        <w:rPr>
          <w:rFonts w:ascii="Arial" w:hAnsi="Arial" w:cs="David" w:hint="cs"/>
          <w:b/>
          <w:bCs/>
          <w:rtl/>
        </w:rPr>
        <w:t xml:space="preserve"> </w:t>
      </w:r>
      <w:r w:rsidR="0069633E" w:rsidRPr="002A40D2">
        <w:rPr>
          <w:rFonts w:ascii="Arial" w:hAnsi="Arial" w:cs="David" w:hint="cs"/>
          <w:b/>
          <w:bCs/>
          <w:rtl/>
        </w:rPr>
        <w:t>ברביע ה</w:t>
      </w:r>
      <w:r w:rsidR="00AA6B60" w:rsidRPr="002A40D2">
        <w:rPr>
          <w:rFonts w:ascii="Arial" w:hAnsi="Arial" w:cs="David" w:hint="cs"/>
          <w:b/>
          <w:bCs/>
          <w:rtl/>
        </w:rPr>
        <w:t>ש</w:t>
      </w:r>
      <w:r w:rsidR="002A40D2" w:rsidRPr="002A40D2">
        <w:rPr>
          <w:rFonts w:ascii="Arial" w:hAnsi="Arial" w:cs="David" w:hint="cs"/>
          <w:b/>
          <w:bCs/>
          <w:rtl/>
        </w:rPr>
        <w:t>ליש</w:t>
      </w:r>
      <w:r w:rsidR="00AA6B60" w:rsidRPr="002A40D2">
        <w:rPr>
          <w:rFonts w:ascii="Arial" w:hAnsi="Arial" w:cs="David" w:hint="cs"/>
          <w:b/>
          <w:bCs/>
          <w:rtl/>
        </w:rPr>
        <w:t>י</w:t>
      </w:r>
      <w:r w:rsidR="0069633E" w:rsidRPr="002A40D2">
        <w:rPr>
          <w:rFonts w:ascii="Arial" w:hAnsi="Arial" w:cs="David" w:hint="cs"/>
          <w:b/>
          <w:bCs/>
          <w:rtl/>
        </w:rPr>
        <w:t xml:space="preserve"> של שנת 2015</w:t>
      </w:r>
      <w:r w:rsidRPr="002A40D2">
        <w:rPr>
          <w:rFonts w:ascii="Arial" w:hAnsi="Arial" w:cs="David" w:hint="cs"/>
          <w:b/>
          <w:bCs/>
          <w:rtl/>
        </w:rPr>
        <w:t xml:space="preserve"> </w:t>
      </w:r>
      <w:r w:rsidR="002A40D2" w:rsidRPr="002A40D2">
        <w:rPr>
          <w:rFonts w:ascii="Arial" w:hAnsi="Arial" w:cs="David" w:hint="cs"/>
          <w:b/>
          <w:bCs/>
          <w:rtl/>
        </w:rPr>
        <w:t>בכמיליארד דולרים (0.9%) ועמד בסוף ספטמבר על כ-108 מיליארדים</w:t>
      </w:r>
      <w:r w:rsidR="002A40D2">
        <w:rPr>
          <w:rFonts w:ascii="Arial" w:hAnsi="Arial" w:cs="David" w:hint="cs"/>
          <w:b/>
          <w:bCs/>
          <w:rtl/>
        </w:rPr>
        <w:t>.</w:t>
      </w:r>
      <w:r w:rsidR="002A40D2" w:rsidRPr="00690E6A">
        <w:rPr>
          <w:rFonts w:ascii="Arial" w:hAnsi="Arial" w:cs="David" w:hint="cs"/>
          <w:rtl/>
        </w:rPr>
        <w:t xml:space="preserve"> </w:t>
      </w:r>
      <w:r w:rsidR="002D5576" w:rsidRPr="002A40D2"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360AB1" w:rsidRDefault="00092131" w:rsidP="00360AB1">
      <w:pPr>
        <w:pStyle w:val="1"/>
        <w:rPr>
          <w:rFonts w:hint="cs"/>
          <w:rtl/>
        </w:rPr>
      </w:pPr>
      <w:r w:rsidRPr="00360AB1">
        <w:rPr>
          <w:rFonts w:hint="cs"/>
          <w:rtl/>
        </w:rPr>
        <w:lastRenderedPageBreak/>
        <w:t xml:space="preserve">לוח 1: </w:t>
      </w:r>
      <w:r w:rsidR="00054C99" w:rsidRPr="00360AB1">
        <w:rPr>
          <w:rFonts w:hint="cs"/>
          <w:rtl/>
        </w:rPr>
        <w:t>יתרות הנכסים וההתחייבויות והשינויים בהם</w:t>
      </w:r>
    </w:p>
    <w:p w:rsidR="00854096" w:rsidRPr="0023163B" w:rsidRDefault="00360AB1" w:rsidP="00854096">
      <w:pPr>
        <w:spacing w:line="360" w:lineRule="auto"/>
        <w:jc w:val="both"/>
      </w:pPr>
      <w:r>
        <w:rPr>
          <w:noProof/>
          <w:lang w:eastAsia="en-US"/>
        </w:rPr>
        <w:drawing>
          <wp:inline distT="0" distB="0" distL="0" distR="0">
            <wp:extent cx="6165850" cy="3105150"/>
            <wp:effectExtent l="19050" t="19050" r="25400" b="19050"/>
            <wp:docPr id="3" name="תמונה 1" descr="לוח 1: יתרות הנכסים וההתחייבויות והשינויים בהם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31051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17A5" w:rsidRDefault="008B17A5" w:rsidP="00854096">
      <w:pPr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F361E2" w:rsidRPr="00360AB1" w:rsidRDefault="006F7093" w:rsidP="00360AB1">
      <w:pPr>
        <w:pStyle w:val="ad"/>
        <w:numPr>
          <w:ilvl w:val="0"/>
          <w:numId w:val="10"/>
        </w:numPr>
        <w:spacing w:line="360" w:lineRule="auto"/>
        <w:ind w:right="426"/>
        <w:jc w:val="both"/>
        <w:rPr>
          <w:rFonts w:ascii="Arial" w:hAnsi="Arial" w:cs="David" w:hint="cs"/>
        </w:rPr>
      </w:pPr>
      <w:r w:rsidRPr="00360AB1">
        <w:rPr>
          <w:rFonts w:ascii="Arial" w:hAnsi="Arial" w:cs="David" w:hint="cs"/>
          <w:b/>
          <w:bCs/>
          <w:rtl/>
        </w:rPr>
        <w:t>עודף הנכסים על ההתחייבויות</w:t>
      </w:r>
      <w:r w:rsidR="00CC3A41" w:rsidRPr="00360AB1">
        <w:rPr>
          <w:rFonts w:ascii="Arial" w:hAnsi="Arial" w:cs="David" w:hint="cs"/>
          <w:b/>
          <w:bCs/>
          <w:rtl/>
        </w:rPr>
        <w:t xml:space="preserve"> של המשק מול חו"ל</w:t>
      </w:r>
      <w:r w:rsidR="00CE3CF7" w:rsidRPr="00360AB1">
        <w:rPr>
          <w:rFonts w:ascii="Arial" w:hAnsi="Arial" w:cs="David" w:hint="cs"/>
          <w:rtl/>
        </w:rPr>
        <w:t xml:space="preserve"> </w:t>
      </w:r>
      <w:r w:rsidR="00CD6FCB" w:rsidRPr="00360AB1">
        <w:rPr>
          <w:rFonts w:ascii="Arial" w:hAnsi="Arial" w:cs="David" w:hint="cs"/>
          <w:rtl/>
        </w:rPr>
        <w:t>עלה</w:t>
      </w:r>
      <w:r w:rsidR="00F361E2" w:rsidRPr="00360AB1">
        <w:rPr>
          <w:rFonts w:ascii="Arial" w:hAnsi="Arial" w:cs="David" w:hint="cs"/>
          <w:rtl/>
        </w:rPr>
        <w:t xml:space="preserve"> במהלך הרביע ה</w:t>
      </w:r>
      <w:r w:rsidR="00CD6FCB" w:rsidRPr="00360AB1">
        <w:rPr>
          <w:rFonts w:ascii="Arial" w:hAnsi="Arial" w:cs="David" w:hint="cs"/>
          <w:rtl/>
        </w:rPr>
        <w:t>ש</w:t>
      </w:r>
      <w:r w:rsidR="002E7E75" w:rsidRPr="00360AB1">
        <w:rPr>
          <w:rFonts w:ascii="Arial" w:hAnsi="Arial" w:cs="David" w:hint="cs"/>
          <w:rtl/>
        </w:rPr>
        <w:t>ליש</w:t>
      </w:r>
      <w:r w:rsidR="00CD6FCB" w:rsidRPr="00360AB1">
        <w:rPr>
          <w:rFonts w:ascii="Arial" w:hAnsi="Arial" w:cs="David" w:hint="cs"/>
          <w:rtl/>
        </w:rPr>
        <w:t>י</w:t>
      </w:r>
      <w:r w:rsidR="00F361E2" w:rsidRPr="00360AB1">
        <w:rPr>
          <w:rFonts w:ascii="Arial" w:hAnsi="Arial" w:cs="David" w:hint="cs"/>
          <w:rtl/>
        </w:rPr>
        <w:t xml:space="preserve"> של שנת 2015 ב</w:t>
      </w:r>
      <w:r w:rsidR="00CD6FCB" w:rsidRPr="00360AB1">
        <w:rPr>
          <w:rFonts w:ascii="Arial" w:hAnsi="Arial" w:cs="David" w:hint="cs"/>
          <w:rtl/>
        </w:rPr>
        <w:t>-</w:t>
      </w:r>
      <w:r w:rsidR="00E50348" w:rsidRPr="00360AB1">
        <w:rPr>
          <w:rFonts w:ascii="Arial" w:hAnsi="Arial" w:cs="David" w:hint="cs"/>
          <w:rtl/>
        </w:rPr>
        <w:t xml:space="preserve"> </w:t>
      </w:r>
      <w:r w:rsidR="002E7E75" w:rsidRPr="00360AB1">
        <w:rPr>
          <w:rFonts w:ascii="Arial" w:hAnsi="Arial" w:cs="David" w:hint="cs"/>
          <w:rtl/>
        </w:rPr>
        <w:t>2.1</w:t>
      </w:r>
      <w:r w:rsidR="00E50348" w:rsidRPr="00360AB1">
        <w:rPr>
          <w:rFonts w:ascii="Arial" w:hAnsi="Arial" w:cs="David" w:hint="cs"/>
          <w:rtl/>
        </w:rPr>
        <w:t xml:space="preserve"> מ</w:t>
      </w:r>
      <w:r w:rsidR="00F361E2" w:rsidRPr="00360AB1">
        <w:rPr>
          <w:rFonts w:ascii="Arial" w:hAnsi="Arial" w:cs="David" w:hint="cs"/>
          <w:rtl/>
        </w:rPr>
        <w:t>יליארדי דולרים (כ-</w:t>
      </w:r>
      <w:r w:rsidR="002E7E75" w:rsidRPr="00360AB1">
        <w:rPr>
          <w:rFonts w:ascii="Arial" w:hAnsi="Arial" w:cs="David" w:hint="cs"/>
          <w:rtl/>
        </w:rPr>
        <w:t>3</w:t>
      </w:r>
      <w:r w:rsidR="00F361E2" w:rsidRPr="00360AB1">
        <w:rPr>
          <w:rFonts w:ascii="Arial" w:hAnsi="Arial" w:cs="David" w:hint="cs"/>
          <w:rtl/>
        </w:rPr>
        <w:t xml:space="preserve">%) ועמד בסוף </w:t>
      </w:r>
      <w:r w:rsidR="00FB0143" w:rsidRPr="00360AB1">
        <w:rPr>
          <w:rFonts w:ascii="Arial" w:hAnsi="Arial" w:cs="David" w:hint="cs"/>
          <w:rtl/>
        </w:rPr>
        <w:t>ספטמבר</w:t>
      </w:r>
      <w:r w:rsidR="00CD6FCB" w:rsidRPr="00360AB1">
        <w:rPr>
          <w:rFonts w:ascii="Arial" w:hAnsi="Arial" w:cs="David" w:hint="cs"/>
          <w:rtl/>
        </w:rPr>
        <w:t xml:space="preserve"> </w:t>
      </w:r>
      <w:r w:rsidR="00F361E2" w:rsidRPr="00360AB1">
        <w:rPr>
          <w:rFonts w:ascii="Arial" w:hAnsi="Arial" w:cs="David" w:hint="cs"/>
          <w:rtl/>
        </w:rPr>
        <w:t>על כ-</w:t>
      </w:r>
      <w:r w:rsidR="00FB0143" w:rsidRPr="00360AB1">
        <w:rPr>
          <w:rFonts w:ascii="Arial" w:hAnsi="Arial" w:cs="David" w:hint="cs"/>
          <w:rtl/>
        </w:rPr>
        <w:t>73</w:t>
      </w:r>
      <w:r w:rsidR="00CD6FCB" w:rsidRPr="00360AB1">
        <w:rPr>
          <w:rFonts w:ascii="Arial" w:hAnsi="Arial" w:cs="David" w:hint="cs"/>
          <w:rtl/>
        </w:rPr>
        <w:t xml:space="preserve"> </w:t>
      </w:r>
      <w:r w:rsidR="00F361E2" w:rsidRPr="00360AB1">
        <w:rPr>
          <w:rFonts w:ascii="Arial" w:hAnsi="Arial" w:cs="David" w:hint="cs"/>
          <w:rtl/>
        </w:rPr>
        <w:t xml:space="preserve">מיליארדי דולרים. כך נמסר מהחטיבה למידע ולסטטיסטיקה בבנק ישראל. </w:t>
      </w:r>
    </w:p>
    <w:p w:rsidR="00F361E2" w:rsidRDefault="00FB0143" w:rsidP="0029777C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ירידה</w:t>
      </w:r>
      <w:r w:rsidR="00CD6FCB" w:rsidRPr="00A16F73">
        <w:rPr>
          <w:rFonts w:ascii="Arial" w:hAnsi="Arial" w:cs="David" w:hint="cs"/>
          <w:rtl/>
        </w:rPr>
        <w:t xml:space="preserve"> של כ-</w:t>
      </w:r>
      <w:r>
        <w:rPr>
          <w:rFonts w:ascii="Arial" w:hAnsi="Arial" w:cs="David" w:hint="cs"/>
          <w:rtl/>
        </w:rPr>
        <w:t>8.2</w:t>
      </w:r>
      <w:r w:rsidR="00CD6FCB" w:rsidRPr="00A16F73">
        <w:rPr>
          <w:rFonts w:ascii="Arial" w:hAnsi="Arial" w:cs="David" w:hint="cs"/>
          <w:rtl/>
        </w:rPr>
        <w:t xml:space="preserve"> מיליארדים</w:t>
      </w:r>
      <w:r w:rsidR="00CD6FCB">
        <w:rPr>
          <w:rFonts w:ascii="Arial" w:hAnsi="Arial" w:cs="David" w:hint="cs"/>
          <w:rtl/>
        </w:rPr>
        <w:t xml:space="preserve"> (</w:t>
      </w:r>
      <w:r>
        <w:rPr>
          <w:rFonts w:ascii="Arial" w:hAnsi="Arial" w:cs="David" w:hint="cs"/>
          <w:rtl/>
        </w:rPr>
        <w:t>2.9</w:t>
      </w:r>
      <w:r w:rsidR="00CD6FCB">
        <w:rPr>
          <w:rFonts w:ascii="Arial" w:hAnsi="Arial" w:cs="David" w:hint="cs"/>
          <w:rtl/>
        </w:rPr>
        <w:t>%)</w:t>
      </w:r>
      <w:r w:rsidR="00CD6FCB" w:rsidRPr="00A16F73">
        <w:rPr>
          <w:rFonts w:ascii="Arial" w:hAnsi="Arial" w:cs="David" w:hint="cs"/>
          <w:rtl/>
        </w:rPr>
        <w:t xml:space="preserve"> בשווי יתרת </w:t>
      </w:r>
      <w:r>
        <w:rPr>
          <w:rFonts w:ascii="Arial" w:hAnsi="Arial" w:cs="David" w:hint="cs"/>
          <w:rtl/>
        </w:rPr>
        <w:t xml:space="preserve">התחייבויות </w:t>
      </w:r>
      <w:r w:rsidRPr="00A16F73">
        <w:rPr>
          <w:rFonts w:ascii="Arial" w:hAnsi="Arial" w:cs="David" w:hint="cs"/>
          <w:rtl/>
        </w:rPr>
        <w:t>של המשק כלפי תושבי חוץ</w:t>
      </w:r>
      <w:r>
        <w:rPr>
          <w:rFonts w:ascii="Arial" w:hAnsi="Arial" w:cs="David" w:hint="cs"/>
          <w:rtl/>
        </w:rPr>
        <w:t xml:space="preserve"> </w:t>
      </w:r>
      <w:r w:rsidR="00CD6FCB">
        <w:rPr>
          <w:rFonts w:ascii="Arial" w:hAnsi="Arial" w:cs="David" w:hint="cs"/>
          <w:rtl/>
        </w:rPr>
        <w:t>לוותה</w:t>
      </w:r>
      <w:r w:rsidR="00CD6FCB" w:rsidRPr="003F3174">
        <w:rPr>
          <w:rFonts w:ascii="Arial" w:hAnsi="Arial" w:cs="David" w:hint="cs"/>
          <w:rtl/>
        </w:rPr>
        <w:t xml:space="preserve"> </w:t>
      </w:r>
      <w:r w:rsidR="00CD6FCB">
        <w:rPr>
          <w:rFonts w:ascii="Arial" w:hAnsi="Arial" w:cs="David" w:hint="cs"/>
          <w:rtl/>
        </w:rPr>
        <w:t>בירידה</w:t>
      </w:r>
      <w:r w:rsidR="00F361E2" w:rsidRPr="00A16F73">
        <w:rPr>
          <w:rFonts w:ascii="Arial" w:hAnsi="Arial" w:cs="David" w:hint="cs"/>
          <w:rtl/>
        </w:rPr>
        <w:t xml:space="preserve"> </w:t>
      </w:r>
      <w:r w:rsidR="00CD6FCB">
        <w:rPr>
          <w:rFonts w:ascii="Arial" w:hAnsi="Arial" w:cs="David" w:hint="cs"/>
          <w:rtl/>
        </w:rPr>
        <w:t>של כ</w:t>
      </w:r>
      <w:r w:rsidR="0029777C">
        <w:rPr>
          <w:rFonts w:ascii="Arial" w:hAnsi="Arial" w:cs="David" w:hint="cs"/>
          <w:rtl/>
        </w:rPr>
        <w:t xml:space="preserve">- 6.1 </w:t>
      </w:r>
      <w:r w:rsidR="00CD6FCB">
        <w:rPr>
          <w:rFonts w:ascii="Arial" w:hAnsi="Arial" w:cs="David" w:hint="cs"/>
          <w:rtl/>
        </w:rPr>
        <w:t>מיליארד</w:t>
      </w:r>
      <w:r w:rsidR="0029777C">
        <w:rPr>
          <w:rFonts w:ascii="Arial" w:hAnsi="Arial" w:cs="David" w:hint="cs"/>
          <w:rtl/>
        </w:rPr>
        <w:t>י</w:t>
      </w:r>
      <w:r w:rsidR="00CD6FCB">
        <w:rPr>
          <w:rFonts w:ascii="Arial" w:hAnsi="Arial" w:cs="David" w:hint="cs"/>
          <w:rtl/>
        </w:rPr>
        <w:t xml:space="preserve"> דולרים (</w:t>
      </w:r>
      <w:r w:rsidR="0029777C">
        <w:rPr>
          <w:rFonts w:ascii="Arial" w:hAnsi="Arial" w:cs="David" w:hint="cs"/>
          <w:rtl/>
        </w:rPr>
        <w:t>1.7</w:t>
      </w:r>
      <w:r w:rsidR="00CD6FCB">
        <w:rPr>
          <w:rFonts w:ascii="Arial" w:hAnsi="Arial" w:cs="David" w:hint="cs"/>
          <w:rtl/>
        </w:rPr>
        <w:t xml:space="preserve">%) </w:t>
      </w:r>
      <w:r w:rsidR="005F1EFF" w:rsidRPr="00A16F73">
        <w:rPr>
          <w:rFonts w:ascii="Arial" w:hAnsi="Arial" w:cs="David" w:hint="cs"/>
          <w:rtl/>
        </w:rPr>
        <w:t xml:space="preserve">בשווי יתרת </w:t>
      </w:r>
      <w:r>
        <w:rPr>
          <w:rFonts w:ascii="Arial" w:hAnsi="Arial" w:cs="David" w:hint="cs"/>
          <w:rtl/>
        </w:rPr>
        <w:t>הנכסים</w:t>
      </w:r>
      <w:r w:rsidRPr="00A16F73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של המשק בחו"ל</w:t>
      </w:r>
      <w:r w:rsidRPr="003F3174">
        <w:rPr>
          <w:rFonts w:ascii="Arial" w:hAnsi="Arial" w:cs="David" w:hint="cs"/>
          <w:rtl/>
        </w:rPr>
        <w:t xml:space="preserve"> </w:t>
      </w:r>
      <w:r w:rsidR="00F361E2" w:rsidRPr="003F3174">
        <w:rPr>
          <w:rFonts w:ascii="Arial" w:hAnsi="Arial" w:cs="David" w:hint="cs"/>
          <w:rtl/>
        </w:rPr>
        <w:t xml:space="preserve">(תרשים 1). </w:t>
      </w:r>
    </w:p>
    <w:p w:rsidR="007022B2" w:rsidRDefault="00360AB1" w:rsidP="005C4E3E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>
            <wp:extent cx="6264275" cy="3822700"/>
            <wp:effectExtent l="0" t="0" r="3175" b="6350"/>
            <wp:docPr id="54" name="תמונה 54" descr="תרשים 1: עודף הנכסים על התחייבויות של משק מול חו&quot;ל" title="תרשים 1: עודף הנכסים על התחייבויות של 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096" w:rsidRPr="003F3174" w:rsidRDefault="00854096" w:rsidP="005C0E25">
      <w:pPr>
        <w:tabs>
          <w:tab w:val="left" w:pos="6120"/>
        </w:tabs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7A03BA" w:rsidRPr="00360AB1" w:rsidRDefault="004C7474" w:rsidP="00360AB1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David" w:hint="cs"/>
          <w:b/>
          <w:bCs/>
          <w:rtl/>
        </w:rPr>
      </w:pPr>
      <w:r w:rsidRPr="00360AB1">
        <w:rPr>
          <w:rFonts w:ascii="Arial" w:hAnsi="Arial" w:cs="David" w:hint="cs"/>
          <w:b/>
          <w:bCs/>
          <w:rtl/>
        </w:rPr>
        <w:lastRenderedPageBreak/>
        <w:t xml:space="preserve">שווי </w:t>
      </w:r>
      <w:r w:rsidR="008D27F1" w:rsidRPr="00360AB1">
        <w:rPr>
          <w:rFonts w:ascii="Arial" w:hAnsi="Arial" w:cs="David" w:hint="cs"/>
          <w:b/>
          <w:bCs/>
          <w:rtl/>
        </w:rPr>
        <w:t>יתרת</w:t>
      </w:r>
      <w:r w:rsidR="00393B21" w:rsidRPr="00360AB1">
        <w:rPr>
          <w:rFonts w:ascii="Arial" w:hAnsi="Arial" w:cs="David" w:hint="cs"/>
          <w:b/>
          <w:bCs/>
          <w:rtl/>
        </w:rPr>
        <w:t xml:space="preserve"> הנכסים של </w:t>
      </w:r>
      <w:r w:rsidR="00172E92" w:rsidRPr="00360AB1">
        <w:rPr>
          <w:rFonts w:ascii="Arial" w:hAnsi="Arial" w:cs="David" w:hint="cs"/>
          <w:b/>
          <w:bCs/>
          <w:rtl/>
        </w:rPr>
        <w:t>תושבי ישראל</w:t>
      </w:r>
      <w:r w:rsidR="00393B21" w:rsidRPr="00360AB1">
        <w:rPr>
          <w:rFonts w:ascii="Arial" w:hAnsi="Arial" w:cs="David" w:hint="cs"/>
          <w:b/>
          <w:bCs/>
          <w:rtl/>
        </w:rPr>
        <w:t xml:space="preserve"> בחו"ל </w:t>
      </w:r>
      <w:r w:rsidR="00CC3A41" w:rsidRPr="00360AB1">
        <w:rPr>
          <w:rFonts w:ascii="Arial" w:hAnsi="Arial" w:cs="David" w:hint="cs"/>
          <w:b/>
          <w:bCs/>
          <w:rtl/>
        </w:rPr>
        <w:t xml:space="preserve"> </w:t>
      </w:r>
      <w:r w:rsidR="00666724" w:rsidRPr="00360AB1">
        <w:rPr>
          <w:rFonts w:ascii="Arial" w:hAnsi="Arial" w:cs="David" w:hint="cs"/>
          <w:rtl/>
        </w:rPr>
        <w:t>ירד</w:t>
      </w:r>
      <w:r w:rsidR="007A03BA" w:rsidRPr="00360AB1">
        <w:rPr>
          <w:rFonts w:ascii="Arial" w:hAnsi="Arial" w:cs="David" w:hint="cs"/>
          <w:rtl/>
        </w:rPr>
        <w:t xml:space="preserve"> במהלך ה</w:t>
      </w:r>
      <w:r w:rsidR="00CD6FCB" w:rsidRPr="00360AB1">
        <w:rPr>
          <w:rFonts w:ascii="Arial" w:hAnsi="Arial" w:cs="David" w:hint="cs"/>
          <w:rtl/>
        </w:rPr>
        <w:t>רביע הש</w:t>
      </w:r>
      <w:r w:rsidR="00666724" w:rsidRPr="00360AB1">
        <w:rPr>
          <w:rFonts w:ascii="Arial" w:hAnsi="Arial" w:cs="David" w:hint="cs"/>
          <w:rtl/>
        </w:rPr>
        <w:t>לישי</w:t>
      </w:r>
      <w:r w:rsidR="00CD6FCB" w:rsidRPr="00360AB1">
        <w:rPr>
          <w:rFonts w:ascii="Arial" w:hAnsi="Arial" w:cs="David" w:hint="cs"/>
          <w:rtl/>
        </w:rPr>
        <w:t xml:space="preserve"> </w:t>
      </w:r>
      <w:r w:rsidR="007A03BA" w:rsidRPr="00360AB1">
        <w:rPr>
          <w:rFonts w:ascii="Arial" w:hAnsi="Arial" w:cs="David" w:hint="cs"/>
          <w:rtl/>
        </w:rPr>
        <w:t>של שנת 2015 בכ-</w:t>
      </w:r>
      <w:r w:rsidR="00666724" w:rsidRPr="00360AB1">
        <w:rPr>
          <w:rFonts w:ascii="Arial" w:hAnsi="Arial" w:cs="David" w:hint="cs"/>
          <w:rtl/>
        </w:rPr>
        <w:t>6.1</w:t>
      </w:r>
      <w:r w:rsidR="00CD6FCB" w:rsidRPr="00360AB1">
        <w:rPr>
          <w:rFonts w:ascii="Arial" w:hAnsi="Arial" w:cs="David" w:hint="cs"/>
          <w:rtl/>
        </w:rPr>
        <w:t xml:space="preserve"> </w:t>
      </w:r>
      <w:r w:rsidR="007A03BA" w:rsidRPr="00360AB1">
        <w:rPr>
          <w:rFonts w:ascii="Arial" w:hAnsi="Arial" w:cs="David" w:hint="cs"/>
          <w:rtl/>
        </w:rPr>
        <w:t>מיליארדי דולרים (</w:t>
      </w:r>
      <w:r w:rsidR="00666724" w:rsidRPr="00360AB1">
        <w:rPr>
          <w:rFonts w:ascii="Arial" w:hAnsi="Arial" w:cs="David" w:hint="cs"/>
          <w:rtl/>
        </w:rPr>
        <w:t>1.7</w:t>
      </w:r>
      <w:r w:rsidR="007A03BA" w:rsidRPr="00360AB1">
        <w:rPr>
          <w:rFonts w:ascii="Arial" w:hAnsi="Arial" w:cs="David" w:hint="cs"/>
          <w:rtl/>
        </w:rPr>
        <w:t xml:space="preserve">%) ועמד בסוף </w:t>
      </w:r>
      <w:r w:rsidR="00666724" w:rsidRPr="00360AB1">
        <w:rPr>
          <w:rFonts w:ascii="Arial" w:hAnsi="Arial" w:cs="David" w:hint="cs"/>
          <w:rtl/>
        </w:rPr>
        <w:t>ספטמבר</w:t>
      </w:r>
      <w:r w:rsidR="007A03BA" w:rsidRPr="00360AB1">
        <w:rPr>
          <w:rFonts w:ascii="Arial" w:hAnsi="Arial" w:cs="David" w:hint="cs"/>
          <w:rtl/>
        </w:rPr>
        <w:t xml:space="preserve"> על כ-34</w:t>
      </w:r>
      <w:r w:rsidR="00666724" w:rsidRPr="00360AB1">
        <w:rPr>
          <w:rFonts w:ascii="Arial" w:hAnsi="Arial" w:cs="David" w:hint="cs"/>
          <w:rtl/>
        </w:rPr>
        <w:t>1.1</w:t>
      </w:r>
      <w:r w:rsidR="007A03BA" w:rsidRPr="00360AB1">
        <w:rPr>
          <w:rFonts w:ascii="Arial" w:hAnsi="Arial" w:cs="David" w:hint="cs"/>
          <w:rtl/>
        </w:rPr>
        <w:t xml:space="preserve"> מיליארדי דולרים</w:t>
      </w:r>
      <w:r w:rsidR="00666724" w:rsidRPr="00360AB1">
        <w:rPr>
          <w:rFonts w:ascii="Arial" w:hAnsi="Arial" w:cs="David" w:hint="cs"/>
          <w:rtl/>
        </w:rPr>
        <w:t>. ירידה ניכרת במחירי המניות הזרות שמחזיקים תושבי ישראל</w:t>
      </w:r>
      <w:r w:rsidR="00E8245E" w:rsidRPr="00360AB1">
        <w:rPr>
          <w:rFonts w:ascii="Arial" w:hAnsi="Arial" w:cs="David" w:hint="cs"/>
          <w:rtl/>
        </w:rPr>
        <w:t xml:space="preserve"> </w:t>
      </w:r>
      <w:r w:rsidR="00CC1B08" w:rsidRPr="00360AB1">
        <w:rPr>
          <w:rFonts w:ascii="Arial" w:hAnsi="Arial" w:cs="David" w:hint="cs"/>
          <w:rtl/>
        </w:rPr>
        <w:t xml:space="preserve">במקביל </w:t>
      </w:r>
      <w:r w:rsidR="00666724" w:rsidRPr="00360AB1">
        <w:rPr>
          <w:rFonts w:ascii="Arial" w:hAnsi="Arial" w:cs="David" w:hint="cs"/>
          <w:rtl/>
        </w:rPr>
        <w:t>לירידה</w:t>
      </w:r>
      <w:r w:rsidR="007A03BA" w:rsidRPr="00360AB1">
        <w:rPr>
          <w:rFonts w:ascii="Arial" w:hAnsi="Arial" w:cs="David" w:hint="cs"/>
          <w:rtl/>
        </w:rPr>
        <w:t xml:space="preserve"> </w:t>
      </w:r>
      <w:r w:rsidR="00666724" w:rsidRPr="00360AB1">
        <w:rPr>
          <w:rFonts w:ascii="Arial" w:hAnsi="Arial" w:cs="David" w:hint="cs"/>
          <w:rtl/>
        </w:rPr>
        <w:t>באשראי הלקוחות הזרים ומשיכה</w:t>
      </w:r>
      <w:r w:rsidR="000220D7" w:rsidRPr="00360AB1">
        <w:rPr>
          <w:rFonts w:ascii="Arial" w:hAnsi="Arial" w:cs="David" w:hint="cs"/>
          <w:rtl/>
        </w:rPr>
        <w:t xml:space="preserve"> נטו</w:t>
      </w:r>
      <w:r w:rsidR="00666724" w:rsidRPr="00360AB1">
        <w:rPr>
          <w:rFonts w:ascii="Arial" w:hAnsi="Arial" w:cs="David" w:hint="cs"/>
          <w:rtl/>
        </w:rPr>
        <w:t xml:space="preserve"> מפיקדונות בנקים ישראליים בחו"ל. </w:t>
      </w:r>
      <w:r w:rsidR="00B73E64" w:rsidRPr="00360AB1">
        <w:rPr>
          <w:rFonts w:ascii="Arial" w:hAnsi="Arial" w:cs="David" w:hint="cs"/>
          <w:rtl/>
        </w:rPr>
        <w:t xml:space="preserve">השפעות אלה קוזזו בחלקן על ידי </w:t>
      </w:r>
      <w:r w:rsidR="00666724" w:rsidRPr="00360AB1">
        <w:rPr>
          <w:rFonts w:ascii="Arial" w:hAnsi="Arial" w:cs="David" w:hint="cs"/>
          <w:rtl/>
        </w:rPr>
        <w:t>הפקדות תושבי ישראל בחשבונות בחו"ל וזרם השקעות ישירות בהון מניות.</w:t>
      </w:r>
      <w:r w:rsidR="00B73E64" w:rsidRPr="00360AB1">
        <w:rPr>
          <w:rFonts w:ascii="Arial" w:hAnsi="Arial" w:cs="David" w:hint="cs"/>
          <w:rtl/>
        </w:rPr>
        <w:t xml:space="preserve"> </w:t>
      </w:r>
    </w:p>
    <w:p w:rsidR="004E1C27" w:rsidRPr="003F3174" w:rsidRDefault="00EF0BFB" w:rsidP="00363D2F">
      <w:pPr>
        <w:spacing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C4262A">
        <w:rPr>
          <w:rFonts w:ascii="Arial" w:hAnsi="Arial" w:cs="David" w:hint="cs"/>
          <w:b/>
          <w:bCs/>
          <w:rtl/>
        </w:rPr>
        <w:t xml:space="preserve">שווי </w:t>
      </w:r>
      <w:r w:rsidR="008D27F1">
        <w:rPr>
          <w:rFonts w:ascii="Arial" w:hAnsi="Arial" w:cs="David" w:hint="cs"/>
          <w:b/>
          <w:bCs/>
          <w:rtl/>
        </w:rPr>
        <w:t>יתרת</w:t>
      </w:r>
      <w:r w:rsidRPr="00C4262A">
        <w:rPr>
          <w:rFonts w:ascii="Arial" w:hAnsi="Arial" w:cs="David" w:hint="cs"/>
          <w:b/>
          <w:bCs/>
          <w:rtl/>
        </w:rPr>
        <w:t xml:space="preserve"> המניות</w:t>
      </w:r>
      <w:r w:rsidRPr="003F3174">
        <w:rPr>
          <w:rFonts w:ascii="Arial" w:hAnsi="Arial" w:cs="David" w:hint="cs"/>
          <w:rtl/>
        </w:rPr>
        <w:t xml:space="preserve"> </w:t>
      </w:r>
      <w:r w:rsidR="00F508E4" w:rsidRPr="00F508E4">
        <w:rPr>
          <w:rFonts w:ascii="Arial" w:hAnsi="Arial" w:cs="David" w:hint="cs"/>
          <w:b/>
          <w:bCs/>
          <w:rtl/>
        </w:rPr>
        <w:t>הפיננסיות</w:t>
      </w:r>
      <w:r w:rsidR="00F508E4">
        <w:rPr>
          <w:rFonts w:ascii="Arial" w:hAnsi="Arial" w:cs="David" w:hint="cs"/>
          <w:rtl/>
        </w:rPr>
        <w:t xml:space="preserve"> </w:t>
      </w:r>
      <w:r w:rsidR="00F43ABC">
        <w:rPr>
          <w:rFonts w:ascii="Arial" w:hAnsi="Arial" w:cs="David" w:hint="cs"/>
          <w:rtl/>
        </w:rPr>
        <w:t>ירד</w:t>
      </w:r>
      <w:r w:rsidR="00F508E4">
        <w:rPr>
          <w:rFonts w:ascii="Arial" w:hAnsi="Arial" w:cs="David" w:hint="cs"/>
          <w:rtl/>
        </w:rPr>
        <w:t xml:space="preserve"> </w:t>
      </w:r>
      <w:r w:rsidR="000220D7">
        <w:rPr>
          <w:rFonts w:ascii="Arial" w:hAnsi="Arial" w:cs="David" w:hint="cs"/>
          <w:rtl/>
        </w:rPr>
        <w:t xml:space="preserve">משמעותית </w:t>
      </w:r>
      <w:r w:rsidR="006A2664">
        <w:rPr>
          <w:rFonts w:ascii="Arial" w:hAnsi="Arial" w:cs="David" w:hint="cs"/>
          <w:rtl/>
        </w:rPr>
        <w:t xml:space="preserve">במהלך </w:t>
      </w:r>
      <w:r w:rsidR="007A03BA">
        <w:rPr>
          <w:rFonts w:ascii="Arial" w:hAnsi="Arial" w:cs="David" w:hint="cs"/>
          <w:rtl/>
        </w:rPr>
        <w:t>הרביע ה</w:t>
      </w:r>
      <w:r w:rsidR="00F43ABC">
        <w:rPr>
          <w:rFonts w:ascii="Arial" w:hAnsi="Arial" w:cs="David" w:hint="cs"/>
          <w:rtl/>
        </w:rPr>
        <w:t>שלישי</w:t>
      </w:r>
      <w:r w:rsidR="007A03BA">
        <w:rPr>
          <w:rFonts w:ascii="Arial" w:hAnsi="Arial" w:cs="David" w:hint="cs"/>
          <w:rtl/>
        </w:rPr>
        <w:t xml:space="preserve"> של שנת 2015</w:t>
      </w:r>
      <w:r w:rsidR="008B000B" w:rsidRPr="003F3174">
        <w:rPr>
          <w:rFonts w:ascii="Arial" w:hAnsi="Arial" w:cs="David" w:hint="cs"/>
          <w:rtl/>
        </w:rPr>
        <w:t xml:space="preserve"> ב</w:t>
      </w:r>
      <w:r w:rsidR="00C4262A">
        <w:rPr>
          <w:rFonts w:ascii="Arial" w:hAnsi="Arial" w:cs="David" w:hint="cs"/>
          <w:rtl/>
        </w:rPr>
        <w:t>היקף</w:t>
      </w:r>
      <w:r w:rsidR="00F50EC0">
        <w:rPr>
          <w:rFonts w:ascii="Arial" w:hAnsi="Arial" w:cs="David" w:hint="cs"/>
          <w:rtl/>
        </w:rPr>
        <w:t xml:space="preserve"> </w:t>
      </w:r>
      <w:r w:rsidR="008B000B" w:rsidRPr="003F3174">
        <w:rPr>
          <w:rFonts w:ascii="Arial" w:hAnsi="Arial" w:cs="David" w:hint="cs"/>
          <w:rtl/>
        </w:rPr>
        <w:t xml:space="preserve">של </w:t>
      </w:r>
      <w:r w:rsidR="00286BE0">
        <w:rPr>
          <w:rFonts w:ascii="Arial" w:hAnsi="Arial" w:cs="David" w:hint="cs"/>
          <w:rtl/>
        </w:rPr>
        <w:t>כ</w:t>
      </w:r>
      <w:r w:rsidR="00F43ABC">
        <w:rPr>
          <w:rFonts w:ascii="Arial" w:hAnsi="Arial" w:cs="David" w:hint="cs"/>
          <w:rtl/>
        </w:rPr>
        <w:t xml:space="preserve">- </w:t>
      </w:r>
      <w:r w:rsidR="00363D2F">
        <w:rPr>
          <w:rFonts w:ascii="Arial" w:hAnsi="Arial" w:cs="David" w:hint="cs"/>
          <w:rtl/>
        </w:rPr>
        <w:t>5.8</w:t>
      </w:r>
      <w:r w:rsidR="00F43ABC">
        <w:rPr>
          <w:rFonts w:ascii="Arial" w:hAnsi="Arial" w:cs="David" w:hint="cs"/>
          <w:rtl/>
        </w:rPr>
        <w:t xml:space="preserve"> </w:t>
      </w:r>
      <w:r w:rsidR="00286BE0">
        <w:rPr>
          <w:rFonts w:ascii="Arial" w:hAnsi="Arial" w:cs="David" w:hint="cs"/>
          <w:rtl/>
        </w:rPr>
        <w:t>מיליארד</w:t>
      </w:r>
      <w:r w:rsidR="00F43ABC">
        <w:rPr>
          <w:rFonts w:ascii="Arial" w:hAnsi="Arial" w:cs="David" w:hint="cs"/>
          <w:rtl/>
        </w:rPr>
        <w:t>י</w:t>
      </w:r>
      <w:r w:rsidR="00286BE0">
        <w:rPr>
          <w:rFonts w:ascii="Arial" w:hAnsi="Arial" w:cs="David" w:hint="cs"/>
          <w:rtl/>
        </w:rPr>
        <w:t xml:space="preserve"> דולרים</w:t>
      </w:r>
      <w:r w:rsidR="008B000B" w:rsidRPr="003F3174">
        <w:rPr>
          <w:rFonts w:ascii="Arial" w:hAnsi="Arial" w:cs="David" w:hint="cs"/>
          <w:rtl/>
        </w:rPr>
        <w:t xml:space="preserve"> (</w:t>
      </w:r>
      <w:r w:rsidR="00F43ABC">
        <w:rPr>
          <w:rFonts w:ascii="Arial" w:hAnsi="Arial" w:cs="David" w:hint="cs"/>
          <w:rtl/>
        </w:rPr>
        <w:t>8.8</w:t>
      </w:r>
      <w:r w:rsidR="008B000B" w:rsidRPr="003F3174">
        <w:rPr>
          <w:rFonts w:ascii="Arial" w:hAnsi="Arial" w:cs="David" w:hint="cs"/>
          <w:rtl/>
        </w:rPr>
        <w:t>%)</w:t>
      </w:r>
      <w:r w:rsidR="00AF4A83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363D2F">
        <w:rPr>
          <w:rFonts w:ascii="Arial" w:hAnsi="Arial" w:cs="David" w:hint="cs"/>
          <w:rtl/>
        </w:rPr>
        <w:t>בעיקר ירידה</w:t>
      </w:r>
      <w:r w:rsidR="00286BE0">
        <w:rPr>
          <w:rFonts w:ascii="Arial" w:hAnsi="Arial" w:cs="David" w:hint="cs"/>
          <w:rtl/>
        </w:rPr>
        <w:t xml:space="preserve"> </w:t>
      </w:r>
      <w:r w:rsidR="00363D2F">
        <w:rPr>
          <w:rFonts w:ascii="Arial" w:hAnsi="Arial" w:cs="David" w:hint="cs"/>
          <w:rtl/>
        </w:rPr>
        <w:t>ניכרת במחירי המניות הזרות שמחזיקים תושבי ישראל בחו"ל</w:t>
      </w:r>
      <w:r w:rsidR="007A03BA">
        <w:rPr>
          <w:rFonts w:ascii="Arial" w:hAnsi="Arial" w:cs="David" w:hint="cs"/>
          <w:rtl/>
        </w:rPr>
        <w:t xml:space="preserve"> בהיקף של כ-</w:t>
      </w:r>
      <w:r w:rsidR="00363D2F">
        <w:rPr>
          <w:rFonts w:ascii="Arial" w:hAnsi="Arial" w:cs="David" w:hint="cs"/>
          <w:rtl/>
        </w:rPr>
        <w:t>6.4</w:t>
      </w:r>
      <w:r w:rsidR="00286BE0">
        <w:rPr>
          <w:rFonts w:ascii="Arial" w:hAnsi="Arial" w:cs="David" w:hint="cs"/>
          <w:rtl/>
        </w:rPr>
        <w:t xml:space="preserve"> מילי</w:t>
      </w:r>
      <w:r w:rsidR="00363D2F">
        <w:rPr>
          <w:rFonts w:ascii="Arial" w:hAnsi="Arial" w:cs="David" w:hint="cs"/>
          <w:rtl/>
        </w:rPr>
        <w:t>ארד</w:t>
      </w:r>
      <w:r w:rsidR="00286BE0">
        <w:rPr>
          <w:rFonts w:ascii="Arial" w:hAnsi="Arial" w:cs="David" w:hint="cs"/>
          <w:rtl/>
        </w:rPr>
        <w:t xml:space="preserve">י </w:t>
      </w:r>
      <w:r w:rsidR="007A03BA">
        <w:rPr>
          <w:rFonts w:ascii="Arial" w:hAnsi="Arial" w:cs="David" w:hint="cs"/>
          <w:rtl/>
        </w:rPr>
        <w:t xml:space="preserve">דולרים </w:t>
      </w:r>
      <w:r w:rsidR="00F53A13">
        <w:rPr>
          <w:rFonts w:ascii="Arial" w:hAnsi="Arial" w:cs="David" w:hint="cs"/>
          <w:rtl/>
        </w:rPr>
        <w:t>ו</w:t>
      </w:r>
      <w:r w:rsidR="00AF4A83">
        <w:rPr>
          <w:rFonts w:ascii="Arial" w:hAnsi="Arial" w:cs="David" w:hint="cs"/>
          <w:rtl/>
        </w:rPr>
        <w:t xml:space="preserve">זרם </w:t>
      </w:r>
      <w:r w:rsidR="00AF4A83" w:rsidRPr="003F3174">
        <w:rPr>
          <w:rFonts w:ascii="Arial" w:hAnsi="Arial" w:cs="David" w:hint="cs"/>
          <w:rtl/>
        </w:rPr>
        <w:t>השקעות נטו של תושבי ישראל</w:t>
      </w:r>
      <w:r w:rsidR="006A266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 xml:space="preserve">בהיקף </w:t>
      </w:r>
      <w:r w:rsidR="006A2664">
        <w:rPr>
          <w:rFonts w:ascii="Arial" w:hAnsi="Arial" w:cs="David" w:hint="cs"/>
          <w:rtl/>
        </w:rPr>
        <w:t>של כ</w:t>
      </w:r>
      <w:r w:rsidR="00363D2F">
        <w:rPr>
          <w:rFonts w:ascii="Arial" w:hAnsi="Arial" w:cs="David" w:hint="cs"/>
          <w:rtl/>
        </w:rPr>
        <w:t>-280</w:t>
      </w:r>
      <w:r w:rsidRPr="003F3174">
        <w:rPr>
          <w:rFonts w:ascii="Arial" w:hAnsi="Arial" w:cs="David" w:hint="cs"/>
          <w:rtl/>
        </w:rPr>
        <w:t xml:space="preserve"> מילי</w:t>
      </w:r>
      <w:r w:rsidR="00286BE0">
        <w:rPr>
          <w:rFonts w:ascii="Arial" w:hAnsi="Arial" w:cs="David" w:hint="cs"/>
          <w:rtl/>
        </w:rPr>
        <w:t>ונים</w:t>
      </w:r>
      <w:r w:rsidR="006A2664">
        <w:rPr>
          <w:rFonts w:ascii="Arial" w:hAnsi="Arial" w:cs="David" w:hint="cs"/>
          <w:rtl/>
        </w:rPr>
        <w:t>.</w:t>
      </w:r>
    </w:p>
    <w:p w:rsidR="008B000B" w:rsidRPr="003F3174" w:rsidRDefault="00C4262A" w:rsidP="00BD375E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0C0C25">
        <w:rPr>
          <w:rFonts w:ascii="Arial" w:hAnsi="Arial" w:cs="David" w:hint="cs"/>
          <w:b/>
          <w:bCs/>
          <w:rtl/>
        </w:rPr>
        <w:t>יתרת</w:t>
      </w:r>
      <w:r w:rsidR="00AF4A83">
        <w:rPr>
          <w:rFonts w:ascii="Arial" w:hAnsi="Arial" w:cs="David" w:hint="cs"/>
          <w:b/>
          <w:bCs/>
          <w:rtl/>
        </w:rPr>
        <w:t xml:space="preserve"> ההשקעות</w:t>
      </w:r>
      <w:r>
        <w:rPr>
          <w:rFonts w:ascii="Arial" w:hAnsi="Arial" w:cs="David" w:hint="cs"/>
          <w:b/>
          <w:bCs/>
          <w:rtl/>
        </w:rPr>
        <w:t xml:space="preserve"> </w:t>
      </w:r>
      <w:r w:rsidR="00AF4A83">
        <w:rPr>
          <w:rFonts w:ascii="Arial" w:hAnsi="Arial" w:cs="David" w:hint="cs"/>
          <w:b/>
          <w:bCs/>
          <w:rtl/>
        </w:rPr>
        <w:t>ב</w:t>
      </w:r>
      <w:r w:rsidR="007E457E" w:rsidRPr="003F3174">
        <w:rPr>
          <w:rFonts w:ascii="Arial" w:hAnsi="Arial" w:cs="David" w:hint="cs"/>
          <w:b/>
          <w:bCs/>
          <w:rtl/>
        </w:rPr>
        <w:t>אג"ח סחיר בחו"ל</w:t>
      </w:r>
      <w:r w:rsidR="007E457E" w:rsidRPr="003F3174">
        <w:rPr>
          <w:rFonts w:ascii="Arial" w:hAnsi="Arial" w:cs="David" w:hint="cs"/>
          <w:rtl/>
        </w:rPr>
        <w:t xml:space="preserve"> </w:t>
      </w:r>
      <w:r w:rsidR="009E679D">
        <w:rPr>
          <w:rFonts w:ascii="Arial" w:hAnsi="Arial" w:cs="David" w:hint="cs"/>
          <w:rtl/>
        </w:rPr>
        <w:t>ירדה</w:t>
      </w:r>
      <w:r w:rsidR="00010F80">
        <w:rPr>
          <w:rFonts w:ascii="Arial" w:hAnsi="Arial" w:cs="David" w:hint="cs"/>
          <w:rtl/>
        </w:rPr>
        <w:t xml:space="preserve"> </w:t>
      </w:r>
      <w:r w:rsidR="00C44ABB">
        <w:rPr>
          <w:rFonts w:ascii="Arial" w:hAnsi="Arial" w:cs="David" w:hint="cs"/>
          <w:rtl/>
        </w:rPr>
        <w:t xml:space="preserve">במהלך </w:t>
      </w:r>
      <w:r w:rsidR="000C0C25">
        <w:rPr>
          <w:rFonts w:ascii="Arial" w:hAnsi="Arial" w:cs="David" w:hint="cs"/>
          <w:rtl/>
        </w:rPr>
        <w:t>הרביע ה</w:t>
      </w:r>
      <w:r w:rsidR="009E679D">
        <w:rPr>
          <w:rFonts w:ascii="Arial" w:hAnsi="Arial" w:cs="David" w:hint="cs"/>
          <w:rtl/>
        </w:rPr>
        <w:t>שלישי</w:t>
      </w:r>
      <w:r w:rsidR="000C0C25">
        <w:rPr>
          <w:rFonts w:ascii="Arial" w:hAnsi="Arial" w:cs="David" w:hint="cs"/>
          <w:rtl/>
        </w:rPr>
        <w:t xml:space="preserve"> של שנת 2015</w:t>
      </w:r>
      <w:r w:rsidR="00C44ABB">
        <w:rPr>
          <w:rFonts w:ascii="Arial" w:hAnsi="Arial" w:cs="David" w:hint="cs"/>
          <w:rtl/>
        </w:rPr>
        <w:t xml:space="preserve"> ב- </w:t>
      </w:r>
      <w:r w:rsidR="00286BE0">
        <w:rPr>
          <w:rFonts w:ascii="Arial" w:hAnsi="Arial" w:cs="David" w:hint="cs"/>
          <w:rtl/>
        </w:rPr>
        <w:t>1</w:t>
      </w:r>
      <w:r w:rsidR="00C44ABB">
        <w:rPr>
          <w:rFonts w:ascii="Arial" w:hAnsi="Arial" w:cs="David" w:hint="cs"/>
          <w:rtl/>
        </w:rPr>
        <w:t>.</w:t>
      </w:r>
      <w:r w:rsidR="009E679D">
        <w:rPr>
          <w:rFonts w:ascii="Arial" w:hAnsi="Arial" w:cs="David" w:hint="cs"/>
          <w:rtl/>
        </w:rPr>
        <w:t>1</w:t>
      </w:r>
      <w:r w:rsidR="00C44ABB">
        <w:rPr>
          <w:rFonts w:ascii="Arial" w:hAnsi="Arial" w:cs="David" w:hint="cs"/>
          <w:rtl/>
        </w:rPr>
        <w:t xml:space="preserve"> מיליארדי דולרים (</w:t>
      </w:r>
      <w:r w:rsidR="009E679D">
        <w:rPr>
          <w:rFonts w:ascii="Arial" w:hAnsi="Arial" w:cs="David" w:hint="cs"/>
          <w:rtl/>
        </w:rPr>
        <w:t>2.1</w:t>
      </w:r>
      <w:r w:rsidR="00C44ABB">
        <w:rPr>
          <w:rFonts w:ascii="Arial" w:hAnsi="Arial" w:cs="David" w:hint="cs"/>
          <w:rtl/>
        </w:rPr>
        <w:t>%)</w:t>
      </w:r>
      <w:r w:rsidR="0048666F">
        <w:rPr>
          <w:rFonts w:ascii="Arial" w:hAnsi="Arial" w:cs="David" w:hint="cs"/>
          <w:rtl/>
        </w:rPr>
        <w:t>:</w:t>
      </w:r>
      <w:r w:rsidR="00F508E4">
        <w:rPr>
          <w:rFonts w:ascii="Arial" w:hAnsi="Arial" w:cs="David" w:hint="cs"/>
          <w:rtl/>
        </w:rPr>
        <w:t xml:space="preserve"> </w:t>
      </w:r>
      <w:r w:rsidR="000C0C25">
        <w:rPr>
          <w:rFonts w:ascii="Arial" w:hAnsi="Arial" w:cs="David" w:hint="cs"/>
          <w:rtl/>
        </w:rPr>
        <w:t xml:space="preserve">בעיקר </w:t>
      </w:r>
      <w:r w:rsidR="009E679D">
        <w:rPr>
          <w:rFonts w:ascii="Arial" w:hAnsi="Arial" w:cs="David" w:hint="cs"/>
          <w:rtl/>
        </w:rPr>
        <w:t>ירידת מ</w:t>
      </w:r>
      <w:r w:rsidR="00BD375E">
        <w:rPr>
          <w:rFonts w:ascii="Arial" w:hAnsi="Arial" w:cs="David" w:hint="cs"/>
          <w:rtl/>
        </w:rPr>
        <w:t>חירים בהיקף של כ-</w:t>
      </w:r>
      <w:r w:rsidR="009E679D">
        <w:rPr>
          <w:rFonts w:ascii="Arial" w:hAnsi="Arial" w:cs="David" w:hint="cs"/>
          <w:rtl/>
        </w:rPr>
        <w:t>650</w:t>
      </w:r>
      <w:r w:rsidR="00BD375E">
        <w:rPr>
          <w:rFonts w:ascii="Arial" w:hAnsi="Arial" w:cs="David" w:hint="cs"/>
          <w:rtl/>
        </w:rPr>
        <w:t xml:space="preserve"> </w:t>
      </w:r>
      <w:r w:rsidR="009E679D">
        <w:rPr>
          <w:rFonts w:ascii="Arial" w:hAnsi="Arial" w:cs="David" w:hint="cs"/>
          <w:rtl/>
        </w:rPr>
        <w:t>מיליוני דולרים</w:t>
      </w:r>
      <w:r w:rsidR="00BD375E">
        <w:rPr>
          <w:rFonts w:ascii="Arial" w:hAnsi="Arial" w:cs="David" w:hint="cs"/>
          <w:rtl/>
        </w:rPr>
        <w:t xml:space="preserve"> </w:t>
      </w:r>
      <w:r w:rsidR="009E679D">
        <w:rPr>
          <w:rFonts w:ascii="Arial" w:hAnsi="Arial" w:cs="David" w:hint="cs"/>
          <w:rtl/>
        </w:rPr>
        <w:t xml:space="preserve">ומימושים </w:t>
      </w:r>
      <w:r w:rsidR="000C0C25">
        <w:rPr>
          <w:rFonts w:ascii="Arial" w:hAnsi="Arial" w:cs="David" w:hint="cs"/>
          <w:rtl/>
        </w:rPr>
        <w:t>נטו של כ-</w:t>
      </w:r>
      <w:r w:rsidR="009E679D">
        <w:rPr>
          <w:rFonts w:ascii="Arial" w:hAnsi="Arial" w:cs="David" w:hint="cs"/>
          <w:rtl/>
        </w:rPr>
        <w:t>380</w:t>
      </w:r>
      <w:r w:rsidR="000C0C25">
        <w:rPr>
          <w:rFonts w:ascii="Arial" w:hAnsi="Arial" w:cs="David" w:hint="cs"/>
          <w:rtl/>
        </w:rPr>
        <w:t xml:space="preserve"> מילי</w:t>
      </w:r>
      <w:r w:rsidR="009E679D">
        <w:rPr>
          <w:rFonts w:ascii="Arial" w:hAnsi="Arial" w:cs="David" w:hint="cs"/>
          <w:rtl/>
        </w:rPr>
        <w:t>וני</w:t>
      </w:r>
      <w:r w:rsidR="000C0C25">
        <w:rPr>
          <w:rFonts w:ascii="Arial" w:hAnsi="Arial" w:cs="David" w:hint="cs"/>
          <w:rtl/>
        </w:rPr>
        <w:t>ם.</w:t>
      </w:r>
    </w:p>
    <w:p w:rsidR="00551E55" w:rsidRDefault="00F508E4" w:rsidP="00BD375E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 xml:space="preserve">שווי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 xml:space="preserve">השקעות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 w:rsidRPr="00614AF8">
        <w:rPr>
          <w:rFonts w:ascii="Arial" w:hAnsi="Arial" w:cs="David" w:hint="cs"/>
          <w:b/>
          <w:bCs/>
          <w:rtl/>
        </w:rPr>
        <w:t xml:space="preserve">בחו"ל </w:t>
      </w:r>
      <w:r w:rsidR="00614AF8">
        <w:rPr>
          <w:rFonts w:ascii="Arial" w:hAnsi="Arial" w:cs="David" w:hint="cs"/>
          <w:rtl/>
        </w:rPr>
        <w:t>ירד ב</w:t>
      </w:r>
      <w:r w:rsidR="000C0C25">
        <w:rPr>
          <w:rFonts w:ascii="Arial" w:hAnsi="Arial" w:cs="David" w:hint="cs"/>
          <w:rtl/>
        </w:rPr>
        <w:t>רביע ה</w:t>
      </w:r>
      <w:r w:rsidR="000220D7">
        <w:rPr>
          <w:rFonts w:ascii="Arial" w:hAnsi="Arial" w:cs="David" w:hint="cs"/>
          <w:rtl/>
        </w:rPr>
        <w:t>שלישי</w:t>
      </w:r>
      <w:r w:rsidR="000C0C25">
        <w:rPr>
          <w:rFonts w:ascii="Arial" w:hAnsi="Arial" w:cs="David" w:hint="cs"/>
          <w:rtl/>
        </w:rPr>
        <w:t xml:space="preserve"> של שנת 2015</w:t>
      </w:r>
      <w:r w:rsidR="00BD375E">
        <w:rPr>
          <w:rFonts w:ascii="Arial" w:hAnsi="Arial" w:cs="David" w:hint="cs"/>
          <w:rtl/>
        </w:rPr>
        <w:t xml:space="preserve"> בהיקף של 1.2 מיליארדי דולרים (1.9%)</w:t>
      </w:r>
      <w:r w:rsidR="00657198">
        <w:rPr>
          <w:rFonts w:ascii="Arial" w:hAnsi="Arial" w:cs="David" w:hint="cs"/>
          <w:rtl/>
        </w:rPr>
        <w:t>:</w:t>
      </w:r>
      <w:r w:rsidR="00551E55">
        <w:rPr>
          <w:rFonts w:ascii="Arial" w:hAnsi="Arial" w:cs="David" w:hint="cs"/>
          <w:rtl/>
        </w:rPr>
        <w:t xml:space="preserve"> </w:t>
      </w:r>
      <w:r w:rsidR="000220D7">
        <w:rPr>
          <w:rFonts w:ascii="Arial" w:hAnsi="Arial" w:cs="David" w:hint="cs"/>
          <w:rtl/>
        </w:rPr>
        <w:t>ירידה באשראי</w:t>
      </w:r>
      <w:r w:rsidR="00BD375E">
        <w:rPr>
          <w:rFonts w:ascii="Arial" w:hAnsi="Arial" w:cs="David" w:hint="cs"/>
          <w:rtl/>
        </w:rPr>
        <w:t xml:space="preserve"> הלקוחות בהיקף של 1.7 מיליארדים</w:t>
      </w:r>
      <w:r w:rsidR="000220D7">
        <w:rPr>
          <w:rFonts w:ascii="Arial" w:hAnsi="Arial" w:cs="David" w:hint="cs"/>
          <w:rtl/>
        </w:rPr>
        <w:t xml:space="preserve"> ו</w:t>
      </w:r>
      <w:r w:rsidR="00614AF8">
        <w:rPr>
          <w:rFonts w:ascii="Arial" w:hAnsi="Arial" w:cs="David" w:hint="cs"/>
          <w:rtl/>
        </w:rPr>
        <w:t>משיכה נטו מפיקדונות בנקים ישראליים בחו"ל</w:t>
      </w:r>
      <w:r w:rsidR="000C0C25">
        <w:rPr>
          <w:rFonts w:ascii="Arial" w:hAnsi="Arial" w:cs="David" w:hint="cs"/>
          <w:rtl/>
        </w:rPr>
        <w:t xml:space="preserve"> בהיקף של </w:t>
      </w:r>
      <w:r w:rsidR="000220D7">
        <w:rPr>
          <w:rFonts w:ascii="Arial" w:hAnsi="Arial" w:cs="David" w:hint="cs"/>
          <w:rtl/>
        </w:rPr>
        <w:t>940</w:t>
      </w:r>
      <w:r w:rsidR="000C0C25">
        <w:rPr>
          <w:rFonts w:ascii="Arial" w:hAnsi="Arial" w:cs="David" w:hint="cs"/>
          <w:rtl/>
        </w:rPr>
        <w:t xml:space="preserve"> מילי</w:t>
      </w:r>
      <w:r w:rsidR="000220D7">
        <w:rPr>
          <w:rFonts w:ascii="Arial" w:hAnsi="Arial" w:cs="David" w:hint="cs"/>
          <w:rtl/>
        </w:rPr>
        <w:t>ונ</w:t>
      </w:r>
      <w:r w:rsidR="000C0C25">
        <w:rPr>
          <w:rFonts w:ascii="Arial" w:hAnsi="Arial" w:cs="David" w:hint="cs"/>
          <w:rtl/>
        </w:rPr>
        <w:t>י</w:t>
      </w:r>
      <w:r w:rsidR="000220D7">
        <w:rPr>
          <w:rFonts w:ascii="Arial" w:hAnsi="Arial" w:cs="David" w:hint="cs"/>
          <w:rtl/>
        </w:rPr>
        <w:t xml:space="preserve"> דולרים</w:t>
      </w:r>
      <w:r w:rsidR="00BD375E">
        <w:rPr>
          <w:rFonts w:ascii="Arial" w:hAnsi="Arial" w:cs="David" w:hint="cs"/>
          <w:rtl/>
        </w:rPr>
        <w:t xml:space="preserve">. </w:t>
      </w:r>
      <w:r w:rsidR="00614AF8">
        <w:rPr>
          <w:rFonts w:ascii="Arial" w:hAnsi="Arial" w:cs="David" w:hint="cs"/>
          <w:rtl/>
        </w:rPr>
        <w:t xml:space="preserve"> </w:t>
      </w:r>
      <w:r w:rsidR="00BD375E" w:rsidRPr="00B73E64">
        <w:rPr>
          <w:rFonts w:ascii="Arial" w:hAnsi="Arial" w:cs="David" w:hint="cs"/>
          <w:rtl/>
        </w:rPr>
        <w:t>השפעות אלה קוזזו בחלקן על ידי</w:t>
      </w:r>
      <w:r w:rsidR="00BD375E">
        <w:rPr>
          <w:rFonts w:ascii="Arial" w:hAnsi="Arial" w:cs="David" w:hint="cs"/>
          <w:rtl/>
        </w:rPr>
        <w:t xml:space="preserve"> הפקדות נטו של תושבי ישראל בחשבונות בחו"ל בהיקף של 1.4 מיליארדי דולרים.</w:t>
      </w:r>
    </w:p>
    <w:p w:rsidR="00D95369" w:rsidRPr="003F3174" w:rsidRDefault="00D95369" w:rsidP="00324845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D95369">
        <w:rPr>
          <w:rFonts w:ascii="Arial" w:hAnsi="Arial" w:cs="David"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</w:t>
      </w:r>
      <w:r w:rsidR="00045562">
        <w:rPr>
          <w:rFonts w:ascii="Arial" w:hAnsi="Arial" w:cs="David" w:hint="cs"/>
          <w:rtl/>
        </w:rPr>
        <w:t xml:space="preserve">עלה </w:t>
      </w:r>
      <w:r w:rsidR="002C4C56">
        <w:rPr>
          <w:rFonts w:ascii="Arial" w:hAnsi="Arial" w:cs="David" w:hint="cs"/>
          <w:rtl/>
        </w:rPr>
        <w:t>ברביע ה</w:t>
      </w:r>
      <w:r w:rsidR="00045562">
        <w:rPr>
          <w:rFonts w:ascii="Arial" w:hAnsi="Arial" w:cs="David" w:hint="cs"/>
          <w:rtl/>
        </w:rPr>
        <w:t>ש</w:t>
      </w:r>
      <w:r w:rsidR="00477F7E">
        <w:rPr>
          <w:rFonts w:ascii="Arial" w:hAnsi="Arial" w:cs="David" w:hint="cs"/>
          <w:rtl/>
        </w:rPr>
        <w:t>לישי</w:t>
      </w:r>
      <w:r w:rsidR="002C4C56">
        <w:rPr>
          <w:rFonts w:ascii="Arial" w:hAnsi="Arial" w:cs="David" w:hint="cs"/>
          <w:rtl/>
        </w:rPr>
        <w:t xml:space="preserve"> של שנת 2015</w:t>
      </w:r>
      <w:r w:rsidR="00657198">
        <w:rPr>
          <w:rFonts w:ascii="Arial" w:hAnsi="Arial" w:cs="David" w:hint="cs"/>
          <w:rtl/>
        </w:rPr>
        <w:t xml:space="preserve"> </w:t>
      </w:r>
      <w:r w:rsidR="00D13C77">
        <w:rPr>
          <w:rFonts w:ascii="Arial" w:hAnsi="Arial" w:cs="David" w:hint="cs"/>
          <w:rtl/>
        </w:rPr>
        <w:t>בכ-</w:t>
      </w:r>
      <w:r w:rsidR="00477F7E">
        <w:rPr>
          <w:rFonts w:ascii="Arial" w:hAnsi="Arial" w:cs="David" w:hint="cs"/>
          <w:rtl/>
        </w:rPr>
        <w:t xml:space="preserve">1.3 </w:t>
      </w:r>
      <w:r w:rsidR="00D13C77">
        <w:rPr>
          <w:rFonts w:ascii="Arial" w:hAnsi="Arial" w:cs="David" w:hint="cs"/>
          <w:rtl/>
        </w:rPr>
        <w:t>מילי</w:t>
      </w:r>
      <w:r w:rsidR="0063625C">
        <w:rPr>
          <w:rFonts w:ascii="Arial" w:hAnsi="Arial" w:cs="David" w:hint="cs"/>
          <w:rtl/>
        </w:rPr>
        <w:t>ארד</w:t>
      </w:r>
      <w:r w:rsidR="00657198">
        <w:rPr>
          <w:rFonts w:ascii="Arial" w:hAnsi="Arial" w:cs="David" w:hint="cs"/>
          <w:rtl/>
        </w:rPr>
        <w:t>י דולרים</w:t>
      </w:r>
      <w:r w:rsidR="00B87EFF">
        <w:rPr>
          <w:rFonts w:ascii="Arial" w:hAnsi="Arial" w:cs="David" w:hint="cs"/>
          <w:rtl/>
        </w:rPr>
        <w:t xml:space="preserve"> (</w:t>
      </w:r>
      <w:r w:rsidR="00477F7E">
        <w:rPr>
          <w:rFonts w:ascii="Arial" w:hAnsi="Arial" w:cs="David" w:hint="cs"/>
          <w:rtl/>
        </w:rPr>
        <w:t>1.5</w:t>
      </w:r>
      <w:r w:rsidR="00B87EFF">
        <w:rPr>
          <w:rFonts w:ascii="Arial" w:hAnsi="Arial" w:cs="David" w:hint="cs"/>
          <w:rtl/>
        </w:rPr>
        <w:t>%)</w:t>
      </w:r>
      <w:r w:rsidR="00657198">
        <w:rPr>
          <w:rFonts w:ascii="Arial" w:hAnsi="Arial" w:cs="David" w:hint="cs"/>
          <w:rtl/>
        </w:rPr>
        <w:t>:</w:t>
      </w:r>
      <w:r w:rsidR="00D13C77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>רכישות</w:t>
      </w:r>
      <w:r w:rsidR="003C2C27">
        <w:rPr>
          <w:rFonts w:ascii="Arial" w:hAnsi="Arial" w:cs="David" w:hint="cs"/>
          <w:rtl/>
        </w:rPr>
        <w:t xml:space="preserve"> מט"ח של בנק ישראל</w:t>
      </w:r>
      <w:r w:rsidR="00657198">
        <w:rPr>
          <w:rFonts w:ascii="Arial" w:hAnsi="Arial" w:cs="David" w:hint="cs"/>
          <w:rtl/>
        </w:rPr>
        <w:t xml:space="preserve"> בסך של </w:t>
      </w:r>
      <w:r w:rsidR="00222CE4">
        <w:rPr>
          <w:rFonts w:ascii="Arial" w:hAnsi="Arial" w:cs="David" w:hint="cs"/>
          <w:rtl/>
        </w:rPr>
        <w:t>1.9</w:t>
      </w:r>
      <w:r w:rsidR="005F1EFF">
        <w:rPr>
          <w:rFonts w:ascii="Arial" w:hAnsi="Arial" w:cs="David" w:hint="cs"/>
          <w:rtl/>
        </w:rPr>
        <w:t xml:space="preserve"> </w:t>
      </w:r>
      <w:r w:rsidR="00222CE4">
        <w:rPr>
          <w:rFonts w:ascii="Arial" w:hAnsi="Arial" w:cs="David" w:hint="cs"/>
          <w:rtl/>
        </w:rPr>
        <w:t xml:space="preserve">מיליארדי דולרים אשר קוזזו בחלקן ע"י שיערוך </w:t>
      </w:r>
      <w:r w:rsidR="00222CE4" w:rsidRPr="00BC4ED6">
        <w:rPr>
          <w:rFonts w:ascii="Arial" w:hAnsi="Arial" w:cs="David"/>
          <w:rtl/>
        </w:rPr>
        <w:t xml:space="preserve">יתרות מטבע חוץ </w:t>
      </w:r>
      <w:r w:rsidR="00955731">
        <w:rPr>
          <w:rFonts w:ascii="Arial" w:hAnsi="Arial" w:cs="David" w:hint="cs"/>
          <w:rtl/>
        </w:rPr>
        <w:t>והשפעת ה</w:t>
      </w:r>
      <w:r w:rsidR="00324845">
        <w:rPr>
          <w:rFonts w:ascii="Arial" w:hAnsi="Arial" w:cs="David" w:hint="cs"/>
          <w:rtl/>
        </w:rPr>
        <w:t>יחלשות</w:t>
      </w:r>
      <w:r w:rsidR="00955731">
        <w:rPr>
          <w:rFonts w:ascii="Arial" w:hAnsi="Arial" w:cs="David" w:hint="cs"/>
          <w:rtl/>
        </w:rPr>
        <w:t xml:space="preserve"> ה</w:t>
      </w:r>
      <w:r w:rsidR="00324845">
        <w:rPr>
          <w:rFonts w:ascii="Arial" w:hAnsi="Arial" w:cs="David" w:hint="cs"/>
          <w:rtl/>
        </w:rPr>
        <w:t>שקל</w:t>
      </w:r>
      <w:r w:rsidR="00955731">
        <w:rPr>
          <w:rFonts w:ascii="Arial" w:hAnsi="Arial" w:cs="David" w:hint="cs"/>
          <w:rtl/>
        </w:rPr>
        <w:t xml:space="preserve"> מול המטבעות העיקריים </w:t>
      </w:r>
      <w:r w:rsidR="00222CE4" w:rsidRPr="00BC4ED6">
        <w:rPr>
          <w:rFonts w:ascii="Arial" w:hAnsi="Arial" w:cs="David"/>
          <w:rtl/>
        </w:rPr>
        <w:t>ב</w:t>
      </w:r>
      <w:r w:rsidR="00955731">
        <w:rPr>
          <w:rFonts w:ascii="Arial" w:hAnsi="Arial" w:cs="David" w:hint="cs"/>
          <w:rtl/>
        </w:rPr>
        <w:t>היקף כולל</w:t>
      </w:r>
      <w:r w:rsidR="00222CE4" w:rsidRPr="00BC4ED6">
        <w:rPr>
          <w:rFonts w:ascii="Arial" w:hAnsi="Arial" w:cs="David"/>
          <w:rtl/>
        </w:rPr>
        <w:t xml:space="preserve"> </w:t>
      </w:r>
      <w:r w:rsidR="00222CE4">
        <w:rPr>
          <w:rFonts w:ascii="Arial" w:hAnsi="Arial" w:cs="David" w:hint="cs"/>
          <w:rtl/>
        </w:rPr>
        <w:t>של כ-</w:t>
      </w:r>
      <w:r w:rsidR="00955731">
        <w:rPr>
          <w:rFonts w:ascii="Arial" w:hAnsi="Arial" w:cs="David" w:hint="cs"/>
          <w:rtl/>
        </w:rPr>
        <w:t>60</w:t>
      </w:r>
      <w:r w:rsidR="00222CE4">
        <w:rPr>
          <w:rFonts w:ascii="Arial" w:hAnsi="Arial" w:cs="David" w:hint="cs"/>
          <w:rtl/>
        </w:rPr>
        <w:t>0  מיליונים.</w:t>
      </w:r>
    </w:p>
    <w:p w:rsidR="0029548E" w:rsidRDefault="003D1887" w:rsidP="002E7CAF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7E09F3">
        <w:rPr>
          <w:rFonts w:ascii="Arial" w:hAnsi="Arial" w:cs="David" w:hint="cs"/>
          <w:b/>
          <w:bCs/>
          <w:rtl/>
        </w:rPr>
        <w:t>ב</w:t>
      </w:r>
      <w:r w:rsidR="002E46BC" w:rsidRPr="007E09F3">
        <w:rPr>
          <w:rFonts w:ascii="Arial" w:hAnsi="Arial" w:cs="David" w:hint="cs"/>
          <w:b/>
          <w:bCs/>
          <w:rtl/>
        </w:rPr>
        <w:t xml:space="preserve">הרכב </w:t>
      </w:r>
      <w:r w:rsidR="008D27F1">
        <w:rPr>
          <w:rFonts w:ascii="Arial" w:hAnsi="Arial" w:cs="David" w:hint="cs"/>
          <w:b/>
          <w:bCs/>
          <w:rtl/>
        </w:rPr>
        <w:t>הנכסים</w:t>
      </w:r>
      <w:r w:rsidR="002E46BC" w:rsidRPr="007E09F3">
        <w:rPr>
          <w:rFonts w:ascii="Arial" w:hAnsi="Arial" w:cs="David" w:hint="cs"/>
          <w:b/>
          <w:bCs/>
          <w:rtl/>
        </w:rPr>
        <w:t xml:space="preserve"> בחו"ל</w:t>
      </w:r>
      <w:r w:rsidR="005259F9" w:rsidRPr="007E09F3">
        <w:rPr>
          <w:rFonts w:ascii="Arial" w:hAnsi="Arial" w:cs="David" w:hint="cs"/>
          <w:rtl/>
        </w:rPr>
        <w:t xml:space="preserve"> </w:t>
      </w:r>
      <w:r w:rsidR="00C038EE" w:rsidRPr="007E09F3">
        <w:rPr>
          <w:rFonts w:ascii="Arial" w:hAnsi="Arial" w:cs="David" w:hint="cs"/>
          <w:rtl/>
        </w:rPr>
        <w:t xml:space="preserve"> </w:t>
      </w:r>
      <w:r w:rsidR="00B23169">
        <w:rPr>
          <w:rFonts w:ascii="Arial" w:hAnsi="Arial" w:cs="David" w:hint="cs"/>
          <w:rtl/>
        </w:rPr>
        <w:t xml:space="preserve">חלה </w:t>
      </w:r>
      <w:r w:rsidR="002E7CAF">
        <w:rPr>
          <w:rFonts w:ascii="Arial" w:hAnsi="Arial" w:cs="David" w:hint="cs"/>
          <w:rtl/>
        </w:rPr>
        <w:t>עלייה</w:t>
      </w:r>
      <w:r w:rsidR="007E09F3" w:rsidRPr="007E09F3">
        <w:rPr>
          <w:rFonts w:ascii="Arial" w:hAnsi="Arial" w:cs="David" w:hint="cs"/>
          <w:rtl/>
        </w:rPr>
        <w:t xml:space="preserve"> </w:t>
      </w:r>
      <w:r w:rsidR="006443DA" w:rsidRPr="007E09F3">
        <w:rPr>
          <w:rFonts w:ascii="Arial" w:hAnsi="Arial" w:cs="David" w:hint="cs"/>
          <w:rtl/>
        </w:rPr>
        <w:t>ברבעון ה</w:t>
      </w:r>
      <w:r w:rsidR="00B23169">
        <w:rPr>
          <w:rFonts w:ascii="Arial" w:hAnsi="Arial" w:cs="David" w:hint="cs"/>
          <w:rtl/>
        </w:rPr>
        <w:t>ש</w:t>
      </w:r>
      <w:r w:rsidR="002E7CAF">
        <w:rPr>
          <w:rFonts w:ascii="Arial" w:hAnsi="Arial" w:cs="David" w:hint="cs"/>
          <w:rtl/>
        </w:rPr>
        <w:t>ליש</w:t>
      </w:r>
      <w:r w:rsidR="00B23169">
        <w:rPr>
          <w:rFonts w:ascii="Arial" w:hAnsi="Arial" w:cs="David" w:hint="cs"/>
          <w:rtl/>
        </w:rPr>
        <w:t>י</w:t>
      </w:r>
      <w:r w:rsidR="006443DA" w:rsidRPr="007E09F3">
        <w:rPr>
          <w:rFonts w:ascii="Arial" w:hAnsi="Arial" w:cs="David" w:hint="cs"/>
          <w:rtl/>
        </w:rPr>
        <w:t xml:space="preserve"> של שנת 2015</w:t>
      </w:r>
      <w:r w:rsidR="007E09F3" w:rsidRPr="007E09F3">
        <w:rPr>
          <w:rFonts w:ascii="Arial" w:hAnsi="Arial" w:cs="David" w:hint="cs"/>
          <w:rtl/>
        </w:rPr>
        <w:t xml:space="preserve"> במשקלם של </w:t>
      </w:r>
      <w:r w:rsidR="002E7CAF">
        <w:rPr>
          <w:rFonts w:ascii="Arial" w:hAnsi="Arial" w:cs="David" w:hint="cs"/>
          <w:rtl/>
        </w:rPr>
        <w:t>ההשקעות הישירות</w:t>
      </w:r>
      <w:r w:rsidR="005F1EFF">
        <w:rPr>
          <w:rFonts w:ascii="Arial" w:hAnsi="Arial" w:cs="David" w:hint="cs"/>
          <w:rtl/>
        </w:rPr>
        <w:t>,</w:t>
      </w:r>
      <w:r w:rsidR="00B23169">
        <w:rPr>
          <w:rFonts w:ascii="Arial" w:hAnsi="Arial" w:cs="David" w:hint="cs"/>
          <w:rtl/>
        </w:rPr>
        <w:t xml:space="preserve"> </w:t>
      </w:r>
      <w:r w:rsidR="002E7CAF">
        <w:rPr>
          <w:rFonts w:ascii="Arial" w:hAnsi="Arial" w:cs="David" w:hint="cs"/>
          <w:rtl/>
        </w:rPr>
        <w:t>בהמשך לעלייה במשקלם ברבעון הקודם</w:t>
      </w:r>
      <w:r w:rsidR="00B23169">
        <w:rPr>
          <w:rFonts w:ascii="Arial" w:hAnsi="Arial" w:cs="David" w:hint="cs"/>
          <w:rtl/>
        </w:rPr>
        <w:t>. מנגד,</w:t>
      </w:r>
      <w:r w:rsidR="007E09F3" w:rsidRPr="007E09F3">
        <w:rPr>
          <w:rFonts w:ascii="Arial" w:hAnsi="Arial" w:cs="David" w:hint="cs"/>
          <w:rtl/>
        </w:rPr>
        <w:t xml:space="preserve"> </w:t>
      </w:r>
      <w:r w:rsidR="002E7CAF">
        <w:rPr>
          <w:rFonts w:ascii="Arial" w:hAnsi="Arial" w:cs="David" w:hint="cs"/>
          <w:rtl/>
        </w:rPr>
        <w:t xml:space="preserve">חלה ירידה </w:t>
      </w:r>
      <w:r w:rsidR="007E09F3" w:rsidRPr="007E09F3">
        <w:rPr>
          <w:rFonts w:ascii="Arial" w:hAnsi="Arial" w:cs="David" w:hint="cs"/>
          <w:rtl/>
        </w:rPr>
        <w:t xml:space="preserve">במשקלם של ההשקעות </w:t>
      </w:r>
      <w:r w:rsidR="002E7CAF">
        <w:rPr>
          <w:rFonts w:ascii="Arial" w:hAnsi="Arial" w:cs="David" w:hint="cs"/>
          <w:rtl/>
        </w:rPr>
        <w:t xml:space="preserve">במניות פיננסיות, בניגוד לעלייה במשקלם בשני הרבעונים שקדמו לכך </w:t>
      </w:r>
      <w:r w:rsidR="00467F09" w:rsidRPr="007E09F3">
        <w:rPr>
          <w:rFonts w:ascii="Arial" w:hAnsi="Arial" w:cs="David" w:hint="cs"/>
          <w:rtl/>
        </w:rPr>
        <w:t xml:space="preserve">(תרשים </w:t>
      </w:r>
      <w:r w:rsidR="00FC5E45" w:rsidRPr="007E09F3">
        <w:rPr>
          <w:rFonts w:ascii="Arial" w:hAnsi="Arial" w:cs="David" w:hint="cs"/>
          <w:rtl/>
        </w:rPr>
        <w:t>2</w:t>
      </w:r>
      <w:r w:rsidR="00467F09" w:rsidRPr="007E09F3">
        <w:rPr>
          <w:rFonts w:ascii="Arial" w:hAnsi="Arial" w:cs="David" w:hint="cs"/>
          <w:rtl/>
        </w:rPr>
        <w:t>).</w:t>
      </w:r>
      <w:r w:rsidR="00467F09">
        <w:rPr>
          <w:rFonts w:ascii="Arial" w:hAnsi="Arial" w:cs="David" w:hint="cs"/>
          <w:rtl/>
        </w:rPr>
        <w:t xml:space="preserve"> </w:t>
      </w:r>
    </w:p>
    <w:p w:rsidR="00333E3E" w:rsidRPr="00781463" w:rsidRDefault="00360AB1" w:rsidP="0004499D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>
            <wp:extent cx="6264275" cy="4100830"/>
            <wp:effectExtent l="0" t="0" r="3175" b="0"/>
            <wp:docPr id="55" name="תמונה 55" descr="תרשים 2: הרכב תיק הנכסים של תושבי ישראל בחו&quot;ל" title="תרשים 2: הרכב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10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908" w:rsidRPr="00360AB1" w:rsidRDefault="00393B21" w:rsidP="00360AB1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David" w:hint="cs"/>
          <w:rtl/>
        </w:rPr>
      </w:pPr>
      <w:r w:rsidRPr="00360AB1">
        <w:rPr>
          <w:rFonts w:ascii="Arial" w:hAnsi="Arial" w:cs="David" w:hint="cs"/>
          <w:b/>
          <w:bCs/>
          <w:rtl/>
        </w:rPr>
        <w:lastRenderedPageBreak/>
        <w:t>יתרת ההתחייבויו</w:t>
      </w:r>
      <w:r w:rsidRPr="00360AB1">
        <w:rPr>
          <w:rFonts w:ascii="Arial" w:hAnsi="Arial" w:cs="David" w:hint="eastAsia"/>
          <w:b/>
          <w:bCs/>
          <w:rtl/>
        </w:rPr>
        <w:t>ת</w:t>
      </w:r>
      <w:r w:rsidRPr="00360AB1">
        <w:rPr>
          <w:rFonts w:ascii="Arial" w:hAnsi="Arial" w:cs="David" w:hint="cs"/>
          <w:b/>
          <w:bCs/>
          <w:rtl/>
        </w:rPr>
        <w:t xml:space="preserve"> של המשק לחו"ל</w:t>
      </w:r>
      <w:r w:rsidRPr="00360AB1">
        <w:rPr>
          <w:rFonts w:ascii="Arial" w:hAnsi="Arial" w:cs="David" w:hint="cs"/>
          <w:rtl/>
        </w:rPr>
        <w:t xml:space="preserve"> </w:t>
      </w:r>
      <w:r w:rsidR="005F3187" w:rsidRPr="00360AB1">
        <w:rPr>
          <w:rFonts w:ascii="Arial" w:hAnsi="Arial" w:cs="David" w:hint="cs"/>
          <w:rtl/>
        </w:rPr>
        <w:t>ירדה</w:t>
      </w:r>
      <w:r w:rsidR="007622E4" w:rsidRPr="00360AB1">
        <w:rPr>
          <w:rFonts w:ascii="Arial" w:hAnsi="Arial" w:cs="David" w:hint="cs"/>
          <w:rtl/>
        </w:rPr>
        <w:t xml:space="preserve"> </w:t>
      </w:r>
      <w:r w:rsidR="00205E8F" w:rsidRPr="00360AB1">
        <w:rPr>
          <w:rFonts w:ascii="Arial" w:hAnsi="Arial" w:cs="David" w:hint="cs"/>
          <w:rtl/>
        </w:rPr>
        <w:t xml:space="preserve">במהלך </w:t>
      </w:r>
      <w:r w:rsidR="007E09F3" w:rsidRPr="00360AB1">
        <w:rPr>
          <w:rFonts w:ascii="Arial" w:hAnsi="Arial" w:cs="David" w:hint="cs"/>
          <w:rtl/>
        </w:rPr>
        <w:t>הרביע ה</w:t>
      </w:r>
      <w:r w:rsidR="005F3187" w:rsidRPr="00360AB1">
        <w:rPr>
          <w:rFonts w:ascii="Arial" w:hAnsi="Arial" w:cs="David" w:hint="cs"/>
          <w:rtl/>
        </w:rPr>
        <w:t>ש</w:t>
      </w:r>
      <w:r w:rsidR="00F75CD1" w:rsidRPr="00360AB1">
        <w:rPr>
          <w:rFonts w:ascii="Arial" w:hAnsi="Arial" w:cs="David" w:hint="cs"/>
          <w:rtl/>
        </w:rPr>
        <w:t>ליש</w:t>
      </w:r>
      <w:r w:rsidR="005F3187" w:rsidRPr="00360AB1">
        <w:rPr>
          <w:rFonts w:ascii="Arial" w:hAnsi="Arial" w:cs="David" w:hint="cs"/>
          <w:rtl/>
        </w:rPr>
        <w:t>י</w:t>
      </w:r>
      <w:r w:rsidR="007E09F3" w:rsidRPr="00360AB1">
        <w:rPr>
          <w:rFonts w:ascii="Arial" w:hAnsi="Arial" w:cs="David" w:hint="cs"/>
          <w:rtl/>
        </w:rPr>
        <w:t xml:space="preserve"> של </w:t>
      </w:r>
      <w:r w:rsidR="00255131" w:rsidRPr="00360AB1">
        <w:rPr>
          <w:rFonts w:ascii="Arial" w:hAnsi="Arial" w:cs="David" w:hint="cs"/>
          <w:rtl/>
        </w:rPr>
        <w:t xml:space="preserve">שנת </w:t>
      </w:r>
      <w:r w:rsidR="007E09F3" w:rsidRPr="00360AB1">
        <w:rPr>
          <w:rFonts w:ascii="Arial" w:hAnsi="Arial" w:cs="David" w:hint="cs"/>
          <w:rtl/>
        </w:rPr>
        <w:t>2015</w:t>
      </w:r>
      <w:r w:rsidR="000C4143" w:rsidRPr="00360AB1">
        <w:rPr>
          <w:rFonts w:ascii="Arial" w:hAnsi="Arial" w:cs="David" w:hint="cs"/>
          <w:b/>
          <w:bCs/>
          <w:rtl/>
        </w:rPr>
        <w:t xml:space="preserve"> </w:t>
      </w:r>
      <w:r w:rsidR="0055104F" w:rsidRPr="00360AB1">
        <w:rPr>
          <w:rFonts w:ascii="Arial" w:hAnsi="Arial" w:cs="David" w:hint="cs"/>
          <w:rtl/>
        </w:rPr>
        <w:t>ב</w:t>
      </w:r>
      <w:r w:rsidR="0094686C" w:rsidRPr="00360AB1">
        <w:rPr>
          <w:rFonts w:ascii="Arial" w:hAnsi="Arial" w:cs="David" w:hint="cs"/>
          <w:rtl/>
        </w:rPr>
        <w:t xml:space="preserve">- 8.2 </w:t>
      </w:r>
      <w:r w:rsidR="0055104F" w:rsidRPr="00360AB1">
        <w:rPr>
          <w:rFonts w:ascii="Arial" w:hAnsi="Arial" w:cs="David" w:hint="cs"/>
          <w:rtl/>
        </w:rPr>
        <w:t>מיליארד</w:t>
      </w:r>
      <w:r w:rsidR="0094686C" w:rsidRPr="00360AB1">
        <w:rPr>
          <w:rFonts w:ascii="Arial" w:hAnsi="Arial" w:cs="David" w:hint="cs"/>
          <w:rtl/>
        </w:rPr>
        <w:t>י</w:t>
      </w:r>
      <w:r w:rsidR="0055104F" w:rsidRPr="00360AB1">
        <w:rPr>
          <w:rFonts w:ascii="Arial" w:hAnsi="Arial" w:cs="David" w:hint="cs"/>
          <w:rtl/>
        </w:rPr>
        <w:t xml:space="preserve"> דולרים</w:t>
      </w:r>
      <w:r w:rsidR="001B5E81" w:rsidRPr="00360AB1">
        <w:rPr>
          <w:rFonts w:ascii="Arial" w:hAnsi="Arial" w:cs="David" w:hint="cs"/>
          <w:rtl/>
        </w:rPr>
        <w:t xml:space="preserve"> (</w:t>
      </w:r>
      <w:r w:rsidR="0094686C" w:rsidRPr="00360AB1">
        <w:rPr>
          <w:rFonts w:ascii="Arial" w:hAnsi="Arial" w:cs="David" w:hint="cs"/>
          <w:rtl/>
        </w:rPr>
        <w:t>3</w:t>
      </w:r>
      <w:r w:rsidR="001B5E81" w:rsidRPr="00360AB1">
        <w:rPr>
          <w:rFonts w:ascii="Arial" w:hAnsi="Arial" w:cs="David" w:hint="cs"/>
          <w:rtl/>
        </w:rPr>
        <w:t>%)</w:t>
      </w:r>
      <w:r w:rsidR="00057AF1" w:rsidRPr="00360AB1">
        <w:rPr>
          <w:rFonts w:ascii="Arial" w:hAnsi="Arial" w:cs="David" w:hint="cs"/>
          <w:rtl/>
        </w:rPr>
        <w:t xml:space="preserve"> ועמדה בסוף </w:t>
      </w:r>
      <w:r w:rsidR="0094686C" w:rsidRPr="00360AB1">
        <w:rPr>
          <w:rFonts w:ascii="Arial" w:hAnsi="Arial" w:cs="David" w:hint="cs"/>
          <w:rtl/>
        </w:rPr>
        <w:t>ספטמבר</w:t>
      </w:r>
      <w:r w:rsidR="00057AF1" w:rsidRPr="00360AB1">
        <w:rPr>
          <w:rFonts w:ascii="Arial" w:hAnsi="Arial" w:cs="David" w:hint="cs"/>
          <w:rtl/>
        </w:rPr>
        <w:t xml:space="preserve"> על כ-</w:t>
      </w:r>
      <w:r w:rsidR="0094686C" w:rsidRPr="00360AB1">
        <w:rPr>
          <w:rFonts w:ascii="Arial" w:hAnsi="Arial" w:cs="David" w:hint="cs"/>
          <w:rtl/>
        </w:rPr>
        <w:t>268</w:t>
      </w:r>
      <w:r w:rsidR="00057AF1" w:rsidRPr="00360AB1">
        <w:rPr>
          <w:rFonts w:ascii="Arial" w:hAnsi="Arial" w:cs="David" w:hint="cs"/>
          <w:rtl/>
        </w:rPr>
        <w:t xml:space="preserve"> מיליארדי</w:t>
      </w:r>
      <w:r w:rsidR="00461EB6" w:rsidRPr="00360AB1">
        <w:rPr>
          <w:rFonts w:ascii="Arial" w:hAnsi="Arial" w:cs="David" w:hint="cs"/>
          <w:rtl/>
        </w:rPr>
        <w:t>ם</w:t>
      </w:r>
      <w:r w:rsidR="00633A72" w:rsidRPr="00360AB1">
        <w:rPr>
          <w:rFonts w:ascii="Arial" w:hAnsi="Arial" w:cs="David" w:hint="cs"/>
          <w:rtl/>
        </w:rPr>
        <w:t>: ב</w:t>
      </w:r>
      <w:r w:rsidR="00057AF1" w:rsidRPr="00360AB1">
        <w:rPr>
          <w:rFonts w:ascii="Arial" w:hAnsi="Arial" w:cs="David" w:hint="cs"/>
          <w:rtl/>
        </w:rPr>
        <w:t>עיקר</w:t>
      </w:r>
      <w:r w:rsidR="005324F5" w:rsidRPr="00360AB1">
        <w:rPr>
          <w:rFonts w:ascii="Arial" w:hAnsi="Arial" w:cs="David" w:hint="cs"/>
          <w:rtl/>
        </w:rPr>
        <w:t xml:space="preserve"> </w:t>
      </w:r>
      <w:r w:rsidR="005F3187" w:rsidRPr="00360AB1">
        <w:rPr>
          <w:rFonts w:ascii="Arial" w:hAnsi="Arial" w:cs="David" w:hint="cs"/>
          <w:rtl/>
        </w:rPr>
        <w:t>ירידה</w:t>
      </w:r>
      <w:r w:rsidR="003C2C27" w:rsidRPr="00360AB1">
        <w:rPr>
          <w:rFonts w:ascii="Arial" w:hAnsi="Arial" w:cs="David" w:hint="cs"/>
          <w:rtl/>
        </w:rPr>
        <w:t xml:space="preserve"> ניכרת</w:t>
      </w:r>
      <w:r w:rsidR="00BA7343" w:rsidRPr="00360AB1">
        <w:rPr>
          <w:rFonts w:ascii="Arial" w:hAnsi="Arial" w:cs="David" w:hint="cs"/>
          <w:rtl/>
        </w:rPr>
        <w:t xml:space="preserve"> </w:t>
      </w:r>
      <w:r w:rsidR="003C2C27" w:rsidRPr="00360AB1">
        <w:rPr>
          <w:rFonts w:ascii="Arial" w:hAnsi="Arial" w:cs="David" w:hint="cs"/>
          <w:rtl/>
        </w:rPr>
        <w:t>ב</w:t>
      </w:r>
      <w:r w:rsidR="00AA4DF3" w:rsidRPr="00360AB1">
        <w:rPr>
          <w:rFonts w:ascii="Arial" w:hAnsi="Arial" w:cs="David" w:hint="cs"/>
          <w:rtl/>
        </w:rPr>
        <w:t>מחירי המניות הישראליות שמחזיקים תושבי חוץ</w:t>
      </w:r>
      <w:r w:rsidR="0094686C" w:rsidRPr="00360AB1">
        <w:rPr>
          <w:rFonts w:ascii="Arial" w:hAnsi="Arial" w:cs="David" w:hint="cs"/>
          <w:rtl/>
        </w:rPr>
        <w:t xml:space="preserve"> במקביל ל</w:t>
      </w:r>
      <w:r w:rsidR="00CE48C0" w:rsidRPr="00360AB1">
        <w:rPr>
          <w:rFonts w:ascii="Arial" w:hAnsi="Arial" w:cs="David" w:hint="cs"/>
          <w:rtl/>
        </w:rPr>
        <w:t>משיכות נטו מפיקדונות תושבי חוץ בארץ, ירידה באשראי ספקים ו</w:t>
      </w:r>
      <w:r w:rsidR="0094686C" w:rsidRPr="00360AB1">
        <w:rPr>
          <w:rFonts w:ascii="Arial" w:hAnsi="Arial" w:cs="David" w:hint="cs"/>
          <w:rtl/>
        </w:rPr>
        <w:t>מימושים נטו בהשקעות</w:t>
      </w:r>
      <w:r w:rsidR="00CE48C0" w:rsidRPr="00360AB1">
        <w:rPr>
          <w:rFonts w:ascii="Arial" w:hAnsi="Arial" w:cs="David" w:hint="cs"/>
          <w:rtl/>
        </w:rPr>
        <w:t xml:space="preserve"> פיננסיות בהון מניות</w:t>
      </w:r>
      <w:r w:rsidR="00057AF1" w:rsidRPr="00360AB1">
        <w:rPr>
          <w:rFonts w:ascii="Arial" w:hAnsi="Arial" w:cs="David" w:hint="cs"/>
          <w:rtl/>
        </w:rPr>
        <w:t>.</w:t>
      </w:r>
    </w:p>
    <w:p w:rsidR="00D846D0" w:rsidRPr="00D846D0" w:rsidRDefault="00D846D0" w:rsidP="00CE48C0">
      <w:pPr>
        <w:spacing w:line="360" w:lineRule="auto"/>
        <w:jc w:val="both"/>
        <w:rPr>
          <w:rFonts w:ascii="Arial" w:hAnsi="Arial" w:cs="David" w:hint="cs"/>
          <w:rtl/>
        </w:rPr>
      </w:pPr>
      <w:r w:rsidRPr="00D846D0">
        <w:rPr>
          <w:rFonts w:ascii="Arial" w:hAnsi="Arial" w:cs="David"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במהלך הרביע הש</w:t>
      </w:r>
      <w:r w:rsidR="00CE48C0">
        <w:rPr>
          <w:rFonts w:ascii="Arial" w:hAnsi="Arial" w:cs="David" w:hint="cs"/>
          <w:rtl/>
        </w:rPr>
        <w:t>ליש</w:t>
      </w:r>
      <w:r w:rsidRPr="00D846D0">
        <w:rPr>
          <w:rFonts w:ascii="Arial" w:hAnsi="Arial" w:cs="David" w:hint="cs"/>
          <w:rtl/>
        </w:rPr>
        <w:t xml:space="preserve">י של שנת 2015 בהיקף של </w:t>
      </w:r>
      <w:r w:rsidR="00CE48C0">
        <w:rPr>
          <w:rFonts w:ascii="Arial" w:hAnsi="Arial" w:cs="David" w:hint="cs"/>
          <w:rtl/>
        </w:rPr>
        <w:t>1.2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CE48C0">
        <w:rPr>
          <w:rFonts w:ascii="Arial" w:hAnsi="Arial" w:cs="David" w:hint="cs"/>
          <w:rtl/>
        </w:rPr>
        <w:t>1.2</w:t>
      </w:r>
      <w:r>
        <w:rPr>
          <w:rFonts w:ascii="Arial" w:hAnsi="Arial" w:cs="David" w:hint="cs"/>
          <w:rtl/>
        </w:rPr>
        <w:t>%). העלייה נבעה בעיקר מזרם השקעות ישירות בהון מניות (</w:t>
      </w:r>
      <w:r w:rsidR="00CE48C0">
        <w:rPr>
          <w:rFonts w:ascii="Arial" w:hAnsi="Arial" w:cs="David" w:hint="cs"/>
          <w:rtl/>
        </w:rPr>
        <w:t>1.9</w:t>
      </w:r>
      <w:r>
        <w:rPr>
          <w:rFonts w:ascii="Arial" w:hAnsi="Arial" w:cs="David" w:hint="cs"/>
          <w:rtl/>
        </w:rPr>
        <w:t xml:space="preserve"> מיליארדי דולרים, 2%).</w:t>
      </w:r>
    </w:p>
    <w:p w:rsidR="00AF1174" w:rsidRDefault="00057AF1" w:rsidP="00AE1D1C">
      <w:pPr>
        <w:spacing w:line="360" w:lineRule="auto"/>
        <w:jc w:val="both"/>
        <w:rPr>
          <w:rFonts w:ascii="Arial" w:hAnsi="Arial" w:cs="David" w:hint="cs"/>
          <w:rtl/>
        </w:rPr>
      </w:pPr>
      <w:r w:rsidRPr="00C4262A">
        <w:rPr>
          <w:rFonts w:ascii="Arial" w:hAnsi="Arial" w:cs="David" w:hint="cs"/>
          <w:b/>
          <w:bCs/>
          <w:rtl/>
        </w:rPr>
        <w:t xml:space="preserve">שווי </w:t>
      </w:r>
      <w:r>
        <w:rPr>
          <w:rFonts w:ascii="Arial" w:hAnsi="Arial" w:cs="David" w:hint="cs"/>
          <w:b/>
          <w:bCs/>
          <w:rtl/>
        </w:rPr>
        <w:t>יתרת</w:t>
      </w:r>
      <w:r w:rsidRPr="00C4262A">
        <w:rPr>
          <w:rFonts w:ascii="Arial" w:hAnsi="Arial" w:cs="David" w:hint="cs"/>
          <w:b/>
          <w:bCs/>
          <w:rtl/>
        </w:rPr>
        <w:t xml:space="preserve"> ה</w:t>
      </w:r>
      <w:r w:rsidR="00062ED0">
        <w:rPr>
          <w:rFonts w:ascii="Arial" w:hAnsi="Arial" w:cs="David" w:hint="cs"/>
          <w:b/>
          <w:bCs/>
          <w:rtl/>
        </w:rPr>
        <w:t>השקעות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Pr="00F508E4">
        <w:rPr>
          <w:rFonts w:ascii="Arial" w:hAnsi="Arial" w:cs="David" w:hint="cs"/>
          <w:b/>
          <w:bCs/>
          <w:rtl/>
        </w:rPr>
        <w:t>הפיננסיות</w:t>
      </w:r>
      <w:r w:rsidR="00062ED0" w:rsidRPr="00D846D0">
        <w:rPr>
          <w:rFonts w:ascii="Arial" w:hAnsi="Arial" w:cs="David" w:hint="cs"/>
          <w:b/>
          <w:bCs/>
          <w:rtl/>
        </w:rPr>
        <w:t xml:space="preserve"> (</w:t>
      </w:r>
      <w:r w:rsidR="00D846D0" w:rsidRPr="00D846D0">
        <w:rPr>
          <w:rFonts w:ascii="Arial" w:hAnsi="Arial" w:cs="David" w:hint="cs"/>
          <w:b/>
          <w:bCs/>
          <w:rtl/>
        </w:rPr>
        <w:t>מניות</w:t>
      </w:r>
      <w:r w:rsidR="00062ED0" w:rsidRPr="00D846D0">
        <w:rPr>
          <w:rFonts w:ascii="Arial" w:hAnsi="Arial" w:cs="David" w:hint="cs"/>
          <w:b/>
          <w:bCs/>
          <w:rtl/>
        </w:rPr>
        <w:t xml:space="preserve">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ירד</w:t>
      </w:r>
      <w:r w:rsidR="00D846D0" w:rsidRPr="00D846D0">
        <w:rPr>
          <w:rFonts w:ascii="Arial" w:hAnsi="Arial" w:cs="David" w:hint="cs"/>
          <w:rtl/>
        </w:rPr>
        <w:t xml:space="preserve"> משמעותית</w:t>
      </w:r>
      <w:r w:rsidRPr="00D846D0">
        <w:rPr>
          <w:rFonts w:ascii="Arial" w:hAnsi="Arial" w:cs="David" w:hint="cs"/>
          <w:rtl/>
        </w:rPr>
        <w:t xml:space="preserve"> במהלך הרביע הש</w:t>
      </w:r>
      <w:r w:rsidR="00AE1D1C">
        <w:rPr>
          <w:rFonts w:ascii="Arial" w:hAnsi="Arial" w:cs="David" w:hint="cs"/>
          <w:rtl/>
        </w:rPr>
        <w:t>ליש</w:t>
      </w:r>
      <w:r w:rsidRPr="00D846D0">
        <w:rPr>
          <w:rFonts w:ascii="Arial" w:hAnsi="Arial" w:cs="David" w:hint="cs"/>
          <w:rtl/>
        </w:rPr>
        <w:t>י של שנת 2015 בהיקף של כ-</w:t>
      </w:r>
      <w:r w:rsidR="00AE1D1C">
        <w:rPr>
          <w:rFonts w:ascii="Arial" w:hAnsi="Arial" w:cs="David" w:hint="cs"/>
          <w:rtl/>
        </w:rPr>
        <w:t>6</w:t>
      </w:r>
      <w:r w:rsidR="00062ED0" w:rsidRPr="00D846D0">
        <w:rPr>
          <w:rFonts w:ascii="Arial" w:hAnsi="Arial" w:cs="David" w:hint="cs"/>
          <w:rtl/>
        </w:rPr>
        <w:t>.9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AE1D1C">
        <w:rPr>
          <w:rFonts w:ascii="Arial" w:hAnsi="Arial" w:cs="David" w:hint="cs"/>
          <w:rtl/>
        </w:rPr>
        <w:t>5.6</w:t>
      </w:r>
      <w:r w:rsidRPr="00D846D0">
        <w:rPr>
          <w:rFonts w:ascii="Arial" w:hAnsi="Arial" w:cs="David" w:hint="cs"/>
          <w:rtl/>
        </w:rPr>
        <w:t xml:space="preserve">%): </w:t>
      </w:r>
      <w:r w:rsidR="00AE1D1C">
        <w:rPr>
          <w:rFonts w:ascii="Arial" w:hAnsi="Arial" w:cs="David" w:hint="cs"/>
          <w:rtl/>
        </w:rPr>
        <w:t xml:space="preserve">בעיקר </w:t>
      </w:r>
      <w:r w:rsidRPr="00D846D0">
        <w:rPr>
          <w:rFonts w:ascii="Arial" w:hAnsi="Arial" w:cs="David" w:hint="cs"/>
          <w:rtl/>
        </w:rPr>
        <w:t>ירידה ניכרת במחירי המניות הישראליות שמחזיקים תושבי חוץ (</w:t>
      </w:r>
      <w:r w:rsidR="00AE1D1C">
        <w:rPr>
          <w:rFonts w:ascii="Arial" w:hAnsi="Arial" w:cs="David" w:hint="cs"/>
          <w:rtl/>
        </w:rPr>
        <w:t>5</w:t>
      </w:r>
      <w:r w:rsidRPr="00D846D0">
        <w:rPr>
          <w:rFonts w:ascii="Arial" w:hAnsi="Arial" w:cs="David" w:hint="cs"/>
          <w:rtl/>
        </w:rPr>
        <w:t xml:space="preserve"> מיליארדי דולרים, </w:t>
      </w:r>
      <w:r w:rsidR="00AE1D1C">
        <w:rPr>
          <w:rFonts w:ascii="Arial" w:hAnsi="Arial" w:cs="David" w:hint="cs"/>
          <w:rtl/>
        </w:rPr>
        <w:t>5.4</w:t>
      </w:r>
      <w:r w:rsidRPr="00D846D0">
        <w:rPr>
          <w:rFonts w:ascii="Arial" w:hAnsi="Arial" w:cs="David" w:hint="cs"/>
          <w:rtl/>
        </w:rPr>
        <w:t xml:space="preserve">%) </w:t>
      </w:r>
      <w:r w:rsidR="00AF1174">
        <w:rPr>
          <w:rFonts w:ascii="Arial" w:hAnsi="Arial" w:cs="David" w:hint="cs"/>
          <w:rtl/>
        </w:rPr>
        <w:t>ו</w:t>
      </w:r>
      <w:r w:rsidR="00AE1D1C">
        <w:rPr>
          <w:rFonts w:ascii="Arial" w:hAnsi="Arial" w:cs="David" w:hint="cs"/>
          <w:rtl/>
        </w:rPr>
        <w:t>מימושים נטו בהשקעות פיננסיות בהון מניות (1.1 מיליארדים, 1.2%)</w:t>
      </w:r>
      <w:r w:rsidR="00AF1174">
        <w:rPr>
          <w:rFonts w:ascii="Arial" w:hAnsi="Arial" w:cs="David" w:hint="cs"/>
          <w:rtl/>
        </w:rPr>
        <w:t>.</w:t>
      </w:r>
    </w:p>
    <w:p w:rsidR="00057AF1" w:rsidRDefault="00AF1174" w:rsidP="00AF1174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בנוסף, חלה ירידה בשווי הדולרי של יתרת ההשקעות הפיננסיות ב</w:t>
      </w:r>
      <w:r w:rsidR="00AE1D1C">
        <w:rPr>
          <w:rFonts w:ascii="Arial" w:hAnsi="Arial" w:cs="David" w:hint="cs"/>
          <w:rtl/>
        </w:rPr>
        <w:t>השפעת פיחות השקל (</w:t>
      </w:r>
      <w:r>
        <w:rPr>
          <w:rFonts w:ascii="Arial" w:hAnsi="Arial" w:cs="David" w:hint="cs"/>
          <w:rtl/>
        </w:rPr>
        <w:t xml:space="preserve">1.1 מיליארדים, 0.9%). </w:t>
      </w:r>
    </w:p>
    <w:p w:rsidR="00AF1174" w:rsidRPr="00D846D0" w:rsidRDefault="00AF1174" w:rsidP="00AF1174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השפעות אלה קוזזו בחלקן על ידי השקעות נטו באג"ח ישראליות בהיקף של כ-0.3 מיליארדי דולרים (0.9%).</w:t>
      </w:r>
    </w:p>
    <w:p w:rsidR="00057AF1" w:rsidRPr="00D846D0" w:rsidRDefault="00057AF1" w:rsidP="00AF1174">
      <w:pPr>
        <w:spacing w:line="360" w:lineRule="auto"/>
        <w:jc w:val="both"/>
        <w:rPr>
          <w:rFonts w:ascii="Arial" w:hAnsi="Arial" w:cs="David" w:hint="cs"/>
          <w:rtl/>
        </w:rPr>
      </w:pPr>
      <w:r w:rsidRPr="00633A72">
        <w:rPr>
          <w:rFonts w:ascii="Arial" w:hAnsi="Arial" w:cs="David" w:hint="cs"/>
          <w:b/>
          <w:bCs/>
          <w:rtl/>
        </w:rPr>
        <w:t xml:space="preserve">שווי ההשקעות האחרות </w:t>
      </w:r>
      <w:r w:rsidR="00D846D0" w:rsidRPr="00633A72">
        <w:rPr>
          <w:rFonts w:ascii="Arial" w:hAnsi="Arial" w:cs="David" w:hint="cs"/>
          <w:b/>
          <w:bCs/>
          <w:rtl/>
        </w:rPr>
        <w:t>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 w:rsidRPr="00633A72">
        <w:rPr>
          <w:rFonts w:ascii="Arial" w:hAnsi="Arial" w:cs="David" w:hint="cs"/>
          <w:rtl/>
        </w:rPr>
        <w:t>ירד ברביע ה</w:t>
      </w:r>
      <w:r w:rsidR="00AF1174">
        <w:rPr>
          <w:rFonts w:ascii="Arial" w:hAnsi="Arial" w:cs="David" w:hint="cs"/>
          <w:rtl/>
        </w:rPr>
        <w:t>שלישי</w:t>
      </w:r>
      <w:r w:rsidRPr="00633A72">
        <w:rPr>
          <w:rFonts w:ascii="Arial" w:hAnsi="Arial" w:cs="David" w:hint="cs"/>
          <w:rtl/>
        </w:rPr>
        <w:t xml:space="preserve"> של שנת </w:t>
      </w:r>
      <w:r w:rsidR="00633A72" w:rsidRPr="00633A72">
        <w:rPr>
          <w:rFonts w:ascii="Arial" w:hAnsi="Arial" w:cs="David" w:hint="cs"/>
          <w:rtl/>
        </w:rPr>
        <w:t xml:space="preserve"> </w:t>
      </w:r>
      <w:r w:rsidRPr="00633A72">
        <w:rPr>
          <w:rFonts w:ascii="Arial" w:hAnsi="Arial" w:cs="David" w:hint="cs"/>
          <w:rtl/>
        </w:rPr>
        <w:t>2015</w:t>
      </w:r>
      <w:r w:rsidR="00633A72" w:rsidRPr="00633A72">
        <w:rPr>
          <w:rFonts w:ascii="Arial" w:hAnsi="Arial" w:cs="David" w:hint="cs"/>
          <w:rtl/>
        </w:rPr>
        <w:t xml:space="preserve"> בכ-</w:t>
      </w:r>
      <w:r w:rsidR="00AF1174">
        <w:rPr>
          <w:rFonts w:ascii="Arial" w:hAnsi="Arial" w:cs="David" w:hint="cs"/>
          <w:rtl/>
        </w:rPr>
        <w:t>2.5</w:t>
      </w:r>
      <w:r w:rsidR="00633A72" w:rsidRPr="00633A72">
        <w:rPr>
          <w:rFonts w:ascii="Arial" w:hAnsi="Arial" w:cs="David" w:hint="cs"/>
          <w:rtl/>
        </w:rPr>
        <w:t xml:space="preserve"> מיליארדי דולרים (</w:t>
      </w:r>
      <w:r w:rsidR="00AF1174">
        <w:rPr>
          <w:rFonts w:ascii="Arial" w:hAnsi="Arial" w:cs="David" w:hint="cs"/>
          <w:rtl/>
        </w:rPr>
        <w:t>4.9%</w:t>
      </w:r>
      <w:r w:rsidR="00633A72" w:rsidRPr="00633A72">
        <w:rPr>
          <w:rFonts w:ascii="Arial" w:hAnsi="Arial" w:cs="David" w:hint="cs"/>
          <w:rtl/>
        </w:rPr>
        <w:t>)</w:t>
      </w:r>
      <w:r w:rsidRPr="00633A72">
        <w:rPr>
          <w:rFonts w:ascii="Arial" w:hAnsi="Arial" w:cs="David" w:hint="cs"/>
          <w:rtl/>
        </w:rPr>
        <w:t xml:space="preserve">: </w:t>
      </w:r>
      <w:r w:rsidR="00633A72" w:rsidRPr="00633A72">
        <w:rPr>
          <w:rFonts w:ascii="Arial" w:hAnsi="Arial" w:cs="David" w:hint="cs"/>
          <w:rtl/>
        </w:rPr>
        <w:t xml:space="preserve">ירידה בפיקדונות תושבי חוץ </w:t>
      </w:r>
      <w:r w:rsidR="00AF1174">
        <w:rPr>
          <w:rFonts w:ascii="Arial" w:hAnsi="Arial" w:cs="David" w:hint="cs"/>
          <w:rtl/>
        </w:rPr>
        <w:t>ובנקים מחו"ל (1.4 מיליארדים, 8%)</w:t>
      </w:r>
      <w:r w:rsidR="00461EB6">
        <w:rPr>
          <w:rFonts w:ascii="Arial" w:hAnsi="Arial" w:cs="David" w:hint="cs"/>
          <w:rtl/>
        </w:rPr>
        <w:t xml:space="preserve"> </w:t>
      </w:r>
      <w:r w:rsidR="00AF1174">
        <w:rPr>
          <w:rFonts w:ascii="Arial" w:hAnsi="Arial" w:cs="David" w:hint="cs"/>
          <w:rtl/>
        </w:rPr>
        <w:t>במקביל לירידה ב</w:t>
      </w:r>
      <w:r w:rsidR="00461EB6">
        <w:rPr>
          <w:rFonts w:ascii="Arial" w:hAnsi="Arial" w:cs="David" w:hint="cs"/>
          <w:rtl/>
        </w:rPr>
        <w:t xml:space="preserve">אשראי </w:t>
      </w:r>
      <w:r w:rsidR="00AF1174">
        <w:rPr>
          <w:rFonts w:ascii="Arial" w:hAnsi="Arial" w:cs="David" w:hint="cs"/>
          <w:rtl/>
        </w:rPr>
        <w:t>הספקים (מיליארד דולרים, 6.8%).</w:t>
      </w:r>
    </w:p>
    <w:p w:rsidR="005D09C7" w:rsidRDefault="00390C6E" w:rsidP="00360AB1">
      <w:pPr>
        <w:spacing w:before="480"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b/>
          <w:bCs/>
          <w:rtl/>
        </w:rPr>
        <w:t xml:space="preserve">שווי תיק </w:t>
      </w:r>
      <w:r w:rsidR="004E318E">
        <w:rPr>
          <w:rFonts w:ascii="Arial" w:hAnsi="Arial" w:cs="David" w:hint="cs"/>
          <w:b/>
          <w:bCs/>
          <w:rtl/>
        </w:rPr>
        <w:t>ני"ע</w:t>
      </w:r>
      <w:r w:rsidR="004E318E" w:rsidRPr="003F3174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b/>
          <w:bCs/>
          <w:rtl/>
        </w:rPr>
        <w:t>של תושבי חוץ</w:t>
      </w:r>
      <w:r w:rsidRPr="003F317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b/>
          <w:bCs/>
          <w:rtl/>
        </w:rPr>
        <w:t xml:space="preserve">בבורסה לני"ע בתל-אביב </w:t>
      </w:r>
      <w:r w:rsidR="00A5012D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rtl/>
        </w:rPr>
        <w:t xml:space="preserve"> </w:t>
      </w:r>
      <w:r w:rsidR="00BB6576">
        <w:rPr>
          <w:rFonts w:ascii="Arial" w:hAnsi="Arial" w:cs="David" w:hint="cs"/>
          <w:rtl/>
        </w:rPr>
        <w:t>ברביע ה</w:t>
      </w:r>
      <w:r w:rsidR="002A5E70">
        <w:rPr>
          <w:rFonts w:ascii="Arial" w:hAnsi="Arial" w:cs="David" w:hint="cs"/>
          <w:rtl/>
        </w:rPr>
        <w:t>ש</w:t>
      </w:r>
      <w:r w:rsidR="00A5012D">
        <w:rPr>
          <w:rFonts w:ascii="Arial" w:hAnsi="Arial" w:cs="David" w:hint="cs"/>
          <w:rtl/>
        </w:rPr>
        <w:t>לישי</w:t>
      </w:r>
      <w:r w:rsidR="00BB6576">
        <w:rPr>
          <w:rFonts w:ascii="Arial" w:hAnsi="Arial" w:cs="David" w:hint="cs"/>
          <w:rtl/>
        </w:rPr>
        <w:t xml:space="preserve"> של שנת 2015 </w:t>
      </w:r>
      <w:r>
        <w:rPr>
          <w:rFonts w:ascii="Arial" w:hAnsi="Arial" w:cs="David" w:hint="cs"/>
          <w:rtl/>
        </w:rPr>
        <w:t>ב</w:t>
      </w:r>
      <w:r w:rsidR="00A5012D">
        <w:rPr>
          <w:rFonts w:ascii="Arial" w:hAnsi="Arial" w:cs="David" w:hint="cs"/>
          <w:rtl/>
        </w:rPr>
        <w:t>כמיליארד</w:t>
      </w:r>
      <w:r>
        <w:rPr>
          <w:rFonts w:ascii="Arial" w:hAnsi="Arial" w:cs="David" w:hint="cs"/>
          <w:rtl/>
        </w:rPr>
        <w:t xml:space="preserve"> דולרים (</w:t>
      </w:r>
      <w:r w:rsidR="002A5E70">
        <w:rPr>
          <w:rFonts w:ascii="Arial" w:hAnsi="Arial" w:cs="David" w:hint="cs"/>
          <w:rtl/>
        </w:rPr>
        <w:t>2</w:t>
      </w:r>
      <w:r w:rsidR="00A5012D">
        <w:rPr>
          <w:rFonts w:ascii="Arial" w:hAnsi="Arial" w:cs="David" w:hint="cs"/>
          <w:rtl/>
        </w:rPr>
        <w:t>.8</w:t>
      </w:r>
      <w:r>
        <w:rPr>
          <w:rFonts w:ascii="Arial" w:hAnsi="Arial" w:cs="David" w:hint="cs"/>
          <w:rtl/>
        </w:rPr>
        <w:t xml:space="preserve">%) </w:t>
      </w:r>
      <w:r w:rsidRPr="00227068">
        <w:rPr>
          <w:rFonts w:ascii="Arial" w:hAnsi="Arial" w:cs="David" w:hint="cs"/>
          <w:rtl/>
        </w:rPr>
        <w:t>ועמד בסוף ה</w:t>
      </w:r>
      <w:r w:rsidR="00BB6576" w:rsidRPr="00227068">
        <w:rPr>
          <w:rFonts w:ascii="Arial" w:hAnsi="Arial" w:cs="David" w:hint="cs"/>
          <w:rtl/>
        </w:rPr>
        <w:t>רביע</w:t>
      </w:r>
      <w:r w:rsidRPr="00227068">
        <w:rPr>
          <w:rFonts w:ascii="Arial" w:hAnsi="Arial" w:cs="David" w:hint="cs"/>
          <w:rtl/>
        </w:rPr>
        <w:t xml:space="preserve"> על כ-</w:t>
      </w:r>
      <w:r w:rsidR="00A5012D">
        <w:rPr>
          <w:rFonts w:ascii="Arial" w:hAnsi="Arial" w:cs="David" w:hint="cs"/>
          <w:rtl/>
        </w:rPr>
        <w:t>36</w:t>
      </w:r>
      <w:r w:rsidRPr="00227068">
        <w:rPr>
          <w:rFonts w:ascii="Arial" w:hAnsi="Arial" w:cs="David" w:hint="cs"/>
          <w:rtl/>
        </w:rPr>
        <w:t xml:space="preserve"> מיל</w:t>
      </w:r>
      <w:r w:rsidR="00A5012D">
        <w:rPr>
          <w:rFonts w:ascii="Arial" w:hAnsi="Arial" w:cs="David" w:hint="cs"/>
          <w:rtl/>
        </w:rPr>
        <w:t>יארדים:</w:t>
      </w:r>
      <w:r w:rsidR="00227068">
        <w:rPr>
          <w:rFonts w:ascii="Arial" w:hAnsi="Arial" w:cs="David" w:hint="cs"/>
          <w:rtl/>
        </w:rPr>
        <w:t xml:space="preserve"> </w:t>
      </w:r>
      <w:r w:rsidR="00A5012D">
        <w:rPr>
          <w:rFonts w:ascii="Arial" w:hAnsi="Arial" w:cs="David" w:hint="cs"/>
          <w:rtl/>
        </w:rPr>
        <w:t>מימושים נטו בהשקעות במניות</w:t>
      </w:r>
      <w:r w:rsidR="00E630D1">
        <w:rPr>
          <w:rFonts w:ascii="Arial" w:hAnsi="Arial" w:cs="David" w:hint="cs"/>
          <w:rtl/>
        </w:rPr>
        <w:t xml:space="preserve"> (ישירות ופיננסיות) של </w:t>
      </w:r>
      <w:r w:rsidR="00A5012D">
        <w:rPr>
          <w:rFonts w:ascii="Arial" w:hAnsi="Arial" w:cs="David" w:hint="cs"/>
          <w:rtl/>
        </w:rPr>
        <w:t>1.2</w:t>
      </w:r>
      <w:r w:rsidR="004E318E">
        <w:rPr>
          <w:rFonts w:ascii="Arial" w:hAnsi="Arial" w:cs="David" w:hint="cs"/>
          <w:rtl/>
        </w:rPr>
        <w:t xml:space="preserve"> </w:t>
      </w:r>
      <w:r w:rsidR="00E630D1">
        <w:rPr>
          <w:rFonts w:ascii="Arial" w:hAnsi="Arial" w:cs="David" w:hint="cs"/>
          <w:rtl/>
        </w:rPr>
        <w:t>מיליארדים</w:t>
      </w:r>
      <w:r w:rsidR="00A5012D">
        <w:rPr>
          <w:rFonts w:ascii="Arial" w:hAnsi="Arial" w:cs="David" w:hint="cs"/>
          <w:rtl/>
        </w:rPr>
        <w:t>,</w:t>
      </w:r>
      <w:r w:rsidR="00E630D1">
        <w:rPr>
          <w:rFonts w:ascii="Arial" w:hAnsi="Arial" w:cs="David" w:hint="cs"/>
          <w:rtl/>
        </w:rPr>
        <w:t xml:space="preserve"> </w:t>
      </w:r>
      <w:r w:rsidR="00A5012D">
        <w:rPr>
          <w:rFonts w:ascii="Arial" w:hAnsi="Arial" w:cs="David" w:hint="cs"/>
          <w:rtl/>
        </w:rPr>
        <w:t>ומנגד</w:t>
      </w:r>
      <w:r w:rsidR="00E630D1">
        <w:rPr>
          <w:rFonts w:ascii="Arial" w:hAnsi="Arial" w:cs="David" w:hint="cs"/>
          <w:rtl/>
        </w:rPr>
        <w:t xml:space="preserve"> </w:t>
      </w:r>
      <w:r w:rsidR="00A5012D">
        <w:rPr>
          <w:rFonts w:ascii="Arial" w:hAnsi="Arial" w:cs="David" w:hint="cs"/>
          <w:rtl/>
        </w:rPr>
        <w:t>השקעות נטו</w:t>
      </w:r>
      <w:r w:rsidR="00E630D1">
        <w:rPr>
          <w:rFonts w:ascii="Arial" w:hAnsi="Arial" w:cs="David" w:hint="cs"/>
          <w:rtl/>
        </w:rPr>
        <w:t xml:space="preserve"> בהיקף של כ-</w:t>
      </w:r>
      <w:r w:rsidR="004E318E">
        <w:rPr>
          <w:rFonts w:ascii="Arial" w:hAnsi="Arial" w:cs="David" w:hint="cs"/>
          <w:rtl/>
        </w:rPr>
        <w:t>0.</w:t>
      </w:r>
      <w:r w:rsidR="00A5012D">
        <w:rPr>
          <w:rFonts w:ascii="Arial" w:hAnsi="Arial" w:cs="David" w:hint="cs"/>
          <w:rtl/>
        </w:rPr>
        <w:t>2</w:t>
      </w:r>
      <w:r w:rsidR="004E318E">
        <w:rPr>
          <w:rFonts w:ascii="Arial" w:hAnsi="Arial" w:cs="David" w:hint="cs"/>
          <w:rtl/>
        </w:rPr>
        <w:t xml:space="preserve"> מיליארדי </w:t>
      </w:r>
      <w:r w:rsidR="00E630D1">
        <w:rPr>
          <w:rFonts w:ascii="Arial" w:hAnsi="Arial" w:cs="David" w:hint="cs"/>
          <w:rtl/>
        </w:rPr>
        <w:t>דולרים באג"ח ומק"ם</w:t>
      </w:r>
      <w:r w:rsidR="00E55D79" w:rsidRPr="00227068">
        <w:rPr>
          <w:rFonts w:ascii="Arial" w:hAnsi="Arial" w:cs="David" w:hint="cs"/>
          <w:rtl/>
        </w:rPr>
        <w:t>.</w:t>
      </w:r>
      <w:r w:rsidR="002B5065" w:rsidRPr="00227068">
        <w:rPr>
          <w:rFonts w:ascii="Arial" w:hAnsi="Arial" w:cs="David" w:hint="cs"/>
          <w:rtl/>
        </w:rPr>
        <w:t xml:space="preserve"> </w:t>
      </w:r>
      <w:r w:rsidR="005165CD" w:rsidRPr="00227068">
        <w:rPr>
          <w:rFonts w:ascii="Arial" w:hAnsi="Arial" w:cs="David" w:hint="cs"/>
          <w:rtl/>
        </w:rPr>
        <w:t xml:space="preserve">(תרשים </w:t>
      </w:r>
      <w:r w:rsidR="00FC5E45" w:rsidRPr="00227068">
        <w:rPr>
          <w:rFonts w:ascii="Arial" w:hAnsi="Arial" w:cs="David" w:hint="cs"/>
          <w:rtl/>
        </w:rPr>
        <w:t>3</w:t>
      </w:r>
      <w:r w:rsidR="005165CD" w:rsidRPr="00227068">
        <w:rPr>
          <w:rFonts w:ascii="Arial" w:hAnsi="Arial" w:cs="David" w:hint="cs"/>
          <w:rtl/>
        </w:rPr>
        <w:t>)</w:t>
      </w:r>
      <w:r w:rsidR="00806E82" w:rsidRPr="00227068">
        <w:rPr>
          <w:rFonts w:ascii="Arial" w:hAnsi="Arial" w:cs="David" w:hint="cs"/>
          <w:rtl/>
        </w:rPr>
        <w:t>.</w:t>
      </w:r>
      <w:r w:rsidR="003E5C97" w:rsidRPr="003F3174">
        <w:rPr>
          <w:rFonts w:ascii="Arial" w:hAnsi="Arial" w:cs="David" w:hint="cs"/>
          <w:rtl/>
        </w:rPr>
        <w:t xml:space="preserve"> </w:t>
      </w:r>
    </w:p>
    <w:p w:rsidR="00623EA3" w:rsidRDefault="00360AB1" w:rsidP="00801E84">
      <w:pPr>
        <w:spacing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drawing>
          <wp:inline distT="0" distB="0" distL="0" distR="0">
            <wp:extent cx="6264275" cy="3822700"/>
            <wp:effectExtent l="0" t="0" r="3175" b="6350"/>
            <wp:docPr id="56" name="תמונה 56" descr="תרשים 3: שווי תיק ני&quot;ע של תושבי חוץ בבורסה בתל-אביב" title="תרשים 3: שווי תיק ני&quot;ע של תושבי חוץ בבורסה בתל-אבי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AB1" w:rsidRDefault="00360AB1">
      <w:pPr>
        <w:bidi w:val="0"/>
        <w:rPr>
          <w:rtl/>
        </w:rPr>
      </w:pPr>
      <w:r>
        <w:rPr>
          <w:rtl/>
        </w:rPr>
        <w:br w:type="page"/>
      </w:r>
    </w:p>
    <w:p w:rsidR="009522BF" w:rsidRPr="00360AB1" w:rsidRDefault="009522BF" w:rsidP="00360AB1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David" w:hint="cs"/>
          <w:b/>
          <w:bCs/>
          <w:rtl/>
        </w:rPr>
      </w:pPr>
      <w:r w:rsidRPr="00360AB1">
        <w:rPr>
          <w:rFonts w:ascii="Arial" w:hAnsi="Arial" w:cs="David" w:hint="cs"/>
          <w:b/>
          <w:bCs/>
          <w:rtl/>
        </w:rPr>
        <w:lastRenderedPageBreak/>
        <w:t xml:space="preserve">החוב החיצוני </w:t>
      </w:r>
      <w:r w:rsidR="00921B27" w:rsidRPr="00360AB1">
        <w:rPr>
          <w:rFonts w:ascii="Arial" w:hAnsi="Arial" w:cs="David" w:hint="cs"/>
          <w:b/>
          <w:bCs/>
          <w:rtl/>
        </w:rPr>
        <w:t>ברוטו</w:t>
      </w:r>
    </w:p>
    <w:p w:rsidR="009522BF" w:rsidRPr="003F3174" w:rsidRDefault="00AC535A" w:rsidP="00FE76E7">
      <w:pPr>
        <w:spacing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rtl/>
        </w:rPr>
        <w:t xml:space="preserve">החוב החיצוני ברוטו </w:t>
      </w:r>
      <w:r w:rsidR="00561506">
        <w:rPr>
          <w:rFonts w:ascii="Arial" w:hAnsi="Arial" w:cs="David" w:hint="cs"/>
          <w:rtl/>
        </w:rPr>
        <w:t>ירד</w:t>
      </w:r>
      <w:r w:rsidR="00AE53C1">
        <w:rPr>
          <w:rFonts w:ascii="Arial" w:hAnsi="Arial" w:cs="David" w:hint="cs"/>
          <w:rtl/>
        </w:rPr>
        <w:t xml:space="preserve"> </w:t>
      </w:r>
      <w:r w:rsidR="00D77097" w:rsidRPr="003F3174">
        <w:rPr>
          <w:rFonts w:ascii="Arial" w:hAnsi="Arial" w:cs="David" w:hint="cs"/>
          <w:b/>
          <w:bCs/>
          <w:rtl/>
        </w:rPr>
        <w:t xml:space="preserve">במהלך </w:t>
      </w:r>
      <w:r w:rsidR="00561506">
        <w:rPr>
          <w:rFonts w:ascii="Arial" w:hAnsi="Arial" w:cs="David" w:hint="cs"/>
          <w:b/>
          <w:bCs/>
          <w:rtl/>
        </w:rPr>
        <w:t>הרביע ה</w:t>
      </w:r>
      <w:r w:rsidR="00FE76E7">
        <w:rPr>
          <w:rFonts w:ascii="Arial" w:hAnsi="Arial" w:cs="David" w:hint="cs"/>
          <w:b/>
          <w:bCs/>
          <w:rtl/>
        </w:rPr>
        <w:t>שלישי</w:t>
      </w:r>
      <w:r w:rsidR="00561506">
        <w:rPr>
          <w:rFonts w:ascii="Arial" w:hAnsi="Arial" w:cs="David" w:hint="cs"/>
          <w:b/>
          <w:bCs/>
          <w:rtl/>
        </w:rPr>
        <w:t xml:space="preserve"> של </w:t>
      </w:r>
      <w:r w:rsidR="00D77097">
        <w:rPr>
          <w:rFonts w:ascii="Arial" w:hAnsi="Arial" w:cs="David" w:hint="cs"/>
          <w:b/>
          <w:bCs/>
          <w:rtl/>
        </w:rPr>
        <w:t xml:space="preserve">שנת </w:t>
      </w:r>
      <w:r w:rsidR="00561506">
        <w:rPr>
          <w:rFonts w:ascii="Arial" w:hAnsi="Arial" w:cs="David" w:hint="cs"/>
          <w:b/>
          <w:bCs/>
          <w:rtl/>
        </w:rPr>
        <w:t>2015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="0094002E" w:rsidRPr="0094002E">
        <w:rPr>
          <w:rFonts w:ascii="Arial" w:hAnsi="Arial" w:cs="David" w:hint="cs"/>
          <w:rtl/>
        </w:rPr>
        <w:t>ב</w:t>
      </w:r>
      <w:r w:rsidR="00F14497">
        <w:rPr>
          <w:rFonts w:ascii="Arial" w:hAnsi="Arial" w:cs="David" w:hint="cs"/>
          <w:rtl/>
        </w:rPr>
        <w:t>כ</w:t>
      </w:r>
      <w:r w:rsidR="00FE76E7">
        <w:rPr>
          <w:rFonts w:ascii="Arial" w:hAnsi="Arial" w:cs="David" w:hint="cs"/>
          <w:rtl/>
        </w:rPr>
        <w:t xml:space="preserve">-2.3 </w:t>
      </w:r>
      <w:r w:rsidR="00F14497">
        <w:rPr>
          <w:rFonts w:ascii="Arial" w:hAnsi="Arial" w:cs="David" w:hint="cs"/>
          <w:rtl/>
        </w:rPr>
        <w:t>מיליארד</w:t>
      </w:r>
      <w:r w:rsidR="00FE76E7">
        <w:rPr>
          <w:rFonts w:ascii="Arial" w:hAnsi="Arial" w:cs="David" w:hint="cs"/>
          <w:rtl/>
        </w:rPr>
        <w:t>י</w:t>
      </w:r>
      <w:r w:rsidR="0094002E" w:rsidRPr="0094002E">
        <w:rPr>
          <w:rFonts w:ascii="Arial" w:hAnsi="Arial" w:cs="David" w:hint="cs"/>
          <w:rtl/>
        </w:rPr>
        <w:t xml:space="preserve"> דולרים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FE76E7">
        <w:rPr>
          <w:rFonts w:ascii="Arial" w:hAnsi="Arial" w:cs="David" w:hint="cs"/>
          <w:rtl/>
        </w:rPr>
        <w:t>2.5</w:t>
      </w:r>
      <w:r w:rsidR="001B60EB"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 w:rsidR="008877D7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1F6055" w:rsidRPr="009B7A94">
        <w:rPr>
          <w:rFonts w:ascii="Arial" w:hAnsi="Arial" w:cs="David" w:hint="cs"/>
          <w:rtl/>
        </w:rPr>
        <w:t>ה</w:t>
      </w:r>
      <w:r w:rsidR="00324342" w:rsidRPr="009B7A94">
        <w:rPr>
          <w:rFonts w:ascii="Arial" w:hAnsi="Arial" w:cs="David" w:hint="cs"/>
          <w:rtl/>
        </w:rPr>
        <w:t>ירידה</w:t>
      </w:r>
      <w:r w:rsidR="001F6055" w:rsidRPr="009B7A94">
        <w:rPr>
          <w:rFonts w:ascii="Arial" w:hAnsi="Arial" w:cs="David" w:hint="cs"/>
          <w:rtl/>
        </w:rPr>
        <w:t xml:space="preserve"> משקפת </w:t>
      </w:r>
      <w:r w:rsidR="00324342" w:rsidRPr="009B7A94">
        <w:rPr>
          <w:rFonts w:ascii="Arial" w:hAnsi="Arial" w:cs="David" w:hint="cs"/>
          <w:rtl/>
        </w:rPr>
        <w:t>משיכות תושבי חוץ</w:t>
      </w:r>
      <w:r w:rsidR="009B7A94" w:rsidRPr="009B7A94">
        <w:rPr>
          <w:rFonts w:ascii="Arial" w:hAnsi="Arial" w:cs="David" w:hint="cs"/>
          <w:rtl/>
        </w:rPr>
        <w:t xml:space="preserve"> ובנקים זרים</w:t>
      </w:r>
      <w:r w:rsidR="00324342" w:rsidRPr="009B7A94">
        <w:rPr>
          <w:rFonts w:ascii="Arial" w:hAnsi="Arial" w:cs="David" w:hint="cs"/>
          <w:rtl/>
        </w:rPr>
        <w:t xml:space="preserve"> מפיקדונות, </w:t>
      </w:r>
      <w:r w:rsidR="009B7A94" w:rsidRPr="009B7A94">
        <w:rPr>
          <w:rFonts w:ascii="Arial" w:hAnsi="Arial" w:cs="David" w:hint="cs"/>
          <w:rtl/>
        </w:rPr>
        <w:t xml:space="preserve">וכן </w:t>
      </w:r>
      <w:r w:rsidR="00324342" w:rsidRPr="009B7A94">
        <w:rPr>
          <w:rFonts w:ascii="Arial" w:hAnsi="Arial" w:cs="David" w:hint="cs"/>
          <w:rtl/>
        </w:rPr>
        <w:t xml:space="preserve">ירידה </w:t>
      </w:r>
      <w:r w:rsidR="009B7A94" w:rsidRPr="009B7A94">
        <w:rPr>
          <w:rFonts w:ascii="Arial" w:hAnsi="Arial" w:cs="David" w:hint="cs"/>
          <w:rtl/>
        </w:rPr>
        <w:t>באשראי.</w:t>
      </w:r>
      <w:r w:rsidR="00324342" w:rsidRPr="009B7A94">
        <w:rPr>
          <w:rFonts w:ascii="Arial" w:hAnsi="Arial" w:cs="David" w:hint="cs"/>
          <w:rtl/>
        </w:rPr>
        <w:t xml:space="preserve"> </w:t>
      </w:r>
      <w:r w:rsidR="00FE76E7">
        <w:rPr>
          <w:rFonts w:ascii="Arial" w:hAnsi="Arial" w:cs="David" w:hint="cs"/>
          <w:rtl/>
        </w:rPr>
        <w:t>בנוסף לירידה זו חלה ירידה ביתרת החוב החיצוני ברוטו בהשפעת פיחות</w:t>
      </w:r>
      <w:r w:rsidR="006443DA" w:rsidRPr="009B7A94">
        <w:rPr>
          <w:rFonts w:ascii="Arial" w:hAnsi="Arial" w:cs="David" w:hint="cs"/>
          <w:rtl/>
        </w:rPr>
        <w:t xml:space="preserve"> השקל מול </w:t>
      </w:r>
      <w:r w:rsidR="00FE76E7">
        <w:rPr>
          <w:rFonts w:ascii="Arial" w:hAnsi="Arial" w:cs="David" w:hint="cs"/>
          <w:rtl/>
        </w:rPr>
        <w:t>הדולר</w:t>
      </w:r>
      <w:r w:rsidR="006443DA" w:rsidRPr="009B7A94">
        <w:rPr>
          <w:rFonts w:ascii="Arial" w:hAnsi="Arial" w:cs="David" w:hint="cs"/>
          <w:rtl/>
        </w:rPr>
        <w:t>.</w:t>
      </w:r>
      <w:r w:rsidR="00324342">
        <w:rPr>
          <w:rFonts w:ascii="Arial" w:hAnsi="Arial" w:cs="David" w:hint="cs"/>
          <w:rtl/>
        </w:rPr>
        <w:t xml:space="preserve">  </w:t>
      </w:r>
    </w:p>
    <w:p w:rsidR="00846D0E" w:rsidRPr="00324342" w:rsidRDefault="009522BF" w:rsidP="007948DF">
      <w:pPr>
        <w:spacing w:after="240" w:line="360" w:lineRule="auto"/>
        <w:ind w:right="426"/>
        <w:jc w:val="both"/>
        <w:rPr>
          <w:rFonts w:ascii="Arial" w:hAnsi="Arial" w:cs="David" w:hint="cs"/>
          <w:rtl/>
        </w:rPr>
      </w:pPr>
      <w:r w:rsidRPr="00C30766">
        <w:rPr>
          <w:rFonts w:ascii="Arial" w:hAnsi="Arial" w:cs="David" w:hint="cs"/>
          <w:rtl/>
        </w:rPr>
        <w:t xml:space="preserve">היחס שבין החוב החיצוני לתמ"ג </w:t>
      </w:r>
      <w:r w:rsidR="00FE76E7">
        <w:rPr>
          <w:rFonts w:ascii="Arial" w:hAnsi="Arial" w:cs="David" w:hint="cs"/>
          <w:rtl/>
        </w:rPr>
        <w:t>לא השתנה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324342">
        <w:rPr>
          <w:rFonts w:ascii="Arial" w:hAnsi="Arial" w:cs="David" w:hint="cs"/>
          <w:rtl/>
        </w:rPr>
        <w:t>ברביע ה</w:t>
      </w:r>
      <w:r w:rsidR="00F14497">
        <w:rPr>
          <w:rFonts w:ascii="Arial" w:hAnsi="Arial" w:cs="David" w:hint="cs"/>
          <w:rtl/>
        </w:rPr>
        <w:t>ש</w:t>
      </w:r>
      <w:r w:rsidR="00FE76E7">
        <w:rPr>
          <w:rFonts w:ascii="Arial" w:hAnsi="Arial" w:cs="David" w:hint="cs"/>
          <w:rtl/>
        </w:rPr>
        <w:t>לישי</w:t>
      </w:r>
      <w:r w:rsidR="00324342">
        <w:rPr>
          <w:rFonts w:ascii="Arial" w:hAnsi="Arial" w:cs="David" w:hint="cs"/>
          <w:rtl/>
        </w:rPr>
        <w:t xml:space="preserve"> של </w:t>
      </w:r>
      <w:r w:rsidR="0094002E">
        <w:rPr>
          <w:rFonts w:ascii="Arial" w:hAnsi="Arial" w:cs="David" w:hint="cs"/>
          <w:rtl/>
        </w:rPr>
        <w:t xml:space="preserve">שנת </w:t>
      </w:r>
      <w:r w:rsidR="00324342">
        <w:rPr>
          <w:rFonts w:ascii="Arial" w:hAnsi="Arial" w:cs="David" w:hint="cs"/>
          <w:rtl/>
        </w:rPr>
        <w:t>2015</w:t>
      </w:r>
      <w:r w:rsidR="007948DF">
        <w:rPr>
          <w:rFonts w:ascii="Arial" w:hAnsi="Arial" w:cs="David" w:hint="cs"/>
          <w:rtl/>
        </w:rPr>
        <w:t xml:space="preserve"> </w:t>
      </w:r>
      <w:r w:rsidR="007948DF" w:rsidRPr="007948DF">
        <w:rPr>
          <w:rFonts w:ascii="Arial" w:hAnsi="Arial" w:cs="David" w:hint="cs"/>
          <w:rtl/>
        </w:rPr>
        <w:t>ועמד בסוף ספטמבר על כ- 31</w:t>
      </w:r>
      <w:r w:rsidR="007948DF">
        <w:rPr>
          <w:rFonts w:ascii="Arial" w:hAnsi="Arial" w:cs="David" w:hint="cs"/>
          <w:rtl/>
        </w:rPr>
        <w:t xml:space="preserve">% </w:t>
      </w:r>
      <w:r w:rsidR="00AD79F3" w:rsidRPr="00C30766">
        <w:rPr>
          <w:rFonts w:ascii="Arial" w:hAnsi="Arial" w:cs="David" w:hint="cs"/>
          <w:rtl/>
        </w:rPr>
        <w:t xml:space="preserve">(תרשים </w:t>
      </w:r>
      <w:r w:rsidR="00AD79F3">
        <w:rPr>
          <w:rFonts w:ascii="Arial" w:hAnsi="Arial" w:cs="David" w:hint="cs"/>
          <w:rtl/>
        </w:rPr>
        <w:t>4</w:t>
      </w:r>
      <w:r w:rsidR="00324342">
        <w:rPr>
          <w:rFonts w:ascii="Arial" w:hAnsi="Arial" w:cs="David" w:hint="cs"/>
          <w:rtl/>
        </w:rPr>
        <w:t>).</w:t>
      </w:r>
      <w:r w:rsidR="00B80CBB">
        <w:rPr>
          <w:rFonts w:ascii="Arial" w:hAnsi="Arial" w:cs="David" w:hint="cs"/>
          <w:rtl/>
        </w:rPr>
        <w:t xml:space="preserve"> </w:t>
      </w:r>
      <w:r w:rsidR="00FC498E">
        <w:rPr>
          <w:rFonts w:ascii="Arial" w:hAnsi="Arial" w:cs="David" w:hint="cs"/>
          <w:rtl/>
        </w:rPr>
        <w:t>הגידול בתמ"ג ברבעון השלישי של שנת 2015 הינו בשיעור דומה לגידול בשווי השקלי של החוב החיצוני. גידול זה נובע מ</w:t>
      </w:r>
      <w:r w:rsidR="00FC498E" w:rsidRPr="00942E90">
        <w:rPr>
          <w:rFonts w:ascii="Arial" w:hAnsi="Arial" w:cs="David" w:hint="cs"/>
          <w:rtl/>
        </w:rPr>
        <w:t xml:space="preserve">השפעת </w:t>
      </w:r>
      <w:r w:rsidR="00FC498E">
        <w:rPr>
          <w:rFonts w:ascii="Arial" w:hAnsi="Arial" w:cs="David" w:hint="cs"/>
          <w:rtl/>
        </w:rPr>
        <w:t xml:space="preserve">פיחות השקל על השווי השקלי של החוב. </w:t>
      </w:r>
      <w:r w:rsidR="00324342" w:rsidRPr="00942E90">
        <w:rPr>
          <w:rFonts w:ascii="Arial" w:hAnsi="Arial" w:cs="David" w:hint="cs"/>
          <w:rtl/>
        </w:rPr>
        <w:t xml:space="preserve"> </w:t>
      </w:r>
    </w:p>
    <w:p w:rsidR="00170587" w:rsidRDefault="00360AB1" w:rsidP="00B516A1">
      <w:pPr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drawing>
          <wp:inline distT="0" distB="0" distL="0" distR="0">
            <wp:extent cx="6264275" cy="3822700"/>
            <wp:effectExtent l="0" t="0" r="3175" b="6350"/>
            <wp:docPr id="57" name="תמונה 57" descr="תרשים 4: יחס החוב החיצוני בברוטו לתוצר" title="תרשים 4: יחס החוב החיצוני ב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45C" w:rsidRPr="00360AB1" w:rsidRDefault="005F7ED1" w:rsidP="00360AB1">
      <w:pPr>
        <w:pStyle w:val="ad"/>
        <w:numPr>
          <w:ilvl w:val="0"/>
          <w:numId w:val="10"/>
        </w:numPr>
        <w:spacing w:before="480" w:line="360" w:lineRule="auto"/>
        <w:jc w:val="both"/>
        <w:rPr>
          <w:rFonts w:ascii="Arial" w:hAnsi="Arial" w:cs="David" w:hint="cs"/>
          <w:b/>
          <w:bCs/>
          <w:rtl/>
        </w:rPr>
      </w:pPr>
      <w:r w:rsidRPr="00360AB1">
        <w:rPr>
          <w:rFonts w:ascii="Arial" w:hAnsi="Arial" w:cs="David" w:hint="cs"/>
          <w:b/>
          <w:bCs/>
          <w:rtl/>
        </w:rPr>
        <w:t>ה</w:t>
      </w:r>
      <w:r w:rsidR="009522BF" w:rsidRPr="00360AB1">
        <w:rPr>
          <w:rFonts w:ascii="Arial" w:hAnsi="Arial" w:cs="David" w:hint="cs"/>
          <w:b/>
          <w:bCs/>
          <w:rtl/>
        </w:rPr>
        <w:t xml:space="preserve">חוב החיצוני נטו </w:t>
      </w:r>
    </w:p>
    <w:p w:rsidR="001F545C" w:rsidRPr="00690E6A" w:rsidRDefault="001F545C" w:rsidP="00FC498E">
      <w:pPr>
        <w:spacing w:line="360" w:lineRule="auto"/>
        <w:jc w:val="both"/>
        <w:rPr>
          <w:rFonts w:ascii="Arial" w:hAnsi="Arial" w:cs="David" w:hint="cs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66390E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271E0C">
        <w:rPr>
          <w:rFonts w:ascii="Arial" w:hAnsi="Arial" w:cs="David" w:hint="cs"/>
          <w:rtl/>
        </w:rPr>
        <w:t>ברביע ה</w:t>
      </w:r>
      <w:r w:rsidR="00FC498E">
        <w:rPr>
          <w:rFonts w:ascii="Arial" w:hAnsi="Arial" w:cs="David" w:hint="cs"/>
          <w:rtl/>
        </w:rPr>
        <w:t>שליש</w:t>
      </w:r>
      <w:r w:rsidR="00942E90">
        <w:rPr>
          <w:rFonts w:ascii="Arial" w:hAnsi="Arial" w:cs="David" w:hint="cs"/>
          <w:rtl/>
        </w:rPr>
        <w:t>י</w:t>
      </w:r>
      <w:r w:rsidR="00271E0C">
        <w:rPr>
          <w:rFonts w:ascii="Arial" w:hAnsi="Arial" w:cs="David" w:hint="cs"/>
          <w:rtl/>
        </w:rPr>
        <w:t xml:space="preserve"> של </w:t>
      </w:r>
      <w:r w:rsidR="00986902">
        <w:rPr>
          <w:rFonts w:ascii="Arial" w:hAnsi="Arial" w:cs="David" w:hint="cs"/>
          <w:rtl/>
        </w:rPr>
        <w:t xml:space="preserve">שנת </w:t>
      </w:r>
      <w:r w:rsidR="00271E0C">
        <w:rPr>
          <w:rFonts w:ascii="Arial" w:hAnsi="Arial" w:cs="David" w:hint="cs"/>
          <w:rtl/>
        </w:rPr>
        <w:t>2015</w:t>
      </w:r>
      <w:r w:rsidR="0066390E">
        <w:rPr>
          <w:rFonts w:ascii="Arial" w:hAnsi="Arial" w:cs="David" w:hint="cs"/>
          <w:rtl/>
        </w:rPr>
        <w:t xml:space="preserve"> </w:t>
      </w:r>
      <w:r w:rsidR="00E166FF" w:rsidRPr="00690E6A">
        <w:rPr>
          <w:rFonts w:ascii="Arial" w:hAnsi="Arial" w:cs="David" w:hint="cs"/>
          <w:rtl/>
        </w:rPr>
        <w:t>ב</w:t>
      </w:r>
      <w:r w:rsidR="00FC498E">
        <w:rPr>
          <w:rFonts w:ascii="Arial" w:hAnsi="Arial" w:cs="David" w:hint="cs"/>
          <w:rtl/>
        </w:rPr>
        <w:t>כמיליארד</w:t>
      </w:r>
      <w:r w:rsidR="00942E90">
        <w:rPr>
          <w:rFonts w:ascii="Arial" w:hAnsi="Arial" w:cs="David" w:hint="cs"/>
          <w:rtl/>
        </w:rPr>
        <w:t xml:space="preserve"> </w:t>
      </w:r>
      <w:r w:rsidR="00E166FF" w:rsidRPr="00690E6A">
        <w:rPr>
          <w:rFonts w:ascii="Arial" w:hAnsi="Arial" w:cs="David" w:hint="cs"/>
          <w:rtl/>
        </w:rPr>
        <w:t>דולרים</w:t>
      </w:r>
      <w:r w:rsidR="001B60EB" w:rsidRPr="00690E6A">
        <w:rPr>
          <w:rFonts w:ascii="Arial" w:hAnsi="Arial" w:cs="David" w:hint="cs"/>
          <w:rtl/>
        </w:rPr>
        <w:t xml:space="preserve"> </w:t>
      </w:r>
      <w:r w:rsidR="005465BF" w:rsidRPr="00690E6A">
        <w:rPr>
          <w:rFonts w:ascii="Arial" w:hAnsi="Arial" w:cs="David" w:hint="cs"/>
          <w:rtl/>
        </w:rPr>
        <w:t>(</w:t>
      </w:r>
      <w:r w:rsidR="00942E90">
        <w:rPr>
          <w:rFonts w:ascii="Arial" w:hAnsi="Arial" w:cs="David" w:hint="cs"/>
          <w:rtl/>
        </w:rPr>
        <w:t>0.</w:t>
      </w:r>
      <w:r w:rsidR="00FC498E">
        <w:rPr>
          <w:rFonts w:ascii="Arial" w:hAnsi="Arial" w:cs="David" w:hint="cs"/>
          <w:rtl/>
        </w:rPr>
        <w:t>9</w:t>
      </w:r>
      <w:r w:rsidR="005465BF" w:rsidRPr="00690E6A">
        <w:rPr>
          <w:rFonts w:ascii="Arial" w:hAnsi="Arial" w:cs="David" w:hint="cs"/>
          <w:rtl/>
        </w:rPr>
        <w:t xml:space="preserve">%) </w:t>
      </w:r>
      <w:r w:rsidRPr="00690E6A">
        <w:rPr>
          <w:rFonts w:ascii="Arial" w:hAnsi="Arial" w:cs="David" w:hint="cs"/>
          <w:rtl/>
        </w:rPr>
        <w:t xml:space="preserve">ועמד בסוף </w:t>
      </w:r>
      <w:r w:rsidR="00FC498E">
        <w:rPr>
          <w:rFonts w:ascii="Arial" w:hAnsi="Arial" w:cs="David" w:hint="cs"/>
          <w:rtl/>
        </w:rPr>
        <w:t>ספטמבר</w:t>
      </w:r>
      <w:r w:rsidRPr="00690E6A">
        <w:rPr>
          <w:rFonts w:ascii="Arial" w:hAnsi="Arial" w:cs="David" w:hint="cs"/>
          <w:rtl/>
        </w:rPr>
        <w:t xml:space="preserve"> על כ-</w:t>
      </w:r>
      <w:r w:rsidR="00271E0C">
        <w:rPr>
          <w:rFonts w:ascii="Arial" w:hAnsi="Arial" w:cs="David" w:hint="cs"/>
          <w:rtl/>
        </w:rPr>
        <w:t>10</w:t>
      </w:r>
      <w:r w:rsidR="00FC498E">
        <w:rPr>
          <w:rFonts w:ascii="Arial" w:hAnsi="Arial" w:cs="David" w:hint="cs"/>
          <w:rtl/>
        </w:rPr>
        <w:t>8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FF538C">
      <w:pPr>
        <w:spacing w:line="360" w:lineRule="auto"/>
        <w:jc w:val="both"/>
        <w:rPr>
          <w:rFonts w:ascii="Arial" w:hAnsi="Arial" w:cs="David" w:hint="cs"/>
          <w:rtl/>
        </w:rPr>
      </w:pPr>
      <w:r w:rsidRPr="001327D6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Pr="001327D6">
        <w:rPr>
          <w:rFonts w:ascii="Arial" w:hAnsi="Arial" w:cs="David"/>
          <w:rtl/>
        </w:rPr>
        <w:t xml:space="preserve"> </w:t>
      </w:r>
      <w:r w:rsidRPr="001327D6">
        <w:rPr>
          <w:rFonts w:ascii="Arial" w:hAnsi="Arial" w:cs="David" w:hint="cs"/>
          <w:rtl/>
        </w:rPr>
        <w:t xml:space="preserve">עמדה </w:t>
      </w:r>
      <w:r w:rsidRPr="001327D6">
        <w:rPr>
          <w:rFonts w:ascii="Arial" w:hAnsi="Arial" w:cs="David"/>
          <w:rtl/>
        </w:rPr>
        <w:t>בסוף</w:t>
      </w:r>
      <w:r w:rsidR="005F7ED1" w:rsidRPr="001327D6">
        <w:rPr>
          <w:rFonts w:ascii="Arial" w:hAnsi="Arial" w:cs="David" w:hint="cs"/>
          <w:rtl/>
        </w:rPr>
        <w:t xml:space="preserve"> </w:t>
      </w:r>
      <w:r w:rsidR="004215AC" w:rsidRPr="001327D6">
        <w:rPr>
          <w:rFonts w:ascii="Arial" w:hAnsi="Arial" w:cs="David" w:hint="cs"/>
          <w:rtl/>
        </w:rPr>
        <w:t>הרביע ה</w:t>
      </w:r>
      <w:r w:rsidR="001327D6" w:rsidRPr="001327D6">
        <w:rPr>
          <w:rFonts w:ascii="Arial" w:hAnsi="Arial" w:cs="David" w:hint="cs"/>
          <w:rtl/>
        </w:rPr>
        <w:t>ש</w:t>
      </w:r>
      <w:r w:rsidR="00FF538C">
        <w:rPr>
          <w:rFonts w:ascii="Arial" w:hAnsi="Arial" w:cs="David" w:hint="cs"/>
          <w:rtl/>
        </w:rPr>
        <w:t>ליש</w:t>
      </w:r>
      <w:r w:rsidR="001327D6" w:rsidRPr="001327D6">
        <w:rPr>
          <w:rFonts w:ascii="Arial" w:hAnsi="Arial" w:cs="David" w:hint="cs"/>
          <w:rtl/>
        </w:rPr>
        <w:t>י</w:t>
      </w:r>
      <w:r w:rsidR="004215AC" w:rsidRPr="001327D6">
        <w:rPr>
          <w:rFonts w:ascii="Arial" w:hAnsi="Arial" w:cs="David" w:hint="cs"/>
          <w:rtl/>
        </w:rPr>
        <w:t xml:space="preserve"> של שנת 2015</w:t>
      </w:r>
      <w:r w:rsidRPr="001327D6">
        <w:rPr>
          <w:rFonts w:ascii="Arial" w:hAnsi="Arial" w:cs="David"/>
          <w:rtl/>
        </w:rPr>
        <w:t xml:space="preserve"> </w:t>
      </w:r>
      <w:r w:rsidRPr="001327D6">
        <w:rPr>
          <w:rFonts w:ascii="Arial" w:hAnsi="Arial" w:cs="David" w:hint="cs"/>
          <w:rtl/>
        </w:rPr>
        <w:t>על כ-</w:t>
      </w:r>
      <w:r w:rsidR="001327D6" w:rsidRPr="001327D6">
        <w:rPr>
          <w:rFonts w:ascii="Arial" w:hAnsi="Arial" w:cs="David" w:hint="cs"/>
          <w:rtl/>
        </w:rPr>
        <w:t>135</w:t>
      </w:r>
      <w:r w:rsidRPr="001327D6">
        <w:rPr>
          <w:rFonts w:ascii="Arial" w:hAnsi="Arial" w:cs="David"/>
          <w:rtl/>
        </w:rPr>
        <w:t xml:space="preserve"> מיליארדי</w:t>
      </w:r>
      <w:r w:rsidRPr="001327D6">
        <w:rPr>
          <w:rFonts w:ascii="Arial" w:hAnsi="Arial" w:cs="David" w:hint="cs"/>
          <w:rtl/>
        </w:rPr>
        <w:t xml:space="preserve"> דולרים,</w:t>
      </w:r>
      <w:r w:rsidR="006E70F9" w:rsidRPr="001327D6">
        <w:rPr>
          <w:rFonts w:ascii="Arial" w:hAnsi="Arial" w:cs="David" w:hint="cs"/>
          <w:rtl/>
        </w:rPr>
        <w:t xml:space="preserve"> ברובה רזרבות </w:t>
      </w:r>
      <w:r w:rsidR="000216F1" w:rsidRPr="001327D6">
        <w:rPr>
          <w:rFonts w:ascii="Arial" w:hAnsi="Arial" w:cs="David" w:hint="cs"/>
          <w:rtl/>
        </w:rPr>
        <w:t xml:space="preserve"> מט"ח</w:t>
      </w:r>
      <w:r w:rsidR="006E70F9" w:rsidRPr="001327D6">
        <w:rPr>
          <w:rFonts w:ascii="Arial" w:hAnsi="Arial" w:cs="David" w:hint="cs"/>
          <w:rtl/>
        </w:rPr>
        <w:t>,</w:t>
      </w:r>
      <w:r w:rsidRPr="001327D6">
        <w:rPr>
          <w:rFonts w:ascii="Arial" w:hAnsi="Arial" w:cs="David" w:hint="cs"/>
          <w:rtl/>
        </w:rPr>
        <w:t xml:space="preserve"> והיא משקפת יחס כיסוי של פי </w:t>
      </w:r>
      <w:r w:rsidR="001327D6" w:rsidRPr="001327D6">
        <w:rPr>
          <w:rFonts w:ascii="Arial" w:hAnsi="Arial" w:cs="David" w:hint="cs"/>
          <w:rtl/>
        </w:rPr>
        <w:t>3.</w:t>
      </w:r>
      <w:r w:rsidR="00FF538C">
        <w:rPr>
          <w:rFonts w:ascii="Arial" w:hAnsi="Arial" w:cs="David" w:hint="cs"/>
          <w:rtl/>
        </w:rPr>
        <w:t>8</w:t>
      </w:r>
      <w:r w:rsidRPr="001327D6">
        <w:rPr>
          <w:rFonts w:ascii="Arial" w:hAnsi="Arial" w:cs="David" w:hint="cs"/>
          <w:rtl/>
        </w:rPr>
        <w:t xml:space="preserve"> מהחוב לזמן קצר</w:t>
      </w:r>
      <w:r w:rsidR="006E70F9" w:rsidRPr="001327D6">
        <w:rPr>
          <w:rFonts w:ascii="Arial" w:hAnsi="Arial" w:cs="David" w:hint="cs"/>
          <w:rtl/>
        </w:rPr>
        <w:t xml:space="preserve">, </w:t>
      </w:r>
      <w:r w:rsidR="00690E6A" w:rsidRPr="001327D6">
        <w:rPr>
          <w:rFonts w:ascii="Arial" w:hAnsi="Arial" w:cs="David" w:hint="cs"/>
          <w:rtl/>
        </w:rPr>
        <w:t>עלייה</w:t>
      </w:r>
      <w:r w:rsidR="001327D6" w:rsidRPr="001327D6">
        <w:rPr>
          <w:rFonts w:ascii="Arial" w:hAnsi="Arial" w:cs="David" w:hint="cs"/>
          <w:rtl/>
        </w:rPr>
        <w:t xml:space="preserve"> קלה</w:t>
      </w:r>
      <w:r w:rsidR="00690E6A" w:rsidRPr="001327D6">
        <w:rPr>
          <w:rFonts w:ascii="Arial" w:hAnsi="Arial" w:cs="David" w:hint="cs"/>
          <w:rtl/>
        </w:rPr>
        <w:t xml:space="preserve"> </w:t>
      </w:r>
      <w:r w:rsidR="00986902" w:rsidRPr="001327D6">
        <w:rPr>
          <w:rFonts w:ascii="Arial" w:hAnsi="Arial" w:cs="David" w:hint="cs"/>
          <w:rtl/>
        </w:rPr>
        <w:t xml:space="preserve">ביחס </w:t>
      </w:r>
      <w:r w:rsidR="001327D6" w:rsidRPr="001327D6">
        <w:rPr>
          <w:rFonts w:ascii="Arial" w:hAnsi="Arial" w:cs="David" w:hint="cs"/>
          <w:rtl/>
        </w:rPr>
        <w:t>לרביע ה</w:t>
      </w:r>
      <w:r w:rsidR="00FF538C">
        <w:rPr>
          <w:rFonts w:ascii="Arial" w:hAnsi="Arial" w:cs="David" w:hint="cs"/>
          <w:rtl/>
        </w:rPr>
        <w:t>שני</w:t>
      </w:r>
      <w:r w:rsidR="001327D6" w:rsidRPr="001327D6">
        <w:rPr>
          <w:rFonts w:ascii="Arial" w:hAnsi="Arial" w:cs="David" w:hint="cs"/>
          <w:rtl/>
        </w:rPr>
        <w:t xml:space="preserve"> של השנה</w:t>
      </w:r>
      <w:r w:rsidR="001327D6">
        <w:rPr>
          <w:rFonts w:ascii="Arial" w:hAnsi="Arial" w:cs="David" w:hint="cs"/>
          <w:rtl/>
        </w:rPr>
        <w:t>.</w:t>
      </w:r>
    </w:p>
    <w:p w:rsidR="00A752BB" w:rsidRDefault="00360AB1" w:rsidP="00690E6A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>
            <wp:extent cx="6264275" cy="3822700"/>
            <wp:effectExtent l="0" t="0" r="3175" b="6350"/>
            <wp:docPr id="58" name="תמונה 58" descr="תרשים 5: החוב החיצוני נטו" title="תרשים 5: החוב החיצונ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AB1" w:rsidRPr="00B516A1" w:rsidRDefault="00360AB1" w:rsidP="00360AB1">
      <w:pPr>
        <w:autoSpaceDE w:val="0"/>
        <w:autoSpaceDN w:val="0"/>
        <w:adjustRightInd w:val="0"/>
        <w:spacing w:before="960" w:line="36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9" w:history="1">
        <w:r w:rsidRPr="00473DCB">
          <w:rPr>
            <w:rStyle w:val="Hyperlink"/>
            <w:rFonts w:ascii="Arial" w:hAnsi="Arial" w:cs="David"/>
            <w:rtl/>
          </w:rPr>
          <w:t xml:space="preserve">מידע נוסף בנושא הנכסים וההתחייבויות של המשק </w:t>
        </w:r>
        <w:r w:rsidRPr="00473DCB">
          <w:rPr>
            <w:rStyle w:val="Hyperlink"/>
            <w:rFonts w:ascii="Arial" w:hAnsi="Arial" w:cs="David" w:hint="cs"/>
            <w:rtl/>
          </w:rPr>
          <w:t xml:space="preserve">מול </w:t>
        </w:r>
        <w:r w:rsidRPr="00473DCB">
          <w:rPr>
            <w:rStyle w:val="Hyperlink"/>
            <w:rFonts w:ascii="Arial" w:hAnsi="Arial" w:cs="David"/>
            <w:rtl/>
          </w:rPr>
          <w:t>חו"ל</w:t>
        </w:r>
        <w:r w:rsidRPr="00473DCB">
          <w:rPr>
            <w:rStyle w:val="Hyperlink"/>
            <w:rFonts w:ascii="Arial" w:hAnsi="Arial" w:cs="David" w:hint="cs"/>
            <w:rtl/>
          </w:rPr>
          <w:t>.</w:t>
        </w:r>
      </w:hyperlink>
    </w:p>
    <w:p w:rsidR="00884A8B" w:rsidRPr="00B516A1" w:rsidRDefault="000D4E41" w:rsidP="00360AB1">
      <w:pPr>
        <w:autoSpaceDE w:val="0"/>
        <w:autoSpaceDN w:val="0"/>
        <w:adjustRightInd w:val="0"/>
        <w:spacing w:before="1080" w:line="360" w:lineRule="auto"/>
        <w:rPr>
          <w:rFonts w:ascii="Arial" w:hAnsi="Arial" w:cs="Arial" w:hint="cs"/>
          <w:sz w:val="18"/>
          <w:szCs w:val="18"/>
          <w:rtl/>
          <w:lang w:eastAsia="en-US"/>
        </w:rPr>
      </w:pPr>
      <w:r>
        <w:rPr>
          <w:rFonts w:ascii="Arial" w:hAnsi="Arial" w:cs="David" w:hint="cs"/>
          <w:rtl/>
        </w:rPr>
        <w:t>.</w:t>
      </w:r>
    </w:p>
    <w:sectPr w:rsidR="00884A8B" w:rsidRPr="00B516A1" w:rsidSect="00F361E2">
      <w:headerReference w:type="default" r:id="rId20"/>
      <w:footerReference w:type="default" r:id="rId21"/>
      <w:pgSz w:w="11906" w:h="16838"/>
      <w:pgMar w:top="1078" w:right="1133" w:bottom="1616" w:left="1418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EC" w:rsidRDefault="00E13EEC">
      <w:r>
        <w:separator/>
      </w:r>
    </w:p>
  </w:endnote>
  <w:endnote w:type="continuationSeparator" w:id="0">
    <w:p w:rsidR="00E13EEC" w:rsidRDefault="00E1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B1" w:rsidRDefault="00D45CC6" w:rsidP="00672B6F">
    <w:pPr>
      <w:spacing w:line="360" w:lineRule="auto"/>
      <w:ind w:firstLine="720"/>
      <w:rPr>
        <w:rFonts w:cs="David" w:hint="cs"/>
        <w:rtl/>
      </w:rPr>
    </w:pPr>
    <w:r w:rsidRPr="00360AB1">
      <w:rPr>
        <w:rFonts w:cs="David" w:hint="cs"/>
        <w:rtl/>
      </w:rPr>
      <w:t>בנק ישראל</w:t>
    </w:r>
    <w:r w:rsidRPr="00360AB1">
      <w:rPr>
        <w:rFonts w:cs="David"/>
        <w:rtl/>
      </w:rPr>
      <w:t>–</w:t>
    </w:r>
    <w:r w:rsidRPr="00360AB1">
      <w:rPr>
        <w:rFonts w:cs="David" w:hint="cs"/>
        <w:rtl/>
      </w:rPr>
      <w:t>הנכסים וההתחייבויות</w:t>
    </w:r>
  </w:p>
  <w:p w:rsidR="00BD0A6B" w:rsidRPr="00360AB1" w:rsidRDefault="00D45CC6" w:rsidP="00360AB1">
    <w:pPr>
      <w:spacing w:line="360" w:lineRule="auto"/>
      <w:ind w:firstLine="720"/>
      <w:rPr>
        <w:rFonts w:cs="David"/>
      </w:rPr>
    </w:pPr>
    <w:r w:rsidRPr="00360AB1">
      <w:rPr>
        <w:rFonts w:cs="David" w:hint="cs"/>
        <w:rtl/>
      </w:rPr>
      <w:t>של המשק מול חו"ל ברביע ה</w:t>
    </w:r>
    <w:r w:rsidR="004678AD" w:rsidRPr="00360AB1">
      <w:rPr>
        <w:rFonts w:cs="David" w:hint="cs"/>
        <w:rtl/>
      </w:rPr>
      <w:t>שלישי</w:t>
    </w:r>
    <w:r w:rsidRPr="00360AB1">
      <w:rPr>
        <w:rFonts w:cs="David" w:hint="cs"/>
        <w:rtl/>
      </w:rPr>
      <w:t xml:space="preserve"> של שנת</w:t>
    </w:r>
    <w:r w:rsidR="00D41DF9" w:rsidRPr="00360AB1">
      <w:rPr>
        <w:rFonts w:cs="David" w:hint="cs"/>
        <w:rtl/>
      </w:rPr>
      <w:t xml:space="preserve"> 2015</w:t>
    </w:r>
    <w:r w:rsidR="00360AB1">
      <w:rPr>
        <w:rFonts w:cs="David" w:hint="cs"/>
        <w:rtl/>
        <w:cs/>
        <w:lang w:val="he-IL"/>
      </w:rPr>
      <w:tab/>
    </w:r>
    <w:r w:rsidR="00360AB1">
      <w:rPr>
        <w:rFonts w:cs="David" w:hint="cs"/>
        <w:rtl/>
        <w:cs/>
        <w:lang w:val="he-IL"/>
      </w:rPr>
      <w:tab/>
    </w:r>
    <w:r w:rsidR="00360AB1">
      <w:rPr>
        <w:rFonts w:cs="David" w:hint="cs"/>
        <w:rtl/>
        <w:cs/>
        <w:lang w:val="he-IL"/>
      </w:rPr>
      <w:tab/>
    </w:r>
    <w:r w:rsidR="00360AB1">
      <w:rPr>
        <w:rFonts w:cs="David" w:hint="cs"/>
        <w:rtl/>
        <w:cs/>
        <w:lang w:val="he-IL"/>
      </w:rPr>
      <w:tab/>
    </w:r>
    <w:r w:rsidR="00360AB1">
      <w:rPr>
        <w:rFonts w:cs="David" w:hint="cs"/>
        <w:rtl/>
        <w:cs/>
        <w:lang w:val="he-IL"/>
      </w:rPr>
      <w:tab/>
    </w:r>
    <w:r w:rsidRPr="00360AB1">
      <w:rPr>
        <w:rFonts w:cs="David"/>
        <w:rtl/>
        <w:cs/>
        <w:lang w:val="he-IL"/>
      </w:rPr>
      <w:t xml:space="preserve">עמוד </w:t>
    </w:r>
    <w:r w:rsidRPr="00360AB1">
      <w:rPr>
        <w:rFonts w:cs="David"/>
        <w:b/>
        <w:bCs/>
      </w:rPr>
      <w:fldChar w:fldCharType="begin"/>
    </w:r>
    <w:r w:rsidRPr="00360AB1">
      <w:rPr>
        <w:rFonts w:cs="David"/>
        <w:b/>
        <w:bCs/>
        <w:rtl/>
        <w:cs/>
      </w:rPr>
      <w:instrText>PAGE</w:instrText>
    </w:r>
    <w:r w:rsidRPr="00360AB1">
      <w:rPr>
        <w:rFonts w:cs="David"/>
        <w:b/>
        <w:bCs/>
      </w:rPr>
      <w:fldChar w:fldCharType="separate"/>
    </w:r>
    <w:r w:rsidR="00672B6F">
      <w:rPr>
        <w:rFonts w:cs="David"/>
        <w:b/>
        <w:bCs/>
        <w:noProof/>
        <w:rtl/>
      </w:rPr>
      <w:t>1</w:t>
    </w:r>
    <w:r w:rsidRPr="00360AB1">
      <w:rPr>
        <w:rFonts w:cs="David"/>
        <w:b/>
        <w:bCs/>
      </w:rPr>
      <w:fldChar w:fldCharType="end"/>
    </w:r>
    <w:r w:rsidRPr="00360AB1">
      <w:rPr>
        <w:rFonts w:cs="David"/>
        <w:rtl/>
        <w:cs/>
        <w:lang w:val="he-IL"/>
      </w:rPr>
      <w:t xml:space="preserve"> מתוך </w:t>
    </w:r>
    <w:r w:rsidRPr="00360AB1">
      <w:rPr>
        <w:rFonts w:cs="David"/>
        <w:b/>
        <w:bCs/>
      </w:rPr>
      <w:fldChar w:fldCharType="begin"/>
    </w:r>
    <w:r w:rsidRPr="00360AB1">
      <w:rPr>
        <w:rFonts w:cs="David"/>
        <w:b/>
        <w:bCs/>
        <w:rtl/>
        <w:cs/>
      </w:rPr>
      <w:instrText>NUMPAGES</w:instrText>
    </w:r>
    <w:r w:rsidRPr="00360AB1">
      <w:rPr>
        <w:rFonts w:cs="David"/>
        <w:b/>
        <w:bCs/>
      </w:rPr>
      <w:fldChar w:fldCharType="separate"/>
    </w:r>
    <w:r w:rsidR="00672B6F">
      <w:rPr>
        <w:rFonts w:cs="David"/>
        <w:b/>
        <w:bCs/>
        <w:noProof/>
        <w:rtl/>
      </w:rPr>
      <w:t>6</w:t>
    </w:r>
    <w:r w:rsidRPr="00360AB1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EC" w:rsidRDefault="00E13EEC">
      <w:r>
        <w:separator/>
      </w:r>
    </w:p>
  </w:footnote>
  <w:footnote w:type="continuationSeparator" w:id="0">
    <w:p w:rsidR="00E13EEC" w:rsidRDefault="00E1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8570DA8"/>
    <w:multiLevelType w:val="hybridMultilevel"/>
    <w:tmpl w:val="B990393E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504E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5A6"/>
    <w:rsid w:val="00015BCB"/>
    <w:rsid w:val="00016D54"/>
    <w:rsid w:val="00016D59"/>
    <w:rsid w:val="00016D85"/>
    <w:rsid w:val="00017A9A"/>
    <w:rsid w:val="00020465"/>
    <w:rsid w:val="00020B1B"/>
    <w:rsid w:val="000216F1"/>
    <w:rsid w:val="000218D0"/>
    <w:rsid w:val="000220D7"/>
    <w:rsid w:val="000222AF"/>
    <w:rsid w:val="00023172"/>
    <w:rsid w:val="00023411"/>
    <w:rsid w:val="000246DB"/>
    <w:rsid w:val="00026FD5"/>
    <w:rsid w:val="00027293"/>
    <w:rsid w:val="00027E93"/>
    <w:rsid w:val="00030F1F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562"/>
    <w:rsid w:val="00045B6F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AF1"/>
    <w:rsid w:val="00057E88"/>
    <w:rsid w:val="0006108C"/>
    <w:rsid w:val="000627DD"/>
    <w:rsid w:val="00062AB0"/>
    <w:rsid w:val="00062ED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37AC"/>
    <w:rsid w:val="00083E59"/>
    <w:rsid w:val="000859EB"/>
    <w:rsid w:val="00085CA1"/>
    <w:rsid w:val="000867D6"/>
    <w:rsid w:val="00086D0B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48B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1E1B"/>
    <w:rsid w:val="000B2076"/>
    <w:rsid w:val="000B2136"/>
    <w:rsid w:val="000B3E41"/>
    <w:rsid w:val="000B486E"/>
    <w:rsid w:val="000B5CE7"/>
    <w:rsid w:val="000B636E"/>
    <w:rsid w:val="000B643A"/>
    <w:rsid w:val="000B6CF1"/>
    <w:rsid w:val="000B6FCA"/>
    <w:rsid w:val="000B74D0"/>
    <w:rsid w:val="000C0A77"/>
    <w:rsid w:val="000C0C25"/>
    <w:rsid w:val="000C1F4D"/>
    <w:rsid w:val="000C2541"/>
    <w:rsid w:val="000C3098"/>
    <w:rsid w:val="000C4143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7BE3"/>
    <w:rsid w:val="000D7D13"/>
    <w:rsid w:val="000E0BB9"/>
    <w:rsid w:val="000E1CA2"/>
    <w:rsid w:val="000E26DC"/>
    <w:rsid w:val="000E279A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F166E"/>
    <w:rsid w:val="000F2128"/>
    <w:rsid w:val="000F2457"/>
    <w:rsid w:val="000F3382"/>
    <w:rsid w:val="000F3ED7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27D6"/>
    <w:rsid w:val="00133991"/>
    <w:rsid w:val="00133F75"/>
    <w:rsid w:val="001353A4"/>
    <w:rsid w:val="00136576"/>
    <w:rsid w:val="00136F12"/>
    <w:rsid w:val="001409A7"/>
    <w:rsid w:val="00142E46"/>
    <w:rsid w:val="00143EAD"/>
    <w:rsid w:val="001441DE"/>
    <w:rsid w:val="001449B8"/>
    <w:rsid w:val="00144A74"/>
    <w:rsid w:val="00144D3B"/>
    <w:rsid w:val="0014562D"/>
    <w:rsid w:val="0014740B"/>
    <w:rsid w:val="00150BC9"/>
    <w:rsid w:val="00150CE4"/>
    <w:rsid w:val="00152295"/>
    <w:rsid w:val="00152B7D"/>
    <w:rsid w:val="00153291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B79"/>
    <w:rsid w:val="00172E92"/>
    <w:rsid w:val="001743CB"/>
    <w:rsid w:val="0017454D"/>
    <w:rsid w:val="001746DB"/>
    <w:rsid w:val="00175AB4"/>
    <w:rsid w:val="00177A2B"/>
    <w:rsid w:val="00177F01"/>
    <w:rsid w:val="001809B3"/>
    <w:rsid w:val="0018164E"/>
    <w:rsid w:val="00182258"/>
    <w:rsid w:val="0018252A"/>
    <w:rsid w:val="00182F32"/>
    <w:rsid w:val="00183507"/>
    <w:rsid w:val="00184398"/>
    <w:rsid w:val="00184F2F"/>
    <w:rsid w:val="001852E1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A2F"/>
    <w:rsid w:val="001A6DCA"/>
    <w:rsid w:val="001B1C19"/>
    <w:rsid w:val="001B3C77"/>
    <w:rsid w:val="001B5E81"/>
    <w:rsid w:val="001B60EB"/>
    <w:rsid w:val="001B65E4"/>
    <w:rsid w:val="001B6796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CA7"/>
    <w:rsid w:val="001D2280"/>
    <w:rsid w:val="001D3F3E"/>
    <w:rsid w:val="001D3FFB"/>
    <w:rsid w:val="001D438B"/>
    <w:rsid w:val="001D5B5D"/>
    <w:rsid w:val="001D6750"/>
    <w:rsid w:val="001D7B80"/>
    <w:rsid w:val="001E0513"/>
    <w:rsid w:val="001E0F32"/>
    <w:rsid w:val="001E1648"/>
    <w:rsid w:val="001E18A1"/>
    <w:rsid w:val="001E3E7B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2CE4"/>
    <w:rsid w:val="00223441"/>
    <w:rsid w:val="002247F3"/>
    <w:rsid w:val="00224CBF"/>
    <w:rsid w:val="00225510"/>
    <w:rsid w:val="00226793"/>
    <w:rsid w:val="00226DD0"/>
    <w:rsid w:val="00227068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5854"/>
    <w:rsid w:val="00245CF6"/>
    <w:rsid w:val="0024642F"/>
    <w:rsid w:val="00247155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258"/>
    <w:rsid w:val="00267503"/>
    <w:rsid w:val="00267BE9"/>
    <w:rsid w:val="00270261"/>
    <w:rsid w:val="00270D22"/>
    <w:rsid w:val="00271C51"/>
    <w:rsid w:val="00271E0C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6792"/>
    <w:rsid w:val="00286ABF"/>
    <w:rsid w:val="00286BE0"/>
    <w:rsid w:val="00287759"/>
    <w:rsid w:val="0029184D"/>
    <w:rsid w:val="002926E9"/>
    <w:rsid w:val="00293FCB"/>
    <w:rsid w:val="00294B6F"/>
    <w:rsid w:val="0029548E"/>
    <w:rsid w:val="00296AF2"/>
    <w:rsid w:val="002970DD"/>
    <w:rsid w:val="0029777C"/>
    <w:rsid w:val="00297CD1"/>
    <w:rsid w:val="002A0965"/>
    <w:rsid w:val="002A1268"/>
    <w:rsid w:val="002A1609"/>
    <w:rsid w:val="002A1857"/>
    <w:rsid w:val="002A339D"/>
    <w:rsid w:val="002A40D2"/>
    <w:rsid w:val="002A439E"/>
    <w:rsid w:val="002A46D0"/>
    <w:rsid w:val="002A47BB"/>
    <w:rsid w:val="002A5097"/>
    <w:rsid w:val="002A50C9"/>
    <w:rsid w:val="002A57D1"/>
    <w:rsid w:val="002A5A7C"/>
    <w:rsid w:val="002A5C7D"/>
    <w:rsid w:val="002A5E70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C0FA1"/>
    <w:rsid w:val="002C13BA"/>
    <w:rsid w:val="002C1D60"/>
    <w:rsid w:val="002C1D8F"/>
    <w:rsid w:val="002C28D9"/>
    <w:rsid w:val="002C47D2"/>
    <w:rsid w:val="002C47DD"/>
    <w:rsid w:val="002C4C56"/>
    <w:rsid w:val="002C515E"/>
    <w:rsid w:val="002C5397"/>
    <w:rsid w:val="002C56FA"/>
    <w:rsid w:val="002C5916"/>
    <w:rsid w:val="002C6C5A"/>
    <w:rsid w:val="002C738D"/>
    <w:rsid w:val="002C7F82"/>
    <w:rsid w:val="002D1622"/>
    <w:rsid w:val="002D2ED8"/>
    <w:rsid w:val="002D3E76"/>
    <w:rsid w:val="002D4CFA"/>
    <w:rsid w:val="002D4FD1"/>
    <w:rsid w:val="002D52ED"/>
    <w:rsid w:val="002D5576"/>
    <w:rsid w:val="002D6205"/>
    <w:rsid w:val="002D63AF"/>
    <w:rsid w:val="002D72DF"/>
    <w:rsid w:val="002D748C"/>
    <w:rsid w:val="002D7C52"/>
    <w:rsid w:val="002E0BD9"/>
    <w:rsid w:val="002E0DA5"/>
    <w:rsid w:val="002E1C54"/>
    <w:rsid w:val="002E30F9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CAF"/>
    <w:rsid w:val="002E7E24"/>
    <w:rsid w:val="002E7E75"/>
    <w:rsid w:val="002F03E2"/>
    <w:rsid w:val="002F0878"/>
    <w:rsid w:val="002F0D9E"/>
    <w:rsid w:val="002F0E7A"/>
    <w:rsid w:val="002F35B7"/>
    <w:rsid w:val="002F4D72"/>
    <w:rsid w:val="002F5D66"/>
    <w:rsid w:val="002F7D67"/>
    <w:rsid w:val="00301474"/>
    <w:rsid w:val="00302203"/>
    <w:rsid w:val="00302258"/>
    <w:rsid w:val="003024BC"/>
    <w:rsid w:val="003029EF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342"/>
    <w:rsid w:val="00324845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5C6"/>
    <w:rsid w:val="003338A0"/>
    <w:rsid w:val="00333E3E"/>
    <w:rsid w:val="00334457"/>
    <w:rsid w:val="00342682"/>
    <w:rsid w:val="00344F4B"/>
    <w:rsid w:val="00345B70"/>
    <w:rsid w:val="00346DFF"/>
    <w:rsid w:val="0034718C"/>
    <w:rsid w:val="00350B87"/>
    <w:rsid w:val="00350C8F"/>
    <w:rsid w:val="00351A3B"/>
    <w:rsid w:val="003520E4"/>
    <w:rsid w:val="00352F18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0AB1"/>
    <w:rsid w:val="003618AB"/>
    <w:rsid w:val="00362063"/>
    <w:rsid w:val="00362124"/>
    <w:rsid w:val="003621A0"/>
    <w:rsid w:val="003627BB"/>
    <w:rsid w:val="00363D2F"/>
    <w:rsid w:val="0036470E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AF5"/>
    <w:rsid w:val="00380E1E"/>
    <w:rsid w:val="00380F7A"/>
    <w:rsid w:val="003827EF"/>
    <w:rsid w:val="00384667"/>
    <w:rsid w:val="00385233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2DE1"/>
    <w:rsid w:val="003B3652"/>
    <w:rsid w:val="003B36F4"/>
    <w:rsid w:val="003B3F41"/>
    <w:rsid w:val="003B45B0"/>
    <w:rsid w:val="003B6784"/>
    <w:rsid w:val="003B722A"/>
    <w:rsid w:val="003C00A0"/>
    <w:rsid w:val="003C0CDF"/>
    <w:rsid w:val="003C18AB"/>
    <w:rsid w:val="003C1C07"/>
    <w:rsid w:val="003C2C27"/>
    <w:rsid w:val="003C30F8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1887"/>
    <w:rsid w:val="003D22F7"/>
    <w:rsid w:val="003D2ADE"/>
    <w:rsid w:val="003D42EC"/>
    <w:rsid w:val="003D4CAA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059"/>
    <w:rsid w:val="003F02B6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215AC"/>
    <w:rsid w:val="004224EC"/>
    <w:rsid w:val="004226DE"/>
    <w:rsid w:val="00423E17"/>
    <w:rsid w:val="00424146"/>
    <w:rsid w:val="0042547A"/>
    <w:rsid w:val="004257BF"/>
    <w:rsid w:val="00426BC1"/>
    <w:rsid w:val="004276A6"/>
    <w:rsid w:val="00431158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C2B"/>
    <w:rsid w:val="00450F55"/>
    <w:rsid w:val="00451909"/>
    <w:rsid w:val="00451A7F"/>
    <w:rsid w:val="00452549"/>
    <w:rsid w:val="00456760"/>
    <w:rsid w:val="00456CD8"/>
    <w:rsid w:val="00456ECE"/>
    <w:rsid w:val="00457CE8"/>
    <w:rsid w:val="00460B96"/>
    <w:rsid w:val="00461383"/>
    <w:rsid w:val="00461EB6"/>
    <w:rsid w:val="00462D19"/>
    <w:rsid w:val="004632C9"/>
    <w:rsid w:val="0046464F"/>
    <w:rsid w:val="0046466F"/>
    <w:rsid w:val="00464B84"/>
    <w:rsid w:val="004678AD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77F7E"/>
    <w:rsid w:val="00480430"/>
    <w:rsid w:val="0048142E"/>
    <w:rsid w:val="00482083"/>
    <w:rsid w:val="00482AFD"/>
    <w:rsid w:val="00483CB4"/>
    <w:rsid w:val="00483EEC"/>
    <w:rsid w:val="004843D4"/>
    <w:rsid w:val="0048474B"/>
    <w:rsid w:val="00484FC4"/>
    <w:rsid w:val="00485C59"/>
    <w:rsid w:val="0048666F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733C"/>
    <w:rsid w:val="004C0706"/>
    <w:rsid w:val="004C0FC6"/>
    <w:rsid w:val="004C1731"/>
    <w:rsid w:val="004C19BB"/>
    <w:rsid w:val="004C1A4E"/>
    <w:rsid w:val="004C2157"/>
    <w:rsid w:val="004C2E2D"/>
    <w:rsid w:val="004C324B"/>
    <w:rsid w:val="004C4857"/>
    <w:rsid w:val="004C646E"/>
    <w:rsid w:val="004C6550"/>
    <w:rsid w:val="004C6C2B"/>
    <w:rsid w:val="004C6CA0"/>
    <w:rsid w:val="004C7474"/>
    <w:rsid w:val="004C79D5"/>
    <w:rsid w:val="004D208E"/>
    <w:rsid w:val="004D4EEE"/>
    <w:rsid w:val="004D5D6A"/>
    <w:rsid w:val="004D64F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318E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1A57"/>
    <w:rsid w:val="00511F43"/>
    <w:rsid w:val="0051262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B3"/>
    <w:rsid w:val="00536DFD"/>
    <w:rsid w:val="00537605"/>
    <w:rsid w:val="0053772E"/>
    <w:rsid w:val="00542A8B"/>
    <w:rsid w:val="00543ED3"/>
    <w:rsid w:val="005444AE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1506"/>
    <w:rsid w:val="005628EA"/>
    <w:rsid w:val="00562E06"/>
    <w:rsid w:val="00563811"/>
    <w:rsid w:val="00563D92"/>
    <w:rsid w:val="0056525D"/>
    <w:rsid w:val="0056536B"/>
    <w:rsid w:val="00570705"/>
    <w:rsid w:val="0057281B"/>
    <w:rsid w:val="00572E61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90EDC"/>
    <w:rsid w:val="00592141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61A"/>
    <w:rsid w:val="005A61AB"/>
    <w:rsid w:val="005A658A"/>
    <w:rsid w:val="005A7B7E"/>
    <w:rsid w:val="005B0E5B"/>
    <w:rsid w:val="005B3013"/>
    <w:rsid w:val="005B316D"/>
    <w:rsid w:val="005B3293"/>
    <w:rsid w:val="005B3C5B"/>
    <w:rsid w:val="005B57DA"/>
    <w:rsid w:val="005B5DAA"/>
    <w:rsid w:val="005B7103"/>
    <w:rsid w:val="005B773D"/>
    <w:rsid w:val="005B78A4"/>
    <w:rsid w:val="005B7ADE"/>
    <w:rsid w:val="005C0E25"/>
    <w:rsid w:val="005C1FF6"/>
    <w:rsid w:val="005C2099"/>
    <w:rsid w:val="005C28FC"/>
    <w:rsid w:val="005C34EB"/>
    <w:rsid w:val="005C40EB"/>
    <w:rsid w:val="005C43F3"/>
    <w:rsid w:val="005C4E3E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5EF4"/>
    <w:rsid w:val="005D6531"/>
    <w:rsid w:val="005D7D1D"/>
    <w:rsid w:val="005E0F18"/>
    <w:rsid w:val="005E155A"/>
    <w:rsid w:val="005E2E46"/>
    <w:rsid w:val="005E3539"/>
    <w:rsid w:val="005E3C1F"/>
    <w:rsid w:val="005E476E"/>
    <w:rsid w:val="005E4F10"/>
    <w:rsid w:val="005E52B4"/>
    <w:rsid w:val="005E5395"/>
    <w:rsid w:val="005E6239"/>
    <w:rsid w:val="005E76D9"/>
    <w:rsid w:val="005E7772"/>
    <w:rsid w:val="005F082A"/>
    <w:rsid w:val="005F0B64"/>
    <w:rsid w:val="005F11E3"/>
    <w:rsid w:val="005F1742"/>
    <w:rsid w:val="005F1EFF"/>
    <w:rsid w:val="005F25FC"/>
    <w:rsid w:val="005F3187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1F0"/>
    <w:rsid w:val="00612A75"/>
    <w:rsid w:val="00613673"/>
    <w:rsid w:val="00614194"/>
    <w:rsid w:val="006146F6"/>
    <w:rsid w:val="00614AF8"/>
    <w:rsid w:val="00615186"/>
    <w:rsid w:val="006151D3"/>
    <w:rsid w:val="00615B27"/>
    <w:rsid w:val="00615BAA"/>
    <w:rsid w:val="00615C7A"/>
    <w:rsid w:val="00615E7C"/>
    <w:rsid w:val="00616683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86E"/>
    <w:rsid w:val="006305F8"/>
    <w:rsid w:val="00630C20"/>
    <w:rsid w:val="006313F1"/>
    <w:rsid w:val="006325C7"/>
    <w:rsid w:val="00632678"/>
    <w:rsid w:val="00632E06"/>
    <w:rsid w:val="00633476"/>
    <w:rsid w:val="0063358C"/>
    <w:rsid w:val="00633A4B"/>
    <w:rsid w:val="00633A72"/>
    <w:rsid w:val="00633BFD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B9C"/>
    <w:rsid w:val="006443DA"/>
    <w:rsid w:val="0064455A"/>
    <w:rsid w:val="006445CF"/>
    <w:rsid w:val="00644A8D"/>
    <w:rsid w:val="00644EDA"/>
    <w:rsid w:val="00645481"/>
    <w:rsid w:val="0064559B"/>
    <w:rsid w:val="006468F3"/>
    <w:rsid w:val="00647984"/>
    <w:rsid w:val="006515C7"/>
    <w:rsid w:val="0065264C"/>
    <w:rsid w:val="006527F9"/>
    <w:rsid w:val="00653878"/>
    <w:rsid w:val="00654804"/>
    <w:rsid w:val="00655C1C"/>
    <w:rsid w:val="006570F2"/>
    <w:rsid w:val="00657198"/>
    <w:rsid w:val="006576B9"/>
    <w:rsid w:val="006630E0"/>
    <w:rsid w:val="0066390E"/>
    <w:rsid w:val="006646B7"/>
    <w:rsid w:val="00664DBC"/>
    <w:rsid w:val="006666C7"/>
    <w:rsid w:val="00666724"/>
    <w:rsid w:val="006676D5"/>
    <w:rsid w:val="00670AFB"/>
    <w:rsid w:val="00670C47"/>
    <w:rsid w:val="00672B32"/>
    <w:rsid w:val="00672B6F"/>
    <w:rsid w:val="0067306C"/>
    <w:rsid w:val="00673C11"/>
    <w:rsid w:val="00673D6C"/>
    <w:rsid w:val="00673F0B"/>
    <w:rsid w:val="006752CA"/>
    <w:rsid w:val="00677D63"/>
    <w:rsid w:val="006806D2"/>
    <w:rsid w:val="00683371"/>
    <w:rsid w:val="00683FF7"/>
    <w:rsid w:val="00685D31"/>
    <w:rsid w:val="006861D5"/>
    <w:rsid w:val="00686B36"/>
    <w:rsid w:val="00687650"/>
    <w:rsid w:val="00687F2A"/>
    <w:rsid w:val="00687FD9"/>
    <w:rsid w:val="0069025D"/>
    <w:rsid w:val="00690E6A"/>
    <w:rsid w:val="006915BC"/>
    <w:rsid w:val="0069228A"/>
    <w:rsid w:val="00694661"/>
    <w:rsid w:val="00695684"/>
    <w:rsid w:val="006962EF"/>
    <w:rsid w:val="0069633E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6D22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1CF5"/>
    <w:rsid w:val="006C2973"/>
    <w:rsid w:val="006C397C"/>
    <w:rsid w:val="006C398B"/>
    <w:rsid w:val="006C3A25"/>
    <w:rsid w:val="006C4331"/>
    <w:rsid w:val="006C4CEE"/>
    <w:rsid w:val="006C6E94"/>
    <w:rsid w:val="006C71BE"/>
    <w:rsid w:val="006D1603"/>
    <w:rsid w:val="006D27E0"/>
    <w:rsid w:val="006D3F10"/>
    <w:rsid w:val="006D4133"/>
    <w:rsid w:val="006D421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4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5EF7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8C1"/>
    <w:rsid w:val="00726FD8"/>
    <w:rsid w:val="00727BDD"/>
    <w:rsid w:val="00733791"/>
    <w:rsid w:val="00733D33"/>
    <w:rsid w:val="007347A9"/>
    <w:rsid w:val="007353B7"/>
    <w:rsid w:val="0073706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A87"/>
    <w:rsid w:val="00750CA8"/>
    <w:rsid w:val="00750E7B"/>
    <w:rsid w:val="007511C2"/>
    <w:rsid w:val="007531DD"/>
    <w:rsid w:val="00754043"/>
    <w:rsid w:val="00754CD1"/>
    <w:rsid w:val="00754CD5"/>
    <w:rsid w:val="00755321"/>
    <w:rsid w:val="007567E5"/>
    <w:rsid w:val="00756BDE"/>
    <w:rsid w:val="007570EA"/>
    <w:rsid w:val="00757797"/>
    <w:rsid w:val="00760C22"/>
    <w:rsid w:val="007614E7"/>
    <w:rsid w:val="0076181D"/>
    <w:rsid w:val="007622E4"/>
    <w:rsid w:val="00762BCF"/>
    <w:rsid w:val="007633A4"/>
    <w:rsid w:val="0076384B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42E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288"/>
    <w:rsid w:val="00790F87"/>
    <w:rsid w:val="00791760"/>
    <w:rsid w:val="007922D6"/>
    <w:rsid w:val="00793377"/>
    <w:rsid w:val="00793846"/>
    <w:rsid w:val="007948DF"/>
    <w:rsid w:val="0079495A"/>
    <w:rsid w:val="00795EA8"/>
    <w:rsid w:val="00796CD1"/>
    <w:rsid w:val="007976AA"/>
    <w:rsid w:val="007A03B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A4E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09F3"/>
    <w:rsid w:val="007E1178"/>
    <w:rsid w:val="007E2533"/>
    <w:rsid w:val="007E2737"/>
    <w:rsid w:val="007E3168"/>
    <w:rsid w:val="007E4158"/>
    <w:rsid w:val="007E4451"/>
    <w:rsid w:val="007E457E"/>
    <w:rsid w:val="007F001E"/>
    <w:rsid w:val="007F0AF1"/>
    <w:rsid w:val="007F0CAF"/>
    <w:rsid w:val="007F1B5B"/>
    <w:rsid w:val="007F1B8D"/>
    <w:rsid w:val="007F2FC1"/>
    <w:rsid w:val="007F304B"/>
    <w:rsid w:val="007F36E2"/>
    <w:rsid w:val="007F3AE7"/>
    <w:rsid w:val="007F63DE"/>
    <w:rsid w:val="007F67F0"/>
    <w:rsid w:val="007F6937"/>
    <w:rsid w:val="007F7062"/>
    <w:rsid w:val="00800B38"/>
    <w:rsid w:val="00800C53"/>
    <w:rsid w:val="00801E84"/>
    <w:rsid w:val="00802445"/>
    <w:rsid w:val="00802650"/>
    <w:rsid w:val="00802DB6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388A"/>
    <w:rsid w:val="008246D6"/>
    <w:rsid w:val="00824F15"/>
    <w:rsid w:val="008253A2"/>
    <w:rsid w:val="00825D8A"/>
    <w:rsid w:val="00826F9E"/>
    <w:rsid w:val="00827B38"/>
    <w:rsid w:val="00830CE0"/>
    <w:rsid w:val="00832B15"/>
    <w:rsid w:val="00832BAD"/>
    <w:rsid w:val="00835650"/>
    <w:rsid w:val="00835776"/>
    <w:rsid w:val="0083578E"/>
    <w:rsid w:val="00835E46"/>
    <w:rsid w:val="008375C6"/>
    <w:rsid w:val="00837A5B"/>
    <w:rsid w:val="0084047A"/>
    <w:rsid w:val="00840876"/>
    <w:rsid w:val="008409EF"/>
    <w:rsid w:val="008418B2"/>
    <w:rsid w:val="00841F46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AA7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C59"/>
    <w:rsid w:val="00862A15"/>
    <w:rsid w:val="008637F8"/>
    <w:rsid w:val="00864F15"/>
    <w:rsid w:val="00865562"/>
    <w:rsid w:val="008677EF"/>
    <w:rsid w:val="00870DB4"/>
    <w:rsid w:val="00871B0D"/>
    <w:rsid w:val="0087208C"/>
    <w:rsid w:val="0087334E"/>
    <w:rsid w:val="00873827"/>
    <w:rsid w:val="008742A1"/>
    <w:rsid w:val="0087447D"/>
    <w:rsid w:val="0087691D"/>
    <w:rsid w:val="00877989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150"/>
    <w:rsid w:val="00892919"/>
    <w:rsid w:val="00893987"/>
    <w:rsid w:val="0089461C"/>
    <w:rsid w:val="008949E2"/>
    <w:rsid w:val="0089562A"/>
    <w:rsid w:val="008960A5"/>
    <w:rsid w:val="008966DE"/>
    <w:rsid w:val="00897883"/>
    <w:rsid w:val="00897DE3"/>
    <w:rsid w:val="00897E35"/>
    <w:rsid w:val="008A18F4"/>
    <w:rsid w:val="008A2D5C"/>
    <w:rsid w:val="008A3089"/>
    <w:rsid w:val="008A3EA1"/>
    <w:rsid w:val="008A52F5"/>
    <w:rsid w:val="008A5311"/>
    <w:rsid w:val="008A5484"/>
    <w:rsid w:val="008A578E"/>
    <w:rsid w:val="008A79AC"/>
    <w:rsid w:val="008A7BF0"/>
    <w:rsid w:val="008B000B"/>
    <w:rsid w:val="008B17A5"/>
    <w:rsid w:val="008B2E55"/>
    <w:rsid w:val="008B4E7C"/>
    <w:rsid w:val="008B5734"/>
    <w:rsid w:val="008B6014"/>
    <w:rsid w:val="008B7B60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7F1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A8F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44B"/>
    <w:rsid w:val="009342A6"/>
    <w:rsid w:val="009350AC"/>
    <w:rsid w:val="00935FCD"/>
    <w:rsid w:val="00936611"/>
    <w:rsid w:val="00936F9A"/>
    <w:rsid w:val="00937101"/>
    <w:rsid w:val="00937616"/>
    <w:rsid w:val="0094002E"/>
    <w:rsid w:val="00941287"/>
    <w:rsid w:val="00941522"/>
    <w:rsid w:val="00941691"/>
    <w:rsid w:val="00941D39"/>
    <w:rsid w:val="00942110"/>
    <w:rsid w:val="0094243F"/>
    <w:rsid w:val="00942E90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686C"/>
    <w:rsid w:val="009473A6"/>
    <w:rsid w:val="0094759D"/>
    <w:rsid w:val="00950BB6"/>
    <w:rsid w:val="00951AD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5731"/>
    <w:rsid w:val="009569B6"/>
    <w:rsid w:val="009579A4"/>
    <w:rsid w:val="00960236"/>
    <w:rsid w:val="009604BE"/>
    <w:rsid w:val="009608EE"/>
    <w:rsid w:val="009614FA"/>
    <w:rsid w:val="009627DF"/>
    <w:rsid w:val="00962E0D"/>
    <w:rsid w:val="009637EB"/>
    <w:rsid w:val="00963C7A"/>
    <w:rsid w:val="00964410"/>
    <w:rsid w:val="0096484E"/>
    <w:rsid w:val="0096556E"/>
    <w:rsid w:val="0096640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52ED"/>
    <w:rsid w:val="009A54BF"/>
    <w:rsid w:val="009A57EC"/>
    <w:rsid w:val="009A62FF"/>
    <w:rsid w:val="009A7291"/>
    <w:rsid w:val="009A7899"/>
    <w:rsid w:val="009A7C40"/>
    <w:rsid w:val="009B06F4"/>
    <w:rsid w:val="009B1B00"/>
    <w:rsid w:val="009B2DFB"/>
    <w:rsid w:val="009B33C8"/>
    <w:rsid w:val="009B4914"/>
    <w:rsid w:val="009B4FC4"/>
    <w:rsid w:val="009B5D73"/>
    <w:rsid w:val="009B6B87"/>
    <w:rsid w:val="009B7A94"/>
    <w:rsid w:val="009C09AB"/>
    <w:rsid w:val="009C1028"/>
    <w:rsid w:val="009C1FB0"/>
    <w:rsid w:val="009C41BB"/>
    <w:rsid w:val="009C4FF2"/>
    <w:rsid w:val="009C61E7"/>
    <w:rsid w:val="009C75DB"/>
    <w:rsid w:val="009D0CBB"/>
    <w:rsid w:val="009D1AB3"/>
    <w:rsid w:val="009D2007"/>
    <w:rsid w:val="009D329F"/>
    <w:rsid w:val="009D3C43"/>
    <w:rsid w:val="009D3EE2"/>
    <w:rsid w:val="009D3FE2"/>
    <w:rsid w:val="009D4A33"/>
    <w:rsid w:val="009D5500"/>
    <w:rsid w:val="009D5F62"/>
    <w:rsid w:val="009D685E"/>
    <w:rsid w:val="009D7284"/>
    <w:rsid w:val="009D72AF"/>
    <w:rsid w:val="009D756E"/>
    <w:rsid w:val="009D7678"/>
    <w:rsid w:val="009E265C"/>
    <w:rsid w:val="009E2940"/>
    <w:rsid w:val="009E29EE"/>
    <w:rsid w:val="009E33F9"/>
    <w:rsid w:val="009E461E"/>
    <w:rsid w:val="009E4654"/>
    <w:rsid w:val="009E5843"/>
    <w:rsid w:val="009E58DE"/>
    <w:rsid w:val="009E679D"/>
    <w:rsid w:val="009E7260"/>
    <w:rsid w:val="009F1611"/>
    <w:rsid w:val="009F167B"/>
    <w:rsid w:val="009F1E12"/>
    <w:rsid w:val="009F2206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A58"/>
    <w:rsid w:val="00A23AF7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26EC"/>
    <w:rsid w:val="00A4283A"/>
    <w:rsid w:val="00A43387"/>
    <w:rsid w:val="00A45D23"/>
    <w:rsid w:val="00A45F94"/>
    <w:rsid w:val="00A47D28"/>
    <w:rsid w:val="00A5012D"/>
    <w:rsid w:val="00A50500"/>
    <w:rsid w:val="00A510CE"/>
    <w:rsid w:val="00A518C3"/>
    <w:rsid w:val="00A518CC"/>
    <w:rsid w:val="00A51B50"/>
    <w:rsid w:val="00A52F45"/>
    <w:rsid w:val="00A53444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79D3"/>
    <w:rsid w:val="00A57A9C"/>
    <w:rsid w:val="00A61ED0"/>
    <w:rsid w:val="00A63345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B60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1D1C"/>
    <w:rsid w:val="00AE21E1"/>
    <w:rsid w:val="00AE4818"/>
    <w:rsid w:val="00AE4A44"/>
    <w:rsid w:val="00AE4E4F"/>
    <w:rsid w:val="00AE53C1"/>
    <w:rsid w:val="00AE54BE"/>
    <w:rsid w:val="00AF1131"/>
    <w:rsid w:val="00AF1174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266"/>
    <w:rsid w:val="00B16C21"/>
    <w:rsid w:val="00B16F10"/>
    <w:rsid w:val="00B20550"/>
    <w:rsid w:val="00B20930"/>
    <w:rsid w:val="00B21854"/>
    <w:rsid w:val="00B22F1B"/>
    <w:rsid w:val="00B22FA4"/>
    <w:rsid w:val="00B23169"/>
    <w:rsid w:val="00B23D35"/>
    <w:rsid w:val="00B24031"/>
    <w:rsid w:val="00B2487A"/>
    <w:rsid w:val="00B248E1"/>
    <w:rsid w:val="00B258B1"/>
    <w:rsid w:val="00B278B5"/>
    <w:rsid w:val="00B3105F"/>
    <w:rsid w:val="00B32084"/>
    <w:rsid w:val="00B32626"/>
    <w:rsid w:val="00B332F0"/>
    <w:rsid w:val="00B33887"/>
    <w:rsid w:val="00B35F9E"/>
    <w:rsid w:val="00B369B2"/>
    <w:rsid w:val="00B36FEC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63F"/>
    <w:rsid w:val="00B54EAE"/>
    <w:rsid w:val="00B54FCF"/>
    <w:rsid w:val="00B5599B"/>
    <w:rsid w:val="00B568D2"/>
    <w:rsid w:val="00B57676"/>
    <w:rsid w:val="00B6157B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3E64"/>
    <w:rsid w:val="00B740A3"/>
    <w:rsid w:val="00B748EA"/>
    <w:rsid w:val="00B74BAD"/>
    <w:rsid w:val="00B74C18"/>
    <w:rsid w:val="00B75F18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4BBF"/>
    <w:rsid w:val="00BB6576"/>
    <w:rsid w:val="00BB6657"/>
    <w:rsid w:val="00BB705C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B28"/>
    <w:rsid w:val="00BC79E0"/>
    <w:rsid w:val="00BC7BEC"/>
    <w:rsid w:val="00BC7E24"/>
    <w:rsid w:val="00BD0A6B"/>
    <w:rsid w:val="00BD0AA7"/>
    <w:rsid w:val="00BD0C66"/>
    <w:rsid w:val="00BD230F"/>
    <w:rsid w:val="00BD256F"/>
    <w:rsid w:val="00BD2901"/>
    <w:rsid w:val="00BD375E"/>
    <w:rsid w:val="00BD49E5"/>
    <w:rsid w:val="00BD5100"/>
    <w:rsid w:val="00BD5528"/>
    <w:rsid w:val="00BD5735"/>
    <w:rsid w:val="00BD6D63"/>
    <w:rsid w:val="00BD7807"/>
    <w:rsid w:val="00BD7F37"/>
    <w:rsid w:val="00BE04F7"/>
    <w:rsid w:val="00BE1076"/>
    <w:rsid w:val="00BE1628"/>
    <w:rsid w:val="00BE201E"/>
    <w:rsid w:val="00BE229E"/>
    <w:rsid w:val="00BE41CB"/>
    <w:rsid w:val="00BE55F3"/>
    <w:rsid w:val="00BE5F20"/>
    <w:rsid w:val="00BE5FA6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594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94"/>
    <w:rsid w:val="00C20128"/>
    <w:rsid w:val="00C20263"/>
    <w:rsid w:val="00C203CF"/>
    <w:rsid w:val="00C254A9"/>
    <w:rsid w:val="00C255E9"/>
    <w:rsid w:val="00C273F5"/>
    <w:rsid w:val="00C27906"/>
    <w:rsid w:val="00C30766"/>
    <w:rsid w:val="00C33F8D"/>
    <w:rsid w:val="00C340A3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6AD"/>
    <w:rsid w:val="00C46071"/>
    <w:rsid w:val="00C46875"/>
    <w:rsid w:val="00C46E6D"/>
    <w:rsid w:val="00C47F3D"/>
    <w:rsid w:val="00C52920"/>
    <w:rsid w:val="00C534F9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65B"/>
    <w:rsid w:val="00C65C47"/>
    <w:rsid w:val="00C65F38"/>
    <w:rsid w:val="00C66AA5"/>
    <w:rsid w:val="00C66ACC"/>
    <w:rsid w:val="00C66E0F"/>
    <w:rsid w:val="00C671ED"/>
    <w:rsid w:val="00C67425"/>
    <w:rsid w:val="00C67BB1"/>
    <w:rsid w:val="00C707B1"/>
    <w:rsid w:val="00C724CC"/>
    <w:rsid w:val="00C726B1"/>
    <w:rsid w:val="00C727BC"/>
    <w:rsid w:val="00C738FD"/>
    <w:rsid w:val="00C73C05"/>
    <w:rsid w:val="00C73E9E"/>
    <w:rsid w:val="00C7411F"/>
    <w:rsid w:val="00C754AF"/>
    <w:rsid w:val="00C75EB2"/>
    <w:rsid w:val="00C7665C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97CB5"/>
    <w:rsid w:val="00CA02AE"/>
    <w:rsid w:val="00CA0E23"/>
    <w:rsid w:val="00CA3086"/>
    <w:rsid w:val="00CA44A5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AE3"/>
    <w:rsid w:val="00CC0410"/>
    <w:rsid w:val="00CC0765"/>
    <w:rsid w:val="00CC089B"/>
    <w:rsid w:val="00CC0B70"/>
    <w:rsid w:val="00CC1B06"/>
    <w:rsid w:val="00CC1B08"/>
    <w:rsid w:val="00CC21D4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8A3"/>
    <w:rsid w:val="00CD3A99"/>
    <w:rsid w:val="00CD5D7E"/>
    <w:rsid w:val="00CD6A32"/>
    <w:rsid w:val="00CD6FCB"/>
    <w:rsid w:val="00CD7052"/>
    <w:rsid w:val="00CE0810"/>
    <w:rsid w:val="00CE0BC5"/>
    <w:rsid w:val="00CE1E3A"/>
    <w:rsid w:val="00CE3CF7"/>
    <w:rsid w:val="00CE3FD5"/>
    <w:rsid w:val="00CE48C0"/>
    <w:rsid w:val="00CE4AF7"/>
    <w:rsid w:val="00CE5218"/>
    <w:rsid w:val="00CE705F"/>
    <w:rsid w:val="00CE70B2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5301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3BDA"/>
    <w:rsid w:val="00D357B6"/>
    <w:rsid w:val="00D36232"/>
    <w:rsid w:val="00D37802"/>
    <w:rsid w:val="00D37C1D"/>
    <w:rsid w:val="00D4138B"/>
    <w:rsid w:val="00D41BEE"/>
    <w:rsid w:val="00D41DF9"/>
    <w:rsid w:val="00D42151"/>
    <w:rsid w:val="00D42238"/>
    <w:rsid w:val="00D42CB7"/>
    <w:rsid w:val="00D42CF0"/>
    <w:rsid w:val="00D42D51"/>
    <w:rsid w:val="00D441F8"/>
    <w:rsid w:val="00D443B3"/>
    <w:rsid w:val="00D45999"/>
    <w:rsid w:val="00D45CC6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2A2"/>
    <w:rsid w:val="00D70743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6D0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63FD"/>
    <w:rsid w:val="00DA0D1D"/>
    <w:rsid w:val="00DA0E9D"/>
    <w:rsid w:val="00DA1590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2FF2"/>
    <w:rsid w:val="00DE3FB3"/>
    <w:rsid w:val="00DE4AFA"/>
    <w:rsid w:val="00DE4D7A"/>
    <w:rsid w:val="00DE5994"/>
    <w:rsid w:val="00DE5ED0"/>
    <w:rsid w:val="00DE77A3"/>
    <w:rsid w:val="00DE7C1A"/>
    <w:rsid w:val="00DE7FE6"/>
    <w:rsid w:val="00DF0375"/>
    <w:rsid w:val="00DF0F70"/>
    <w:rsid w:val="00DF1167"/>
    <w:rsid w:val="00DF179C"/>
    <w:rsid w:val="00DF2BA6"/>
    <w:rsid w:val="00DF44D3"/>
    <w:rsid w:val="00DF5EB5"/>
    <w:rsid w:val="00DF6148"/>
    <w:rsid w:val="00DF67AE"/>
    <w:rsid w:val="00DF6832"/>
    <w:rsid w:val="00DF6967"/>
    <w:rsid w:val="00DF6E21"/>
    <w:rsid w:val="00E00723"/>
    <w:rsid w:val="00E0287B"/>
    <w:rsid w:val="00E05017"/>
    <w:rsid w:val="00E0534B"/>
    <w:rsid w:val="00E059F5"/>
    <w:rsid w:val="00E07169"/>
    <w:rsid w:val="00E1043A"/>
    <w:rsid w:val="00E1213F"/>
    <w:rsid w:val="00E12E41"/>
    <w:rsid w:val="00E12F3B"/>
    <w:rsid w:val="00E12F98"/>
    <w:rsid w:val="00E133F4"/>
    <w:rsid w:val="00E13660"/>
    <w:rsid w:val="00E13C37"/>
    <w:rsid w:val="00E13EEC"/>
    <w:rsid w:val="00E15996"/>
    <w:rsid w:val="00E15BC2"/>
    <w:rsid w:val="00E166FF"/>
    <w:rsid w:val="00E17360"/>
    <w:rsid w:val="00E1760B"/>
    <w:rsid w:val="00E200D8"/>
    <w:rsid w:val="00E20F48"/>
    <w:rsid w:val="00E21CB4"/>
    <w:rsid w:val="00E22429"/>
    <w:rsid w:val="00E22526"/>
    <w:rsid w:val="00E229D8"/>
    <w:rsid w:val="00E24D08"/>
    <w:rsid w:val="00E24D19"/>
    <w:rsid w:val="00E24DFE"/>
    <w:rsid w:val="00E25550"/>
    <w:rsid w:val="00E25598"/>
    <w:rsid w:val="00E25DD0"/>
    <w:rsid w:val="00E30A63"/>
    <w:rsid w:val="00E33B5A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248C"/>
    <w:rsid w:val="00E461C6"/>
    <w:rsid w:val="00E465F4"/>
    <w:rsid w:val="00E46FD8"/>
    <w:rsid w:val="00E47276"/>
    <w:rsid w:val="00E50348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557"/>
    <w:rsid w:val="00E60A22"/>
    <w:rsid w:val="00E61D79"/>
    <w:rsid w:val="00E62756"/>
    <w:rsid w:val="00E630D1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4259"/>
    <w:rsid w:val="00E7552B"/>
    <w:rsid w:val="00E75770"/>
    <w:rsid w:val="00E75D24"/>
    <w:rsid w:val="00E75DEE"/>
    <w:rsid w:val="00E76B37"/>
    <w:rsid w:val="00E76F93"/>
    <w:rsid w:val="00E81A7A"/>
    <w:rsid w:val="00E8245E"/>
    <w:rsid w:val="00E82A05"/>
    <w:rsid w:val="00E8368C"/>
    <w:rsid w:val="00E836D2"/>
    <w:rsid w:val="00E83924"/>
    <w:rsid w:val="00E83B48"/>
    <w:rsid w:val="00E84226"/>
    <w:rsid w:val="00E85156"/>
    <w:rsid w:val="00E8525D"/>
    <w:rsid w:val="00E8734B"/>
    <w:rsid w:val="00E8798C"/>
    <w:rsid w:val="00E87DFF"/>
    <w:rsid w:val="00E9004D"/>
    <w:rsid w:val="00E90E27"/>
    <w:rsid w:val="00E90F15"/>
    <w:rsid w:val="00E91B53"/>
    <w:rsid w:val="00E91D66"/>
    <w:rsid w:val="00E93F6D"/>
    <w:rsid w:val="00E946BC"/>
    <w:rsid w:val="00E9538C"/>
    <w:rsid w:val="00E95830"/>
    <w:rsid w:val="00E95A20"/>
    <w:rsid w:val="00EA094B"/>
    <w:rsid w:val="00EA129E"/>
    <w:rsid w:val="00EA148F"/>
    <w:rsid w:val="00EA2B9E"/>
    <w:rsid w:val="00EA38CD"/>
    <w:rsid w:val="00EA3C94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A1"/>
    <w:rsid w:val="00EC535F"/>
    <w:rsid w:val="00EC540C"/>
    <w:rsid w:val="00EC797C"/>
    <w:rsid w:val="00EC7D6E"/>
    <w:rsid w:val="00ED0781"/>
    <w:rsid w:val="00ED0FB7"/>
    <w:rsid w:val="00ED1655"/>
    <w:rsid w:val="00ED1860"/>
    <w:rsid w:val="00ED2AB3"/>
    <w:rsid w:val="00ED2C91"/>
    <w:rsid w:val="00ED3737"/>
    <w:rsid w:val="00ED4DCF"/>
    <w:rsid w:val="00ED5816"/>
    <w:rsid w:val="00ED6EA9"/>
    <w:rsid w:val="00ED7200"/>
    <w:rsid w:val="00ED7695"/>
    <w:rsid w:val="00ED78DF"/>
    <w:rsid w:val="00EE00B8"/>
    <w:rsid w:val="00EE0540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49DD"/>
    <w:rsid w:val="00EF505C"/>
    <w:rsid w:val="00EF5AC2"/>
    <w:rsid w:val="00EF6A6E"/>
    <w:rsid w:val="00EF6ABB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497"/>
    <w:rsid w:val="00F14803"/>
    <w:rsid w:val="00F16DF8"/>
    <w:rsid w:val="00F16F3E"/>
    <w:rsid w:val="00F17499"/>
    <w:rsid w:val="00F17EFC"/>
    <w:rsid w:val="00F209B4"/>
    <w:rsid w:val="00F20E07"/>
    <w:rsid w:val="00F20E33"/>
    <w:rsid w:val="00F22023"/>
    <w:rsid w:val="00F2481C"/>
    <w:rsid w:val="00F24DD9"/>
    <w:rsid w:val="00F2578E"/>
    <w:rsid w:val="00F26339"/>
    <w:rsid w:val="00F272B4"/>
    <w:rsid w:val="00F272E7"/>
    <w:rsid w:val="00F2760E"/>
    <w:rsid w:val="00F27617"/>
    <w:rsid w:val="00F30FC5"/>
    <w:rsid w:val="00F31411"/>
    <w:rsid w:val="00F31B60"/>
    <w:rsid w:val="00F3223B"/>
    <w:rsid w:val="00F32B89"/>
    <w:rsid w:val="00F35045"/>
    <w:rsid w:val="00F354FF"/>
    <w:rsid w:val="00F35736"/>
    <w:rsid w:val="00F358B1"/>
    <w:rsid w:val="00F361E2"/>
    <w:rsid w:val="00F36F92"/>
    <w:rsid w:val="00F3721C"/>
    <w:rsid w:val="00F3752A"/>
    <w:rsid w:val="00F40ED0"/>
    <w:rsid w:val="00F4270C"/>
    <w:rsid w:val="00F427D9"/>
    <w:rsid w:val="00F432B8"/>
    <w:rsid w:val="00F439EB"/>
    <w:rsid w:val="00F43ABC"/>
    <w:rsid w:val="00F444E1"/>
    <w:rsid w:val="00F44D76"/>
    <w:rsid w:val="00F44F15"/>
    <w:rsid w:val="00F44F4E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13"/>
    <w:rsid w:val="00F543E1"/>
    <w:rsid w:val="00F547ED"/>
    <w:rsid w:val="00F54A5B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25A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5CD1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3CFB"/>
    <w:rsid w:val="00F946D9"/>
    <w:rsid w:val="00F94DA7"/>
    <w:rsid w:val="00F965A6"/>
    <w:rsid w:val="00F968C5"/>
    <w:rsid w:val="00F96FB7"/>
    <w:rsid w:val="00F975E9"/>
    <w:rsid w:val="00F97E67"/>
    <w:rsid w:val="00FA1515"/>
    <w:rsid w:val="00FA1A1E"/>
    <w:rsid w:val="00FA22A4"/>
    <w:rsid w:val="00FA2AAE"/>
    <w:rsid w:val="00FA2ECA"/>
    <w:rsid w:val="00FA37D0"/>
    <w:rsid w:val="00FA4131"/>
    <w:rsid w:val="00FA5B8F"/>
    <w:rsid w:val="00FA6B3C"/>
    <w:rsid w:val="00FA6D66"/>
    <w:rsid w:val="00FA6F50"/>
    <w:rsid w:val="00FB0143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0C5"/>
    <w:rsid w:val="00FB6233"/>
    <w:rsid w:val="00FC0589"/>
    <w:rsid w:val="00FC1A47"/>
    <w:rsid w:val="00FC26A5"/>
    <w:rsid w:val="00FC28C5"/>
    <w:rsid w:val="00FC291F"/>
    <w:rsid w:val="00FC2A3C"/>
    <w:rsid w:val="00FC3247"/>
    <w:rsid w:val="00FC3506"/>
    <w:rsid w:val="00FC39C4"/>
    <w:rsid w:val="00FC3C71"/>
    <w:rsid w:val="00FC498E"/>
    <w:rsid w:val="00FC4EE9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46D8"/>
    <w:rsid w:val="00FD4B8E"/>
    <w:rsid w:val="00FD511E"/>
    <w:rsid w:val="00FD74F0"/>
    <w:rsid w:val="00FE0110"/>
    <w:rsid w:val="00FE05ED"/>
    <w:rsid w:val="00FE0D28"/>
    <w:rsid w:val="00FE2821"/>
    <w:rsid w:val="00FE2D8D"/>
    <w:rsid w:val="00FE3CE6"/>
    <w:rsid w:val="00FE4FB0"/>
    <w:rsid w:val="00FE5115"/>
    <w:rsid w:val="00FE73E2"/>
    <w:rsid w:val="00FE7414"/>
    <w:rsid w:val="00FE76E7"/>
    <w:rsid w:val="00FF0219"/>
    <w:rsid w:val="00FF106A"/>
    <w:rsid w:val="00FF1FED"/>
    <w:rsid w:val="00FF1FF2"/>
    <w:rsid w:val="00FF231C"/>
    <w:rsid w:val="00FF31D8"/>
    <w:rsid w:val="00FF4F2A"/>
    <w:rsid w:val="00FF538C"/>
    <w:rsid w:val="00FF5990"/>
    <w:rsid w:val="00FF5C31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360AB1"/>
    <w:pPr>
      <w:spacing w:line="360" w:lineRule="auto"/>
      <w:jc w:val="center"/>
      <w:outlineLvl w:val="0"/>
    </w:pPr>
    <w:rPr>
      <w:rFonts w:ascii="Arial" w:hAnsi="Arial" w:cs="David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rsid w:val="006A6D22"/>
    <w:rPr>
      <w:color w:val="800080"/>
      <w:u w:val="single"/>
    </w:rPr>
  </w:style>
  <w:style w:type="paragraph" w:styleId="ab">
    <w:name w:val="Title"/>
    <w:basedOn w:val="1"/>
    <w:next w:val="a"/>
    <w:link w:val="ac"/>
    <w:qFormat/>
    <w:rsid w:val="00360AB1"/>
    <w:pPr>
      <w:spacing w:before="240"/>
    </w:pPr>
    <w:rPr>
      <w:sz w:val="28"/>
      <w:szCs w:val="28"/>
    </w:rPr>
  </w:style>
  <w:style w:type="character" w:customStyle="1" w:styleId="ac">
    <w:name w:val="כותרת טקסט תו"/>
    <w:basedOn w:val="a0"/>
    <w:link w:val="ab"/>
    <w:rsid w:val="00360AB1"/>
    <w:rPr>
      <w:rFonts w:ascii="Arial" w:hAnsi="Arial" w:cs="David"/>
      <w:b/>
      <w:bCs/>
      <w:sz w:val="28"/>
      <w:szCs w:val="28"/>
      <w:lang w:eastAsia="he-IL"/>
    </w:rPr>
  </w:style>
  <w:style w:type="paragraph" w:styleId="ad">
    <w:name w:val="List Paragraph"/>
    <w:basedOn w:val="a"/>
    <w:uiPriority w:val="34"/>
    <w:qFormat/>
    <w:rsid w:val="00360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360AB1"/>
    <w:pPr>
      <w:spacing w:line="360" w:lineRule="auto"/>
      <w:jc w:val="center"/>
      <w:outlineLvl w:val="0"/>
    </w:pPr>
    <w:rPr>
      <w:rFonts w:ascii="Arial" w:hAnsi="Arial" w:cs="David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rsid w:val="006A6D22"/>
    <w:rPr>
      <w:color w:val="800080"/>
      <w:u w:val="single"/>
    </w:rPr>
  </w:style>
  <w:style w:type="paragraph" w:styleId="ab">
    <w:name w:val="Title"/>
    <w:basedOn w:val="1"/>
    <w:next w:val="a"/>
    <w:link w:val="ac"/>
    <w:qFormat/>
    <w:rsid w:val="00360AB1"/>
    <w:pPr>
      <w:spacing w:before="240"/>
    </w:pPr>
    <w:rPr>
      <w:sz w:val="28"/>
      <w:szCs w:val="28"/>
    </w:rPr>
  </w:style>
  <w:style w:type="character" w:customStyle="1" w:styleId="ac">
    <w:name w:val="כותרת טקסט תו"/>
    <w:basedOn w:val="a0"/>
    <w:link w:val="ab"/>
    <w:rsid w:val="00360AB1"/>
    <w:rPr>
      <w:rFonts w:ascii="Arial" w:hAnsi="Arial" w:cs="David"/>
      <w:b/>
      <w:bCs/>
      <w:sz w:val="28"/>
      <w:szCs w:val="28"/>
      <w:lang w:eastAsia="he-IL"/>
    </w:rPr>
  </w:style>
  <w:style w:type="paragraph" w:styleId="ad">
    <w:name w:val="List Paragraph"/>
    <w:basedOn w:val="a"/>
    <w:uiPriority w:val="34"/>
    <w:qFormat/>
    <w:rsid w:val="0036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/Users/internet.INTER/Downloads/&#1492;&#1504;&#1499;&#1505;&#1497;&#1501;%20&#1493;&#1492;&#1492;&#1514;&#1495;&#1497;&#1497;&#1489;&#1493;&#1497;&#1493;&#1514;%20&#1513;&#1500;%20&#1492;&#1502;&#1513;&#1511;%20&#1502;&#1493;&#1500;%20&#1495;&#1493;%22&#1500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B0698-A3EB-421D-9FE7-BE072BAB440C}"/>
</file>

<file path=customXml/itemProps2.xml><?xml version="1.0" encoding="utf-8"?>
<ds:datastoreItem xmlns:ds="http://schemas.openxmlformats.org/officeDocument/2006/customXml" ds:itemID="{620D8538-8331-40DE-9B52-505F9FB03984}"/>
</file>

<file path=customXml/itemProps3.xml><?xml version="1.0" encoding="utf-8"?>
<ds:datastoreItem xmlns:ds="http://schemas.openxmlformats.org/officeDocument/2006/customXml" ds:itemID="{5A7B2B64-F2BE-412E-9431-852644195FB4}"/>
</file>

<file path=customXml/itemProps4.xml><?xml version="1.0" encoding="utf-8"?>
<ds:datastoreItem xmlns:ds="http://schemas.openxmlformats.org/officeDocument/2006/customXml" ds:itemID="{45C9BC11-EF05-4B72-8C37-B5196397C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5726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2016-06-23T12:06:00Z</dcterms:created>
  <dcterms:modified xsi:type="dcterms:W3CDTF">2016-06-23T12:06:00Z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