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5BB8B" w14:textId="77777777" w:rsidR="00184027" w:rsidRPr="00184027" w:rsidRDefault="00184027" w:rsidP="00184027">
      <w:pPr>
        <w:pStyle w:val="regpar"/>
        <w:spacing w:line="300" w:lineRule="atLeast"/>
        <w:ind w:firstLine="0"/>
        <w:jc w:val="center"/>
        <w:rPr>
          <w:rFonts w:asciiTheme="minorHAnsi" w:hAnsiTheme="minorHAnsi" w:cstheme="minorHAnsi"/>
          <w:bCs/>
        </w:rPr>
      </w:pPr>
      <w:bookmarkStart w:id="0" w:name="_GoBack"/>
      <w:bookmarkEnd w:id="0"/>
      <w:r w:rsidRPr="00184027">
        <w:rPr>
          <w:rFonts w:asciiTheme="minorHAnsi" w:hAnsiTheme="minorHAnsi" w:cstheme="minorHAnsi"/>
          <w:noProof/>
        </w:rPr>
        <w:drawing>
          <wp:inline distT="0" distB="0" distL="0" distR="0" wp14:anchorId="3E62F6CC" wp14:editId="75A2BF28">
            <wp:extent cx="1828800" cy="638175"/>
            <wp:effectExtent l="0" t="0" r="0" b="9525"/>
            <wp:docPr id="20" name="תמונה 1" descr="logo 70-eng"/>
            <wp:cNvGraphicFramePr/>
            <a:graphic xmlns:a="http://schemas.openxmlformats.org/drawingml/2006/main">
              <a:graphicData uri="http://schemas.openxmlformats.org/drawingml/2006/picture">
                <pic:pic xmlns:pic="http://schemas.openxmlformats.org/drawingml/2006/picture">
                  <pic:nvPicPr>
                    <pic:cNvPr id="20" name="תמונה 1" descr="logo 70-eng"/>
                    <pic:cNvPicPr/>
                  </pic:nvPicPr>
                  <pic:blipFill>
                    <a:blip r:embed="rId11" cstate="print">
                      <a:extLst>
                        <a:ext uri="{28A0092B-C50C-407E-A947-70E740481C1C}">
                          <a14:useLocalDpi xmlns:a14="http://schemas.microsoft.com/office/drawing/2010/main" val="0"/>
                        </a:ext>
                      </a:extLst>
                    </a:blip>
                    <a:srcRect t="31769" b="33110"/>
                    <a:stretch>
                      <a:fillRect/>
                    </a:stretch>
                  </pic:blipFill>
                  <pic:spPr bwMode="auto">
                    <a:xfrm>
                      <a:off x="0" y="0"/>
                      <a:ext cx="1828800" cy="638175"/>
                    </a:xfrm>
                    <a:prstGeom prst="rect">
                      <a:avLst/>
                    </a:prstGeom>
                    <a:noFill/>
                    <a:ln>
                      <a:noFill/>
                    </a:ln>
                  </pic:spPr>
                </pic:pic>
              </a:graphicData>
            </a:graphic>
          </wp:inline>
        </w:drawing>
      </w:r>
    </w:p>
    <w:p w14:paraId="78C8B250" w14:textId="77777777" w:rsidR="00184027" w:rsidRPr="00184027" w:rsidRDefault="00184027" w:rsidP="00184027">
      <w:pPr>
        <w:pStyle w:val="regpar"/>
        <w:spacing w:line="300" w:lineRule="atLeast"/>
        <w:ind w:firstLine="0"/>
        <w:jc w:val="center"/>
        <w:rPr>
          <w:rFonts w:asciiTheme="minorHAnsi" w:hAnsiTheme="minorHAnsi" w:cstheme="minorHAnsi"/>
          <w:bCs/>
        </w:rPr>
      </w:pPr>
    </w:p>
    <w:p w14:paraId="466D99B4" w14:textId="77777777" w:rsidR="00184027" w:rsidRPr="00184027" w:rsidRDefault="00184027" w:rsidP="00184027">
      <w:pPr>
        <w:pStyle w:val="regpar"/>
        <w:spacing w:line="300" w:lineRule="atLeast"/>
        <w:ind w:firstLine="0"/>
        <w:jc w:val="center"/>
        <w:rPr>
          <w:rFonts w:asciiTheme="minorHAnsi" w:hAnsiTheme="minorHAnsi" w:cstheme="minorHAnsi"/>
          <w:bCs/>
          <w:sz w:val="22"/>
          <w:szCs w:val="22"/>
        </w:rPr>
      </w:pPr>
      <w:r w:rsidRPr="00184027">
        <w:rPr>
          <w:rFonts w:asciiTheme="minorHAnsi" w:hAnsiTheme="minorHAnsi" w:cstheme="minorHAnsi"/>
          <w:bCs/>
          <w:sz w:val="22"/>
          <w:szCs w:val="22"/>
        </w:rPr>
        <w:t>BANK OF ISRAEL</w:t>
      </w:r>
    </w:p>
    <w:p w14:paraId="75AE64EE" w14:textId="77777777" w:rsidR="00184027" w:rsidRPr="00184027" w:rsidRDefault="00184027" w:rsidP="00184027">
      <w:pPr>
        <w:pStyle w:val="regpar"/>
        <w:spacing w:line="300" w:lineRule="atLeast"/>
        <w:ind w:firstLine="0"/>
        <w:jc w:val="center"/>
        <w:rPr>
          <w:rFonts w:asciiTheme="minorHAnsi" w:hAnsiTheme="minorHAnsi" w:cstheme="minorHAnsi"/>
          <w:sz w:val="22"/>
          <w:szCs w:val="22"/>
        </w:rPr>
      </w:pPr>
      <w:r w:rsidRPr="00184027">
        <w:rPr>
          <w:rFonts w:asciiTheme="minorHAnsi" w:hAnsiTheme="minorHAnsi" w:cstheme="minorHAnsi"/>
          <w:sz w:val="22"/>
          <w:szCs w:val="22"/>
        </w:rPr>
        <w:t>Office of the Spokesperson and Economic Information</w:t>
      </w:r>
    </w:p>
    <w:p w14:paraId="500910FF" w14:textId="77777777" w:rsidR="00B44B19" w:rsidRPr="00184027" w:rsidRDefault="00B44B19" w:rsidP="00B44B19">
      <w:pPr>
        <w:bidi w:val="0"/>
        <w:jc w:val="center"/>
        <w:rPr>
          <w:rFonts w:asciiTheme="minorHAnsi" w:hAnsiTheme="minorHAnsi" w:cstheme="minorHAnsi"/>
          <w:b/>
          <w:bCs/>
          <w:sz w:val="26"/>
          <w:szCs w:val="26"/>
        </w:rPr>
      </w:pPr>
    </w:p>
    <w:p w14:paraId="06DDE1C1" w14:textId="2D65FE59" w:rsidR="00B44B19" w:rsidRPr="00184027" w:rsidRDefault="00E948FF" w:rsidP="000D5119">
      <w:pPr>
        <w:bidi w:val="0"/>
        <w:jc w:val="right"/>
        <w:rPr>
          <w:rFonts w:asciiTheme="minorHAnsi" w:hAnsiTheme="minorHAnsi" w:cstheme="minorHAnsi"/>
        </w:rPr>
      </w:pPr>
      <w:r w:rsidRPr="00184027">
        <w:rPr>
          <w:rFonts w:asciiTheme="minorHAnsi" w:hAnsiTheme="minorHAnsi" w:cstheme="minorHAnsi"/>
        </w:rPr>
        <w:t>July</w:t>
      </w:r>
      <w:r w:rsidR="00416C49" w:rsidRPr="00184027">
        <w:rPr>
          <w:rFonts w:asciiTheme="minorHAnsi" w:hAnsiTheme="minorHAnsi" w:cstheme="minorHAnsi"/>
        </w:rPr>
        <w:t xml:space="preserve"> 7</w:t>
      </w:r>
      <w:r w:rsidR="00757359" w:rsidRPr="00184027">
        <w:rPr>
          <w:rFonts w:asciiTheme="minorHAnsi" w:hAnsiTheme="minorHAnsi" w:cstheme="minorHAnsi"/>
        </w:rPr>
        <w:t>, 2025</w:t>
      </w:r>
    </w:p>
    <w:p w14:paraId="092A57CC" w14:textId="77777777" w:rsidR="00B44B19" w:rsidRPr="00184027" w:rsidRDefault="00B44B19" w:rsidP="008F2323">
      <w:pPr>
        <w:bidi w:val="0"/>
        <w:jc w:val="center"/>
        <w:rPr>
          <w:rFonts w:asciiTheme="minorHAnsi" w:hAnsiTheme="minorHAnsi" w:cstheme="minorHAnsi"/>
          <w:b/>
          <w:bCs/>
        </w:rPr>
      </w:pPr>
    </w:p>
    <w:p w14:paraId="3876E6CE" w14:textId="7E451083" w:rsidR="00A21D01" w:rsidRPr="00184027" w:rsidRDefault="00A21D01" w:rsidP="00E948FF">
      <w:pPr>
        <w:bidi w:val="0"/>
        <w:jc w:val="center"/>
        <w:rPr>
          <w:rFonts w:asciiTheme="minorHAnsi" w:hAnsiTheme="minorHAnsi" w:cstheme="minorHAnsi"/>
          <w:b/>
          <w:bCs/>
          <w:sz w:val="28"/>
          <w:szCs w:val="28"/>
        </w:rPr>
      </w:pPr>
      <w:r w:rsidRPr="00184027">
        <w:rPr>
          <w:rFonts w:asciiTheme="minorHAnsi" w:hAnsiTheme="minorHAnsi" w:cstheme="minorHAnsi"/>
          <w:b/>
          <w:bCs/>
          <w:sz w:val="28"/>
          <w:szCs w:val="28"/>
        </w:rPr>
        <w:t xml:space="preserve">Research Department Staff Forecast, </w:t>
      </w:r>
      <w:r w:rsidR="00E948FF" w:rsidRPr="00184027">
        <w:rPr>
          <w:rFonts w:asciiTheme="minorHAnsi" w:hAnsiTheme="minorHAnsi" w:cstheme="minorHAnsi"/>
          <w:b/>
          <w:bCs/>
          <w:sz w:val="28"/>
          <w:szCs w:val="28"/>
        </w:rPr>
        <w:t>July</w:t>
      </w:r>
      <w:r w:rsidR="00757359" w:rsidRPr="00184027">
        <w:rPr>
          <w:rFonts w:asciiTheme="minorHAnsi" w:hAnsiTheme="minorHAnsi" w:cstheme="minorHAnsi"/>
          <w:b/>
          <w:bCs/>
          <w:sz w:val="28"/>
          <w:szCs w:val="28"/>
        </w:rPr>
        <w:t xml:space="preserve"> 2025</w:t>
      </w:r>
    </w:p>
    <w:p w14:paraId="4481416E" w14:textId="77777777" w:rsidR="00252B31" w:rsidRPr="00184027" w:rsidRDefault="00252B31" w:rsidP="007D70EA">
      <w:pPr>
        <w:bidi w:val="0"/>
        <w:spacing w:line="360" w:lineRule="auto"/>
        <w:jc w:val="both"/>
        <w:rPr>
          <w:rFonts w:asciiTheme="minorHAnsi" w:hAnsiTheme="minorHAnsi" w:cstheme="minorHAnsi"/>
          <w:b/>
          <w:bCs/>
        </w:rPr>
      </w:pPr>
    </w:p>
    <w:p w14:paraId="2DB7F593" w14:textId="77777777" w:rsidR="00A21D01" w:rsidRPr="00184027" w:rsidRDefault="00A21D01" w:rsidP="00252B31">
      <w:pPr>
        <w:bidi w:val="0"/>
        <w:spacing w:line="360" w:lineRule="auto"/>
        <w:jc w:val="both"/>
        <w:rPr>
          <w:rFonts w:asciiTheme="minorHAnsi" w:hAnsiTheme="minorHAnsi" w:cstheme="minorHAnsi"/>
        </w:rPr>
      </w:pPr>
      <w:r w:rsidRPr="00184027">
        <w:rPr>
          <w:rFonts w:asciiTheme="minorHAnsi" w:hAnsiTheme="minorHAnsi" w:cstheme="minorHAnsi"/>
          <w:b/>
          <w:bCs/>
        </w:rPr>
        <w:t>Abstract</w:t>
      </w:r>
    </w:p>
    <w:p w14:paraId="2573B91C" w14:textId="2D168D9A" w:rsidR="007D6422" w:rsidRPr="00184027" w:rsidRDefault="00B766FF" w:rsidP="00817D4A">
      <w:pPr>
        <w:bidi w:val="0"/>
        <w:jc w:val="both"/>
        <w:rPr>
          <w:rFonts w:asciiTheme="minorHAnsi" w:hAnsiTheme="minorHAnsi" w:cstheme="minorHAnsi"/>
        </w:rPr>
      </w:pPr>
      <w:r w:rsidRPr="00184027">
        <w:rPr>
          <w:rFonts w:asciiTheme="minorHAnsi" w:hAnsiTheme="minorHAnsi" w:cstheme="minorHAnsi"/>
        </w:rPr>
        <w:t xml:space="preserve">This document presents the macroeconomic staff forecast formulated by the Bank of Israel Research Department in </w:t>
      </w:r>
      <w:r w:rsidR="00E948FF" w:rsidRPr="00184027">
        <w:rPr>
          <w:rFonts w:asciiTheme="minorHAnsi" w:hAnsiTheme="minorHAnsi" w:cstheme="minorHAnsi"/>
        </w:rPr>
        <w:t>July</w:t>
      </w:r>
      <w:r w:rsidR="00757359" w:rsidRPr="00184027">
        <w:rPr>
          <w:rFonts w:asciiTheme="minorHAnsi" w:hAnsiTheme="minorHAnsi" w:cstheme="minorHAnsi"/>
        </w:rPr>
        <w:t xml:space="preserve"> 2025 concerning the main macroeconomic variables—GDP, inflation, and the interest rate.</w:t>
      </w:r>
      <w:r w:rsidR="00A30AC5" w:rsidRPr="00184027">
        <w:rPr>
          <w:rStyle w:val="ac"/>
          <w:rFonts w:asciiTheme="minorHAnsi" w:hAnsiTheme="minorHAnsi" w:cstheme="minorHAnsi"/>
        </w:rPr>
        <w:footnoteReference w:id="1"/>
      </w:r>
      <w:r w:rsidRPr="00184027">
        <w:rPr>
          <w:rFonts w:asciiTheme="minorHAnsi" w:hAnsiTheme="minorHAnsi" w:cstheme="minorHAnsi"/>
        </w:rPr>
        <w:t xml:space="preserve"> </w:t>
      </w:r>
      <w:r w:rsidR="00757359" w:rsidRPr="00184027">
        <w:rPr>
          <w:rFonts w:asciiTheme="minorHAnsi" w:hAnsiTheme="minorHAnsi" w:cstheme="minorHAnsi"/>
        </w:rPr>
        <w:t xml:space="preserve">According to the forecast, GDP </w:t>
      </w:r>
      <w:r w:rsidR="00416C49" w:rsidRPr="00184027">
        <w:rPr>
          <w:rFonts w:asciiTheme="minorHAnsi" w:hAnsiTheme="minorHAnsi" w:cstheme="minorHAnsi"/>
        </w:rPr>
        <w:t xml:space="preserve">is expected to </w:t>
      </w:r>
      <w:r w:rsidR="00757359" w:rsidRPr="00184027">
        <w:rPr>
          <w:rFonts w:asciiTheme="minorHAnsi" w:hAnsiTheme="minorHAnsi" w:cstheme="minorHAnsi"/>
        </w:rPr>
        <w:t>gr</w:t>
      </w:r>
      <w:r w:rsidR="00416C49" w:rsidRPr="00184027">
        <w:rPr>
          <w:rFonts w:asciiTheme="minorHAnsi" w:hAnsiTheme="minorHAnsi" w:cstheme="minorHAnsi"/>
        </w:rPr>
        <w:t>o</w:t>
      </w:r>
      <w:r w:rsidR="00757359" w:rsidRPr="00184027">
        <w:rPr>
          <w:rFonts w:asciiTheme="minorHAnsi" w:hAnsiTheme="minorHAnsi" w:cstheme="minorHAnsi"/>
        </w:rPr>
        <w:t xml:space="preserve">w by </w:t>
      </w:r>
      <w:r w:rsidR="00E948FF" w:rsidRPr="00184027">
        <w:rPr>
          <w:rFonts w:asciiTheme="minorHAnsi" w:hAnsiTheme="minorHAnsi" w:cstheme="minorHAnsi"/>
        </w:rPr>
        <w:t>3.</w:t>
      </w:r>
      <w:r w:rsidR="000D1147" w:rsidRPr="00184027">
        <w:rPr>
          <w:rFonts w:asciiTheme="minorHAnsi" w:hAnsiTheme="minorHAnsi" w:cstheme="minorHAnsi"/>
        </w:rPr>
        <w:t>3</w:t>
      </w:r>
      <w:r w:rsidR="00757359" w:rsidRPr="00184027">
        <w:rPr>
          <w:rFonts w:asciiTheme="minorHAnsi" w:hAnsiTheme="minorHAnsi" w:cstheme="minorHAnsi"/>
        </w:rPr>
        <w:t xml:space="preserve"> percent in 2025</w:t>
      </w:r>
      <w:r w:rsidR="00A53B6A" w:rsidRPr="00184027">
        <w:rPr>
          <w:rFonts w:asciiTheme="minorHAnsi" w:hAnsiTheme="minorHAnsi" w:cstheme="minorHAnsi"/>
        </w:rPr>
        <w:t>, and by 4.</w:t>
      </w:r>
      <w:r w:rsidR="000D1147" w:rsidRPr="00184027">
        <w:rPr>
          <w:rFonts w:asciiTheme="minorHAnsi" w:hAnsiTheme="minorHAnsi" w:cstheme="minorHAnsi"/>
        </w:rPr>
        <w:t>6</w:t>
      </w:r>
      <w:r w:rsidR="00A53B6A" w:rsidRPr="00184027">
        <w:rPr>
          <w:rFonts w:asciiTheme="minorHAnsi" w:hAnsiTheme="minorHAnsi" w:cstheme="minorHAnsi"/>
        </w:rPr>
        <w:t xml:space="preserve"> percent</w:t>
      </w:r>
      <w:r w:rsidR="00757359" w:rsidRPr="00184027">
        <w:rPr>
          <w:rFonts w:asciiTheme="minorHAnsi" w:hAnsiTheme="minorHAnsi" w:cstheme="minorHAnsi"/>
        </w:rPr>
        <w:t xml:space="preserve"> </w:t>
      </w:r>
      <w:r w:rsidR="00A53B6A" w:rsidRPr="00184027">
        <w:rPr>
          <w:rFonts w:asciiTheme="minorHAnsi" w:hAnsiTheme="minorHAnsi" w:cstheme="minorHAnsi"/>
        </w:rPr>
        <w:t>i</w:t>
      </w:r>
      <w:r w:rsidR="00757359" w:rsidRPr="00184027">
        <w:rPr>
          <w:rFonts w:asciiTheme="minorHAnsi" w:hAnsiTheme="minorHAnsi" w:cstheme="minorHAnsi"/>
        </w:rPr>
        <w:t>n 2026.</w:t>
      </w:r>
      <w:r w:rsidR="001871FF" w:rsidRPr="00184027">
        <w:rPr>
          <w:rFonts w:asciiTheme="minorHAnsi" w:hAnsiTheme="minorHAnsi" w:cstheme="minorHAnsi"/>
        </w:rPr>
        <w:t xml:space="preserve"> </w:t>
      </w:r>
      <w:r w:rsidR="007D6422" w:rsidRPr="00184027">
        <w:rPr>
          <w:rFonts w:asciiTheme="minorHAnsi" w:hAnsiTheme="minorHAnsi" w:cstheme="minorHAnsi"/>
        </w:rPr>
        <w:t xml:space="preserve">The inflation rate in </w:t>
      </w:r>
      <w:r w:rsidR="00B525D0" w:rsidRPr="00184027">
        <w:rPr>
          <w:rFonts w:asciiTheme="minorHAnsi" w:hAnsiTheme="minorHAnsi" w:cstheme="minorHAnsi"/>
        </w:rPr>
        <w:t xml:space="preserve">the coming four quarters (ending in the </w:t>
      </w:r>
      <w:r w:rsidR="00E948FF" w:rsidRPr="00184027">
        <w:rPr>
          <w:rFonts w:asciiTheme="minorHAnsi" w:hAnsiTheme="minorHAnsi" w:cstheme="minorHAnsi"/>
        </w:rPr>
        <w:t>second</w:t>
      </w:r>
      <w:r w:rsidR="00B525D0" w:rsidRPr="00184027">
        <w:rPr>
          <w:rFonts w:asciiTheme="minorHAnsi" w:hAnsiTheme="minorHAnsi" w:cstheme="minorHAnsi"/>
        </w:rPr>
        <w:t xml:space="preserve"> quarter of 202</w:t>
      </w:r>
      <w:r w:rsidR="00416C49" w:rsidRPr="00184027">
        <w:rPr>
          <w:rFonts w:asciiTheme="minorHAnsi" w:hAnsiTheme="minorHAnsi" w:cstheme="minorHAnsi"/>
        </w:rPr>
        <w:t>6</w:t>
      </w:r>
      <w:r w:rsidR="00B525D0" w:rsidRPr="00184027">
        <w:rPr>
          <w:rFonts w:asciiTheme="minorHAnsi" w:hAnsiTheme="minorHAnsi" w:cstheme="minorHAnsi"/>
        </w:rPr>
        <w:t xml:space="preserve">) </w:t>
      </w:r>
      <w:r w:rsidR="007D6422" w:rsidRPr="00184027">
        <w:rPr>
          <w:rFonts w:asciiTheme="minorHAnsi" w:hAnsiTheme="minorHAnsi" w:cstheme="minorHAnsi"/>
        </w:rPr>
        <w:t xml:space="preserve">is expected to be </w:t>
      </w:r>
      <w:r w:rsidR="00757359" w:rsidRPr="00184027">
        <w:rPr>
          <w:rFonts w:asciiTheme="minorHAnsi" w:hAnsiTheme="minorHAnsi" w:cstheme="minorHAnsi"/>
        </w:rPr>
        <w:t>2.</w:t>
      </w:r>
      <w:r w:rsidR="00E948FF" w:rsidRPr="00184027">
        <w:rPr>
          <w:rFonts w:asciiTheme="minorHAnsi" w:hAnsiTheme="minorHAnsi" w:cstheme="minorHAnsi"/>
        </w:rPr>
        <w:t>2</w:t>
      </w:r>
      <w:r w:rsidR="007D6422" w:rsidRPr="00184027">
        <w:rPr>
          <w:rFonts w:asciiTheme="minorHAnsi" w:hAnsiTheme="minorHAnsi" w:cstheme="minorHAnsi"/>
        </w:rPr>
        <w:t xml:space="preserve"> percent</w:t>
      </w:r>
      <w:r w:rsidR="00A53B6A" w:rsidRPr="00184027">
        <w:rPr>
          <w:rFonts w:asciiTheme="minorHAnsi" w:hAnsiTheme="minorHAnsi" w:cstheme="minorHAnsi"/>
        </w:rPr>
        <w:t>, i</w:t>
      </w:r>
      <w:r w:rsidR="00B525D0" w:rsidRPr="00184027">
        <w:rPr>
          <w:rFonts w:asciiTheme="minorHAnsi" w:hAnsiTheme="minorHAnsi" w:cstheme="minorHAnsi"/>
        </w:rPr>
        <w:t>nflation in 202</w:t>
      </w:r>
      <w:r w:rsidR="00416C49" w:rsidRPr="00184027">
        <w:rPr>
          <w:rFonts w:asciiTheme="minorHAnsi" w:hAnsiTheme="minorHAnsi" w:cstheme="minorHAnsi"/>
        </w:rPr>
        <w:t>5</w:t>
      </w:r>
      <w:r w:rsidR="00B525D0" w:rsidRPr="00184027">
        <w:rPr>
          <w:rFonts w:asciiTheme="minorHAnsi" w:hAnsiTheme="minorHAnsi" w:cstheme="minorHAnsi"/>
        </w:rPr>
        <w:t xml:space="preserve"> is expected to be </w:t>
      </w:r>
      <w:r w:rsidR="00757359" w:rsidRPr="00184027">
        <w:rPr>
          <w:rFonts w:asciiTheme="minorHAnsi" w:hAnsiTheme="minorHAnsi" w:cstheme="minorHAnsi"/>
        </w:rPr>
        <w:t>2.</w:t>
      </w:r>
      <w:r w:rsidR="00416C49" w:rsidRPr="00184027">
        <w:rPr>
          <w:rFonts w:asciiTheme="minorHAnsi" w:hAnsiTheme="minorHAnsi" w:cstheme="minorHAnsi"/>
        </w:rPr>
        <w:t>6</w:t>
      </w:r>
      <w:r w:rsidR="00B525D0" w:rsidRPr="00184027">
        <w:rPr>
          <w:rFonts w:asciiTheme="minorHAnsi" w:hAnsiTheme="minorHAnsi" w:cstheme="minorHAnsi"/>
        </w:rPr>
        <w:t xml:space="preserve"> percent</w:t>
      </w:r>
      <w:r w:rsidR="00416C49" w:rsidRPr="00184027">
        <w:rPr>
          <w:rFonts w:asciiTheme="minorHAnsi" w:hAnsiTheme="minorHAnsi" w:cstheme="minorHAnsi"/>
        </w:rPr>
        <w:t>, and inflation in 2026 is expected to be 2.</w:t>
      </w:r>
      <w:r w:rsidR="00E948FF" w:rsidRPr="00184027">
        <w:rPr>
          <w:rFonts w:asciiTheme="minorHAnsi" w:hAnsiTheme="minorHAnsi" w:cstheme="minorHAnsi"/>
        </w:rPr>
        <w:t>0</w:t>
      </w:r>
      <w:r w:rsidR="00416C49" w:rsidRPr="00184027">
        <w:rPr>
          <w:rFonts w:asciiTheme="minorHAnsi" w:hAnsiTheme="minorHAnsi" w:cstheme="minorHAnsi"/>
        </w:rPr>
        <w:t xml:space="preserve"> percent</w:t>
      </w:r>
      <w:r w:rsidR="00757359" w:rsidRPr="00184027">
        <w:rPr>
          <w:rFonts w:asciiTheme="minorHAnsi" w:hAnsiTheme="minorHAnsi" w:cstheme="minorHAnsi"/>
        </w:rPr>
        <w:t>.</w:t>
      </w:r>
      <w:r w:rsidR="001871FF" w:rsidRPr="00184027">
        <w:rPr>
          <w:rFonts w:asciiTheme="minorHAnsi" w:hAnsiTheme="minorHAnsi" w:cstheme="minorHAnsi"/>
        </w:rPr>
        <w:t xml:space="preserve"> </w:t>
      </w:r>
      <w:r w:rsidR="00653278" w:rsidRPr="00184027">
        <w:rPr>
          <w:rFonts w:asciiTheme="minorHAnsi" w:hAnsiTheme="minorHAnsi" w:cstheme="minorHAnsi"/>
        </w:rPr>
        <w:t>The</w:t>
      </w:r>
      <w:r w:rsidR="00757359" w:rsidRPr="00184027">
        <w:rPr>
          <w:rFonts w:asciiTheme="minorHAnsi" w:hAnsiTheme="minorHAnsi" w:cstheme="minorHAnsi"/>
        </w:rPr>
        <w:t xml:space="preserve"> average interest rate in the </w:t>
      </w:r>
      <w:r w:rsidR="00E948FF" w:rsidRPr="00184027">
        <w:rPr>
          <w:rFonts w:asciiTheme="minorHAnsi" w:hAnsiTheme="minorHAnsi" w:cstheme="minorHAnsi"/>
        </w:rPr>
        <w:t>second</w:t>
      </w:r>
      <w:r w:rsidR="00757359" w:rsidRPr="00184027">
        <w:rPr>
          <w:rFonts w:asciiTheme="minorHAnsi" w:hAnsiTheme="minorHAnsi" w:cstheme="minorHAnsi"/>
        </w:rPr>
        <w:t xml:space="preserve"> quarter of 202</w:t>
      </w:r>
      <w:r w:rsidR="00416C49" w:rsidRPr="00184027">
        <w:rPr>
          <w:rFonts w:asciiTheme="minorHAnsi" w:hAnsiTheme="minorHAnsi" w:cstheme="minorHAnsi"/>
        </w:rPr>
        <w:t>6</w:t>
      </w:r>
      <w:r w:rsidR="00757359" w:rsidRPr="00184027">
        <w:rPr>
          <w:rFonts w:asciiTheme="minorHAnsi" w:hAnsiTheme="minorHAnsi" w:cstheme="minorHAnsi"/>
        </w:rPr>
        <w:t xml:space="preserve"> is expected to be </w:t>
      </w:r>
      <w:r w:rsidR="00E948FF" w:rsidRPr="00184027">
        <w:rPr>
          <w:rFonts w:asciiTheme="minorHAnsi" w:hAnsiTheme="minorHAnsi" w:cstheme="minorHAnsi"/>
        </w:rPr>
        <w:t>3.75</w:t>
      </w:r>
      <w:r w:rsidR="00757359" w:rsidRPr="00184027">
        <w:rPr>
          <w:rFonts w:asciiTheme="minorHAnsi" w:hAnsiTheme="minorHAnsi" w:cstheme="minorHAnsi"/>
        </w:rPr>
        <w:t xml:space="preserve"> percent.</w:t>
      </w:r>
      <w:r w:rsidR="00653278" w:rsidRPr="00184027">
        <w:rPr>
          <w:rFonts w:asciiTheme="minorHAnsi" w:hAnsiTheme="minorHAnsi" w:cstheme="minorHAnsi"/>
        </w:rPr>
        <w:t xml:space="preserve"> </w:t>
      </w:r>
    </w:p>
    <w:p w14:paraId="1D58F0CC" w14:textId="2DF60957" w:rsidR="00757359" w:rsidRPr="00184027" w:rsidRDefault="00757359" w:rsidP="00757359">
      <w:pPr>
        <w:bidi w:val="0"/>
        <w:jc w:val="both"/>
        <w:rPr>
          <w:rFonts w:asciiTheme="minorHAnsi" w:hAnsiTheme="minorHAnsi" w:cstheme="minorHAnsi"/>
        </w:rPr>
      </w:pPr>
    </w:p>
    <w:p w14:paraId="356F4E6C" w14:textId="3101E1B8" w:rsidR="00416C49" w:rsidRPr="00184027" w:rsidRDefault="00757359" w:rsidP="00626F33">
      <w:pPr>
        <w:bidi w:val="0"/>
        <w:jc w:val="both"/>
        <w:rPr>
          <w:rFonts w:asciiTheme="minorHAnsi" w:hAnsiTheme="minorHAnsi" w:cstheme="minorHAnsi"/>
        </w:rPr>
      </w:pPr>
      <w:r w:rsidRPr="00184027">
        <w:rPr>
          <w:rFonts w:asciiTheme="minorHAnsi" w:hAnsiTheme="minorHAnsi" w:cstheme="minorHAnsi"/>
        </w:rPr>
        <w:t>This forecast was formulated</w:t>
      </w:r>
      <w:r w:rsidR="00E948FF" w:rsidRPr="00184027">
        <w:rPr>
          <w:rFonts w:asciiTheme="minorHAnsi" w:hAnsiTheme="minorHAnsi" w:cstheme="minorHAnsi"/>
        </w:rPr>
        <w:t xml:space="preserve"> </w:t>
      </w:r>
      <w:r w:rsidR="00626F33" w:rsidRPr="00184027">
        <w:rPr>
          <w:rFonts w:asciiTheme="minorHAnsi" w:hAnsiTheme="minorHAnsi" w:cstheme="minorHAnsi"/>
        </w:rPr>
        <w:t>after</w:t>
      </w:r>
      <w:r w:rsidR="00E948FF" w:rsidRPr="00184027">
        <w:rPr>
          <w:rFonts w:asciiTheme="minorHAnsi" w:hAnsiTheme="minorHAnsi" w:cstheme="minorHAnsi"/>
        </w:rPr>
        <w:t xml:space="preserve"> the announcement of the ceasefire at the end of Operation Rising Lion, and</w:t>
      </w:r>
      <w:r w:rsidRPr="00184027">
        <w:rPr>
          <w:rFonts w:asciiTheme="minorHAnsi" w:hAnsiTheme="minorHAnsi" w:cstheme="minorHAnsi"/>
        </w:rPr>
        <w:t xml:space="preserve"> under the assumption that</w:t>
      </w:r>
      <w:r w:rsidR="00E948FF" w:rsidRPr="00184027">
        <w:rPr>
          <w:rFonts w:asciiTheme="minorHAnsi" w:hAnsiTheme="minorHAnsi" w:cstheme="minorHAnsi"/>
        </w:rPr>
        <w:t xml:space="preserve"> it will be maintained. </w:t>
      </w:r>
      <w:r w:rsidR="00864E97" w:rsidRPr="00184027">
        <w:rPr>
          <w:rFonts w:asciiTheme="minorHAnsi" w:hAnsiTheme="minorHAnsi" w:cstheme="minorHAnsi"/>
        </w:rPr>
        <w:t>Operation Rising Lion has an impact on the forecast, both due to the economic impact while it was taking place and in relation to the forward-looking forecast.</w:t>
      </w:r>
      <w:r w:rsidR="001871FF" w:rsidRPr="00184027">
        <w:rPr>
          <w:rFonts w:asciiTheme="minorHAnsi" w:hAnsiTheme="minorHAnsi" w:cstheme="minorHAnsi"/>
        </w:rPr>
        <w:t xml:space="preserve"> </w:t>
      </w:r>
      <w:r w:rsidR="00864E97" w:rsidRPr="00184027">
        <w:rPr>
          <w:rFonts w:asciiTheme="minorHAnsi" w:hAnsiTheme="minorHAnsi" w:cstheme="minorHAnsi"/>
        </w:rPr>
        <w:t xml:space="preserve">With regard to the fighting in Gaza, the forecast was formulated under the assumption that </w:t>
      </w:r>
      <w:r w:rsidR="0055377E" w:rsidRPr="00184027">
        <w:rPr>
          <w:rFonts w:asciiTheme="minorHAnsi" w:hAnsiTheme="minorHAnsi" w:cstheme="minorHAnsi"/>
        </w:rPr>
        <w:t>the ceasefire agreement currently being discussed</w:t>
      </w:r>
      <w:r w:rsidR="00864E97" w:rsidRPr="00184027">
        <w:rPr>
          <w:rFonts w:asciiTheme="minorHAnsi" w:hAnsiTheme="minorHAnsi" w:cstheme="minorHAnsi"/>
        </w:rPr>
        <w:t xml:space="preserve"> will</w:t>
      </w:r>
      <w:r w:rsidR="0055377E" w:rsidRPr="00184027">
        <w:rPr>
          <w:rFonts w:asciiTheme="minorHAnsi" w:hAnsiTheme="minorHAnsi" w:cstheme="minorHAnsi"/>
        </w:rPr>
        <w:t xml:space="preserve"> lead to a situation in which during the forecast horizon, beginning in July 2025, </w:t>
      </w:r>
      <w:r w:rsidR="00817D4A" w:rsidRPr="00184027">
        <w:rPr>
          <w:rFonts w:asciiTheme="minorHAnsi" w:hAnsiTheme="minorHAnsi" w:cstheme="minorHAnsi"/>
        </w:rPr>
        <w:t>there will be no intense fighting in Gaza</w:t>
      </w:r>
      <w:r w:rsidR="00416C49" w:rsidRPr="00184027">
        <w:rPr>
          <w:rFonts w:asciiTheme="minorHAnsi" w:hAnsiTheme="minorHAnsi" w:cstheme="minorHAnsi"/>
        </w:rPr>
        <w:t>.</w:t>
      </w:r>
      <w:r w:rsidR="001871FF" w:rsidRPr="00184027">
        <w:rPr>
          <w:rFonts w:asciiTheme="minorHAnsi" w:hAnsiTheme="minorHAnsi" w:cstheme="minorHAnsi"/>
        </w:rPr>
        <w:t xml:space="preserve"> </w:t>
      </w:r>
      <w:r w:rsidR="00410812" w:rsidRPr="00184027">
        <w:rPr>
          <w:rFonts w:asciiTheme="minorHAnsi" w:hAnsiTheme="minorHAnsi" w:cstheme="minorHAnsi"/>
        </w:rPr>
        <w:t>Compared to the April forecast, the current forecast includes some moderation of the impact of the tariffs announced by the United States in April.</w:t>
      </w:r>
      <w:r w:rsidR="001871FF" w:rsidRPr="00184027">
        <w:rPr>
          <w:rFonts w:asciiTheme="minorHAnsi" w:hAnsiTheme="minorHAnsi" w:cstheme="minorHAnsi"/>
        </w:rPr>
        <w:t xml:space="preserve"> </w:t>
      </w:r>
      <w:r w:rsidR="00416C49" w:rsidRPr="00184027">
        <w:rPr>
          <w:rFonts w:asciiTheme="minorHAnsi" w:hAnsiTheme="minorHAnsi" w:cstheme="minorHAnsi"/>
        </w:rPr>
        <w:t>The forecast is characterized by a</w:t>
      </w:r>
      <w:r w:rsidR="00EC4295" w:rsidRPr="00184027">
        <w:rPr>
          <w:rFonts w:asciiTheme="minorHAnsi" w:hAnsiTheme="minorHAnsi" w:cstheme="minorHAnsi"/>
        </w:rPr>
        <w:t>n exceptionally</w:t>
      </w:r>
      <w:r w:rsidR="00416C49" w:rsidRPr="00184027">
        <w:rPr>
          <w:rFonts w:asciiTheme="minorHAnsi" w:hAnsiTheme="minorHAnsi" w:cstheme="minorHAnsi"/>
        </w:rPr>
        <w:t xml:space="preserve"> high level of uncertainty,</w:t>
      </w:r>
      <w:r w:rsidR="00864E97" w:rsidRPr="00184027">
        <w:rPr>
          <w:rFonts w:asciiTheme="minorHAnsi" w:hAnsiTheme="minorHAnsi" w:cstheme="minorHAnsi"/>
        </w:rPr>
        <w:t xml:space="preserve"> with positive and negative possibilities both in the geopolitical sphere and with regard to the American government’s tariff policy.</w:t>
      </w:r>
      <w:r w:rsidR="00416C49" w:rsidRPr="00184027">
        <w:rPr>
          <w:rFonts w:asciiTheme="minorHAnsi" w:hAnsiTheme="minorHAnsi" w:cstheme="minorHAnsi"/>
        </w:rPr>
        <w:t xml:space="preserve"> </w:t>
      </w:r>
      <w:r w:rsidR="00864E97" w:rsidRPr="00184027">
        <w:rPr>
          <w:rFonts w:asciiTheme="minorHAnsi" w:hAnsiTheme="minorHAnsi" w:cstheme="minorHAnsi"/>
        </w:rPr>
        <w:t>At this stage, there is also significant uncertainty regarding the government’s decisions concerning the state budgets for 2025 and 2026, and the forecast is based on assessments and working assumptions formulated by the Research Department regarding decisions that will be made.</w:t>
      </w:r>
    </w:p>
    <w:p w14:paraId="639123B6" w14:textId="77777777" w:rsidR="005D7D3B" w:rsidRPr="00184027" w:rsidRDefault="005D7D3B" w:rsidP="00324468">
      <w:pPr>
        <w:bidi w:val="0"/>
        <w:jc w:val="both"/>
        <w:rPr>
          <w:rFonts w:asciiTheme="minorHAnsi" w:hAnsiTheme="minorHAnsi" w:cstheme="minorHAnsi"/>
        </w:rPr>
      </w:pPr>
    </w:p>
    <w:p w14:paraId="5213F454" w14:textId="77777777" w:rsidR="00E932DD" w:rsidRPr="00184027" w:rsidRDefault="00F7707F" w:rsidP="004675C1">
      <w:pPr>
        <w:bidi w:val="0"/>
        <w:jc w:val="both"/>
        <w:rPr>
          <w:rFonts w:asciiTheme="minorHAnsi" w:hAnsiTheme="minorHAnsi" w:cstheme="minorHAnsi"/>
          <w:b/>
          <w:bCs/>
        </w:rPr>
      </w:pPr>
      <w:r w:rsidRPr="00184027">
        <w:rPr>
          <w:rFonts w:asciiTheme="minorHAnsi" w:hAnsiTheme="minorHAnsi" w:cstheme="minorHAnsi"/>
          <w:b/>
          <w:bCs/>
        </w:rPr>
        <w:t>The forecast</w:t>
      </w:r>
    </w:p>
    <w:p w14:paraId="629113FA" w14:textId="77777777" w:rsidR="00F7707F" w:rsidRPr="00184027" w:rsidRDefault="00F7707F" w:rsidP="00F7707F">
      <w:pPr>
        <w:bidi w:val="0"/>
        <w:jc w:val="both"/>
        <w:rPr>
          <w:rFonts w:asciiTheme="minorHAnsi" w:hAnsiTheme="minorHAnsi" w:cstheme="minorHAnsi"/>
          <w:b/>
          <w:bCs/>
        </w:rPr>
      </w:pPr>
    </w:p>
    <w:p w14:paraId="72B85960" w14:textId="1E0D143C" w:rsidR="004675C1" w:rsidRPr="00184027" w:rsidRDefault="004675C1" w:rsidP="00E55AFF">
      <w:pPr>
        <w:bidi w:val="0"/>
        <w:jc w:val="both"/>
        <w:rPr>
          <w:rFonts w:asciiTheme="minorHAnsi" w:hAnsiTheme="minorHAnsi" w:cstheme="minorHAnsi"/>
        </w:rPr>
      </w:pPr>
      <w:r w:rsidRPr="00184027">
        <w:rPr>
          <w:rFonts w:asciiTheme="minorHAnsi" w:hAnsiTheme="minorHAnsi" w:cstheme="minorHAnsi"/>
        </w:rPr>
        <w:t>The Bank of Israel Research Department compiles a staff forecast of macroeconomic developments based on several models, various data sources, and assessments based on economists</w:t>
      </w:r>
      <w:r w:rsidR="0086132E" w:rsidRPr="00184027">
        <w:rPr>
          <w:rFonts w:asciiTheme="minorHAnsi" w:hAnsiTheme="minorHAnsi" w:cstheme="minorHAnsi"/>
        </w:rPr>
        <w:t>’</w:t>
      </w:r>
      <w:r w:rsidRPr="00184027">
        <w:rPr>
          <w:rFonts w:asciiTheme="minorHAnsi" w:hAnsiTheme="minorHAnsi" w:cstheme="minorHAnsi"/>
        </w:rPr>
        <w:t xml:space="preserve"> judgment. The Bank</w:t>
      </w:r>
      <w:r w:rsidR="0086132E" w:rsidRPr="00184027">
        <w:rPr>
          <w:rFonts w:asciiTheme="minorHAnsi" w:hAnsiTheme="minorHAnsi" w:cstheme="minorHAnsi"/>
        </w:rPr>
        <w:t>’</w:t>
      </w:r>
      <w:r w:rsidRPr="00184027">
        <w:rPr>
          <w:rFonts w:asciiTheme="minorHAnsi" w:hAnsiTheme="minorHAnsi" w:cstheme="minorHAnsi"/>
        </w:rPr>
        <w:t xml:space="preserve">s DSGE (Dynamic Stochastic General Equilibrium) model—a structural model </w:t>
      </w:r>
      <w:r w:rsidR="00F7707F" w:rsidRPr="00184027">
        <w:rPr>
          <w:rFonts w:asciiTheme="minorHAnsi" w:hAnsiTheme="minorHAnsi" w:cstheme="minorHAnsi"/>
        </w:rPr>
        <w:t xml:space="preserve">developed in the Research Department and </w:t>
      </w:r>
      <w:r w:rsidRPr="00184027">
        <w:rPr>
          <w:rFonts w:asciiTheme="minorHAnsi" w:hAnsiTheme="minorHAnsi" w:cstheme="minorHAnsi"/>
        </w:rPr>
        <w:t>based on microeconomic foundations—plays a prim</w:t>
      </w:r>
      <w:r w:rsidR="00A83C38" w:rsidRPr="00184027">
        <w:rPr>
          <w:rFonts w:asciiTheme="minorHAnsi" w:hAnsiTheme="minorHAnsi" w:cstheme="minorHAnsi"/>
        </w:rPr>
        <w:t>e</w:t>
      </w:r>
      <w:r w:rsidRPr="00184027">
        <w:rPr>
          <w:rFonts w:asciiTheme="minorHAnsi" w:hAnsiTheme="minorHAnsi" w:cstheme="minorHAnsi"/>
        </w:rPr>
        <w:t xml:space="preserve"> role in formulating the macroeconomic forecast. The model provides a framework for analyzing the forces that have an effect on the economy, and allows </w:t>
      </w:r>
      <w:r w:rsidRPr="00184027">
        <w:rPr>
          <w:rFonts w:asciiTheme="minorHAnsi" w:hAnsiTheme="minorHAnsi" w:cstheme="minorHAnsi"/>
        </w:rPr>
        <w:lastRenderedPageBreak/>
        <w:t>information from various sources to be combined into a macroeconomic forecast of real and nominal variables, with an internally consistent “economic story”.</w:t>
      </w:r>
    </w:p>
    <w:p w14:paraId="2549A5DF" w14:textId="77777777" w:rsidR="00D975F7" w:rsidRPr="00184027" w:rsidRDefault="00D975F7" w:rsidP="00D975F7">
      <w:pPr>
        <w:bidi w:val="0"/>
        <w:jc w:val="both"/>
        <w:rPr>
          <w:rFonts w:asciiTheme="minorHAnsi" w:hAnsiTheme="minorHAnsi" w:cstheme="minorHAnsi"/>
        </w:rPr>
      </w:pPr>
    </w:p>
    <w:p w14:paraId="2F7952B8" w14:textId="77777777" w:rsidR="00A21D01" w:rsidRPr="00184027" w:rsidRDefault="00A21D01" w:rsidP="00A21D01">
      <w:pPr>
        <w:numPr>
          <w:ilvl w:val="0"/>
          <w:numId w:val="9"/>
        </w:numPr>
        <w:bidi w:val="0"/>
        <w:spacing w:line="360" w:lineRule="auto"/>
        <w:ind w:left="357" w:hanging="357"/>
        <w:jc w:val="both"/>
        <w:rPr>
          <w:rFonts w:asciiTheme="minorHAnsi" w:hAnsiTheme="minorHAnsi" w:cstheme="minorHAnsi"/>
          <w:b/>
          <w:bCs/>
        </w:rPr>
      </w:pPr>
      <w:r w:rsidRPr="00184027">
        <w:rPr>
          <w:rFonts w:asciiTheme="minorHAnsi" w:hAnsiTheme="minorHAnsi" w:cstheme="minorHAnsi"/>
          <w:b/>
          <w:bCs/>
        </w:rPr>
        <w:t>The global environment</w:t>
      </w:r>
    </w:p>
    <w:p w14:paraId="7FBA13D9" w14:textId="351EB420" w:rsidR="00EC4295" w:rsidRPr="00184027" w:rsidRDefault="00A21D01" w:rsidP="00864E97">
      <w:pPr>
        <w:bidi w:val="0"/>
        <w:jc w:val="both"/>
        <w:rPr>
          <w:rFonts w:asciiTheme="minorHAnsi" w:hAnsiTheme="minorHAnsi" w:cstheme="minorHAnsi"/>
        </w:rPr>
      </w:pPr>
      <w:r w:rsidRPr="00184027">
        <w:rPr>
          <w:rFonts w:asciiTheme="minorHAnsi" w:hAnsiTheme="minorHAnsi" w:cstheme="minorHAnsi"/>
        </w:rPr>
        <w:t xml:space="preserve">Our assessments of expected developments in the global economy are based mainly on projections by international </w:t>
      </w:r>
      <w:r w:rsidR="00C45D20" w:rsidRPr="00184027">
        <w:rPr>
          <w:rFonts w:asciiTheme="minorHAnsi" w:hAnsiTheme="minorHAnsi" w:cstheme="minorHAnsi"/>
        </w:rPr>
        <w:t xml:space="preserve">financial </w:t>
      </w:r>
      <w:r w:rsidRPr="00184027">
        <w:rPr>
          <w:rFonts w:asciiTheme="minorHAnsi" w:hAnsiTheme="minorHAnsi" w:cstheme="minorHAnsi"/>
        </w:rPr>
        <w:t>institutions and foreign investment houses.</w:t>
      </w:r>
      <w:r w:rsidR="001871FF" w:rsidRPr="00184027">
        <w:rPr>
          <w:rFonts w:asciiTheme="minorHAnsi" w:hAnsiTheme="minorHAnsi" w:cstheme="minorHAnsi"/>
        </w:rPr>
        <w:t xml:space="preserve"> </w:t>
      </w:r>
      <w:r w:rsidR="00EC4295" w:rsidRPr="00184027">
        <w:rPr>
          <w:rFonts w:asciiTheme="minorHAnsi" w:hAnsiTheme="minorHAnsi" w:cstheme="minorHAnsi"/>
        </w:rPr>
        <w:t xml:space="preserve">Accordingly, we assume that inflation in the advanced economies will be </w:t>
      </w:r>
      <w:r w:rsidR="00864E97" w:rsidRPr="00184027">
        <w:rPr>
          <w:rFonts w:asciiTheme="minorHAnsi" w:hAnsiTheme="minorHAnsi" w:cstheme="minorHAnsi"/>
        </w:rPr>
        <w:t>2.6</w:t>
      </w:r>
      <w:r w:rsidR="00EC4295" w:rsidRPr="00184027">
        <w:rPr>
          <w:rFonts w:asciiTheme="minorHAnsi" w:hAnsiTheme="minorHAnsi" w:cstheme="minorHAnsi"/>
        </w:rPr>
        <w:t xml:space="preserve"> percent in 2025 and </w:t>
      </w:r>
      <w:r w:rsidR="00864E97" w:rsidRPr="00184027">
        <w:rPr>
          <w:rFonts w:asciiTheme="minorHAnsi" w:hAnsiTheme="minorHAnsi" w:cstheme="minorHAnsi"/>
        </w:rPr>
        <w:t>2.2</w:t>
      </w:r>
      <w:r w:rsidR="00EC4295" w:rsidRPr="00184027">
        <w:rPr>
          <w:rFonts w:asciiTheme="minorHAnsi" w:hAnsiTheme="minorHAnsi" w:cstheme="minorHAnsi"/>
        </w:rPr>
        <w:t xml:space="preserve"> percent in 2026 (compared with </w:t>
      </w:r>
      <w:r w:rsidR="00864E97" w:rsidRPr="00184027">
        <w:rPr>
          <w:rFonts w:asciiTheme="minorHAnsi" w:hAnsiTheme="minorHAnsi" w:cstheme="minorHAnsi"/>
        </w:rPr>
        <w:t>3.2</w:t>
      </w:r>
      <w:r w:rsidR="00EC4295" w:rsidRPr="00184027">
        <w:rPr>
          <w:rFonts w:asciiTheme="minorHAnsi" w:hAnsiTheme="minorHAnsi" w:cstheme="minorHAnsi"/>
        </w:rPr>
        <w:t xml:space="preserve"> percent in 2025 and </w:t>
      </w:r>
      <w:r w:rsidR="00864E97" w:rsidRPr="00184027">
        <w:rPr>
          <w:rFonts w:asciiTheme="minorHAnsi" w:hAnsiTheme="minorHAnsi" w:cstheme="minorHAnsi"/>
        </w:rPr>
        <w:t>3.1</w:t>
      </w:r>
      <w:r w:rsidR="00EC4295" w:rsidRPr="00184027">
        <w:rPr>
          <w:rFonts w:asciiTheme="minorHAnsi" w:hAnsiTheme="minorHAnsi" w:cstheme="minorHAnsi"/>
        </w:rPr>
        <w:t xml:space="preserve"> percent in 2026 in our </w:t>
      </w:r>
      <w:r w:rsidR="00864E97" w:rsidRPr="00184027">
        <w:rPr>
          <w:rFonts w:asciiTheme="minorHAnsi" w:hAnsiTheme="minorHAnsi" w:cstheme="minorHAnsi"/>
        </w:rPr>
        <w:t>April</w:t>
      </w:r>
      <w:r w:rsidR="00EC4295" w:rsidRPr="00184027">
        <w:rPr>
          <w:rFonts w:asciiTheme="minorHAnsi" w:hAnsiTheme="minorHAnsi" w:cstheme="minorHAnsi"/>
        </w:rPr>
        <w:t xml:space="preserve"> forecast), </w:t>
      </w:r>
      <w:r w:rsidR="002F53E5" w:rsidRPr="00184027">
        <w:rPr>
          <w:rFonts w:asciiTheme="minorHAnsi" w:hAnsiTheme="minorHAnsi" w:cstheme="minorHAnsi"/>
        </w:rPr>
        <w:t>GDP in the advanced economies will grow by 1.</w:t>
      </w:r>
      <w:r w:rsidR="00864E97" w:rsidRPr="00184027">
        <w:rPr>
          <w:rFonts w:asciiTheme="minorHAnsi" w:hAnsiTheme="minorHAnsi" w:cstheme="minorHAnsi"/>
        </w:rPr>
        <w:t>2</w:t>
      </w:r>
      <w:r w:rsidR="002F53E5" w:rsidRPr="00184027">
        <w:rPr>
          <w:rFonts w:asciiTheme="minorHAnsi" w:hAnsiTheme="minorHAnsi" w:cstheme="minorHAnsi"/>
        </w:rPr>
        <w:t xml:space="preserve"> percent in 2025 and by 1.</w:t>
      </w:r>
      <w:r w:rsidR="00864E97" w:rsidRPr="00184027">
        <w:rPr>
          <w:rFonts w:asciiTheme="minorHAnsi" w:hAnsiTheme="minorHAnsi" w:cstheme="minorHAnsi"/>
        </w:rPr>
        <w:t>3</w:t>
      </w:r>
      <w:r w:rsidR="002F53E5" w:rsidRPr="00184027">
        <w:rPr>
          <w:rFonts w:asciiTheme="minorHAnsi" w:hAnsiTheme="minorHAnsi" w:cstheme="minorHAnsi"/>
        </w:rPr>
        <w:t xml:space="preserve"> percent in 2026</w:t>
      </w:r>
      <w:r w:rsidR="00EC4295" w:rsidRPr="00184027">
        <w:rPr>
          <w:rFonts w:asciiTheme="minorHAnsi" w:hAnsiTheme="minorHAnsi" w:cstheme="minorHAnsi"/>
        </w:rPr>
        <w:t xml:space="preserve"> (compared with 1.</w:t>
      </w:r>
      <w:r w:rsidR="00864E97" w:rsidRPr="00184027">
        <w:rPr>
          <w:rFonts w:asciiTheme="minorHAnsi" w:hAnsiTheme="minorHAnsi" w:cstheme="minorHAnsi"/>
        </w:rPr>
        <w:t>0</w:t>
      </w:r>
      <w:r w:rsidR="00EC4295" w:rsidRPr="00184027">
        <w:rPr>
          <w:rFonts w:asciiTheme="minorHAnsi" w:hAnsiTheme="minorHAnsi" w:cstheme="minorHAnsi"/>
        </w:rPr>
        <w:t xml:space="preserve"> percent and 1.</w:t>
      </w:r>
      <w:r w:rsidR="00864E97" w:rsidRPr="00184027">
        <w:rPr>
          <w:rFonts w:asciiTheme="minorHAnsi" w:hAnsiTheme="minorHAnsi" w:cstheme="minorHAnsi"/>
        </w:rPr>
        <w:t>2</w:t>
      </w:r>
      <w:r w:rsidR="00EC4295" w:rsidRPr="00184027">
        <w:rPr>
          <w:rFonts w:asciiTheme="minorHAnsi" w:hAnsiTheme="minorHAnsi" w:cstheme="minorHAnsi"/>
        </w:rPr>
        <w:t xml:space="preserve"> percent, respectively in the </w:t>
      </w:r>
      <w:r w:rsidR="00864E97" w:rsidRPr="00184027">
        <w:rPr>
          <w:rFonts w:asciiTheme="minorHAnsi" w:hAnsiTheme="minorHAnsi" w:cstheme="minorHAnsi"/>
        </w:rPr>
        <w:t>April</w:t>
      </w:r>
      <w:r w:rsidR="00EC4295" w:rsidRPr="00184027">
        <w:rPr>
          <w:rFonts w:asciiTheme="minorHAnsi" w:hAnsiTheme="minorHAnsi" w:cstheme="minorHAnsi"/>
        </w:rPr>
        <w:t xml:space="preserve"> forecast), and the interest rate will be 3.3 percent in 2025 and 2.</w:t>
      </w:r>
      <w:r w:rsidR="00864E97" w:rsidRPr="00184027">
        <w:rPr>
          <w:rFonts w:asciiTheme="minorHAnsi" w:hAnsiTheme="minorHAnsi" w:cstheme="minorHAnsi"/>
        </w:rPr>
        <w:t>8</w:t>
      </w:r>
      <w:r w:rsidR="00EC4295" w:rsidRPr="00184027">
        <w:rPr>
          <w:rFonts w:asciiTheme="minorHAnsi" w:hAnsiTheme="minorHAnsi" w:cstheme="minorHAnsi"/>
        </w:rPr>
        <w:t xml:space="preserve"> percent in 2026 (compared with </w:t>
      </w:r>
      <w:r w:rsidR="00864E97" w:rsidRPr="00184027">
        <w:rPr>
          <w:rFonts w:asciiTheme="minorHAnsi" w:hAnsiTheme="minorHAnsi" w:cstheme="minorHAnsi"/>
        </w:rPr>
        <w:t>3.3</w:t>
      </w:r>
      <w:r w:rsidR="00EC4295" w:rsidRPr="00184027">
        <w:rPr>
          <w:rFonts w:asciiTheme="minorHAnsi" w:hAnsiTheme="minorHAnsi" w:cstheme="minorHAnsi"/>
        </w:rPr>
        <w:t xml:space="preserve"> percent and 2.</w:t>
      </w:r>
      <w:r w:rsidR="00864E97" w:rsidRPr="00184027">
        <w:rPr>
          <w:rFonts w:asciiTheme="minorHAnsi" w:hAnsiTheme="minorHAnsi" w:cstheme="minorHAnsi"/>
        </w:rPr>
        <w:t>9</w:t>
      </w:r>
      <w:r w:rsidR="00EC4295" w:rsidRPr="00184027">
        <w:rPr>
          <w:rFonts w:asciiTheme="minorHAnsi" w:hAnsiTheme="minorHAnsi" w:cstheme="minorHAnsi"/>
        </w:rPr>
        <w:t xml:space="preserve"> percent respectively in the </w:t>
      </w:r>
      <w:r w:rsidR="00864E97" w:rsidRPr="00184027">
        <w:rPr>
          <w:rFonts w:asciiTheme="minorHAnsi" w:hAnsiTheme="minorHAnsi" w:cstheme="minorHAnsi"/>
        </w:rPr>
        <w:t>April</w:t>
      </w:r>
      <w:r w:rsidR="00EC4295" w:rsidRPr="00184027">
        <w:rPr>
          <w:rFonts w:asciiTheme="minorHAnsi" w:hAnsiTheme="minorHAnsi" w:cstheme="minorHAnsi"/>
        </w:rPr>
        <w:t xml:space="preserve"> forecast)</w:t>
      </w:r>
      <w:r w:rsidR="002F53E5" w:rsidRPr="00184027">
        <w:rPr>
          <w:rFonts w:asciiTheme="minorHAnsi" w:hAnsiTheme="minorHAnsi" w:cstheme="minorHAnsi"/>
        </w:rPr>
        <w:t>.</w:t>
      </w:r>
      <w:r w:rsidR="001871FF" w:rsidRPr="00184027">
        <w:rPr>
          <w:rFonts w:asciiTheme="minorHAnsi" w:hAnsiTheme="minorHAnsi" w:cstheme="minorHAnsi"/>
        </w:rPr>
        <w:t xml:space="preserve"> </w:t>
      </w:r>
      <w:r w:rsidR="00EC4295" w:rsidRPr="00184027">
        <w:rPr>
          <w:rFonts w:asciiTheme="minorHAnsi" w:hAnsiTheme="minorHAnsi" w:cstheme="minorHAnsi"/>
        </w:rPr>
        <w:t xml:space="preserve">Our assumption </w:t>
      </w:r>
      <w:r w:rsidR="00AE6BBB" w:rsidRPr="00184027">
        <w:rPr>
          <w:rFonts w:asciiTheme="minorHAnsi" w:hAnsiTheme="minorHAnsi" w:cstheme="minorHAnsi"/>
        </w:rPr>
        <w:t>is that</w:t>
      </w:r>
      <w:r w:rsidR="00EC4295" w:rsidRPr="00184027">
        <w:rPr>
          <w:rFonts w:asciiTheme="minorHAnsi" w:hAnsiTheme="minorHAnsi" w:cstheme="minorHAnsi"/>
        </w:rPr>
        <w:t xml:space="preserve"> imports </w:t>
      </w:r>
      <w:r w:rsidR="00AE6BBB" w:rsidRPr="00184027">
        <w:rPr>
          <w:rFonts w:asciiTheme="minorHAnsi" w:hAnsiTheme="minorHAnsi" w:cstheme="minorHAnsi"/>
        </w:rPr>
        <w:t xml:space="preserve">to advanced economies will grow by </w:t>
      </w:r>
      <w:r w:rsidR="00864E97" w:rsidRPr="00184027">
        <w:rPr>
          <w:rFonts w:asciiTheme="minorHAnsi" w:hAnsiTheme="minorHAnsi" w:cstheme="minorHAnsi"/>
        </w:rPr>
        <w:t>1.9</w:t>
      </w:r>
      <w:r w:rsidR="00AE6BBB" w:rsidRPr="00184027">
        <w:rPr>
          <w:rFonts w:asciiTheme="minorHAnsi" w:hAnsiTheme="minorHAnsi" w:cstheme="minorHAnsi"/>
        </w:rPr>
        <w:t xml:space="preserve"> percent in 2025 and </w:t>
      </w:r>
      <w:r w:rsidR="00864E97" w:rsidRPr="00184027">
        <w:rPr>
          <w:rFonts w:asciiTheme="minorHAnsi" w:hAnsiTheme="minorHAnsi" w:cstheme="minorHAnsi"/>
        </w:rPr>
        <w:t>2.0</w:t>
      </w:r>
      <w:r w:rsidR="00AE6BBB" w:rsidRPr="00184027">
        <w:rPr>
          <w:rFonts w:asciiTheme="minorHAnsi" w:hAnsiTheme="minorHAnsi" w:cstheme="minorHAnsi"/>
        </w:rPr>
        <w:t xml:space="preserve"> percent in 2026 (compared with growth of </w:t>
      </w:r>
      <w:r w:rsidR="00864E97" w:rsidRPr="00184027">
        <w:rPr>
          <w:rFonts w:asciiTheme="minorHAnsi" w:hAnsiTheme="minorHAnsi" w:cstheme="minorHAnsi"/>
        </w:rPr>
        <w:t>0.3</w:t>
      </w:r>
      <w:r w:rsidR="00AE6BBB" w:rsidRPr="00184027">
        <w:rPr>
          <w:rFonts w:asciiTheme="minorHAnsi" w:hAnsiTheme="minorHAnsi" w:cstheme="minorHAnsi"/>
        </w:rPr>
        <w:t xml:space="preserve"> percent and</w:t>
      </w:r>
      <w:r w:rsidR="00864E97" w:rsidRPr="00184027">
        <w:rPr>
          <w:rFonts w:asciiTheme="minorHAnsi" w:hAnsiTheme="minorHAnsi" w:cstheme="minorHAnsi"/>
        </w:rPr>
        <w:t xml:space="preserve"> a decline of 0.7</w:t>
      </w:r>
      <w:r w:rsidR="00AE6BBB" w:rsidRPr="00184027">
        <w:rPr>
          <w:rFonts w:asciiTheme="minorHAnsi" w:hAnsiTheme="minorHAnsi" w:cstheme="minorHAnsi"/>
        </w:rPr>
        <w:t xml:space="preserve"> percent respectively in the </w:t>
      </w:r>
      <w:r w:rsidR="00864E97" w:rsidRPr="00184027">
        <w:rPr>
          <w:rFonts w:asciiTheme="minorHAnsi" w:hAnsiTheme="minorHAnsi" w:cstheme="minorHAnsi"/>
        </w:rPr>
        <w:t>April</w:t>
      </w:r>
      <w:r w:rsidR="00AE6BBB" w:rsidRPr="00184027">
        <w:rPr>
          <w:rFonts w:asciiTheme="minorHAnsi" w:hAnsiTheme="minorHAnsi" w:cstheme="minorHAnsi"/>
        </w:rPr>
        <w:t xml:space="preserve"> forecast).</w:t>
      </w:r>
      <w:r w:rsidR="001871FF" w:rsidRPr="00184027">
        <w:rPr>
          <w:rFonts w:asciiTheme="minorHAnsi" w:hAnsiTheme="minorHAnsi" w:cstheme="minorHAnsi"/>
        </w:rPr>
        <w:t xml:space="preserve"> </w:t>
      </w:r>
      <w:r w:rsidR="0017294A" w:rsidRPr="00184027">
        <w:rPr>
          <w:rFonts w:asciiTheme="minorHAnsi" w:hAnsiTheme="minorHAnsi" w:cstheme="minorHAnsi"/>
        </w:rPr>
        <w:t>These developments reflect, to a great extent, the moderation of tariffs relative to their expected level in April.</w:t>
      </w:r>
    </w:p>
    <w:p w14:paraId="5C67345C" w14:textId="3BB09BA7" w:rsidR="00D52059" w:rsidRPr="00184027" w:rsidRDefault="00060B61" w:rsidP="0055377E">
      <w:pPr>
        <w:bidi w:val="0"/>
        <w:jc w:val="both"/>
        <w:rPr>
          <w:rFonts w:asciiTheme="minorHAnsi" w:hAnsiTheme="minorHAnsi" w:cstheme="minorHAnsi"/>
        </w:rPr>
      </w:pPr>
      <w:r w:rsidRPr="00184027">
        <w:rPr>
          <w:rFonts w:asciiTheme="minorHAnsi" w:hAnsiTheme="minorHAnsi" w:cstheme="minorHAnsi"/>
        </w:rPr>
        <w:t>T</w:t>
      </w:r>
      <w:r w:rsidR="008F34C7" w:rsidRPr="00184027">
        <w:rPr>
          <w:rFonts w:asciiTheme="minorHAnsi" w:hAnsiTheme="minorHAnsi" w:cstheme="minorHAnsi"/>
        </w:rPr>
        <w:t xml:space="preserve">he price of Brent crude oil </w:t>
      </w:r>
      <w:r w:rsidR="0017294A" w:rsidRPr="00184027">
        <w:rPr>
          <w:rFonts w:asciiTheme="minorHAnsi" w:hAnsiTheme="minorHAnsi" w:cstheme="minorHAnsi"/>
        </w:rPr>
        <w:t>returned to its level from before Operation Rising Lion, and is currently</w:t>
      </w:r>
      <w:r w:rsidR="00D9026F" w:rsidRPr="00184027">
        <w:rPr>
          <w:rFonts w:asciiTheme="minorHAnsi" w:hAnsiTheme="minorHAnsi" w:cstheme="minorHAnsi"/>
        </w:rPr>
        <w:t xml:space="preserve"> </w:t>
      </w:r>
      <w:r w:rsidRPr="00184027">
        <w:rPr>
          <w:rFonts w:asciiTheme="minorHAnsi" w:hAnsiTheme="minorHAnsi" w:cstheme="minorHAnsi"/>
        </w:rPr>
        <w:t>$</w:t>
      </w:r>
      <w:r w:rsidR="0017294A" w:rsidRPr="00184027">
        <w:rPr>
          <w:rFonts w:asciiTheme="minorHAnsi" w:hAnsiTheme="minorHAnsi" w:cstheme="minorHAnsi"/>
        </w:rPr>
        <w:t>6</w:t>
      </w:r>
      <w:r w:rsidR="0055377E" w:rsidRPr="00184027">
        <w:rPr>
          <w:rFonts w:asciiTheme="minorHAnsi" w:hAnsiTheme="minorHAnsi" w:cstheme="minorHAnsi"/>
        </w:rPr>
        <w:t>8</w:t>
      </w:r>
      <w:r w:rsidR="00D9026F" w:rsidRPr="00184027">
        <w:rPr>
          <w:rFonts w:asciiTheme="minorHAnsi" w:hAnsiTheme="minorHAnsi" w:cstheme="minorHAnsi"/>
        </w:rPr>
        <w:t xml:space="preserve"> </w:t>
      </w:r>
      <w:r w:rsidRPr="00184027">
        <w:rPr>
          <w:rFonts w:asciiTheme="minorHAnsi" w:hAnsiTheme="minorHAnsi" w:cstheme="minorHAnsi"/>
        </w:rPr>
        <w:t>per barrel</w:t>
      </w:r>
      <w:r w:rsidR="0017294A" w:rsidRPr="00184027">
        <w:rPr>
          <w:rFonts w:asciiTheme="minorHAnsi" w:hAnsiTheme="minorHAnsi" w:cstheme="minorHAnsi"/>
        </w:rPr>
        <w:t>, slightly higher than it was at the time o</w:t>
      </w:r>
      <w:r w:rsidR="00AE6BBB" w:rsidRPr="00184027">
        <w:rPr>
          <w:rFonts w:asciiTheme="minorHAnsi" w:hAnsiTheme="minorHAnsi" w:cstheme="minorHAnsi"/>
        </w:rPr>
        <w:t xml:space="preserve">f the </w:t>
      </w:r>
      <w:r w:rsidR="0017294A" w:rsidRPr="00184027">
        <w:rPr>
          <w:rFonts w:asciiTheme="minorHAnsi" w:hAnsiTheme="minorHAnsi" w:cstheme="minorHAnsi"/>
        </w:rPr>
        <w:t>April</w:t>
      </w:r>
      <w:r w:rsidR="00AE6BBB" w:rsidRPr="00184027">
        <w:rPr>
          <w:rFonts w:asciiTheme="minorHAnsi" w:hAnsiTheme="minorHAnsi" w:cstheme="minorHAnsi"/>
        </w:rPr>
        <w:t xml:space="preserve"> forecast</w:t>
      </w:r>
      <w:r w:rsidR="00323260" w:rsidRPr="00184027">
        <w:rPr>
          <w:rFonts w:asciiTheme="minorHAnsi" w:hAnsiTheme="minorHAnsi" w:cstheme="minorHAnsi"/>
        </w:rPr>
        <w:t>.</w:t>
      </w:r>
    </w:p>
    <w:p w14:paraId="1281EA28" w14:textId="61ADF1D5" w:rsidR="00AE6BBB" w:rsidRPr="00184027" w:rsidRDefault="00AE6BBB" w:rsidP="00AE6BBB">
      <w:pPr>
        <w:bidi w:val="0"/>
        <w:jc w:val="both"/>
        <w:rPr>
          <w:rFonts w:asciiTheme="minorHAnsi" w:hAnsiTheme="minorHAnsi" w:cstheme="minorHAnsi"/>
        </w:rPr>
      </w:pPr>
    </w:p>
    <w:tbl>
      <w:tblPr>
        <w:tblStyle w:val="a7"/>
        <w:tblpPr w:leftFromText="181" w:rightFromText="181" w:vertAnchor="text" w:horzAnchor="margin" w:tblpXSpec="center" w:tblpY="1"/>
        <w:tblOverlap w:val="never"/>
        <w:tblW w:w="11052" w:type="dxa"/>
        <w:tblLayout w:type="fixed"/>
        <w:tblLook w:val="04A0" w:firstRow="1" w:lastRow="0" w:firstColumn="1" w:lastColumn="0" w:noHBand="0" w:noVBand="1"/>
      </w:tblPr>
      <w:tblGrid>
        <w:gridCol w:w="6374"/>
        <w:gridCol w:w="1134"/>
        <w:gridCol w:w="1276"/>
        <w:gridCol w:w="992"/>
        <w:gridCol w:w="1276"/>
      </w:tblGrid>
      <w:tr w:rsidR="00AE6BBB" w:rsidRPr="00184027" w14:paraId="2A0C5C37" w14:textId="77777777" w:rsidTr="0017294A">
        <w:trPr>
          <w:trHeight w:val="200"/>
        </w:trPr>
        <w:tc>
          <w:tcPr>
            <w:tcW w:w="11052" w:type="dxa"/>
            <w:gridSpan w:val="5"/>
            <w:tcBorders>
              <w:top w:val="single" w:sz="4" w:space="0" w:color="auto"/>
              <w:bottom w:val="single" w:sz="4" w:space="0" w:color="auto"/>
              <w:right w:val="single" w:sz="4" w:space="0" w:color="auto"/>
            </w:tcBorders>
          </w:tcPr>
          <w:p w14:paraId="5A29EA16" w14:textId="77777777" w:rsidR="00AE6BBB" w:rsidRPr="00184027" w:rsidRDefault="00AE6BBB" w:rsidP="0017294A">
            <w:pPr>
              <w:bidi w:val="0"/>
              <w:rPr>
                <w:rFonts w:asciiTheme="minorHAnsi" w:hAnsiTheme="minorHAnsi" w:cstheme="minorHAnsi"/>
                <w:b/>
                <w:bCs/>
                <w:color w:val="0070C0"/>
              </w:rPr>
            </w:pPr>
            <w:r w:rsidRPr="00184027">
              <w:rPr>
                <w:rFonts w:asciiTheme="minorHAnsi" w:hAnsiTheme="minorHAnsi" w:cstheme="minorHAnsi"/>
                <w:b/>
                <w:bCs/>
                <w:color w:val="0070C0"/>
              </w:rPr>
              <w:t>Table 1</w:t>
            </w:r>
          </w:p>
          <w:p w14:paraId="15063579" w14:textId="1F510E39" w:rsidR="00AE6BBB" w:rsidRPr="00184027" w:rsidRDefault="00AE6BBB" w:rsidP="0017294A">
            <w:pPr>
              <w:bidi w:val="0"/>
              <w:rPr>
                <w:rFonts w:asciiTheme="minorHAnsi" w:hAnsiTheme="minorHAnsi" w:cstheme="minorHAnsi"/>
                <w:b/>
                <w:bCs/>
                <w:color w:val="0070C0"/>
              </w:rPr>
            </w:pPr>
            <w:r w:rsidRPr="00184027">
              <w:rPr>
                <w:rFonts w:asciiTheme="minorHAnsi" w:hAnsiTheme="minorHAnsi" w:cstheme="minorHAnsi"/>
                <w:b/>
                <w:bCs/>
                <w:color w:val="0070C0"/>
              </w:rPr>
              <w:t>Research Department Staff Forecast for 2025–2026</w:t>
            </w:r>
          </w:p>
          <w:p w14:paraId="2A3E1084" w14:textId="77777777" w:rsidR="00AE6BBB" w:rsidRPr="00184027" w:rsidRDefault="00AE6BBB" w:rsidP="0017294A">
            <w:pPr>
              <w:bidi w:val="0"/>
              <w:rPr>
                <w:rFonts w:asciiTheme="minorHAnsi" w:hAnsiTheme="minorHAnsi" w:cstheme="minorHAnsi"/>
                <w:b/>
                <w:bCs/>
                <w:color w:val="0070C0"/>
              </w:rPr>
            </w:pPr>
            <w:r w:rsidRPr="00184027">
              <w:rPr>
                <w:rFonts w:asciiTheme="minorHAnsi" w:hAnsiTheme="minorHAnsi" w:cstheme="minorHAnsi"/>
                <w:color w:val="0070C0"/>
                <w:sz w:val="22"/>
                <w:szCs w:val="22"/>
              </w:rPr>
              <w:t xml:space="preserve">(rates of change, </w:t>
            </w:r>
            <w:proofErr w:type="spellStart"/>
            <w:r w:rsidRPr="00184027">
              <w:rPr>
                <w:rFonts w:asciiTheme="minorHAnsi" w:hAnsiTheme="minorHAnsi" w:cstheme="minorHAnsi"/>
                <w:color w:val="0070C0"/>
                <w:sz w:val="22"/>
                <w:szCs w:val="22"/>
              </w:rPr>
              <w:t>percent</w:t>
            </w:r>
            <w:r w:rsidRPr="00184027">
              <w:rPr>
                <w:rFonts w:asciiTheme="minorHAnsi" w:hAnsiTheme="minorHAnsi" w:cstheme="minorHAnsi"/>
                <w:color w:val="0070C0"/>
                <w:sz w:val="22"/>
                <w:szCs w:val="22"/>
                <w:vertAlign w:val="superscript"/>
              </w:rPr>
              <w:t>a</w:t>
            </w:r>
            <w:proofErr w:type="spellEnd"/>
            <w:r w:rsidRPr="00184027">
              <w:rPr>
                <w:rFonts w:asciiTheme="minorHAnsi" w:hAnsiTheme="minorHAnsi" w:cstheme="minorHAnsi"/>
                <w:color w:val="0070C0"/>
                <w:sz w:val="22"/>
                <w:szCs w:val="22"/>
              </w:rPr>
              <w:t>, unless stated otherwise)</w:t>
            </w:r>
          </w:p>
        </w:tc>
      </w:tr>
      <w:tr w:rsidR="0017294A" w:rsidRPr="00184027" w14:paraId="38163B40" w14:textId="77777777" w:rsidTr="0017294A">
        <w:tc>
          <w:tcPr>
            <w:tcW w:w="6374" w:type="dxa"/>
            <w:tcBorders>
              <w:bottom w:val="nil"/>
            </w:tcBorders>
            <w:vAlign w:val="bottom"/>
          </w:tcPr>
          <w:p w14:paraId="79C8D22A" w14:textId="5E97ED1D" w:rsidR="0017294A" w:rsidRPr="00184027" w:rsidRDefault="0017294A" w:rsidP="0017294A">
            <w:pPr>
              <w:bidi w:val="0"/>
              <w:jc w:val="center"/>
              <w:rPr>
                <w:rFonts w:asciiTheme="minorHAnsi" w:hAnsiTheme="minorHAnsi" w:cstheme="minorHAnsi"/>
                <w:sz w:val="20"/>
                <w:szCs w:val="20"/>
              </w:rPr>
            </w:pPr>
          </w:p>
        </w:tc>
        <w:tc>
          <w:tcPr>
            <w:tcW w:w="1134" w:type="dxa"/>
            <w:tcBorders>
              <w:left w:val="single" w:sz="4" w:space="0" w:color="auto"/>
              <w:bottom w:val="nil"/>
              <w:right w:val="single" w:sz="4" w:space="0" w:color="auto"/>
            </w:tcBorders>
            <w:shd w:val="clear" w:color="auto" w:fill="auto"/>
          </w:tcPr>
          <w:p w14:paraId="28339829" w14:textId="280B4C16"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Forecast for 2025</w:t>
            </w:r>
          </w:p>
        </w:tc>
        <w:tc>
          <w:tcPr>
            <w:tcW w:w="1276" w:type="dxa"/>
            <w:tcBorders>
              <w:left w:val="single" w:sz="4" w:space="0" w:color="auto"/>
              <w:bottom w:val="single" w:sz="4" w:space="0" w:color="auto"/>
              <w:right w:val="single" w:sz="4" w:space="0" w:color="auto"/>
            </w:tcBorders>
            <w:shd w:val="clear" w:color="auto" w:fill="C6D9F1" w:themeFill="text2" w:themeFillTint="33"/>
          </w:tcPr>
          <w:p w14:paraId="5E611CF5" w14:textId="0087A276"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Change from the April forecast</w:t>
            </w:r>
          </w:p>
        </w:tc>
        <w:tc>
          <w:tcPr>
            <w:tcW w:w="992" w:type="dxa"/>
            <w:tcBorders>
              <w:left w:val="nil"/>
              <w:bottom w:val="single" w:sz="4" w:space="0" w:color="auto"/>
              <w:right w:val="single" w:sz="4" w:space="0" w:color="auto"/>
            </w:tcBorders>
            <w:shd w:val="clear" w:color="auto" w:fill="auto"/>
          </w:tcPr>
          <w:p w14:paraId="4EA0C875" w14:textId="6B1B12E6"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Forecast for 2026</w:t>
            </w:r>
          </w:p>
        </w:tc>
        <w:tc>
          <w:tcPr>
            <w:tcW w:w="1276" w:type="dxa"/>
            <w:shd w:val="clear" w:color="auto" w:fill="B8CCE4" w:themeFill="accent1" w:themeFillTint="66"/>
          </w:tcPr>
          <w:p w14:paraId="1F3E6786" w14:textId="055B896A"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 xml:space="preserve">Change from the </w:t>
            </w:r>
            <w:r w:rsidR="001871FF" w:rsidRPr="00184027">
              <w:rPr>
                <w:rFonts w:asciiTheme="minorHAnsi" w:hAnsiTheme="minorHAnsi" w:cstheme="minorHAnsi"/>
                <w:sz w:val="20"/>
                <w:szCs w:val="20"/>
              </w:rPr>
              <w:t xml:space="preserve"> April </w:t>
            </w:r>
            <w:r w:rsidRPr="00184027">
              <w:rPr>
                <w:rFonts w:asciiTheme="minorHAnsi" w:hAnsiTheme="minorHAnsi" w:cstheme="minorHAnsi"/>
                <w:sz w:val="20"/>
                <w:szCs w:val="20"/>
              </w:rPr>
              <w:t>forecast</w:t>
            </w:r>
          </w:p>
        </w:tc>
      </w:tr>
      <w:tr w:rsidR="0017294A" w:rsidRPr="00184027" w14:paraId="5743A2BF" w14:textId="77777777" w:rsidTr="0017294A">
        <w:tc>
          <w:tcPr>
            <w:tcW w:w="6374" w:type="dxa"/>
            <w:tcBorders>
              <w:bottom w:val="single" w:sz="4" w:space="0" w:color="auto"/>
            </w:tcBorders>
            <w:vAlign w:val="bottom"/>
          </w:tcPr>
          <w:p w14:paraId="3B93EB79" w14:textId="0C9890CB"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GDP</w:t>
            </w:r>
          </w:p>
        </w:tc>
        <w:tc>
          <w:tcPr>
            <w:tcW w:w="1134" w:type="dxa"/>
            <w:tcBorders>
              <w:left w:val="single" w:sz="4" w:space="0" w:color="auto"/>
              <w:bottom w:val="single" w:sz="4" w:space="0" w:color="auto"/>
              <w:right w:val="single" w:sz="4" w:space="0" w:color="auto"/>
            </w:tcBorders>
            <w:shd w:val="clear" w:color="auto" w:fill="auto"/>
            <w:vAlign w:val="bottom"/>
          </w:tcPr>
          <w:p w14:paraId="34BD5148" w14:textId="56CCA7A4"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tl/>
              </w:rPr>
              <w:t>3</w:t>
            </w:r>
            <w:r w:rsidR="0055377E" w:rsidRPr="00184027">
              <w:rPr>
                <w:rFonts w:asciiTheme="minorHAnsi" w:hAnsiTheme="minorHAnsi" w:cstheme="minorHAnsi"/>
                <w:sz w:val="20"/>
                <w:szCs w:val="20"/>
              </w:rPr>
              <w:t>.3</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5DE40634" w14:textId="7E952B58" w:rsidR="0017294A" w:rsidRPr="00184027" w:rsidRDefault="0017294A" w:rsidP="0055377E">
            <w:pPr>
              <w:bidi w:val="0"/>
              <w:jc w:val="center"/>
              <w:rPr>
                <w:rFonts w:asciiTheme="minorHAnsi" w:hAnsiTheme="minorHAnsi" w:cstheme="minorHAnsi"/>
                <w:sz w:val="20"/>
                <w:szCs w:val="20"/>
              </w:rPr>
            </w:pPr>
            <w:r w:rsidRPr="00184027">
              <w:rPr>
                <w:rFonts w:asciiTheme="minorHAnsi" w:hAnsiTheme="minorHAnsi" w:cstheme="minorHAnsi"/>
                <w:sz w:val="20"/>
                <w:szCs w:val="20"/>
              </w:rPr>
              <w:t>-0.</w:t>
            </w:r>
            <w:r w:rsidR="0055377E" w:rsidRPr="00184027">
              <w:rPr>
                <w:rFonts w:asciiTheme="minorHAnsi" w:hAnsiTheme="minorHAnsi" w:cstheme="minorHAnsi"/>
                <w:sz w:val="20"/>
                <w:szCs w:val="20"/>
              </w:rPr>
              <w:t>2</w:t>
            </w:r>
          </w:p>
        </w:tc>
        <w:tc>
          <w:tcPr>
            <w:tcW w:w="992" w:type="dxa"/>
            <w:tcBorders>
              <w:left w:val="nil"/>
              <w:bottom w:val="single" w:sz="4" w:space="0" w:color="auto"/>
              <w:right w:val="single" w:sz="4" w:space="0" w:color="auto"/>
            </w:tcBorders>
            <w:shd w:val="clear" w:color="auto" w:fill="auto"/>
            <w:vAlign w:val="bottom"/>
          </w:tcPr>
          <w:p w14:paraId="0FCEEAEF" w14:textId="23B27A44" w:rsidR="0017294A" w:rsidRPr="00184027" w:rsidRDefault="0017294A" w:rsidP="0055377E">
            <w:pPr>
              <w:bidi w:val="0"/>
              <w:jc w:val="center"/>
              <w:rPr>
                <w:rFonts w:asciiTheme="minorHAnsi" w:hAnsiTheme="minorHAnsi" w:cstheme="minorHAnsi"/>
                <w:sz w:val="20"/>
                <w:szCs w:val="20"/>
              </w:rPr>
            </w:pPr>
            <w:r w:rsidRPr="00184027">
              <w:rPr>
                <w:rFonts w:asciiTheme="minorHAnsi" w:hAnsiTheme="minorHAnsi" w:cstheme="minorHAnsi"/>
                <w:sz w:val="20"/>
                <w:szCs w:val="20"/>
              </w:rPr>
              <w:t>4.</w:t>
            </w:r>
            <w:r w:rsidR="0055377E" w:rsidRPr="00184027">
              <w:rPr>
                <w:rFonts w:asciiTheme="minorHAnsi" w:hAnsiTheme="minorHAnsi" w:cstheme="minorHAnsi"/>
                <w:sz w:val="20"/>
                <w:szCs w:val="20"/>
              </w:rPr>
              <w:t>6</w:t>
            </w:r>
          </w:p>
        </w:tc>
        <w:tc>
          <w:tcPr>
            <w:tcW w:w="1276" w:type="dxa"/>
            <w:shd w:val="clear" w:color="auto" w:fill="B8CCE4" w:themeFill="accent1" w:themeFillTint="66"/>
            <w:vAlign w:val="bottom"/>
          </w:tcPr>
          <w:p w14:paraId="7428AB61" w14:textId="14311B2B" w:rsidR="0017294A" w:rsidRPr="00184027" w:rsidRDefault="0017294A" w:rsidP="0055377E">
            <w:pPr>
              <w:bidi w:val="0"/>
              <w:jc w:val="center"/>
              <w:rPr>
                <w:rFonts w:asciiTheme="minorHAnsi" w:hAnsiTheme="minorHAnsi" w:cstheme="minorHAnsi"/>
                <w:sz w:val="20"/>
                <w:szCs w:val="20"/>
              </w:rPr>
            </w:pPr>
            <w:r w:rsidRPr="00184027">
              <w:rPr>
                <w:rFonts w:asciiTheme="minorHAnsi" w:hAnsiTheme="minorHAnsi" w:cstheme="minorHAnsi"/>
                <w:sz w:val="20"/>
                <w:szCs w:val="20"/>
              </w:rPr>
              <w:t>0.</w:t>
            </w:r>
            <w:r w:rsidR="0055377E" w:rsidRPr="00184027">
              <w:rPr>
                <w:rFonts w:asciiTheme="minorHAnsi" w:hAnsiTheme="minorHAnsi" w:cstheme="minorHAnsi"/>
                <w:sz w:val="20"/>
                <w:szCs w:val="20"/>
              </w:rPr>
              <w:t>6</w:t>
            </w:r>
          </w:p>
        </w:tc>
      </w:tr>
      <w:tr w:rsidR="0017294A" w:rsidRPr="00184027" w14:paraId="3F21E389" w14:textId="77777777" w:rsidTr="0017294A">
        <w:tc>
          <w:tcPr>
            <w:tcW w:w="6374" w:type="dxa"/>
            <w:tcBorders>
              <w:bottom w:val="single" w:sz="4" w:space="0" w:color="auto"/>
            </w:tcBorders>
            <w:vAlign w:val="bottom"/>
          </w:tcPr>
          <w:p w14:paraId="71B9AAC6" w14:textId="04804EA5"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Private consumption</w:t>
            </w:r>
          </w:p>
        </w:tc>
        <w:tc>
          <w:tcPr>
            <w:tcW w:w="1134" w:type="dxa"/>
            <w:tcBorders>
              <w:left w:val="single" w:sz="4" w:space="0" w:color="auto"/>
              <w:bottom w:val="single" w:sz="4" w:space="0" w:color="auto"/>
              <w:right w:val="single" w:sz="4" w:space="0" w:color="auto"/>
            </w:tcBorders>
            <w:shd w:val="clear" w:color="auto" w:fill="auto"/>
            <w:vAlign w:val="bottom"/>
          </w:tcPr>
          <w:p w14:paraId="7AD96849" w14:textId="7F1B2AAD"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3.5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0182AA31" w14:textId="3F2D64B9"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-2.5</w:t>
            </w:r>
          </w:p>
        </w:tc>
        <w:tc>
          <w:tcPr>
            <w:tcW w:w="992" w:type="dxa"/>
            <w:tcBorders>
              <w:left w:val="nil"/>
              <w:bottom w:val="single" w:sz="4" w:space="0" w:color="auto"/>
              <w:right w:val="single" w:sz="4" w:space="0" w:color="auto"/>
            </w:tcBorders>
            <w:shd w:val="clear" w:color="auto" w:fill="auto"/>
            <w:vAlign w:val="bottom"/>
          </w:tcPr>
          <w:p w14:paraId="0CC7BC0C" w14:textId="16D44267"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7.0</w:t>
            </w:r>
          </w:p>
        </w:tc>
        <w:tc>
          <w:tcPr>
            <w:tcW w:w="1276" w:type="dxa"/>
            <w:shd w:val="clear" w:color="auto" w:fill="B8CCE4" w:themeFill="accent1" w:themeFillTint="66"/>
            <w:vAlign w:val="bottom"/>
          </w:tcPr>
          <w:p w14:paraId="58F80D45" w14:textId="27157188"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3.5</w:t>
            </w:r>
          </w:p>
        </w:tc>
      </w:tr>
      <w:tr w:rsidR="0017294A" w:rsidRPr="00184027" w14:paraId="128A5298" w14:textId="77777777" w:rsidTr="0017294A">
        <w:tc>
          <w:tcPr>
            <w:tcW w:w="6374" w:type="dxa"/>
            <w:tcBorders>
              <w:bottom w:val="single" w:sz="4" w:space="0" w:color="auto"/>
            </w:tcBorders>
            <w:vAlign w:val="bottom"/>
          </w:tcPr>
          <w:p w14:paraId="5FDC5352" w14:textId="2B0B7C13"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Fixed capital formation (excl. ships and aircraft)</w:t>
            </w:r>
          </w:p>
        </w:tc>
        <w:tc>
          <w:tcPr>
            <w:tcW w:w="1134" w:type="dxa"/>
            <w:tcBorders>
              <w:left w:val="single" w:sz="4" w:space="0" w:color="auto"/>
              <w:bottom w:val="single" w:sz="4" w:space="0" w:color="auto"/>
              <w:right w:val="single" w:sz="4" w:space="0" w:color="auto"/>
            </w:tcBorders>
            <w:shd w:val="clear" w:color="auto" w:fill="auto"/>
            <w:vAlign w:val="bottom"/>
          </w:tcPr>
          <w:p w14:paraId="22756BE6" w14:textId="051F93CA"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9.5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0DB91ABE" w14:textId="3AD94E6D"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-0.5</w:t>
            </w:r>
          </w:p>
        </w:tc>
        <w:tc>
          <w:tcPr>
            <w:tcW w:w="992" w:type="dxa"/>
            <w:tcBorders>
              <w:left w:val="nil"/>
              <w:bottom w:val="single" w:sz="4" w:space="0" w:color="auto"/>
              <w:right w:val="single" w:sz="4" w:space="0" w:color="auto"/>
            </w:tcBorders>
            <w:shd w:val="clear" w:color="auto" w:fill="auto"/>
            <w:vAlign w:val="bottom"/>
          </w:tcPr>
          <w:p w14:paraId="1143A9BE" w14:textId="1BAB87CB"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13.5</w:t>
            </w:r>
          </w:p>
        </w:tc>
        <w:tc>
          <w:tcPr>
            <w:tcW w:w="1276" w:type="dxa"/>
            <w:shd w:val="clear" w:color="auto" w:fill="B8CCE4" w:themeFill="accent1" w:themeFillTint="66"/>
            <w:vAlign w:val="bottom"/>
          </w:tcPr>
          <w:p w14:paraId="2EB28AFA" w14:textId="177FB83F"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1.5</w:t>
            </w:r>
          </w:p>
        </w:tc>
      </w:tr>
      <w:tr w:rsidR="0017294A" w:rsidRPr="00184027" w14:paraId="004C52C8" w14:textId="77777777" w:rsidTr="0017294A">
        <w:tc>
          <w:tcPr>
            <w:tcW w:w="6374" w:type="dxa"/>
            <w:tcBorders>
              <w:bottom w:val="single" w:sz="4" w:space="0" w:color="auto"/>
            </w:tcBorders>
            <w:vAlign w:val="bottom"/>
          </w:tcPr>
          <w:p w14:paraId="168D4F5D" w14:textId="49F4235E"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Public consumption (excl. defense imports)</w:t>
            </w:r>
          </w:p>
        </w:tc>
        <w:tc>
          <w:tcPr>
            <w:tcW w:w="1134" w:type="dxa"/>
            <w:tcBorders>
              <w:left w:val="single" w:sz="4" w:space="0" w:color="auto"/>
              <w:bottom w:val="single" w:sz="4" w:space="0" w:color="auto"/>
              <w:right w:val="single" w:sz="4" w:space="0" w:color="auto"/>
            </w:tcBorders>
            <w:shd w:val="clear" w:color="auto" w:fill="auto"/>
            <w:vAlign w:val="bottom"/>
          </w:tcPr>
          <w:p w14:paraId="462A6A1E" w14:textId="05645ED3" w:rsidR="0017294A" w:rsidRPr="00184027" w:rsidRDefault="0055377E"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1</w:t>
            </w:r>
            <w:r w:rsidR="0017294A" w:rsidRPr="00184027">
              <w:rPr>
                <w:rFonts w:asciiTheme="minorHAnsi" w:hAnsiTheme="minorHAnsi" w:cstheme="minorHAnsi"/>
                <w:sz w:val="20"/>
                <w:szCs w:val="20"/>
              </w:rPr>
              <w:t>.5</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6435D7BD" w14:textId="0F14FEAD" w:rsidR="0017294A" w:rsidRPr="00184027" w:rsidRDefault="0055377E"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2</w:t>
            </w:r>
            <w:r w:rsidR="0017294A" w:rsidRPr="00184027">
              <w:rPr>
                <w:rFonts w:asciiTheme="minorHAnsi" w:hAnsiTheme="minorHAnsi" w:cstheme="minorHAnsi"/>
                <w:sz w:val="20"/>
                <w:szCs w:val="20"/>
              </w:rPr>
              <w:t>.0</w:t>
            </w:r>
          </w:p>
        </w:tc>
        <w:tc>
          <w:tcPr>
            <w:tcW w:w="992" w:type="dxa"/>
            <w:tcBorders>
              <w:left w:val="nil"/>
              <w:bottom w:val="single" w:sz="4" w:space="0" w:color="auto"/>
              <w:right w:val="single" w:sz="4" w:space="0" w:color="auto"/>
            </w:tcBorders>
            <w:shd w:val="clear" w:color="auto" w:fill="auto"/>
            <w:vAlign w:val="bottom"/>
          </w:tcPr>
          <w:p w14:paraId="00A25B82" w14:textId="268C2A51"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-1.0</w:t>
            </w:r>
          </w:p>
        </w:tc>
        <w:tc>
          <w:tcPr>
            <w:tcW w:w="1276" w:type="dxa"/>
            <w:shd w:val="clear" w:color="auto" w:fill="B8CCE4" w:themeFill="accent1" w:themeFillTint="66"/>
            <w:vAlign w:val="bottom"/>
          </w:tcPr>
          <w:p w14:paraId="7FF8A12E" w14:textId="783095CE"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1.5</w:t>
            </w:r>
          </w:p>
        </w:tc>
      </w:tr>
      <w:tr w:rsidR="0017294A" w:rsidRPr="00184027" w14:paraId="07491309" w14:textId="77777777" w:rsidTr="0017294A">
        <w:tc>
          <w:tcPr>
            <w:tcW w:w="6374" w:type="dxa"/>
            <w:tcBorders>
              <w:bottom w:val="single" w:sz="4" w:space="0" w:color="auto"/>
            </w:tcBorders>
            <w:vAlign w:val="bottom"/>
          </w:tcPr>
          <w:p w14:paraId="12208190" w14:textId="1A41BFD5" w:rsidR="0017294A" w:rsidRPr="00184027" w:rsidRDefault="0017294A" w:rsidP="0017294A">
            <w:pPr>
              <w:bidi w:val="0"/>
              <w:rPr>
                <w:rFonts w:asciiTheme="minorHAnsi" w:hAnsiTheme="minorHAnsi" w:cstheme="minorHAnsi"/>
                <w:color w:val="FF0000"/>
                <w:sz w:val="20"/>
                <w:szCs w:val="20"/>
              </w:rPr>
            </w:pPr>
            <w:r w:rsidRPr="00184027">
              <w:rPr>
                <w:rFonts w:asciiTheme="minorHAnsi" w:hAnsiTheme="minorHAnsi" w:cstheme="minorHAnsi"/>
                <w:sz w:val="20"/>
                <w:szCs w:val="20"/>
              </w:rPr>
              <w:t>Exports (excl. diamonds and startups)</w:t>
            </w:r>
          </w:p>
        </w:tc>
        <w:tc>
          <w:tcPr>
            <w:tcW w:w="1134" w:type="dxa"/>
            <w:tcBorders>
              <w:left w:val="single" w:sz="4" w:space="0" w:color="auto"/>
              <w:bottom w:val="single" w:sz="4" w:space="0" w:color="auto"/>
              <w:right w:val="single" w:sz="4" w:space="0" w:color="auto"/>
            </w:tcBorders>
            <w:shd w:val="clear" w:color="auto" w:fill="auto"/>
            <w:vAlign w:val="bottom"/>
          </w:tcPr>
          <w:p w14:paraId="0417247C" w14:textId="159C942D"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4.0</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06DF4F9A" w14:textId="18EFBF08"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1.5</w:t>
            </w:r>
          </w:p>
        </w:tc>
        <w:tc>
          <w:tcPr>
            <w:tcW w:w="992" w:type="dxa"/>
            <w:tcBorders>
              <w:left w:val="nil"/>
              <w:bottom w:val="single" w:sz="4" w:space="0" w:color="auto"/>
              <w:right w:val="single" w:sz="4" w:space="0" w:color="auto"/>
            </w:tcBorders>
            <w:shd w:val="clear" w:color="auto" w:fill="auto"/>
            <w:vAlign w:val="bottom"/>
          </w:tcPr>
          <w:p w14:paraId="3FFD78A9" w14:textId="476BA4C2"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3.0</w:t>
            </w:r>
          </w:p>
        </w:tc>
        <w:tc>
          <w:tcPr>
            <w:tcW w:w="1276" w:type="dxa"/>
            <w:shd w:val="clear" w:color="auto" w:fill="B8CCE4" w:themeFill="accent1" w:themeFillTint="66"/>
            <w:vAlign w:val="bottom"/>
          </w:tcPr>
          <w:p w14:paraId="0A58AF48" w14:textId="54B8A8DE"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0.5</w:t>
            </w:r>
          </w:p>
        </w:tc>
      </w:tr>
      <w:tr w:rsidR="0017294A" w:rsidRPr="00184027" w14:paraId="1AF5A3D7" w14:textId="77777777" w:rsidTr="0017294A">
        <w:tc>
          <w:tcPr>
            <w:tcW w:w="6374" w:type="dxa"/>
            <w:tcBorders>
              <w:bottom w:val="nil"/>
            </w:tcBorders>
            <w:vAlign w:val="bottom"/>
          </w:tcPr>
          <w:p w14:paraId="5B257292" w14:textId="67B225EA"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Civilian imports (excl. diamonds, ships, and aircraft)</w:t>
            </w:r>
          </w:p>
        </w:tc>
        <w:tc>
          <w:tcPr>
            <w:tcW w:w="1134" w:type="dxa"/>
            <w:tcBorders>
              <w:left w:val="single" w:sz="4" w:space="0" w:color="auto"/>
              <w:bottom w:val="nil"/>
              <w:right w:val="single" w:sz="4" w:space="0" w:color="auto"/>
            </w:tcBorders>
            <w:shd w:val="clear" w:color="auto" w:fill="auto"/>
            <w:vAlign w:val="bottom"/>
          </w:tcPr>
          <w:p w14:paraId="46A92541" w14:textId="5ADDF1E3"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8.0</w:t>
            </w:r>
          </w:p>
        </w:tc>
        <w:tc>
          <w:tcPr>
            <w:tcW w:w="1276" w:type="dxa"/>
            <w:tcBorders>
              <w:left w:val="single" w:sz="4" w:space="0" w:color="auto"/>
              <w:bottom w:val="single" w:sz="4" w:space="0" w:color="auto"/>
              <w:right w:val="single" w:sz="4" w:space="0" w:color="auto"/>
            </w:tcBorders>
            <w:shd w:val="clear" w:color="auto" w:fill="C6D9F1" w:themeFill="text2" w:themeFillTint="33"/>
            <w:vAlign w:val="bottom"/>
          </w:tcPr>
          <w:p w14:paraId="6206FCC3" w14:textId="0F96A212"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-4.5</w:t>
            </w:r>
          </w:p>
        </w:tc>
        <w:tc>
          <w:tcPr>
            <w:tcW w:w="992" w:type="dxa"/>
            <w:tcBorders>
              <w:left w:val="nil"/>
              <w:bottom w:val="single" w:sz="4" w:space="0" w:color="auto"/>
              <w:right w:val="single" w:sz="4" w:space="0" w:color="auto"/>
            </w:tcBorders>
            <w:shd w:val="clear" w:color="auto" w:fill="auto"/>
            <w:vAlign w:val="bottom"/>
          </w:tcPr>
          <w:p w14:paraId="411BAFFD" w14:textId="72622DE0"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8.0</w:t>
            </w:r>
          </w:p>
        </w:tc>
        <w:tc>
          <w:tcPr>
            <w:tcW w:w="1276" w:type="dxa"/>
            <w:shd w:val="clear" w:color="auto" w:fill="B8CCE4" w:themeFill="accent1" w:themeFillTint="66"/>
            <w:vAlign w:val="bottom"/>
          </w:tcPr>
          <w:p w14:paraId="2406263C" w14:textId="15CC0103"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0.5</w:t>
            </w:r>
          </w:p>
        </w:tc>
      </w:tr>
      <w:tr w:rsidR="0017294A" w:rsidRPr="00184027" w14:paraId="303EECCA" w14:textId="77777777" w:rsidTr="0017294A">
        <w:tc>
          <w:tcPr>
            <w:tcW w:w="6374" w:type="dxa"/>
            <w:tcBorders>
              <w:top w:val="single" w:sz="4" w:space="0" w:color="auto"/>
              <w:bottom w:val="single" w:sz="4" w:space="0" w:color="auto"/>
            </w:tcBorders>
            <w:vAlign w:val="bottom"/>
          </w:tcPr>
          <w:p w14:paraId="4900037A" w14:textId="798224C7"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Broad unemployment rate (average for the year, ages 25–64)</w:t>
            </w:r>
            <w:r w:rsidRPr="00184027">
              <w:rPr>
                <w:rFonts w:asciiTheme="minorHAnsi" w:hAnsiTheme="minorHAnsi" w:cstheme="minorHAnsi"/>
                <w:sz w:val="20"/>
                <w:szCs w:val="20"/>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24AEB" w14:textId="1BE801F4"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2.9</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50ECEB" w14:textId="0939A4A0"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69DBB26" w14:textId="68FB0D9D"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3.3</w:t>
            </w:r>
          </w:p>
        </w:tc>
        <w:tc>
          <w:tcPr>
            <w:tcW w:w="1276" w:type="dxa"/>
            <w:shd w:val="clear" w:color="auto" w:fill="B8CCE4" w:themeFill="accent1" w:themeFillTint="66"/>
            <w:vAlign w:val="center"/>
          </w:tcPr>
          <w:p w14:paraId="413BDA9F" w14:textId="78DACDF5"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0.1</w:t>
            </w:r>
          </w:p>
        </w:tc>
      </w:tr>
      <w:tr w:rsidR="0017294A" w:rsidRPr="00184027" w14:paraId="3D13536B" w14:textId="77777777" w:rsidTr="0017294A">
        <w:tc>
          <w:tcPr>
            <w:tcW w:w="6374" w:type="dxa"/>
            <w:tcBorders>
              <w:top w:val="single" w:sz="4" w:space="0" w:color="auto"/>
              <w:bottom w:val="single" w:sz="4" w:space="0" w:color="auto"/>
            </w:tcBorders>
            <w:vAlign w:val="bottom"/>
          </w:tcPr>
          <w:p w14:paraId="48959B8B" w14:textId="010C6369"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Adjusted employment rate (average for the year, ages 25–64)</w:t>
            </w:r>
            <w:r w:rsidRPr="00184027">
              <w:rPr>
                <w:rFonts w:asciiTheme="minorHAnsi" w:hAnsiTheme="minorHAnsi" w:cstheme="minorHAnsi"/>
                <w:sz w:val="20"/>
                <w:szCs w:val="20"/>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E7D0D5F" w14:textId="3FAC6E46"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78.6</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76C23E" w14:textId="349BBD73"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bottom"/>
          </w:tcPr>
          <w:p w14:paraId="7D0677FF" w14:textId="0DE09058" w:rsidR="0017294A" w:rsidRPr="00184027" w:rsidRDefault="0017294A" w:rsidP="00176E52">
            <w:pPr>
              <w:bidi w:val="0"/>
              <w:jc w:val="center"/>
              <w:rPr>
                <w:rFonts w:asciiTheme="minorHAnsi" w:hAnsiTheme="minorHAnsi" w:cstheme="minorHAnsi"/>
                <w:sz w:val="20"/>
                <w:szCs w:val="20"/>
              </w:rPr>
            </w:pPr>
            <w:r w:rsidRPr="00184027">
              <w:rPr>
                <w:rFonts w:asciiTheme="minorHAnsi" w:hAnsiTheme="minorHAnsi" w:cstheme="minorHAnsi"/>
                <w:sz w:val="20"/>
                <w:szCs w:val="20"/>
              </w:rPr>
              <w:t>78.</w:t>
            </w:r>
            <w:r w:rsidR="00176E52" w:rsidRPr="00184027">
              <w:rPr>
                <w:rFonts w:asciiTheme="minorHAnsi" w:hAnsiTheme="minorHAnsi" w:cstheme="minorHAnsi"/>
                <w:sz w:val="20"/>
                <w:szCs w:val="20"/>
              </w:rPr>
              <w:t>7</w:t>
            </w:r>
          </w:p>
        </w:tc>
        <w:tc>
          <w:tcPr>
            <w:tcW w:w="1276" w:type="dxa"/>
            <w:shd w:val="clear" w:color="auto" w:fill="B8CCE4" w:themeFill="accent1" w:themeFillTint="66"/>
            <w:vAlign w:val="bottom"/>
          </w:tcPr>
          <w:p w14:paraId="4E80C506" w14:textId="18415A2C" w:rsidR="0017294A" w:rsidRPr="00184027" w:rsidRDefault="0017294A" w:rsidP="00176E52">
            <w:pPr>
              <w:bidi w:val="0"/>
              <w:jc w:val="center"/>
              <w:rPr>
                <w:rFonts w:asciiTheme="minorHAnsi" w:hAnsiTheme="minorHAnsi" w:cstheme="minorHAnsi"/>
                <w:sz w:val="20"/>
                <w:szCs w:val="20"/>
              </w:rPr>
            </w:pPr>
            <w:r w:rsidRPr="00184027">
              <w:rPr>
                <w:rFonts w:asciiTheme="minorHAnsi" w:hAnsiTheme="minorHAnsi" w:cstheme="minorHAnsi"/>
                <w:sz w:val="20"/>
                <w:szCs w:val="20"/>
              </w:rPr>
              <w:t>0.</w:t>
            </w:r>
            <w:r w:rsidR="00176E52" w:rsidRPr="00184027">
              <w:rPr>
                <w:rFonts w:asciiTheme="minorHAnsi" w:hAnsiTheme="minorHAnsi" w:cstheme="minorHAnsi"/>
                <w:sz w:val="20"/>
                <w:szCs w:val="20"/>
              </w:rPr>
              <w:t>3</w:t>
            </w:r>
          </w:p>
        </w:tc>
      </w:tr>
      <w:tr w:rsidR="0017294A" w:rsidRPr="00184027" w14:paraId="74E989F8" w14:textId="77777777" w:rsidTr="0017294A">
        <w:tc>
          <w:tcPr>
            <w:tcW w:w="6374" w:type="dxa"/>
            <w:tcBorders>
              <w:top w:val="single" w:sz="4" w:space="0" w:color="auto"/>
              <w:bottom w:val="single" w:sz="4" w:space="0" w:color="auto"/>
            </w:tcBorders>
            <w:vAlign w:val="bottom"/>
          </w:tcPr>
          <w:p w14:paraId="6158174D" w14:textId="242482FA" w:rsidR="0017294A" w:rsidRPr="00184027" w:rsidRDefault="0017294A" w:rsidP="0017294A">
            <w:pPr>
              <w:bidi w:val="0"/>
              <w:rPr>
                <w:rFonts w:asciiTheme="minorHAnsi" w:hAnsiTheme="minorHAnsi" w:cstheme="minorHAnsi"/>
                <w:sz w:val="20"/>
                <w:szCs w:val="20"/>
                <w:rtl/>
              </w:rPr>
            </w:pPr>
            <w:r w:rsidRPr="00184027">
              <w:rPr>
                <w:rFonts w:asciiTheme="minorHAnsi" w:hAnsiTheme="minorHAnsi" w:cstheme="minorHAnsi"/>
                <w:sz w:val="20"/>
                <w:szCs w:val="20"/>
              </w:rPr>
              <w:t>Government deficit (percent of GDP)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B82BF31" w14:textId="70B24ECD"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4.9</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1ED6297" w14:textId="65729BFF"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0.7</w:t>
            </w:r>
          </w:p>
        </w:tc>
        <w:tc>
          <w:tcPr>
            <w:tcW w:w="992" w:type="dxa"/>
            <w:tcBorders>
              <w:top w:val="single" w:sz="4" w:space="0" w:color="auto"/>
              <w:left w:val="nil"/>
              <w:bottom w:val="single" w:sz="4" w:space="0" w:color="auto"/>
              <w:right w:val="single" w:sz="4" w:space="0" w:color="auto"/>
            </w:tcBorders>
            <w:shd w:val="clear" w:color="auto" w:fill="auto"/>
            <w:vAlign w:val="bottom"/>
          </w:tcPr>
          <w:p w14:paraId="7AEBFFA3" w14:textId="7E94F7CB" w:rsidR="0017294A" w:rsidRPr="00184027" w:rsidRDefault="0017294A" w:rsidP="0055377E">
            <w:pPr>
              <w:bidi w:val="0"/>
              <w:jc w:val="center"/>
              <w:rPr>
                <w:rFonts w:asciiTheme="minorHAnsi" w:hAnsiTheme="minorHAnsi" w:cstheme="minorHAnsi"/>
                <w:sz w:val="20"/>
                <w:szCs w:val="20"/>
              </w:rPr>
            </w:pPr>
            <w:r w:rsidRPr="00184027">
              <w:rPr>
                <w:rFonts w:asciiTheme="minorHAnsi" w:hAnsiTheme="minorHAnsi" w:cstheme="minorHAnsi"/>
                <w:sz w:val="20"/>
                <w:szCs w:val="20"/>
              </w:rPr>
              <w:t>4.</w:t>
            </w:r>
            <w:r w:rsidR="0055377E" w:rsidRPr="00184027">
              <w:rPr>
                <w:rFonts w:asciiTheme="minorHAnsi" w:hAnsiTheme="minorHAnsi" w:cstheme="minorHAnsi"/>
                <w:sz w:val="20"/>
                <w:szCs w:val="20"/>
              </w:rPr>
              <w:t>2</w:t>
            </w:r>
          </w:p>
        </w:tc>
        <w:tc>
          <w:tcPr>
            <w:tcW w:w="1276" w:type="dxa"/>
            <w:shd w:val="clear" w:color="auto" w:fill="B8CCE4" w:themeFill="accent1" w:themeFillTint="66"/>
            <w:vAlign w:val="bottom"/>
          </w:tcPr>
          <w:p w14:paraId="03FBFB6F" w14:textId="5205971B" w:rsidR="0017294A" w:rsidRPr="00184027" w:rsidRDefault="0017294A" w:rsidP="0055377E">
            <w:pPr>
              <w:bidi w:val="0"/>
              <w:jc w:val="center"/>
              <w:rPr>
                <w:rFonts w:asciiTheme="minorHAnsi" w:hAnsiTheme="minorHAnsi" w:cstheme="minorHAnsi"/>
                <w:sz w:val="20"/>
                <w:szCs w:val="20"/>
              </w:rPr>
            </w:pPr>
            <w:r w:rsidRPr="00184027">
              <w:rPr>
                <w:rFonts w:asciiTheme="minorHAnsi" w:hAnsiTheme="minorHAnsi" w:cstheme="minorHAnsi"/>
                <w:sz w:val="20"/>
                <w:szCs w:val="20"/>
              </w:rPr>
              <w:t>1.</w:t>
            </w:r>
            <w:r w:rsidR="0055377E" w:rsidRPr="00184027">
              <w:rPr>
                <w:rFonts w:asciiTheme="minorHAnsi" w:hAnsiTheme="minorHAnsi" w:cstheme="minorHAnsi"/>
                <w:sz w:val="20"/>
                <w:szCs w:val="20"/>
              </w:rPr>
              <w:t>3</w:t>
            </w:r>
          </w:p>
        </w:tc>
      </w:tr>
      <w:tr w:rsidR="0017294A" w:rsidRPr="00184027" w14:paraId="341237C0" w14:textId="77777777" w:rsidTr="0017294A">
        <w:tc>
          <w:tcPr>
            <w:tcW w:w="6374" w:type="dxa"/>
            <w:tcBorders>
              <w:top w:val="single" w:sz="4" w:space="0" w:color="auto"/>
              <w:bottom w:val="single" w:sz="4" w:space="0" w:color="auto"/>
            </w:tcBorders>
            <w:vAlign w:val="bottom"/>
          </w:tcPr>
          <w:p w14:paraId="5726B55C" w14:textId="7640957E"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Debt to GDP ratio (percent)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3087978" w14:textId="2D52B85B"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70</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28AB69" w14:textId="5E3AB7FB" w:rsidR="0017294A" w:rsidRPr="00184027" w:rsidRDefault="0017294A" w:rsidP="00A37930">
            <w:pPr>
              <w:bidi w:val="0"/>
              <w:jc w:val="center"/>
              <w:rPr>
                <w:rFonts w:asciiTheme="minorHAnsi" w:hAnsiTheme="minorHAnsi" w:cstheme="minorHAnsi"/>
                <w:sz w:val="20"/>
                <w:szCs w:val="20"/>
              </w:rPr>
            </w:pPr>
            <w:r w:rsidRPr="00184027">
              <w:rPr>
                <w:rFonts w:asciiTheme="minorHAnsi" w:hAnsiTheme="minorHAnsi" w:cstheme="minorHAnsi"/>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bottom"/>
          </w:tcPr>
          <w:p w14:paraId="6E44CB89" w14:textId="5681B24B"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71</w:t>
            </w:r>
          </w:p>
        </w:tc>
        <w:tc>
          <w:tcPr>
            <w:tcW w:w="1276" w:type="dxa"/>
            <w:shd w:val="clear" w:color="auto" w:fill="B8CCE4" w:themeFill="accent1" w:themeFillTint="66"/>
            <w:vAlign w:val="bottom"/>
          </w:tcPr>
          <w:p w14:paraId="43A88C11" w14:textId="6A6CC75B" w:rsidR="0017294A" w:rsidRPr="00184027" w:rsidRDefault="0017294A" w:rsidP="00A37930">
            <w:pPr>
              <w:bidi w:val="0"/>
              <w:jc w:val="center"/>
              <w:rPr>
                <w:rFonts w:asciiTheme="minorHAnsi" w:hAnsiTheme="minorHAnsi" w:cstheme="minorHAnsi"/>
                <w:sz w:val="20"/>
                <w:szCs w:val="20"/>
                <w:rtl/>
              </w:rPr>
            </w:pPr>
            <w:r w:rsidRPr="00184027">
              <w:rPr>
                <w:rFonts w:asciiTheme="minorHAnsi" w:hAnsiTheme="minorHAnsi" w:cstheme="minorHAnsi"/>
                <w:sz w:val="20"/>
                <w:szCs w:val="20"/>
              </w:rPr>
              <w:t>3</w:t>
            </w:r>
          </w:p>
        </w:tc>
      </w:tr>
      <w:tr w:rsidR="0017294A" w:rsidRPr="00184027" w14:paraId="017F4F0C" w14:textId="77777777" w:rsidTr="0017294A">
        <w:tc>
          <w:tcPr>
            <w:tcW w:w="6374" w:type="dxa"/>
            <w:tcBorders>
              <w:top w:val="single" w:sz="4" w:space="0" w:color="auto"/>
              <w:bottom w:val="single" w:sz="4" w:space="0" w:color="auto"/>
            </w:tcBorders>
            <w:vAlign w:val="bottom"/>
          </w:tcPr>
          <w:p w14:paraId="0434AAFF" w14:textId="55C45FC5" w:rsidR="0017294A" w:rsidRPr="00184027" w:rsidRDefault="0017294A" w:rsidP="0017294A">
            <w:pPr>
              <w:bidi w:val="0"/>
              <w:rPr>
                <w:rFonts w:asciiTheme="minorHAnsi" w:hAnsiTheme="minorHAnsi" w:cstheme="minorHAnsi"/>
                <w:sz w:val="20"/>
                <w:szCs w:val="20"/>
              </w:rPr>
            </w:pPr>
            <w:r w:rsidRPr="00184027">
              <w:rPr>
                <w:rFonts w:asciiTheme="minorHAnsi" w:hAnsiTheme="minorHAnsi" w:cstheme="minorHAnsi"/>
                <w:sz w:val="20"/>
                <w:szCs w:val="20"/>
              </w:rPr>
              <w:t>Inflation (percent)</w:t>
            </w:r>
            <w:r w:rsidRPr="00184027">
              <w:rPr>
                <w:rFonts w:asciiTheme="minorHAnsi" w:hAnsiTheme="minorHAnsi" w:cstheme="minorHAnsi"/>
                <w:sz w:val="20"/>
                <w:szCs w:val="20"/>
                <w:vertAlign w:val="superscript"/>
              </w:rPr>
              <w:t>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390B9E5" w14:textId="41921E42"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2.6</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2388E6A" w14:textId="564C9668"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bottom"/>
          </w:tcPr>
          <w:p w14:paraId="1EBC34AD" w14:textId="0B7DB1B4"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2.0</w:t>
            </w:r>
          </w:p>
        </w:tc>
        <w:tc>
          <w:tcPr>
            <w:tcW w:w="1276" w:type="dxa"/>
            <w:shd w:val="clear" w:color="auto" w:fill="B8CCE4" w:themeFill="accent1" w:themeFillTint="66"/>
            <w:vAlign w:val="bottom"/>
          </w:tcPr>
          <w:p w14:paraId="18F81D0E" w14:textId="23CAD897" w:rsidR="0017294A" w:rsidRPr="00184027" w:rsidRDefault="0017294A" w:rsidP="0017294A">
            <w:pPr>
              <w:bidi w:val="0"/>
              <w:jc w:val="center"/>
              <w:rPr>
                <w:rFonts w:asciiTheme="minorHAnsi" w:hAnsiTheme="minorHAnsi" w:cstheme="minorHAnsi"/>
                <w:sz w:val="20"/>
                <w:szCs w:val="20"/>
              </w:rPr>
            </w:pPr>
            <w:r w:rsidRPr="00184027">
              <w:rPr>
                <w:rFonts w:asciiTheme="minorHAnsi" w:hAnsiTheme="minorHAnsi" w:cstheme="minorHAnsi"/>
                <w:sz w:val="20"/>
                <w:szCs w:val="20"/>
              </w:rPr>
              <w:t>-0.2</w:t>
            </w:r>
          </w:p>
        </w:tc>
      </w:tr>
      <w:tr w:rsidR="00AE6BBB" w:rsidRPr="00184027" w14:paraId="4FC6244E" w14:textId="77777777" w:rsidTr="0017294A">
        <w:tc>
          <w:tcPr>
            <w:tcW w:w="11052" w:type="dxa"/>
            <w:gridSpan w:val="5"/>
            <w:tcBorders>
              <w:top w:val="single" w:sz="4" w:space="0" w:color="auto"/>
              <w:bottom w:val="single" w:sz="4" w:space="0" w:color="auto"/>
              <w:right w:val="single" w:sz="4" w:space="0" w:color="auto"/>
            </w:tcBorders>
            <w:vAlign w:val="bottom"/>
          </w:tcPr>
          <w:p w14:paraId="0C08323D" w14:textId="56D31FFA" w:rsidR="00AE6BBB" w:rsidRPr="00184027" w:rsidRDefault="00AE6BBB" w:rsidP="0017294A">
            <w:pPr>
              <w:bidi w:val="0"/>
              <w:rPr>
                <w:rFonts w:asciiTheme="minorHAnsi" w:hAnsiTheme="minorHAnsi" w:cstheme="minorHAnsi"/>
                <w:sz w:val="18"/>
                <w:szCs w:val="18"/>
              </w:rPr>
            </w:pPr>
            <w:proofErr w:type="spellStart"/>
            <w:proofErr w:type="gramStart"/>
            <w:r w:rsidRPr="00184027">
              <w:rPr>
                <w:rFonts w:asciiTheme="minorHAnsi" w:hAnsiTheme="minorHAnsi" w:cstheme="minorHAnsi"/>
                <w:sz w:val="18"/>
                <w:szCs w:val="18"/>
                <w:vertAlign w:val="superscript"/>
              </w:rPr>
              <w:t>a</w:t>
            </w:r>
            <w:proofErr w:type="spellEnd"/>
            <w:proofErr w:type="gramEnd"/>
            <w:r w:rsidRPr="00184027">
              <w:rPr>
                <w:rFonts w:asciiTheme="minorHAnsi" w:hAnsiTheme="minorHAnsi" w:cstheme="minorHAnsi"/>
                <w:sz w:val="18"/>
                <w:szCs w:val="18"/>
                <w:vertAlign w:val="superscript"/>
              </w:rPr>
              <w:t xml:space="preserve"> </w:t>
            </w:r>
            <w:r w:rsidRPr="00184027">
              <w:rPr>
                <w:rFonts w:asciiTheme="minorHAnsi" w:hAnsiTheme="minorHAnsi" w:cstheme="minorHAnsi"/>
                <w:sz w:val="18"/>
                <w:szCs w:val="18"/>
              </w:rPr>
              <w:t>The forecasts of the National Accounts components are rounded to the nearest half percentage point</w:t>
            </w:r>
            <w:r w:rsidR="00A13295" w:rsidRPr="00184027">
              <w:rPr>
                <w:rFonts w:asciiTheme="minorHAnsi" w:hAnsiTheme="minorHAnsi" w:cstheme="minorHAnsi"/>
                <w:sz w:val="18"/>
                <w:szCs w:val="18"/>
              </w:rPr>
              <w:t xml:space="preserve"> and the forecasts of public debt are rounded to the nearest percentage point</w:t>
            </w:r>
            <w:r w:rsidRPr="00184027">
              <w:rPr>
                <w:rFonts w:asciiTheme="minorHAnsi" w:hAnsiTheme="minorHAnsi" w:cstheme="minorHAnsi"/>
                <w:sz w:val="18"/>
                <w:szCs w:val="18"/>
              </w:rPr>
              <w:t>.</w:t>
            </w:r>
          </w:p>
          <w:p w14:paraId="317C0E73" w14:textId="162D03C0" w:rsidR="00AE6BBB" w:rsidRPr="00184027" w:rsidRDefault="00AE6BBB" w:rsidP="0017294A">
            <w:pPr>
              <w:bidi w:val="0"/>
              <w:rPr>
                <w:rFonts w:asciiTheme="minorHAnsi" w:hAnsiTheme="minorHAnsi" w:cstheme="minorHAnsi"/>
                <w:sz w:val="18"/>
                <w:szCs w:val="18"/>
              </w:rPr>
            </w:pPr>
            <w:proofErr w:type="gramStart"/>
            <w:r w:rsidRPr="00184027">
              <w:rPr>
                <w:rFonts w:asciiTheme="minorHAnsi" w:hAnsiTheme="minorHAnsi" w:cstheme="minorHAnsi"/>
                <w:sz w:val="18"/>
                <w:szCs w:val="18"/>
                <w:vertAlign w:val="superscript"/>
              </w:rPr>
              <w:t>b</w:t>
            </w:r>
            <w:proofErr w:type="gramEnd"/>
            <w:r w:rsidRPr="00184027">
              <w:rPr>
                <w:rFonts w:asciiTheme="minorHAnsi" w:hAnsiTheme="minorHAnsi" w:cstheme="minorHAnsi"/>
                <w:sz w:val="18"/>
                <w:szCs w:val="18"/>
              </w:rPr>
              <w:t xml:space="preserve"> Annual average. According to the Central Bureau of Statistics definition, the broad unemployment rate includes the unemployed under the normal definition (someone who has not worked, wanted to work, was available to work, and searched for work), as well as employees who were temporarily absent from their jobs for economic reasons (including furloughed workers).</w:t>
            </w:r>
            <w:r w:rsidR="001871FF" w:rsidRPr="00184027">
              <w:rPr>
                <w:rFonts w:asciiTheme="minorHAnsi" w:hAnsiTheme="minorHAnsi" w:cstheme="minorHAnsi"/>
                <w:sz w:val="18"/>
                <w:szCs w:val="18"/>
              </w:rPr>
              <w:t xml:space="preserve"> </w:t>
            </w:r>
            <w:r w:rsidRPr="00184027">
              <w:rPr>
                <w:rFonts w:asciiTheme="minorHAnsi" w:hAnsiTheme="minorHAnsi" w:cstheme="minorHAnsi"/>
                <w:sz w:val="18"/>
                <w:szCs w:val="18"/>
              </w:rPr>
              <w:t>Accordingly, the adjusted employment rate does not include those temporarily absent from their jobs for economic reasons.</w:t>
            </w:r>
          </w:p>
          <w:p w14:paraId="7F433145" w14:textId="77777777" w:rsidR="00AE6BBB" w:rsidRPr="00184027" w:rsidRDefault="00AE6BBB" w:rsidP="0017294A">
            <w:pPr>
              <w:bidi w:val="0"/>
              <w:rPr>
                <w:rFonts w:asciiTheme="minorHAnsi" w:hAnsiTheme="minorHAnsi" w:cstheme="minorHAnsi"/>
                <w:sz w:val="18"/>
                <w:szCs w:val="18"/>
                <w:vertAlign w:val="superscript"/>
              </w:rPr>
            </w:pPr>
            <w:proofErr w:type="gramStart"/>
            <w:r w:rsidRPr="00184027">
              <w:rPr>
                <w:rFonts w:asciiTheme="minorHAnsi" w:hAnsiTheme="minorHAnsi" w:cstheme="minorHAnsi"/>
                <w:sz w:val="18"/>
                <w:szCs w:val="18"/>
                <w:vertAlign w:val="superscript"/>
              </w:rPr>
              <w:t>c</w:t>
            </w:r>
            <w:proofErr w:type="gramEnd"/>
            <w:r w:rsidRPr="00184027">
              <w:rPr>
                <w:rFonts w:asciiTheme="minorHAnsi" w:hAnsiTheme="minorHAnsi" w:cstheme="minorHAnsi"/>
                <w:sz w:val="18"/>
                <w:szCs w:val="18"/>
              </w:rPr>
              <w:t xml:space="preserve"> The average of the Consumer Price Index in the last quarter of the year compared with the average in the last quarter of the previous year.</w:t>
            </w:r>
          </w:p>
        </w:tc>
      </w:tr>
    </w:tbl>
    <w:p w14:paraId="692359A2" w14:textId="77777777" w:rsidR="00AE6BBB" w:rsidRPr="00184027" w:rsidRDefault="00AE6BBB" w:rsidP="00AE6BBB">
      <w:pPr>
        <w:bidi w:val="0"/>
        <w:jc w:val="both"/>
        <w:rPr>
          <w:rFonts w:asciiTheme="minorHAnsi" w:hAnsiTheme="minorHAnsi" w:cstheme="minorHAnsi"/>
        </w:rPr>
      </w:pPr>
    </w:p>
    <w:p w14:paraId="7E508D40" w14:textId="77777777" w:rsidR="00D52059" w:rsidRPr="00184027" w:rsidRDefault="00D52059" w:rsidP="00D52059">
      <w:pPr>
        <w:bidi w:val="0"/>
        <w:jc w:val="both"/>
        <w:rPr>
          <w:rFonts w:asciiTheme="minorHAnsi" w:hAnsiTheme="minorHAnsi" w:cstheme="minorHAnsi"/>
        </w:rPr>
      </w:pPr>
    </w:p>
    <w:p w14:paraId="26E94EE2" w14:textId="77777777" w:rsidR="00A21D01" w:rsidRPr="00184027" w:rsidRDefault="00A21D01" w:rsidP="0087184F">
      <w:pPr>
        <w:numPr>
          <w:ilvl w:val="0"/>
          <w:numId w:val="9"/>
        </w:numPr>
        <w:bidi w:val="0"/>
        <w:spacing w:line="360" w:lineRule="auto"/>
        <w:ind w:left="357" w:hanging="357"/>
        <w:jc w:val="both"/>
        <w:rPr>
          <w:rFonts w:asciiTheme="minorHAnsi" w:hAnsiTheme="minorHAnsi" w:cstheme="minorHAnsi"/>
          <w:b/>
          <w:bCs/>
        </w:rPr>
      </w:pPr>
      <w:r w:rsidRPr="00184027">
        <w:rPr>
          <w:rFonts w:asciiTheme="minorHAnsi" w:hAnsiTheme="minorHAnsi" w:cstheme="minorHAnsi"/>
          <w:b/>
          <w:bCs/>
        </w:rPr>
        <w:t>Real activity in Israel</w:t>
      </w:r>
    </w:p>
    <w:p w14:paraId="27FA3B7F" w14:textId="74EBFD34" w:rsidR="002F4ECB" w:rsidRPr="00184027" w:rsidRDefault="00323260" w:rsidP="002765D9">
      <w:pPr>
        <w:bidi w:val="0"/>
        <w:jc w:val="both"/>
        <w:rPr>
          <w:rFonts w:asciiTheme="minorHAnsi" w:hAnsiTheme="minorHAnsi" w:cstheme="minorHAnsi"/>
        </w:rPr>
      </w:pPr>
      <w:r w:rsidRPr="00184027">
        <w:rPr>
          <w:rFonts w:asciiTheme="minorHAnsi" w:hAnsiTheme="minorHAnsi" w:cstheme="minorHAnsi"/>
          <w:b/>
          <w:bCs/>
        </w:rPr>
        <w:t xml:space="preserve">GDP </w:t>
      </w:r>
      <w:r w:rsidR="00AE6BBB" w:rsidRPr="00184027">
        <w:rPr>
          <w:rFonts w:asciiTheme="minorHAnsi" w:hAnsiTheme="minorHAnsi" w:cstheme="minorHAnsi"/>
          <w:b/>
          <w:bCs/>
        </w:rPr>
        <w:t>is expected to g</w:t>
      </w:r>
      <w:r w:rsidRPr="00184027">
        <w:rPr>
          <w:rFonts w:asciiTheme="minorHAnsi" w:hAnsiTheme="minorHAnsi" w:cstheme="minorHAnsi"/>
          <w:b/>
          <w:bCs/>
        </w:rPr>
        <w:t>r</w:t>
      </w:r>
      <w:r w:rsidR="00AE6BBB" w:rsidRPr="00184027">
        <w:rPr>
          <w:rFonts w:asciiTheme="minorHAnsi" w:hAnsiTheme="minorHAnsi" w:cstheme="minorHAnsi"/>
          <w:b/>
          <w:bCs/>
        </w:rPr>
        <w:t>o</w:t>
      </w:r>
      <w:r w:rsidRPr="00184027">
        <w:rPr>
          <w:rFonts w:asciiTheme="minorHAnsi" w:hAnsiTheme="minorHAnsi" w:cstheme="minorHAnsi"/>
          <w:b/>
          <w:bCs/>
        </w:rPr>
        <w:t xml:space="preserve">w by </w:t>
      </w:r>
      <w:r w:rsidR="00AE6BBB" w:rsidRPr="00184027">
        <w:rPr>
          <w:rFonts w:asciiTheme="minorHAnsi" w:hAnsiTheme="minorHAnsi" w:cstheme="minorHAnsi"/>
          <w:b/>
          <w:bCs/>
        </w:rPr>
        <w:t>3.</w:t>
      </w:r>
      <w:r w:rsidR="0055377E" w:rsidRPr="00184027">
        <w:rPr>
          <w:rFonts w:asciiTheme="minorHAnsi" w:hAnsiTheme="minorHAnsi" w:cstheme="minorHAnsi"/>
          <w:b/>
          <w:bCs/>
        </w:rPr>
        <w:t>3 percent</w:t>
      </w:r>
      <w:r w:rsidR="00AE6BBB" w:rsidRPr="00184027">
        <w:rPr>
          <w:rFonts w:asciiTheme="minorHAnsi" w:hAnsiTheme="minorHAnsi" w:cstheme="minorHAnsi"/>
          <w:b/>
          <w:bCs/>
        </w:rPr>
        <w:t xml:space="preserve"> in</w:t>
      </w:r>
      <w:r w:rsidR="000003FE" w:rsidRPr="00184027">
        <w:rPr>
          <w:rFonts w:asciiTheme="minorHAnsi" w:hAnsiTheme="minorHAnsi" w:cstheme="minorHAnsi"/>
          <w:b/>
          <w:bCs/>
        </w:rPr>
        <w:t xml:space="preserve"> 2025</w:t>
      </w:r>
      <w:r w:rsidR="00AE6BBB" w:rsidRPr="00184027">
        <w:rPr>
          <w:rFonts w:asciiTheme="minorHAnsi" w:hAnsiTheme="minorHAnsi" w:cstheme="minorHAnsi"/>
          <w:b/>
          <w:bCs/>
        </w:rPr>
        <w:t xml:space="preserve"> and by 4.</w:t>
      </w:r>
      <w:r w:rsidR="0055377E" w:rsidRPr="00184027">
        <w:rPr>
          <w:rFonts w:asciiTheme="minorHAnsi" w:hAnsiTheme="minorHAnsi" w:cstheme="minorHAnsi"/>
          <w:b/>
          <w:bCs/>
        </w:rPr>
        <w:t>6</w:t>
      </w:r>
      <w:r w:rsidR="00AE6BBB" w:rsidRPr="00184027">
        <w:rPr>
          <w:rFonts w:asciiTheme="minorHAnsi" w:hAnsiTheme="minorHAnsi" w:cstheme="minorHAnsi"/>
          <w:b/>
          <w:bCs/>
        </w:rPr>
        <w:t xml:space="preserve"> percent in 2026 </w:t>
      </w:r>
      <w:r w:rsidR="00AE6BBB" w:rsidRPr="00184027">
        <w:rPr>
          <w:rFonts w:asciiTheme="minorHAnsi" w:hAnsiTheme="minorHAnsi" w:cstheme="minorHAnsi"/>
        </w:rPr>
        <w:t>(Table 1)</w:t>
      </w:r>
      <w:r w:rsidR="00226664" w:rsidRPr="00184027">
        <w:rPr>
          <w:rFonts w:asciiTheme="minorHAnsi" w:hAnsiTheme="minorHAnsi" w:cstheme="minorHAnsi"/>
        </w:rPr>
        <w:t>.</w:t>
      </w:r>
      <w:r w:rsidR="00991A64" w:rsidRPr="00184027">
        <w:rPr>
          <w:rFonts w:asciiTheme="minorHAnsi" w:hAnsiTheme="minorHAnsi" w:cstheme="minorHAnsi"/>
        </w:rPr>
        <w:t xml:space="preserve"> </w:t>
      </w:r>
      <w:r w:rsidR="00F1274A" w:rsidRPr="00184027">
        <w:rPr>
          <w:rFonts w:asciiTheme="minorHAnsi" w:hAnsiTheme="minorHAnsi" w:cstheme="minorHAnsi"/>
        </w:rPr>
        <w:t>The forecast</w:t>
      </w:r>
      <w:r w:rsidR="0055377E" w:rsidRPr="00184027">
        <w:rPr>
          <w:rFonts w:asciiTheme="minorHAnsi" w:hAnsiTheme="minorHAnsi" w:cstheme="minorHAnsi"/>
        </w:rPr>
        <w:t>’s baseline scenario</w:t>
      </w:r>
      <w:r w:rsidR="00F1274A" w:rsidRPr="00184027">
        <w:rPr>
          <w:rFonts w:asciiTheme="minorHAnsi" w:hAnsiTheme="minorHAnsi" w:cstheme="minorHAnsi"/>
        </w:rPr>
        <w:t xml:space="preserve"> </w:t>
      </w:r>
      <w:r w:rsidR="0055377E" w:rsidRPr="00184027">
        <w:rPr>
          <w:rFonts w:asciiTheme="minorHAnsi" w:hAnsiTheme="minorHAnsi" w:cstheme="minorHAnsi"/>
        </w:rPr>
        <w:t>was formulated under</w:t>
      </w:r>
      <w:r w:rsidR="00F1274A" w:rsidRPr="00184027">
        <w:rPr>
          <w:rFonts w:asciiTheme="minorHAnsi" w:hAnsiTheme="minorHAnsi" w:cstheme="minorHAnsi"/>
        </w:rPr>
        <w:t xml:space="preserve"> the assumption that</w:t>
      </w:r>
      <w:r w:rsidR="0055377E" w:rsidRPr="00184027">
        <w:rPr>
          <w:rFonts w:asciiTheme="minorHAnsi" w:hAnsiTheme="minorHAnsi" w:cstheme="minorHAnsi"/>
        </w:rPr>
        <w:t xml:space="preserve"> an agreement will be reached in the coming </w:t>
      </w:r>
      <w:r w:rsidR="00410812" w:rsidRPr="00184027">
        <w:rPr>
          <w:rFonts w:asciiTheme="minorHAnsi" w:hAnsiTheme="minorHAnsi" w:cstheme="minorHAnsi"/>
        </w:rPr>
        <w:t>period</w:t>
      </w:r>
      <w:r w:rsidR="0055377E" w:rsidRPr="00184027">
        <w:rPr>
          <w:rFonts w:asciiTheme="minorHAnsi" w:hAnsiTheme="minorHAnsi" w:cstheme="minorHAnsi"/>
        </w:rPr>
        <w:t xml:space="preserve"> on a ceasefire in Gaza, and that</w:t>
      </w:r>
      <w:r w:rsidR="00410812" w:rsidRPr="00184027">
        <w:rPr>
          <w:rFonts w:asciiTheme="minorHAnsi" w:hAnsiTheme="minorHAnsi" w:cstheme="minorHAnsi"/>
        </w:rPr>
        <w:t xml:space="preserve"> thereafter, </w:t>
      </w:r>
      <w:r w:rsidR="00817D4A" w:rsidRPr="00184027">
        <w:rPr>
          <w:rFonts w:asciiTheme="minorHAnsi" w:hAnsiTheme="minorHAnsi" w:cstheme="minorHAnsi"/>
        </w:rPr>
        <w:t>there will be no intense fighting in Gaza</w:t>
      </w:r>
      <w:r w:rsidR="00226664" w:rsidRPr="00184027">
        <w:rPr>
          <w:rFonts w:asciiTheme="minorHAnsi" w:hAnsiTheme="minorHAnsi" w:cstheme="minorHAnsi"/>
        </w:rPr>
        <w:t>.</w:t>
      </w:r>
      <w:r w:rsidR="001871FF" w:rsidRPr="00184027">
        <w:rPr>
          <w:rFonts w:asciiTheme="minorHAnsi" w:hAnsiTheme="minorHAnsi" w:cstheme="minorHAnsi"/>
        </w:rPr>
        <w:t xml:space="preserve"> </w:t>
      </w:r>
      <w:r w:rsidR="0055377E" w:rsidRPr="00184027">
        <w:rPr>
          <w:rFonts w:asciiTheme="minorHAnsi" w:hAnsiTheme="minorHAnsi" w:cstheme="minorHAnsi"/>
        </w:rPr>
        <w:t>The forecast also assumes that the ceasefire with Iran will be maintained.</w:t>
      </w:r>
      <w:r w:rsidR="0017294A" w:rsidRPr="00184027">
        <w:rPr>
          <w:rFonts w:asciiTheme="minorHAnsi" w:hAnsiTheme="minorHAnsi" w:cstheme="minorHAnsi"/>
        </w:rPr>
        <w:t xml:space="preserve"> In our assessment, the direct </w:t>
      </w:r>
      <w:r w:rsidR="002765D9" w:rsidRPr="00184027">
        <w:rPr>
          <w:rFonts w:asciiTheme="minorHAnsi" w:hAnsiTheme="minorHAnsi" w:cstheme="minorHAnsi"/>
        </w:rPr>
        <w:t xml:space="preserve">economic </w:t>
      </w:r>
      <w:r w:rsidR="0017294A" w:rsidRPr="00184027">
        <w:rPr>
          <w:rFonts w:asciiTheme="minorHAnsi" w:hAnsiTheme="minorHAnsi" w:cstheme="minorHAnsi"/>
        </w:rPr>
        <w:t xml:space="preserve">impact of Operation Rising Lion, which </w:t>
      </w:r>
      <w:r w:rsidR="0017294A" w:rsidRPr="00184027">
        <w:rPr>
          <w:rFonts w:asciiTheme="minorHAnsi" w:hAnsiTheme="minorHAnsi" w:cstheme="minorHAnsi"/>
        </w:rPr>
        <w:lastRenderedPageBreak/>
        <w:t>lasted 12 days, was exhausted in the direct negative impact during the period of the Operation.</w:t>
      </w:r>
      <w:r w:rsidR="001871FF" w:rsidRPr="00184027">
        <w:rPr>
          <w:rFonts w:asciiTheme="minorHAnsi" w:hAnsiTheme="minorHAnsi" w:cstheme="minorHAnsi"/>
        </w:rPr>
        <w:t xml:space="preserve"> </w:t>
      </w:r>
      <w:r w:rsidR="0017294A" w:rsidRPr="00184027">
        <w:rPr>
          <w:rFonts w:asciiTheme="minorHAnsi" w:hAnsiTheme="minorHAnsi" w:cstheme="minorHAnsi"/>
        </w:rPr>
        <w:t>However, depending on geopolitical developments, there may be long-term effects on the economy—</w:t>
      </w:r>
      <w:r w:rsidR="00EF27B8" w:rsidRPr="00184027">
        <w:rPr>
          <w:rFonts w:asciiTheme="minorHAnsi" w:hAnsiTheme="minorHAnsi" w:cstheme="minorHAnsi"/>
        </w:rPr>
        <w:t>on the risk premium and investments in the economy, on demand for Israel’s exports, on potential growth, and more.</w:t>
      </w:r>
      <w:r w:rsidR="001871FF" w:rsidRPr="00184027">
        <w:rPr>
          <w:rFonts w:asciiTheme="minorHAnsi" w:hAnsiTheme="minorHAnsi" w:cstheme="minorHAnsi"/>
        </w:rPr>
        <w:t xml:space="preserve"> </w:t>
      </w:r>
      <w:r w:rsidR="00EF27B8" w:rsidRPr="00184027">
        <w:rPr>
          <w:rFonts w:asciiTheme="minorHAnsi" w:hAnsiTheme="minorHAnsi" w:cstheme="minorHAnsi"/>
        </w:rPr>
        <w:t xml:space="preserve">The appreciation of the shekel and the increase in share prices on the Tel Aviv Stock Exchange, </w:t>
      </w:r>
      <w:r w:rsidR="0055377E" w:rsidRPr="00184027">
        <w:rPr>
          <w:rFonts w:asciiTheme="minorHAnsi" w:hAnsiTheme="minorHAnsi" w:cstheme="minorHAnsi"/>
        </w:rPr>
        <w:t>both</w:t>
      </w:r>
      <w:r w:rsidR="00EF27B8" w:rsidRPr="00184027">
        <w:rPr>
          <w:rFonts w:asciiTheme="minorHAnsi" w:hAnsiTheme="minorHAnsi" w:cstheme="minorHAnsi"/>
        </w:rPr>
        <w:t xml:space="preserve"> before the ceasefire between Israel and Iran took effect</w:t>
      </w:r>
      <w:r w:rsidR="0055377E" w:rsidRPr="00184027">
        <w:rPr>
          <w:rFonts w:asciiTheme="minorHAnsi" w:hAnsiTheme="minorHAnsi" w:cstheme="minorHAnsi"/>
        </w:rPr>
        <w:t xml:space="preserve"> and afterward</w:t>
      </w:r>
      <w:r w:rsidR="00EF27B8" w:rsidRPr="00184027">
        <w:rPr>
          <w:rFonts w:asciiTheme="minorHAnsi" w:hAnsiTheme="minorHAnsi" w:cstheme="minorHAnsi"/>
        </w:rPr>
        <w:t>, reflect the markets’ optimism regarding such developments.</w:t>
      </w:r>
      <w:r w:rsidR="001871FF" w:rsidRPr="00184027">
        <w:rPr>
          <w:rFonts w:asciiTheme="minorHAnsi" w:hAnsiTheme="minorHAnsi" w:cstheme="minorHAnsi"/>
        </w:rPr>
        <w:t xml:space="preserve"> </w:t>
      </w:r>
      <w:r w:rsidR="00EF27B8" w:rsidRPr="00184027">
        <w:rPr>
          <w:rFonts w:asciiTheme="minorHAnsi" w:hAnsiTheme="minorHAnsi" w:cstheme="minorHAnsi"/>
        </w:rPr>
        <w:t xml:space="preserve">However, at this stage, </w:t>
      </w:r>
      <w:r w:rsidR="0055377E" w:rsidRPr="00184027">
        <w:rPr>
          <w:rFonts w:asciiTheme="minorHAnsi" w:hAnsiTheme="minorHAnsi" w:cstheme="minorHAnsi"/>
        </w:rPr>
        <w:t xml:space="preserve">while </w:t>
      </w:r>
      <w:r w:rsidR="00EF27B8" w:rsidRPr="00184027">
        <w:rPr>
          <w:rFonts w:asciiTheme="minorHAnsi" w:hAnsiTheme="minorHAnsi" w:cstheme="minorHAnsi"/>
        </w:rPr>
        <w:t>the country’s risk premium</w:t>
      </w:r>
      <w:r w:rsidR="0055377E" w:rsidRPr="00184027">
        <w:rPr>
          <w:rFonts w:asciiTheme="minorHAnsi" w:hAnsiTheme="minorHAnsi" w:cstheme="minorHAnsi"/>
        </w:rPr>
        <w:t>,</w:t>
      </w:r>
      <w:r w:rsidR="00EF27B8" w:rsidRPr="00184027">
        <w:rPr>
          <w:rFonts w:asciiTheme="minorHAnsi" w:hAnsiTheme="minorHAnsi" w:cstheme="minorHAnsi"/>
        </w:rPr>
        <w:t xml:space="preserve"> as reflected by the CDS level and the spreads on Israeli government bonds,</w:t>
      </w:r>
      <w:r w:rsidR="0055377E" w:rsidRPr="00184027">
        <w:rPr>
          <w:rFonts w:asciiTheme="minorHAnsi" w:hAnsiTheme="minorHAnsi" w:cstheme="minorHAnsi"/>
        </w:rPr>
        <w:t xml:space="preserve"> declined relative to its level prior to Operation Rising Lion, it remains higher than it was </w:t>
      </w:r>
      <w:r w:rsidR="008F5BA4" w:rsidRPr="00184027">
        <w:rPr>
          <w:rFonts w:asciiTheme="minorHAnsi" w:hAnsiTheme="minorHAnsi" w:cstheme="minorHAnsi"/>
        </w:rPr>
        <w:t>before</w:t>
      </w:r>
      <w:r w:rsidR="0055377E" w:rsidRPr="00184027">
        <w:rPr>
          <w:rFonts w:asciiTheme="minorHAnsi" w:hAnsiTheme="minorHAnsi" w:cstheme="minorHAnsi"/>
        </w:rPr>
        <w:t xml:space="preserve"> the Swords of Iron War</w:t>
      </w:r>
      <w:r w:rsidR="00EF27B8" w:rsidRPr="00184027">
        <w:rPr>
          <w:rFonts w:asciiTheme="minorHAnsi" w:hAnsiTheme="minorHAnsi" w:cstheme="minorHAnsi"/>
        </w:rPr>
        <w:t>.</w:t>
      </w:r>
    </w:p>
    <w:p w14:paraId="2965D1BF" w14:textId="59355166" w:rsidR="00EF27B8" w:rsidRPr="00184027" w:rsidRDefault="00EF27B8" w:rsidP="00EF27B8">
      <w:pPr>
        <w:bidi w:val="0"/>
        <w:jc w:val="both"/>
        <w:rPr>
          <w:rFonts w:asciiTheme="minorHAnsi" w:hAnsiTheme="minorHAnsi" w:cstheme="minorHAnsi"/>
        </w:rPr>
      </w:pPr>
    </w:p>
    <w:p w14:paraId="6D7CD2C0" w14:textId="74A617DC" w:rsidR="00EF27B8" w:rsidRPr="00184027" w:rsidRDefault="00EF27B8" w:rsidP="008F5BA4">
      <w:pPr>
        <w:bidi w:val="0"/>
        <w:jc w:val="both"/>
        <w:rPr>
          <w:rFonts w:asciiTheme="minorHAnsi" w:hAnsiTheme="minorHAnsi" w:cstheme="minorHAnsi"/>
        </w:rPr>
      </w:pPr>
      <w:r w:rsidRPr="00184027">
        <w:rPr>
          <w:rFonts w:asciiTheme="minorHAnsi" w:hAnsiTheme="minorHAnsi" w:cstheme="minorHAnsi"/>
        </w:rPr>
        <w:t>The forecast includes a revised assessment regarding the effect of the tariffs announced by the American government.</w:t>
      </w:r>
      <w:r w:rsidR="001871FF" w:rsidRPr="00184027">
        <w:rPr>
          <w:rFonts w:asciiTheme="minorHAnsi" w:hAnsiTheme="minorHAnsi" w:cstheme="minorHAnsi"/>
        </w:rPr>
        <w:t xml:space="preserve"> </w:t>
      </w:r>
      <w:r w:rsidRPr="00184027">
        <w:rPr>
          <w:rFonts w:asciiTheme="minorHAnsi" w:hAnsiTheme="minorHAnsi" w:cstheme="minorHAnsi"/>
        </w:rPr>
        <w:t>According to the revised assessment, most countries will not see a significant increase in tariffs relative to the current level, but uncertainty regarding the issue remains high and, on its own, is having a negative impact on activity, particularly on investments both globally and in Israel.</w:t>
      </w:r>
    </w:p>
    <w:p w14:paraId="18D0C4BB" w14:textId="620C7DBF" w:rsidR="00FD35C7" w:rsidRPr="00184027" w:rsidRDefault="00FD35C7" w:rsidP="00026D60">
      <w:pPr>
        <w:pStyle w:val="NormalWeb"/>
        <w:jc w:val="both"/>
        <w:rPr>
          <w:rFonts w:asciiTheme="minorHAnsi" w:hAnsiTheme="minorHAnsi" w:cstheme="minorHAnsi"/>
        </w:rPr>
      </w:pPr>
      <w:r w:rsidRPr="00184027">
        <w:rPr>
          <w:rFonts w:asciiTheme="minorHAnsi" w:hAnsiTheme="minorHAnsi" w:cstheme="minorHAnsi"/>
          <w:b/>
          <w:bCs/>
        </w:rPr>
        <w:t>The state budget deficit is expected to be 4.</w:t>
      </w:r>
      <w:r w:rsidR="00EF27B8" w:rsidRPr="00184027">
        <w:rPr>
          <w:rFonts w:asciiTheme="minorHAnsi" w:hAnsiTheme="minorHAnsi" w:cstheme="minorHAnsi"/>
          <w:b/>
          <w:bCs/>
        </w:rPr>
        <w:t>9</w:t>
      </w:r>
      <w:r w:rsidRPr="00184027">
        <w:rPr>
          <w:rFonts w:asciiTheme="minorHAnsi" w:hAnsiTheme="minorHAnsi" w:cstheme="minorHAnsi"/>
          <w:b/>
          <w:bCs/>
        </w:rPr>
        <w:t xml:space="preserve"> percent of GDP in 2025 and </w:t>
      </w:r>
      <w:r w:rsidR="00EF27B8" w:rsidRPr="00184027">
        <w:rPr>
          <w:rFonts w:asciiTheme="minorHAnsi" w:hAnsiTheme="minorHAnsi" w:cstheme="minorHAnsi"/>
          <w:b/>
          <w:bCs/>
        </w:rPr>
        <w:t>4.</w:t>
      </w:r>
      <w:r w:rsidR="0055377E" w:rsidRPr="00184027">
        <w:rPr>
          <w:rFonts w:asciiTheme="minorHAnsi" w:hAnsiTheme="minorHAnsi" w:cstheme="minorHAnsi"/>
          <w:b/>
          <w:bCs/>
        </w:rPr>
        <w:t>2</w:t>
      </w:r>
      <w:r w:rsidRPr="00184027">
        <w:rPr>
          <w:rFonts w:asciiTheme="minorHAnsi" w:hAnsiTheme="minorHAnsi" w:cstheme="minorHAnsi"/>
          <w:b/>
          <w:bCs/>
        </w:rPr>
        <w:t xml:space="preserve"> percent of GDP in 2026. Public debt is projected to be </w:t>
      </w:r>
      <w:r w:rsidR="00EF27B8" w:rsidRPr="00184027">
        <w:rPr>
          <w:rFonts w:asciiTheme="minorHAnsi" w:hAnsiTheme="minorHAnsi" w:cstheme="minorHAnsi"/>
          <w:b/>
          <w:bCs/>
        </w:rPr>
        <w:t>70</w:t>
      </w:r>
      <w:r w:rsidRPr="00184027">
        <w:rPr>
          <w:rFonts w:asciiTheme="minorHAnsi" w:hAnsiTheme="minorHAnsi" w:cstheme="minorHAnsi"/>
          <w:b/>
          <w:bCs/>
        </w:rPr>
        <w:t xml:space="preserve"> percent of GDP in 2025 and </w:t>
      </w:r>
      <w:r w:rsidR="00EF27B8" w:rsidRPr="00184027">
        <w:rPr>
          <w:rFonts w:asciiTheme="minorHAnsi" w:hAnsiTheme="minorHAnsi" w:cstheme="minorHAnsi"/>
          <w:b/>
          <w:bCs/>
        </w:rPr>
        <w:t>71</w:t>
      </w:r>
      <w:r w:rsidRPr="00184027">
        <w:rPr>
          <w:rFonts w:asciiTheme="minorHAnsi" w:hAnsiTheme="minorHAnsi" w:cstheme="minorHAnsi"/>
          <w:b/>
          <w:bCs/>
        </w:rPr>
        <w:t xml:space="preserve"> percent of GDP in 2026.</w:t>
      </w:r>
      <w:r w:rsidR="00EF27B8" w:rsidRPr="00184027">
        <w:rPr>
          <w:rFonts w:asciiTheme="minorHAnsi" w:hAnsiTheme="minorHAnsi" w:cstheme="minorHAnsi"/>
        </w:rPr>
        <w:t xml:space="preserve"> This forecast </w:t>
      </w:r>
      <w:r w:rsidRPr="00184027">
        <w:rPr>
          <w:rFonts w:asciiTheme="minorHAnsi" w:hAnsiTheme="minorHAnsi" w:cstheme="minorHAnsi"/>
        </w:rPr>
        <w:t>includes the</w:t>
      </w:r>
      <w:r w:rsidR="00EF27B8" w:rsidRPr="00184027">
        <w:rPr>
          <w:rFonts w:asciiTheme="minorHAnsi" w:hAnsiTheme="minorHAnsi" w:cstheme="minorHAnsi"/>
        </w:rPr>
        <w:t xml:space="preserve"> initial assessments regarding the costs of the campaign against Iran, alongside additional costs that were not in the original 2025 budget for continued fighting in Gaza.</w:t>
      </w:r>
      <w:r w:rsidR="001871FF" w:rsidRPr="00184027">
        <w:rPr>
          <w:rFonts w:asciiTheme="minorHAnsi" w:hAnsiTheme="minorHAnsi" w:cstheme="minorHAnsi"/>
        </w:rPr>
        <w:t xml:space="preserve"> </w:t>
      </w:r>
      <w:r w:rsidR="00EF27B8" w:rsidRPr="00184027">
        <w:rPr>
          <w:rFonts w:asciiTheme="minorHAnsi" w:hAnsiTheme="minorHAnsi" w:cstheme="minorHAnsi"/>
        </w:rPr>
        <w:t>It also assumes that the government will adopt the increments to the defense budget recommended by the Nagel Committee to Examine the Defense</w:t>
      </w:r>
      <w:r w:rsidRPr="00184027">
        <w:rPr>
          <w:rFonts w:asciiTheme="minorHAnsi" w:hAnsiTheme="minorHAnsi" w:cstheme="minorHAnsi"/>
        </w:rPr>
        <w:t xml:space="preserve"> </w:t>
      </w:r>
      <w:r w:rsidR="0055377E" w:rsidRPr="00184027">
        <w:rPr>
          <w:rFonts w:asciiTheme="minorHAnsi" w:hAnsiTheme="minorHAnsi" w:cstheme="minorHAnsi"/>
        </w:rPr>
        <w:t>Budget and Force Building,</w:t>
      </w:r>
      <w:r w:rsidR="00E00733" w:rsidRPr="00184027">
        <w:rPr>
          <w:rFonts w:asciiTheme="minorHAnsi" w:hAnsiTheme="minorHAnsi" w:cstheme="minorHAnsi"/>
        </w:rPr>
        <w:t xml:space="preserve"> minus some of the components the purchase of which was brought forward for Operation Rising Lion.</w:t>
      </w:r>
      <w:r w:rsidR="001871FF" w:rsidRPr="00184027">
        <w:rPr>
          <w:rFonts w:asciiTheme="minorHAnsi" w:hAnsiTheme="minorHAnsi" w:cstheme="minorHAnsi"/>
        </w:rPr>
        <w:t xml:space="preserve"> </w:t>
      </w:r>
      <w:r w:rsidR="00026D60" w:rsidRPr="00184027">
        <w:rPr>
          <w:rFonts w:asciiTheme="minorHAnsi" w:hAnsiTheme="minorHAnsi" w:cstheme="minorHAnsi"/>
        </w:rPr>
        <w:t>At the same time</w:t>
      </w:r>
      <w:r w:rsidR="00E00733" w:rsidRPr="00184027">
        <w:rPr>
          <w:rFonts w:asciiTheme="minorHAnsi" w:hAnsiTheme="minorHAnsi" w:cstheme="minorHAnsi"/>
        </w:rPr>
        <w:t xml:space="preserve">, our assessment is that the civilian costs of the campaign </w:t>
      </w:r>
      <w:r w:rsidR="008F5BA4" w:rsidRPr="00184027">
        <w:rPr>
          <w:rFonts w:asciiTheme="minorHAnsi" w:hAnsiTheme="minorHAnsi" w:cstheme="minorHAnsi"/>
        </w:rPr>
        <w:t xml:space="preserve">against Iran </w:t>
      </w:r>
      <w:r w:rsidR="00E00733" w:rsidRPr="00184027">
        <w:rPr>
          <w:rFonts w:asciiTheme="minorHAnsi" w:hAnsiTheme="minorHAnsi" w:cstheme="minorHAnsi"/>
        </w:rPr>
        <w:t>will total about NIS 10 billion</w:t>
      </w:r>
      <w:r w:rsidR="008F5BA4" w:rsidRPr="00184027">
        <w:rPr>
          <w:rFonts w:asciiTheme="minorHAnsi" w:hAnsiTheme="minorHAnsi" w:cstheme="minorHAnsi"/>
        </w:rPr>
        <w:t>.</w:t>
      </w:r>
      <w:r w:rsidR="00E00733" w:rsidRPr="00184027">
        <w:rPr>
          <w:rFonts w:asciiTheme="minorHAnsi" w:hAnsiTheme="minorHAnsi" w:cstheme="minorHAnsi"/>
        </w:rPr>
        <w:t xml:space="preserve"> </w:t>
      </w:r>
      <w:r w:rsidR="008F5BA4" w:rsidRPr="00184027">
        <w:rPr>
          <w:rFonts w:asciiTheme="minorHAnsi" w:hAnsiTheme="minorHAnsi" w:cstheme="minorHAnsi"/>
        </w:rPr>
        <w:t>M</w:t>
      </w:r>
      <w:r w:rsidR="00E00733" w:rsidRPr="00184027">
        <w:rPr>
          <w:rFonts w:asciiTheme="minorHAnsi" w:hAnsiTheme="minorHAnsi" w:cstheme="minorHAnsi"/>
        </w:rPr>
        <w:t xml:space="preserve">ost of </w:t>
      </w:r>
      <w:r w:rsidR="008F5BA4" w:rsidRPr="00184027">
        <w:rPr>
          <w:rFonts w:asciiTheme="minorHAnsi" w:hAnsiTheme="minorHAnsi" w:cstheme="minorHAnsi"/>
        </w:rPr>
        <w:t>this</w:t>
      </w:r>
      <w:r w:rsidR="00E00733" w:rsidRPr="00184027">
        <w:rPr>
          <w:rFonts w:asciiTheme="minorHAnsi" w:hAnsiTheme="minorHAnsi" w:cstheme="minorHAnsi"/>
        </w:rPr>
        <w:t xml:space="preserve"> will be paid by the Property Tax Fund and</w:t>
      </w:r>
      <w:r w:rsidR="00071661" w:rsidRPr="00184027">
        <w:rPr>
          <w:rFonts w:asciiTheme="minorHAnsi" w:hAnsiTheme="minorHAnsi" w:cstheme="minorHAnsi"/>
        </w:rPr>
        <w:t>, accordingly,</w:t>
      </w:r>
      <w:r w:rsidR="00E00733" w:rsidRPr="00184027">
        <w:rPr>
          <w:rFonts w:asciiTheme="minorHAnsi" w:hAnsiTheme="minorHAnsi" w:cstheme="minorHAnsi"/>
        </w:rPr>
        <w:t xml:space="preserve"> is not included in the central government’s deficit</w:t>
      </w:r>
      <w:r w:rsidR="008F5BA4" w:rsidRPr="00184027">
        <w:rPr>
          <w:rFonts w:asciiTheme="minorHAnsi" w:hAnsiTheme="minorHAnsi" w:cstheme="minorHAnsi"/>
        </w:rPr>
        <w:t>,</w:t>
      </w:r>
      <w:r w:rsidR="00E00733" w:rsidRPr="00184027">
        <w:rPr>
          <w:rFonts w:asciiTheme="minorHAnsi" w:hAnsiTheme="minorHAnsi" w:cstheme="minorHAnsi"/>
        </w:rPr>
        <w:t xml:space="preserve"> but</w:t>
      </w:r>
      <w:r w:rsidR="008F5BA4" w:rsidRPr="00184027">
        <w:rPr>
          <w:rFonts w:asciiTheme="minorHAnsi" w:hAnsiTheme="minorHAnsi" w:cstheme="minorHAnsi"/>
        </w:rPr>
        <w:t xml:space="preserve"> it</w:t>
      </w:r>
      <w:r w:rsidR="00E00733" w:rsidRPr="00184027">
        <w:rPr>
          <w:rFonts w:asciiTheme="minorHAnsi" w:hAnsiTheme="minorHAnsi" w:cstheme="minorHAnsi"/>
        </w:rPr>
        <w:t xml:space="preserve"> will require raising </w:t>
      </w:r>
      <w:r w:rsidR="00817D4A" w:rsidRPr="00184027">
        <w:rPr>
          <w:rFonts w:asciiTheme="minorHAnsi" w:hAnsiTheme="minorHAnsi" w:cstheme="minorHAnsi"/>
        </w:rPr>
        <w:t>debt</w:t>
      </w:r>
      <w:r w:rsidR="00E00733" w:rsidRPr="00184027">
        <w:rPr>
          <w:rFonts w:asciiTheme="minorHAnsi" w:hAnsiTheme="minorHAnsi" w:cstheme="minorHAnsi"/>
        </w:rPr>
        <w:t xml:space="preserve"> to finance it</w:t>
      </w:r>
      <w:r w:rsidRPr="00184027">
        <w:rPr>
          <w:rFonts w:asciiTheme="minorHAnsi" w:hAnsiTheme="minorHAnsi" w:cstheme="minorHAnsi"/>
        </w:rPr>
        <w:t>.</w:t>
      </w:r>
    </w:p>
    <w:p w14:paraId="5DD33D1E" w14:textId="636FD8C4" w:rsidR="00FD35C7" w:rsidRPr="00184027" w:rsidRDefault="00E00733" w:rsidP="008F5BA4">
      <w:pPr>
        <w:pStyle w:val="NormalWeb"/>
        <w:jc w:val="both"/>
        <w:rPr>
          <w:rFonts w:asciiTheme="minorHAnsi" w:hAnsiTheme="minorHAnsi" w:cstheme="minorHAnsi"/>
        </w:rPr>
      </w:pPr>
      <w:r w:rsidRPr="00184027">
        <w:rPr>
          <w:rFonts w:asciiTheme="minorHAnsi" w:hAnsiTheme="minorHAnsi" w:cstheme="minorHAnsi"/>
        </w:rPr>
        <w:t>The deficit forecast for 2025 also reflects the significant increase in tax revenues at the beginning of the year, which was due to purchases being brought forward and dividends distributed before the increase in tax rates on undistributed profits.</w:t>
      </w:r>
      <w:r w:rsidR="001871FF" w:rsidRPr="00184027">
        <w:rPr>
          <w:rFonts w:asciiTheme="minorHAnsi" w:hAnsiTheme="minorHAnsi" w:cstheme="minorHAnsi"/>
        </w:rPr>
        <w:t xml:space="preserve"> </w:t>
      </w:r>
      <w:r w:rsidRPr="00184027">
        <w:rPr>
          <w:rFonts w:asciiTheme="minorHAnsi" w:hAnsiTheme="minorHAnsi" w:cstheme="minorHAnsi"/>
        </w:rPr>
        <w:t>This increase makes it possible to increase government expenditures without a significant growth in the deficit set in the 2025 budget.</w:t>
      </w:r>
      <w:r w:rsidR="001871FF" w:rsidRPr="00184027">
        <w:rPr>
          <w:rFonts w:asciiTheme="minorHAnsi" w:hAnsiTheme="minorHAnsi" w:cstheme="minorHAnsi"/>
        </w:rPr>
        <w:t xml:space="preserve"> </w:t>
      </w:r>
      <w:r w:rsidRPr="00184027">
        <w:rPr>
          <w:rFonts w:asciiTheme="minorHAnsi" w:hAnsiTheme="minorHAnsi" w:cstheme="minorHAnsi"/>
        </w:rPr>
        <w:t>The forecast for 2026 also assumes that one-off revenue will be received as a result of the sa</w:t>
      </w:r>
      <w:r w:rsidR="004B7FE3" w:rsidRPr="00184027">
        <w:rPr>
          <w:rFonts w:asciiTheme="minorHAnsi" w:hAnsiTheme="minorHAnsi" w:cstheme="minorHAnsi"/>
        </w:rPr>
        <w:t>l</w:t>
      </w:r>
      <w:r w:rsidRPr="00184027">
        <w:rPr>
          <w:rFonts w:asciiTheme="minorHAnsi" w:hAnsiTheme="minorHAnsi" w:cstheme="minorHAnsi"/>
        </w:rPr>
        <w:t xml:space="preserve">e of Wiz, </w:t>
      </w:r>
      <w:r w:rsidR="004B7FE3" w:rsidRPr="00184027">
        <w:rPr>
          <w:rFonts w:asciiTheme="minorHAnsi" w:hAnsiTheme="minorHAnsi" w:cstheme="minorHAnsi"/>
        </w:rPr>
        <w:t>but the current assessment regarding the size of that revenue is about half a percent of GDP smaller than the previous assessments in April.</w:t>
      </w:r>
      <w:r w:rsidR="001871FF" w:rsidRPr="00184027">
        <w:rPr>
          <w:rFonts w:asciiTheme="minorHAnsi" w:hAnsiTheme="minorHAnsi" w:cstheme="minorHAnsi"/>
        </w:rPr>
        <w:t xml:space="preserve"> </w:t>
      </w:r>
      <w:r w:rsidR="004B7FE3" w:rsidRPr="00184027">
        <w:rPr>
          <w:rFonts w:asciiTheme="minorHAnsi" w:hAnsiTheme="minorHAnsi" w:cstheme="minorHAnsi"/>
        </w:rPr>
        <w:t>We also assume</w:t>
      </w:r>
      <w:r w:rsidRPr="00184027">
        <w:rPr>
          <w:rFonts w:asciiTheme="minorHAnsi" w:hAnsiTheme="minorHAnsi" w:cstheme="minorHAnsi"/>
        </w:rPr>
        <w:t xml:space="preserve"> that the government will exten</w:t>
      </w:r>
      <w:r w:rsidR="008F5BA4" w:rsidRPr="00184027">
        <w:rPr>
          <w:rFonts w:asciiTheme="minorHAnsi" w:hAnsiTheme="minorHAnsi" w:cstheme="minorHAnsi"/>
        </w:rPr>
        <w:t>d</w:t>
      </w:r>
      <w:r w:rsidRPr="00184027">
        <w:rPr>
          <w:rFonts w:asciiTheme="minorHAnsi" w:hAnsiTheme="minorHAnsi" w:cstheme="minorHAnsi"/>
        </w:rPr>
        <w:t xml:space="preserve"> the increased contributions to the Property Tax Fund in order to bring the</w:t>
      </w:r>
      <w:r w:rsidR="008F5BA4" w:rsidRPr="00184027">
        <w:rPr>
          <w:rFonts w:asciiTheme="minorHAnsi" w:hAnsiTheme="minorHAnsi" w:cstheme="minorHAnsi"/>
        </w:rPr>
        <w:t xml:space="preserve"> Fund’s</w:t>
      </w:r>
      <w:r w:rsidRPr="00184027">
        <w:rPr>
          <w:rFonts w:asciiTheme="minorHAnsi" w:hAnsiTheme="minorHAnsi" w:cstheme="minorHAnsi"/>
        </w:rPr>
        <w:t xml:space="preserve"> balance back to the level planned before Operation Rising Lion.</w:t>
      </w:r>
    </w:p>
    <w:p w14:paraId="0062872D" w14:textId="77777777" w:rsidR="002F4ECB" w:rsidRPr="00184027" w:rsidRDefault="002F4ECB" w:rsidP="0086132E">
      <w:pPr>
        <w:bidi w:val="0"/>
        <w:jc w:val="both"/>
        <w:rPr>
          <w:rFonts w:asciiTheme="minorHAnsi" w:hAnsiTheme="minorHAnsi" w:cstheme="minorHAnsi"/>
          <w:highlight w:val="yellow"/>
        </w:rPr>
      </w:pPr>
    </w:p>
    <w:p w14:paraId="2A7CBC84" w14:textId="77777777" w:rsidR="00A21D01" w:rsidRPr="00184027" w:rsidRDefault="00A21D01" w:rsidP="0086132E">
      <w:pPr>
        <w:numPr>
          <w:ilvl w:val="0"/>
          <w:numId w:val="9"/>
        </w:numPr>
        <w:bidi w:val="0"/>
        <w:spacing w:line="360" w:lineRule="auto"/>
        <w:ind w:left="357" w:hanging="357"/>
        <w:jc w:val="both"/>
        <w:rPr>
          <w:rFonts w:asciiTheme="minorHAnsi" w:hAnsiTheme="minorHAnsi" w:cstheme="minorHAnsi"/>
          <w:b/>
          <w:bCs/>
        </w:rPr>
      </w:pPr>
      <w:r w:rsidRPr="00184027">
        <w:rPr>
          <w:rFonts w:asciiTheme="minorHAnsi" w:hAnsiTheme="minorHAnsi" w:cstheme="minorHAnsi"/>
          <w:b/>
          <w:bCs/>
        </w:rPr>
        <w:t xml:space="preserve">Inflation and interest rates </w:t>
      </w:r>
    </w:p>
    <w:p w14:paraId="5312F77B" w14:textId="122DDD78" w:rsidR="00E00733" w:rsidRPr="00184027" w:rsidRDefault="000A661B" w:rsidP="004B7FE3">
      <w:pPr>
        <w:pStyle w:val="NormalWeb"/>
        <w:jc w:val="both"/>
        <w:rPr>
          <w:rFonts w:asciiTheme="minorHAnsi" w:hAnsiTheme="minorHAnsi" w:cstheme="minorHAnsi"/>
        </w:rPr>
      </w:pPr>
      <w:r w:rsidRPr="00184027">
        <w:rPr>
          <w:rFonts w:asciiTheme="minorHAnsi" w:hAnsiTheme="minorHAnsi" w:cstheme="minorHAnsi"/>
          <w:b/>
          <w:bCs/>
        </w:rPr>
        <w:t xml:space="preserve">The inflation rate over the four quarters ending in the </w:t>
      </w:r>
      <w:r w:rsidR="00E00733" w:rsidRPr="00184027">
        <w:rPr>
          <w:rFonts w:asciiTheme="minorHAnsi" w:hAnsiTheme="minorHAnsi" w:cstheme="minorHAnsi"/>
          <w:b/>
          <w:bCs/>
        </w:rPr>
        <w:t>second</w:t>
      </w:r>
      <w:r w:rsidRPr="00184027">
        <w:rPr>
          <w:rFonts w:asciiTheme="minorHAnsi" w:hAnsiTheme="minorHAnsi" w:cstheme="minorHAnsi"/>
          <w:b/>
          <w:bCs/>
        </w:rPr>
        <w:t xml:space="preserve"> quarter of 2026 is expected to be 2.</w:t>
      </w:r>
      <w:r w:rsidR="00E00733" w:rsidRPr="00184027">
        <w:rPr>
          <w:rFonts w:asciiTheme="minorHAnsi" w:hAnsiTheme="minorHAnsi" w:cstheme="minorHAnsi"/>
          <w:b/>
          <w:bCs/>
        </w:rPr>
        <w:t>2</w:t>
      </w:r>
      <w:r w:rsidRPr="00184027">
        <w:rPr>
          <w:rFonts w:asciiTheme="minorHAnsi" w:hAnsiTheme="minorHAnsi" w:cstheme="minorHAnsi"/>
          <w:b/>
          <w:bCs/>
        </w:rPr>
        <w:t xml:space="preserve"> percent (Table 2). For the year 2025, it is projected to be 2.6 percent, and for 2026, it is expected to be 2.</w:t>
      </w:r>
      <w:r w:rsidR="00E00733" w:rsidRPr="00184027">
        <w:rPr>
          <w:rFonts w:asciiTheme="minorHAnsi" w:hAnsiTheme="minorHAnsi" w:cstheme="minorHAnsi"/>
          <w:b/>
          <w:bCs/>
        </w:rPr>
        <w:t>0</w:t>
      </w:r>
      <w:r w:rsidRPr="00184027">
        <w:rPr>
          <w:rFonts w:asciiTheme="minorHAnsi" w:hAnsiTheme="minorHAnsi" w:cstheme="minorHAnsi"/>
          <w:b/>
          <w:bCs/>
        </w:rPr>
        <w:t xml:space="preserve"> percent </w:t>
      </w:r>
      <w:r w:rsidRPr="00184027">
        <w:rPr>
          <w:rFonts w:asciiTheme="minorHAnsi" w:hAnsiTheme="minorHAnsi" w:cstheme="minorHAnsi"/>
        </w:rPr>
        <w:t xml:space="preserve">(Table 1). </w:t>
      </w:r>
      <w:r w:rsidR="00E00733" w:rsidRPr="00184027">
        <w:rPr>
          <w:rFonts w:asciiTheme="minorHAnsi" w:hAnsiTheme="minorHAnsi" w:cstheme="minorHAnsi"/>
        </w:rPr>
        <w:t>Operation Rising Lion may have conflicting short-term impacts on the development of inflation.</w:t>
      </w:r>
      <w:r w:rsidR="001871FF" w:rsidRPr="00184027">
        <w:rPr>
          <w:rFonts w:asciiTheme="minorHAnsi" w:hAnsiTheme="minorHAnsi" w:cstheme="minorHAnsi"/>
        </w:rPr>
        <w:t xml:space="preserve"> </w:t>
      </w:r>
      <w:r w:rsidR="00E00733" w:rsidRPr="00184027">
        <w:rPr>
          <w:rFonts w:asciiTheme="minorHAnsi" w:hAnsiTheme="minorHAnsi" w:cstheme="minorHAnsi"/>
        </w:rPr>
        <w:t>The disruptions</w:t>
      </w:r>
      <w:r w:rsidR="004B7FE3" w:rsidRPr="00184027">
        <w:rPr>
          <w:rFonts w:asciiTheme="minorHAnsi" w:hAnsiTheme="minorHAnsi" w:cstheme="minorHAnsi"/>
        </w:rPr>
        <w:t xml:space="preserve"> in the supply of housing</w:t>
      </w:r>
      <w:r w:rsidR="00E00733" w:rsidRPr="00184027">
        <w:rPr>
          <w:rFonts w:asciiTheme="minorHAnsi" w:hAnsiTheme="minorHAnsi" w:cstheme="minorHAnsi"/>
        </w:rPr>
        <w:t xml:space="preserve"> and the increased demand for rentals due to damage to buildings may have inflationary implications within the forecast range.</w:t>
      </w:r>
      <w:r w:rsidR="001871FF" w:rsidRPr="00184027">
        <w:rPr>
          <w:rFonts w:asciiTheme="minorHAnsi" w:hAnsiTheme="minorHAnsi" w:cstheme="minorHAnsi"/>
        </w:rPr>
        <w:t xml:space="preserve"> </w:t>
      </w:r>
      <w:r w:rsidR="00E00733" w:rsidRPr="00184027">
        <w:rPr>
          <w:rFonts w:asciiTheme="minorHAnsi" w:hAnsiTheme="minorHAnsi" w:cstheme="minorHAnsi"/>
        </w:rPr>
        <w:t xml:space="preserve">However, these effects are expected to be offset to some degree </w:t>
      </w:r>
      <w:r w:rsidR="00E00733" w:rsidRPr="00184027">
        <w:rPr>
          <w:rFonts w:asciiTheme="minorHAnsi" w:hAnsiTheme="minorHAnsi" w:cstheme="minorHAnsi"/>
        </w:rPr>
        <w:lastRenderedPageBreak/>
        <w:t>by the appreciating trend of the shekel.</w:t>
      </w:r>
      <w:r w:rsidR="001871FF" w:rsidRPr="00184027">
        <w:rPr>
          <w:rFonts w:asciiTheme="minorHAnsi" w:hAnsiTheme="minorHAnsi" w:cstheme="minorHAnsi"/>
        </w:rPr>
        <w:t xml:space="preserve"> </w:t>
      </w:r>
      <w:r w:rsidR="00E00733" w:rsidRPr="00184027">
        <w:rPr>
          <w:rFonts w:asciiTheme="minorHAnsi" w:hAnsiTheme="minorHAnsi" w:cstheme="minorHAnsi"/>
        </w:rPr>
        <w:t>In sum, the Research Department’s inflation forecast for 2025 is similar to the April forecast, but the forecast for one year forward is slightly lower.</w:t>
      </w:r>
    </w:p>
    <w:p w14:paraId="6941B040" w14:textId="0B5CF98E" w:rsidR="00E00733" w:rsidRPr="00184027" w:rsidRDefault="00E00733" w:rsidP="00367112">
      <w:pPr>
        <w:pStyle w:val="NormalWeb"/>
        <w:jc w:val="both"/>
        <w:rPr>
          <w:rFonts w:asciiTheme="minorHAnsi" w:hAnsiTheme="minorHAnsi" w:cstheme="minorHAnsi"/>
        </w:rPr>
      </w:pPr>
      <w:r w:rsidRPr="00184027">
        <w:rPr>
          <w:rFonts w:asciiTheme="minorHAnsi" w:hAnsiTheme="minorHAnsi" w:cstheme="minorHAnsi"/>
        </w:rPr>
        <w:t>W</w:t>
      </w:r>
      <w:r w:rsidR="000A661B" w:rsidRPr="00184027">
        <w:rPr>
          <w:rFonts w:asciiTheme="minorHAnsi" w:hAnsiTheme="minorHAnsi" w:cstheme="minorHAnsi"/>
        </w:rPr>
        <w:t>e anticipate</w:t>
      </w:r>
      <w:r w:rsidRPr="00184027">
        <w:rPr>
          <w:rFonts w:asciiTheme="minorHAnsi" w:hAnsiTheme="minorHAnsi" w:cstheme="minorHAnsi"/>
        </w:rPr>
        <w:t xml:space="preserve"> that</w:t>
      </w:r>
      <w:r w:rsidR="004B7FE3" w:rsidRPr="00184027">
        <w:rPr>
          <w:rFonts w:asciiTheme="minorHAnsi" w:hAnsiTheme="minorHAnsi" w:cstheme="minorHAnsi"/>
        </w:rPr>
        <w:t xml:space="preserve"> given the assumption regarding the fighting</w:t>
      </w:r>
      <w:r w:rsidRPr="00184027">
        <w:rPr>
          <w:rFonts w:asciiTheme="minorHAnsi" w:hAnsiTheme="minorHAnsi" w:cstheme="minorHAnsi"/>
        </w:rPr>
        <w:t xml:space="preserve"> in Gaza and the</w:t>
      </w:r>
      <w:r w:rsidR="004B7FE3" w:rsidRPr="00184027">
        <w:rPr>
          <w:rFonts w:asciiTheme="minorHAnsi" w:hAnsiTheme="minorHAnsi" w:cstheme="minorHAnsi"/>
        </w:rPr>
        <w:t xml:space="preserve"> resulting decline in the</w:t>
      </w:r>
      <w:r w:rsidRPr="00184027">
        <w:rPr>
          <w:rFonts w:asciiTheme="minorHAnsi" w:hAnsiTheme="minorHAnsi" w:cstheme="minorHAnsi"/>
        </w:rPr>
        <w:t xml:space="preserve"> volume of reserve </w:t>
      </w:r>
      <w:r w:rsidR="00367112" w:rsidRPr="00184027">
        <w:rPr>
          <w:rFonts w:asciiTheme="minorHAnsi" w:hAnsiTheme="minorHAnsi" w:cstheme="minorHAnsi"/>
        </w:rPr>
        <w:t>mobilization</w:t>
      </w:r>
      <w:r w:rsidRPr="00184027">
        <w:rPr>
          <w:rFonts w:asciiTheme="minorHAnsi" w:hAnsiTheme="minorHAnsi" w:cstheme="minorHAnsi"/>
        </w:rPr>
        <w:t xml:space="preserve">, </w:t>
      </w:r>
      <w:r w:rsidR="000A661B" w:rsidRPr="00184027">
        <w:rPr>
          <w:rFonts w:asciiTheme="minorHAnsi" w:hAnsiTheme="minorHAnsi" w:cstheme="minorHAnsi"/>
        </w:rPr>
        <w:t>supply-side constraints in the</w:t>
      </w:r>
      <w:r w:rsidRPr="00184027">
        <w:rPr>
          <w:rFonts w:asciiTheme="minorHAnsi" w:hAnsiTheme="minorHAnsi" w:cstheme="minorHAnsi"/>
        </w:rPr>
        <w:t xml:space="preserve"> labor market will ease, </w:t>
      </w:r>
      <w:r w:rsidR="000A661B" w:rsidRPr="00184027">
        <w:rPr>
          <w:rFonts w:asciiTheme="minorHAnsi" w:hAnsiTheme="minorHAnsi" w:cstheme="minorHAnsi"/>
        </w:rPr>
        <w:t xml:space="preserve">alongside a moderation </w:t>
      </w:r>
      <w:r w:rsidR="00367112" w:rsidRPr="00184027">
        <w:rPr>
          <w:rFonts w:asciiTheme="minorHAnsi" w:hAnsiTheme="minorHAnsi" w:cstheme="minorHAnsi"/>
        </w:rPr>
        <w:t>of</w:t>
      </w:r>
      <w:r w:rsidR="000A661B" w:rsidRPr="00184027">
        <w:rPr>
          <w:rFonts w:asciiTheme="minorHAnsi" w:hAnsiTheme="minorHAnsi" w:cstheme="minorHAnsi"/>
        </w:rPr>
        <w:t xml:space="preserve"> demand for </w:t>
      </w:r>
      <w:r w:rsidR="00F647DE" w:rsidRPr="00184027">
        <w:rPr>
          <w:rFonts w:asciiTheme="minorHAnsi" w:hAnsiTheme="minorHAnsi" w:cstheme="minorHAnsi"/>
        </w:rPr>
        <w:t xml:space="preserve">public </w:t>
      </w:r>
      <w:r w:rsidR="000A661B" w:rsidRPr="00184027">
        <w:rPr>
          <w:rFonts w:asciiTheme="minorHAnsi" w:hAnsiTheme="minorHAnsi" w:cstheme="minorHAnsi"/>
        </w:rPr>
        <w:t>consumption, which will lead to a continued moderation of inflation.</w:t>
      </w:r>
      <w:r w:rsidR="001871FF" w:rsidRPr="00184027">
        <w:rPr>
          <w:rFonts w:asciiTheme="minorHAnsi" w:hAnsiTheme="minorHAnsi" w:cstheme="minorHAnsi"/>
        </w:rPr>
        <w:t xml:space="preserve"> </w:t>
      </w:r>
      <w:r w:rsidRPr="00184027">
        <w:rPr>
          <w:rFonts w:asciiTheme="minorHAnsi" w:hAnsiTheme="minorHAnsi" w:cstheme="minorHAnsi"/>
        </w:rPr>
        <w:t xml:space="preserve">Since the publication of the April forecast, Consumer Price Index readings for </w:t>
      </w:r>
      <w:r w:rsidR="00677A3F" w:rsidRPr="00184027">
        <w:rPr>
          <w:rFonts w:asciiTheme="minorHAnsi" w:hAnsiTheme="minorHAnsi" w:cstheme="minorHAnsi"/>
        </w:rPr>
        <w:t>April and May were obtained, and their cumulative effect is similar to our assessments in the April forecast.</w:t>
      </w:r>
    </w:p>
    <w:p w14:paraId="1088C79C" w14:textId="16E7B1B9" w:rsidR="000A661B" w:rsidRPr="00184027" w:rsidRDefault="000A661B" w:rsidP="00677A3F">
      <w:pPr>
        <w:pStyle w:val="NormalWeb"/>
        <w:jc w:val="both"/>
        <w:rPr>
          <w:rFonts w:asciiTheme="minorHAnsi" w:hAnsiTheme="minorHAnsi" w:cstheme="minorHAnsi"/>
        </w:rPr>
      </w:pPr>
      <w:r w:rsidRPr="00184027">
        <w:rPr>
          <w:rFonts w:asciiTheme="minorHAnsi" w:hAnsiTheme="minorHAnsi" w:cstheme="minorHAnsi"/>
          <w:b/>
          <w:bCs/>
        </w:rPr>
        <w:t>The</w:t>
      </w:r>
      <w:r w:rsidR="00677A3F" w:rsidRPr="00184027">
        <w:rPr>
          <w:rFonts w:asciiTheme="minorHAnsi" w:hAnsiTheme="minorHAnsi" w:cstheme="minorHAnsi"/>
          <w:b/>
          <w:bCs/>
        </w:rPr>
        <w:t xml:space="preserve"> Bank of Israel</w:t>
      </w:r>
      <w:r w:rsidRPr="00184027">
        <w:rPr>
          <w:rFonts w:asciiTheme="minorHAnsi" w:hAnsiTheme="minorHAnsi" w:cstheme="minorHAnsi"/>
          <w:b/>
          <w:bCs/>
        </w:rPr>
        <w:t xml:space="preserve"> interest rate is expected to average </w:t>
      </w:r>
      <w:r w:rsidR="00677A3F" w:rsidRPr="00184027">
        <w:rPr>
          <w:rFonts w:asciiTheme="minorHAnsi" w:hAnsiTheme="minorHAnsi" w:cstheme="minorHAnsi"/>
          <w:b/>
          <w:bCs/>
        </w:rPr>
        <w:t>3.75</w:t>
      </w:r>
      <w:r w:rsidRPr="00184027">
        <w:rPr>
          <w:rFonts w:asciiTheme="minorHAnsi" w:hAnsiTheme="minorHAnsi" w:cstheme="minorHAnsi"/>
          <w:b/>
          <w:bCs/>
        </w:rPr>
        <w:t xml:space="preserve"> percent in the </w:t>
      </w:r>
      <w:r w:rsidR="00677A3F" w:rsidRPr="00184027">
        <w:rPr>
          <w:rFonts w:asciiTheme="minorHAnsi" w:hAnsiTheme="minorHAnsi" w:cstheme="minorHAnsi"/>
          <w:b/>
          <w:bCs/>
        </w:rPr>
        <w:t>second</w:t>
      </w:r>
      <w:r w:rsidRPr="00184027">
        <w:rPr>
          <w:rFonts w:asciiTheme="minorHAnsi" w:hAnsiTheme="minorHAnsi" w:cstheme="minorHAnsi"/>
          <w:b/>
          <w:bCs/>
        </w:rPr>
        <w:t xml:space="preserve"> quarter of 2026</w:t>
      </w:r>
      <w:r w:rsidRPr="00184027">
        <w:rPr>
          <w:rFonts w:asciiTheme="minorHAnsi" w:hAnsiTheme="minorHAnsi" w:cstheme="minorHAnsi"/>
        </w:rPr>
        <w:t xml:space="preserve"> (Table 2). This forecast reflects a gradual reduction in the interest rate from its current level </w:t>
      </w:r>
      <w:r w:rsidR="00677A3F" w:rsidRPr="00184027">
        <w:rPr>
          <w:rFonts w:asciiTheme="minorHAnsi" w:hAnsiTheme="minorHAnsi" w:cstheme="minorHAnsi"/>
        </w:rPr>
        <w:t xml:space="preserve">in accordance with </w:t>
      </w:r>
      <w:r w:rsidRPr="00184027">
        <w:rPr>
          <w:rFonts w:asciiTheme="minorHAnsi" w:hAnsiTheme="minorHAnsi" w:cstheme="minorHAnsi"/>
        </w:rPr>
        <w:t>the convergence of inflation to the</w:t>
      </w:r>
      <w:r w:rsidR="00677A3F" w:rsidRPr="00184027">
        <w:rPr>
          <w:rFonts w:asciiTheme="minorHAnsi" w:hAnsiTheme="minorHAnsi" w:cstheme="minorHAnsi"/>
        </w:rPr>
        <w:t xml:space="preserve"> midpoint of the</w:t>
      </w:r>
      <w:r w:rsidRPr="00184027">
        <w:rPr>
          <w:rFonts w:asciiTheme="minorHAnsi" w:hAnsiTheme="minorHAnsi" w:cstheme="minorHAnsi"/>
        </w:rPr>
        <w:t xml:space="preserve"> target</w:t>
      </w:r>
      <w:r w:rsidR="00677A3F" w:rsidRPr="00184027">
        <w:rPr>
          <w:rFonts w:asciiTheme="minorHAnsi" w:hAnsiTheme="minorHAnsi" w:cstheme="minorHAnsi"/>
        </w:rPr>
        <w:t xml:space="preserve"> range according to the baseline scenario in the forecast</w:t>
      </w:r>
      <w:r w:rsidRPr="00184027">
        <w:rPr>
          <w:rFonts w:asciiTheme="minorHAnsi" w:hAnsiTheme="minorHAnsi" w:cstheme="minorHAnsi"/>
        </w:rPr>
        <w:t>.</w:t>
      </w:r>
    </w:p>
    <w:p w14:paraId="593BE5DD" w14:textId="59A31A4B" w:rsidR="000A661B" w:rsidRPr="00184027" w:rsidRDefault="000A661B" w:rsidP="00E57458">
      <w:pPr>
        <w:pStyle w:val="NormalWeb"/>
        <w:jc w:val="both"/>
        <w:rPr>
          <w:rFonts w:asciiTheme="minorHAnsi" w:hAnsiTheme="minorHAnsi" w:cstheme="minorHAnsi"/>
          <w:b/>
          <w:bCs/>
        </w:rPr>
      </w:pPr>
      <w:r w:rsidRPr="00184027">
        <w:rPr>
          <w:rFonts w:asciiTheme="minorHAnsi" w:hAnsiTheme="minorHAnsi" w:cstheme="minorHAnsi"/>
        </w:rPr>
        <w:t xml:space="preserve">Table 2 </w:t>
      </w:r>
      <w:r w:rsidR="00F93D9D" w:rsidRPr="00184027">
        <w:rPr>
          <w:rFonts w:asciiTheme="minorHAnsi" w:hAnsiTheme="minorHAnsi" w:cstheme="minorHAnsi"/>
        </w:rPr>
        <w:t>shows</w:t>
      </w:r>
      <w:r w:rsidRPr="00184027">
        <w:rPr>
          <w:rFonts w:asciiTheme="minorHAnsi" w:hAnsiTheme="minorHAnsi" w:cstheme="minorHAnsi"/>
        </w:rPr>
        <w:t xml:space="preserve"> that </w:t>
      </w:r>
      <w:r w:rsidR="00677A3F" w:rsidRPr="00184027">
        <w:rPr>
          <w:rFonts w:asciiTheme="minorHAnsi" w:hAnsiTheme="minorHAnsi" w:cstheme="minorHAnsi"/>
        </w:rPr>
        <w:t xml:space="preserve">in </w:t>
      </w:r>
      <w:r w:rsidRPr="00184027">
        <w:rPr>
          <w:rFonts w:asciiTheme="minorHAnsi" w:hAnsiTheme="minorHAnsi" w:cstheme="minorHAnsi"/>
        </w:rPr>
        <w:t>the Research Department</w:t>
      </w:r>
      <w:r w:rsidR="0086132E" w:rsidRPr="00184027">
        <w:rPr>
          <w:rFonts w:asciiTheme="minorHAnsi" w:hAnsiTheme="minorHAnsi" w:cstheme="minorHAnsi"/>
        </w:rPr>
        <w:t>’</w:t>
      </w:r>
      <w:r w:rsidRPr="00184027">
        <w:rPr>
          <w:rFonts w:asciiTheme="minorHAnsi" w:hAnsiTheme="minorHAnsi" w:cstheme="minorHAnsi"/>
        </w:rPr>
        <w:t xml:space="preserve">s </w:t>
      </w:r>
      <w:r w:rsidR="00677A3F" w:rsidRPr="00184027">
        <w:rPr>
          <w:rFonts w:asciiTheme="minorHAnsi" w:hAnsiTheme="minorHAnsi" w:cstheme="minorHAnsi"/>
        </w:rPr>
        <w:t xml:space="preserve">assessment, the </w:t>
      </w:r>
      <w:r w:rsidRPr="00184027">
        <w:rPr>
          <w:rFonts w:asciiTheme="minorHAnsi" w:hAnsiTheme="minorHAnsi" w:cstheme="minorHAnsi"/>
        </w:rPr>
        <w:t xml:space="preserve">inflation </w:t>
      </w:r>
      <w:r w:rsidR="00E57458" w:rsidRPr="00184027">
        <w:rPr>
          <w:rFonts w:asciiTheme="minorHAnsi" w:hAnsiTheme="minorHAnsi" w:cstheme="minorHAnsi"/>
        </w:rPr>
        <w:t>forecast is</w:t>
      </w:r>
      <w:r w:rsidR="00F74179" w:rsidRPr="00184027">
        <w:rPr>
          <w:rFonts w:asciiTheme="minorHAnsi" w:hAnsiTheme="minorHAnsi" w:cstheme="minorHAnsi"/>
          <w:rtl/>
        </w:rPr>
        <w:t xml:space="preserve"> </w:t>
      </w:r>
      <w:r w:rsidR="00F74179" w:rsidRPr="00184027">
        <w:rPr>
          <w:rFonts w:asciiTheme="minorHAnsi" w:hAnsiTheme="minorHAnsi" w:cstheme="minorHAnsi"/>
        </w:rPr>
        <w:t>slightly</w:t>
      </w:r>
      <w:r w:rsidR="00677A3F" w:rsidRPr="00184027">
        <w:rPr>
          <w:rFonts w:asciiTheme="minorHAnsi" w:hAnsiTheme="minorHAnsi" w:cstheme="minorHAnsi"/>
        </w:rPr>
        <w:t xml:space="preserve"> lower than</w:t>
      </w:r>
      <w:r w:rsidRPr="00184027">
        <w:rPr>
          <w:rFonts w:asciiTheme="minorHAnsi" w:hAnsiTheme="minorHAnsi" w:cstheme="minorHAnsi"/>
        </w:rPr>
        <w:t xml:space="preserve"> the private forecasters</w:t>
      </w:r>
      <w:r w:rsidR="0086132E" w:rsidRPr="00184027">
        <w:rPr>
          <w:rFonts w:asciiTheme="minorHAnsi" w:hAnsiTheme="minorHAnsi" w:cstheme="minorHAnsi"/>
        </w:rPr>
        <w:t>’</w:t>
      </w:r>
      <w:r w:rsidRPr="00184027">
        <w:rPr>
          <w:rFonts w:asciiTheme="minorHAnsi" w:hAnsiTheme="minorHAnsi" w:cstheme="minorHAnsi"/>
        </w:rPr>
        <w:t xml:space="preserve"> average projections and higher than the forecast derived from the capital market.</w:t>
      </w:r>
      <w:r w:rsidR="001871FF" w:rsidRPr="00184027">
        <w:rPr>
          <w:rFonts w:asciiTheme="minorHAnsi" w:hAnsiTheme="minorHAnsi" w:cstheme="minorHAnsi"/>
        </w:rPr>
        <w:t xml:space="preserve"> </w:t>
      </w:r>
      <w:r w:rsidR="00E57458" w:rsidRPr="00184027">
        <w:rPr>
          <w:rFonts w:asciiTheme="minorHAnsi" w:hAnsiTheme="minorHAnsi" w:cstheme="minorHAnsi"/>
        </w:rPr>
        <w:t>The interest rate forecast is similar to both the expectations derived from the capital market and the private forecasters’ average projections.</w:t>
      </w:r>
    </w:p>
    <w:p w14:paraId="367091CB" w14:textId="77777777" w:rsidR="000A661B" w:rsidRPr="00184027" w:rsidRDefault="000A661B" w:rsidP="000A661B">
      <w:pPr>
        <w:bidi w:val="0"/>
        <w:jc w:val="both"/>
        <w:rPr>
          <w:rFonts w:asciiTheme="minorHAnsi" w:hAnsiTheme="minorHAnsi" w:cstheme="minorHAnsi"/>
          <w:b/>
          <w:bCs/>
        </w:rPr>
      </w:pPr>
    </w:p>
    <w:tbl>
      <w:tblPr>
        <w:tblW w:w="8233" w:type="dxa"/>
        <w:tblInd w:w="93" w:type="dxa"/>
        <w:tblLook w:val="04A0" w:firstRow="1" w:lastRow="0" w:firstColumn="1" w:lastColumn="0" w:noHBand="0" w:noVBand="1"/>
      </w:tblPr>
      <w:tblGrid>
        <w:gridCol w:w="2480"/>
        <w:gridCol w:w="2094"/>
        <w:gridCol w:w="1540"/>
        <w:gridCol w:w="2119"/>
      </w:tblGrid>
      <w:tr w:rsidR="00A21D01" w:rsidRPr="00184027" w14:paraId="27357736"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32C0BD93" w14:textId="77777777" w:rsidR="00A21D01" w:rsidRPr="00184027" w:rsidRDefault="002945D2" w:rsidP="00014365">
            <w:pPr>
              <w:bidi w:val="0"/>
              <w:rPr>
                <w:rFonts w:asciiTheme="minorHAnsi" w:hAnsiTheme="minorHAnsi" w:cstheme="minorHAnsi"/>
                <w:b/>
                <w:bCs/>
                <w:color w:val="0070C0"/>
              </w:rPr>
            </w:pPr>
            <w:r w:rsidRPr="00184027">
              <w:rPr>
                <w:rFonts w:asciiTheme="minorHAnsi" w:hAnsiTheme="minorHAnsi" w:cstheme="minorHAnsi"/>
                <w:color w:val="0070C0"/>
              </w:rPr>
              <w:br w:type="page"/>
            </w:r>
            <w:r w:rsidR="00A21D01" w:rsidRPr="00184027">
              <w:rPr>
                <w:rFonts w:asciiTheme="minorHAnsi" w:hAnsiTheme="minorHAnsi" w:cstheme="minorHAnsi"/>
                <w:b/>
                <w:bCs/>
                <w:color w:val="0070C0"/>
              </w:rPr>
              <w:t xml:space="preserve">Table </w:t>
            </w:r>
            <w:r w:rsidR="00E718CD" w:rsidRPr="00184027">
              <w:rPr>
                <w:rFonts w:asciiTheme="minorHAnsi" w:hAnsiTheme="minorHAnsi" w:cstheme="minorHAnsi"/>
                <w:b/>
                <w:bCs/>
                <w:color w:val="0070C0"/>
              </w:rPr>
              <w:t>2</w:t>
            </w:r>
          </w:p>
        </w:tc>
      </w:tr>
      <w:tr w:rsidR="00A21D01" w:rsidRPr="00184027" w14:paraId="1652CD54" w14:textId="77777777" w:rsidTr="00211EF7">
        <w:trPr>
          <w:trHeight w:val="316"/>
          <w:tblHeader/>
        </w:trPr>
        <w:tc>
          <w:tcPr>
            <w:tcW w:w="8233" w:type="dxa"/>
            <w:gridSpan w:val="4"/>
            <w:tcBorders>
              <w:top w:val="nil"/>
              <w:left w:val="nil"/>
              <w:bottom w:val="nil"/>
              <w:right w:val="nil"/>
            </w:tcBorders>
            <w:shd w:val="clear" w:color="000000" w:fill="FFFFFF"/>
            <w:noWrap/>
            <w:vAlign w:val="center"/>
            <w:hideMark/>
          </w:tcPr>
          <w:p w14:paraId="492B1F0B" w14:textId="77777777" w:rsidR="00A21D01" w:rsidRPr="00184027" w:rsidRDefault="00453D2B" w:rsidP="00D62B59">
            <w:pPr>
              <w:bidi w:val="0"/>
              <w:rPr>
                <w:rFonts w:asciiTheme="minorHAnsi" w:hAnsiTheme="minorHAnsi" w:cstheme="minorHAnsi"/>
                <w:b/>
                <w:bCs/>
                <w:color w:val="0070C0"/>
              </w:rPr>
            </w:pPr>
            <w:r w:rsidRPr="00184027">
              <w:rPr>
                <w:rFonts w:asciiTheme="minorHAnsi" w:hAnsiTheme="minorHAnsi" w:cstheme="minorHAnsi"/>
                <w:b/>
                <w:bCs/>
                <w:color w:val="0070C0"/>
              </w:rPr>
              <w:t>I</w:t>
            </w:r>
            <w:r w:rsidR="00A21D01" w:rsidRPr="00184027">
              <w:rPr>
                <w:rFonts w:asciiTheme="minorHAnsi" w:hAnsiTheme="minorHAnsi" w:cstheme="minorHAnsi"/>
                <w:b/>
                <w:bCs/>
                <w:color w:val="0070C0"/>
              </w:rPr>
              <w:t xml:space="preserve">nflation </w:t>
            </w:r>
            <w:r w:rsidRPr="00184027">
              <w:rPr>
                <w:rFonts w:asciiTheme="minorHAnsi" w:hAnsiTheme="minorHAnsi" w:cstheme="minorHAnsi"/>
                <w:b/>
                <w:bCs/>
                <w:color w:val="0070C0"/>
              </w:rPr>
              <w:t xml:space="preserve">forecast </w:t>
            </w:r>
            <w:r w:rsidR="00A21D01" w:rsidRPr="00184027">
              <w:rPr>
                <w:rFonts w:asciiTheme="minorHAnsi" w:hAnsiTheme="minorHAnsi" w:cstheme="minorHAnsi"/>
                <w:b/>
                <w:bCs/>
                <w:color w:val="0070C0"/>
              </w:rPr>
              <w:t>for the coming year</w:t>
            </w:r>
            <w:r w:rsidR="00D62B59" w:rsidRPr="00184027">
              <w:rPr>
                <w:rFonts w:asciiTheme="minorHAnsi" w:hAnsiTheme="minorHAnsi" w:cstheme="minorHAnsi"/>
                <w:b/>
                <w:bCs/>
                <w:color w:val="0070C0"/>
              </w:rPr>
              <w:t xml:space="preserve"> and interest rate forecast for one year from now</w:t>
            </w:r>
          </w:p>
        </w:tc>
      </w:tr>
      <w:tr w:rsidR="00A21D01" w:rsidRPr="00184027" w14:paraId="50D36D97" w14:textId="77777777" w:rsidTr="00211EF7">
        <w:trPr>
          <w:trHeight w:val="316"/>
          <w:tblHeader/>
        </w:trPr>
        <w:tc>
          <w:tcPr>
            <w:tcW w:w="8233" w:type="dxa"/>
            <w:gridSpan w:val="4"/>
            <w:tcBorders>
              <w:top w:val="nil"/>
              <w:left w:val="nil"/>
              <w:bottom w:val="single" w:sz="4" w:space="0" w:color="auto"/>
              <w:right w:val="nil"/>
            </w:tcBorders>
            <w:shd w:val="clear" w:color="000000" w:fill="FFFFFF"/>
            <w:noWrap/>
            <w:vAlign w:val="center"/>
            <w:hideMark/>
          </w:tcPr>
          <w:p w14:paraId="019BCB50" w14:textId="77777777" w:rsidR="00A21D01" w:rsidRPr="00184027" w:rsidRDefault="00A21D01" w:rsidP="00211EF7">
            <w:pPr>
              <w:bidi w:val="0"/>
              <w:jc w:val="right"/>
              <w:rPr>
                <w:rFonts w:asciiTheme="minorHAnsi" w:hAnsiTheme="minorHAnsi" w:cstheme="minorHAnsi"/>
                <w:color w:val="0070C0"/>
                <w:sz w:val="22"/>
                <w:szCs w:val="22"/>
              </w:rPr>
            </w:pPr>
            <w:r w:rsidRPr="00184027">
              <w:rPr>
                <w:rFonts w:asciiTheme="minorHAnsi" w:hAnsiTheme="minorHAnsi" w:cstheme="minorHAnsi"/>
                <w:color w:val="0070C0"/>
                <w:sz w:val="22"/>
                <w:szCs w:val="22"/>
              </w:rPr>
              <w:t>(percent)</w:t>
            </w:r>
          </w:p>
        </w:tc>
      </w:tr>
      <w:tr w:rsidR="00A21D01" w:rsidRPr="00184027" w14:paraId="6F08B337" w14:textId="77777777" w:rsidTr="0044397B">
        <w:trPr>
          <w:trHeight w:val="683"/>
          <w:tblHeader/>
        </w:trPr>
        <w:tc>
          <w:tcPr>
            <w:tcW w:w="2480" w:type="dxa"/>
            <w:tcBorders>
              <w:top w:val="nil"/>
              <w:left w:val="nil"/>
              <w:bottom w:val="nil"/>
              <w:right w:val="nil"/>
            </w:tcBorders>
            <w:shd w:val="clear" w:color="000000" w:fill="FFFFFF"/>
            <w:vAlign w:val="center"/>
            <w:hideMark/>
          </w:tcPr>
          <w:p w14:paraId="5A20162B" w14:textId="77777777" w:rsidR="00A21D01" w:rsidRPr="00184027" w:rsidRDefault="00A21D01" w:rsidP="0044397B">
            <w:pPr>
              <w:bidi w:val="0"/>
              <w:jc w:val="center"/>
              <w:rPr>
                <w:rFonts w:asciiTheme="minorHAnsi" w:hAnsiTheme="minorHAnsi" w:cstheme="minorHAnsi"/>
              </w:rPr>
            </w:pPr>
          </w:p>
        </w:tc>
        <w:tc>
          <w:tcPr>
            <w:tcW w:w="2094" w:type="dxa"/>
            <w:tcBorders>
              <w:top w:val="nil"/>
              <w:left w:val="nil"/>
              <w:bottom w:val="nil"/>
              <w:right w:val="nil"/>
            </w:tcBorders>
            <w:shd w:val="clear" w:color="000000" w:fill="FFFFFF"/>
            <w:vAlign w:val="center"/>
            <w:hideMark/>
          </w:tcPr>
          <w:p w14:paraId="1BFF4C89" w14:textId="32F70915" w:rsidR="00A21D01" w:rsidRPr="00184027" w:rsidRDefault="00A21D01" w:rsidP="0044397B">
            <w:pPr>
              <w:bidi w:val="0"/>
              <w:jc w:val="center"/>
              <w:rPr>
                <w:rFonts w:asciiTheme="minorHAnsi" w:hAnsiTheme="minorHAnsi" w:cstheme="minorHAnsi"/>
                <w:vertAlign w:val="superscript"/>
              </w:rPr>
            </w:pPr>
            <w:r w:rsidRPr="00184027">
              <w:rPr>
                <w:rFonts w:asciiTheme="minorHAnsi" w:hAnsiTheme="minorHAnsi" w:cstheme="minorHAnsi"/>
              </w:rPr>
              <w:t xml:space="preserve">Bank of Israel Research </w:t>
            </w:r>
            <w:proofErr w:type="spellStart"/>
            <w:r w:rsidRPr="00184027">
              <w:rPr>
                <w:rFonts w:asciiTheme="minorHAnsi" w:hAnsiTheme="minorHAnsi" w:cstheme="minorHAnsi"/>
              </w:rPr>
              <w:t>Department</w:t>
            </w:r>
            <w:r w:rsidR="00F93D9D" w:rsidRPr="00184027">
              <w:rPr>
                <w:rFonts w:asciiTheme="minorHAnsi" w:hAnsiTheme="minorHAnsi" w:cstheme="minorHAnsi"/>
                <w:vertAlign w:val="superscript"/>
              </w:rPr>
              <w:t>a</w:t>
            </w:r>
            <w:proofErr w:type="spellEnd"/>
          </w:p>
        </w:tc>
        <w:tc>
          <w:tcPr>
            <w:tcW w:w="1540" w:type="dxa"/>
            <w:tcBorders>
              <w:top w:val="nil"/>
              <w:left w:val="nil"/>
              <w:bottom w:val="nil"/>
              <w:right w:val="nil"/>
            </w:tcBorders>
            <w:shd w:val="clear" w:color="000000" w:fill="FFFFFF"/>
            <w:vAlign w:val="center"/>
            <w:hideMark/>
          </w:tcPr>
          <w:p w14:paraId="2C27E03D" w14:textId="20F09656" w:rsidR="00A21D01" w:rsidRPr="00184027" w:rsidRDefault="00A21D01" w:rsidP="0044397B">
            <w:pPr>
              <w:bidi w:val="0"/>
              <w:jc w:val="center"/>
              <w:rPr>
                <w:rFonts w:asciiTheme="minorHAnsi" w:hAnsiTheme="minorHAnsi" w:cstheme="minorHAnsi"/>
              </w:rPr>
            </w:pPr>
            <w:r w:rsidRPr="00184027">
              <w:rPr>
                <w:rFonts w:asciiTheme="minorHAnsi" w:hAnsiTheme="minorHAnsi" w:cstheme="minorHAnsi"/>
              </w:rPr>
              <w:t xml:space="preserve">Capital </w:t>
            </w:r>
            <w:proofErr w:type="spellStart"/>
            <w:r w:rsidRPr="00184027">
              <w:rPr>
                <w:rFonts w:asciiTheme="minorHAnsi" w:hAnsiTheme="minorHAnsi" w:cstheme="minorHAnsi"/>
              </w:rPr>
              <w:t>markets</w:t>
            </w:r>
            <w:r w:rsidR="00F93D9D" w:rsidRPr="00184027">
              <w:rPr>
                <w:rFonts w:asciiTheme="minorHAnsi" w:hAnsiTheme="minorHAnsi" w:cstheme="minorHAnsi"/>
                <w:vertAlign w:val="superscript"/>
              </w:rPr>
              <w:t>b</w:t>
            </w:r>
            <w:proofErr w:type="spellEnd"/>
          </w:p>
        </w:tc>
        <w:tc>
          <w:tcPr>
            <w:tcW w:w="2119" w:type="dxa"/>
            <w:tcBorders>
              <w:top w:val="nil"/>
              <w:left w:val="nil"/>
              <w:bottom w:val="nil"/>
              <w:right w:val="nil"/>
            </w:tcBorders>
            <w:shd w:val="clear" w:color="000000" w:fill="FFFFFF"/>
            <w:vAlign w:val="center"/>
            <w:hideMark/>
          </w:tcPr>
          <w:p w14:paraId="10D24E0B" w14:textId="02D9E8C6" w:rsidR="00A21D01" w:rsidRPr="00184027" w:rsidRDefault="00A21D01" w:rsidP="0044397B">
            <w:pPr>
              <w:bidi w:val="0"/>
              <w:jc w:val="center"/>
              <w:rPr>
                <w:rFonts w:asciiTheme="minorHAnsi" w:hAnsiTheme="minorHAnsi" w:cstheme="minorHAnsi"/>
              </w:rPr>
            </w:pPr>
            <w:r w:rsidRPr="00184027">
              <w:rPr>
                <w:rFonts w:asciiTheme="minorHAnsi" w:hAnsiTheme="minorHAnsi" w:cstheme="minorHAnsi"/>
              </w:rPr>
              <w:t xml:space="preserve">Private </w:t>
            </w:r>
            <w:proofErr w:type="spellStart"/>
            <w:r w:rsidRPr="00184027">
              <w:rPr>
                <w:rFonts w:asciiTheme="minorHAnsi" w:hAnsiTheme="minorHAnsi" w:cstheme="minorHAnsi"/>
              </w:rPr>
              <w:t>forecasters</w:t>
            </w:r>
            <w:r w:rsidR="00F93D9D" w:rsidRPr="00184027">
              <w:rPr>
                <w:rFonts w:asciiTheme="minorHAnsi" w:hAnsiTheme="minorHAnsi" w:cstheme="minorHAnsi"/>
                <w:vertAlign w:val="superscript"/>
              </w:rPr>
              <w:t>c</w:t>
            </w:r>
            <w:proofErr w:type="spellEnd"/>
            <w:r w:rsidR="00F93D9D" w:rsidRPr="00184027">
              <w:rPr>
                <w:rFonts w:asciiTheme="minorHAnsi" w:hAnsiTheme="minorHAnsi" w:cstheme="minorHAnsi"/>
              </w:rPr>
              <w:t xml:space="preserve"> (range of forecasts)</w:t>
            </w:r>
          </w:p>
        </w:tc>
      </w:tr>
      <w:tr w:rsidR="00F53855" w:rsidRPr="00184027" w14:paraId="2A7A5559" w14:textId="77777777" w:rsidTr="00BE556B">
        <w:trPr>
          <w:trHeight w:val="280"/>
          <w:tblHeader/>
        </w:trPr>
        <w:tc>
          <w:tcPr>
            <w:tcW w:w="2480" w:type="dxa"/>
            <w:tcBorders>
              <w:top w:val="single" w:sz="4" w:space="0" w:color="auto"/>
              <w:left w:val="nil"/>
              <w:bottom w:val="nil"/>
              <w:right w:val="nil"/>
            </w:tcBorders>
            <w:shd w:val="clear" w:color="auto" w:fill="auto"/>
            <w:vAlign w:val="center"/>
            <w:hideMark/>
          </w:tcPr>
          <w:p w14:paraId="3BD0402A" w14:textId="54408167" w:rsidR="00F53855" w:rsidRPr="00184027" w:rsidRDefault="00F53855" w:rsidP="00F93D9D">
            <w:pPr>
              <w:bidi w:val="0"/>
              <w:jc w:val="center"/>
              <w:rPr>
                <w:rFonts w:asciiTheme="minorHAnsi" w:hAnsiTheme="minorHAnsi" w:cstheme="minorHAnsi"/>
              </w:rPr>
            </w:pPr>
            <w:r w:rsidRPr="00184027">
              <w:rPr>
                <w:rFonts w:asciiTheme="minorHAnsi" w:hAnsiTheme="minorHAnsi" w:cstheme="minorHAnsi"/>
              </w:rPr>
              <w:t>Inflation rate</w:t>
            </w:r>
          </w:p>
        </w:tc>
        <w:tc>
          <w:tcPr>
            <w:tcW w:w="2094" w:type="dxa"/>
            <w:tcBorders>
              <w:top w:val="single" w:sz="4" w:space="0" w:color="auto"/>
              <w:left w:val="nil"/>
              <w:bottom w:val="nil"/>
              <w:right w:val="nil"/>
            </w:tcBorders>
            <w:shd w:val="clear" w:color="auto" w:fill="auto"/>
            <w:vAlign w:val="center"/>
          </w:tcPr>
          <w:p w14:paraId="3F3A5669" w14:textId="4C5F98CD" w:rsidR="00A2696D" w:rsidRPr="00184027" w:rsidRDefault="00EC32FA" w:rsidP="00677A3F">
            <w:pPr>
              <w:bidi w:val="0"/>
              <w:jc w:val="center"/>
              <w:rPr>
                <w:rFonts w:asciiTheme="minorHAnsi" w:hAnsiTheme="minorHAnsi" w:cstheme="minorHAnsi"/>
              </w:rPr>
            </w:pPr>
            <w:r w:rsidRPr="00184027">
              <w:rPr>
                <w:rFonts w:asciiTheme="minorHAnsi" w:hAnsiTheme="minorHAnsi" w:cstheme="minorHAnsi"/>
              </w:rPr>
              <w:t>2.</w:t>
            </w:r>
            <w:r w:rsidR="00677A3F" w:rsidRPr="00184027">
              <w:rPr>
                <w:rFonts w:asciiTheme="minorHAnsi" w:hAnsiTheme="minorHAnsi" w:cstheme="minorHAnsi"/>
              </w:rPr>
              <w:t>2</w:t>
            </w:r>
          </w:p>
        </w:tc>
        <w:tc>
          <w:tcPr>
            <w:tcW w:w="1540" w:type="dxa"/>
            <w:tcBorders>
              <w:top w:val="single" w:sz="4" w:space="0" w:color="auto"/>
              <w:left w:val="nil"/>
              <w:bottom w:val="nil"/>
              <w:right w:val="nil"/>
            </w:tcBorders>
            <w:shd w:val="clear" w:color="auto" w:fill="auto"/>
            <w:vAlign w:val="center"/>
          </w:tcPr>
          <w:p w14:paraId="3C11DB1A" w14:textId="2BC7A41A" w:rsidR="00F53855" w:rsidRPr="00184027" w:rsidRDefault="00F93D9D" w:rsidP="00677A3F">
            <w:pPr>
              <w:bidi w:val="0"/>
              <w:jc w:val="center"/>
              <w:rPr>
                <w:rFonts w:asciiTheme="minorHAnsi" w:hAnsiTheme="minorHAnsi" w:cstheme="minorHAnsi"/>
              </w:rPr>
            </w:pPr>
            <w:r w:rsidRPr="00184027">
              <w:rPr>
                <w:rFonts w:asciiTheme="minorHAnsi" w:hAnsiTheme="minorHAnsi" w:cstheme="minorHAnsi"/>
              </w:rPr>
              <w:t>1.</w:t>
            </w:r>
            <w:r w:rsidR="00677A3F" w:rsidRPr="00184027">
              <w:rPr>
                <w:rFonts w:asciiTheme="minorHAnsi" w:hAnsiTheme="minorHAnsi" w:cstheme="minorHAnsi"/>
              </w:rPr>
              <w:t>6</w:t>
            </w:r>
          </w:p>
        </w:tc>
        <w:tc>
          <w:tcPr>
            <w:tcW w:w="2119" w:type="dxa"/>
            <w:tcBorders>
              <w:top w:val="single" w:sz="4" w:space="0" w:color="auto"/>
              <w:left w:val="nil"/>
              <w:bottom w:val="nil"/>
              <w:right w:val="nil"/>
            </w:tcBorders>
            <w:shd w:val="clear" w:color="auto" w:fill="auto"/>
            <w:vAlign w:val="center"/>
          </w:tcPr>
          <w:p w14:paraId="140F4FF0" w14:textId="238E1B1A" w:rsidR="00F53855" w:rsidRPr="00184027" w:rsidRDefault="00EC32FA" w:rsidP="00871F11">
            <w:pPr>
              <w:bidi w:val="0"/>
              <w:jc w:val="center"/>
              <w:rPr>
                <w:rFonts w:asciiTheme="minorHAnsi" w:hAnsiTheme="minorHAnsi" w:cstheme="minorHAnsi"/>
              </w:rPr>
            </w:pPr>
            <w:r w:rsidRPr="00184027">
              <w:rPr>
                <w:rFonts w:asciiTheme="minorHAnsi" w:hAnsiTheme="minorHAnsi" w:cstheme="minorHAnsi"/>
              </w:rPr>
              <w:t>2.</w:t>
            </w:r>
            <w:r w:rsidR="004B7FE3" w:rsidRPr="00184027">
              <w:rPr>
                <w:rFonts w:asciiTheme="minorHAnsi" w:hAnsiTheme="minorHAnsi" w:cstheme="minorHAnsi"/>
              </w:rPr>
              <w:t>3</w:t>
            </w:r>
          </w:p>
        </w:tc>
      </w:tr>
      <w:tr w:rsidR="00F53855" w:rsidRPr="00184027" w14:paraId="7CA280C5" w14:textId="77777777" w:rsidTr="00BE556B">
        <w:trPr>
          <w:trHeight w:val="281"/>
          <w:tblHeader/>
        </w:trPr>
        <w:tc>
          <w:tcPr>
            <w:tcW w:w="2480" w:type="dxa"/>
            <w:tcBorders>
              <w:top w:val="nil"/>
              <w:left w:val="nil"/>
              <w:bottom w:val="single" w:sz="4" w:space="0" w:color="auto"/>
              <w:right w:val="nil"/>
            </w:tcBorders>
            <w:shd w:val="clear" w:color="auto" w:fill="auto"/>
            <w:vAlign w:val="center"/>
            <w:hideMark/>
          </w:tcPr>
          <w:p w14:paraId="322902C9" w14:textId="77777777" w:rsidR="00F53855" w:rsidRPr="00184027" w:rsidRDefault="00F53855" w:rsidP="0044397B">
            <w:pPr>
              <w:bidi w:val="0"/>
              <w:jc w:val="center"/>
              <w:rPr>
                <w:rFonts w:asciiTheme="minorHAnsi" w:hAnsiTheme="minorHAnsi" w:cstheme="minorHAnsi"/>
              </w:rPr>
            </w:pPr>
            <w:r w:rsidRPr="00184027">
              <w:rPr>
                <w:rFonts w:asciiTheme="minorHAnsi" w:hAnsiTheme="minorHAnsi" w:cstheme="minorHAnsi"/>
              </w:rPr>
              <w:t>(range of forecasts)</w:t>
            </w:r>
          </w:p>
        </w:tc>
        <w:tc>
          <w:tcPr>
            <w:tcW w:w="2094" w:type="dxa"/>
            <w:tcBorders>
              <w:top w:val="nil"/>
              <w:left w:val="nil"/>
              <w:bottom w:val="single" w:sz="4" w:space="0" w:color="auto"/>
              <w:right w:val="nil"/>
            </w:tcBorders>
            <w:shd w:val="clear" w:color="auto" w:fill="auto"/>
            <w:vAlign w:val="center"/>
          </w:tcPr>
          <w:p w14:paraId="6A5CAF7C" w14:textId="77777777" w:rsidR="00F53855" w:rsidRPr="00184027" w:rsidRDefault="00F53855" w:rsidP="0044397B">
            <w:pPr>
              <w:bidi w:val="0"/>
              <w:jc w:val="center"/>
              <w:rPr>
                <w:rFonts w:asciiTheme="minorHAnsi" w:hAnsiTheme="minorHAnsi" w:cstheme="minorHAnsi"/>
              </w:rPr>
            </w:pPr>
          </w:p>
        </w:tc>
        <w:tc>
          <w:tcPr>
            <w:tcW w:w="1540" w:type="dxa"/>
            <w:tcBorders>
              <w:top w:val="nil"/>
              <w:left w:val="nil"/>
              <w:bottom w:val="single" w:sz="4" w:space="0" w:color="auto"/>
              <w:right w:val="nil"/>
            </w:tcBorders>
            <w:shd w:val="clear" w:color="auto" w:fill="auto"/>
            <w:vAlign w:val="center"/>
          </w:tcPr>
          <w:p w14:paraId="00C5196B" w14:textId="77777777" w:rsidR="00F53855" w:rsidRPr="00184027" w:rsidRDefault="00F53855" w:rsidP="0044397B">
            <w:pPr>
              <w:bidi w:val="0"/>
              <w:jc w:val="center"/>
              <w:rPr>
                <w:rFonts w:asciiTheme="minorHAnsi" w:hAnsiTheme="minorHAnsi" w:cstheme="minorHAnsi"/>
              </w:rPr>
            </w:pPr>
          </w:p>
        </w:tc>
        <w:tc>
          <w:tcPr>
            <w:tcW w:w="2119" w:type="dxa"/>
            <w:tcBorders>
              <w:top w:val="nil"/>
              <w:left w:val="nil"/>
              <w:bottom w:val="nil"/>
              <w:right w:val="nil"/>
            </w:tcBorders>
            <w:shd w:val="clear" w:color="auto" w:fill="auto"/>
            <w:noWrap/>
            <w:vAlign w:val="center"/>
          </w:tcPr>
          <w:p w14:paraId="246CCA88" w14:textId="72458663" w:rsidR="00F53855" w:rsidRPr="00184027" w:rsidRDefault="000D5119" w:rsidP="00677A3F">
            <w:pPr>
              <w:bidi w:val="0"/>
              <w:jc w:val="center"/>
              <w:rPr>
                <w:rFonts w:asciiTheme="minorHAnsi" w:hAnsiTheme="minorHAnsi" w:cstheme="minorHAnsi"/>
              </w:rPr>
            </w:pPr>
            <w:r w:rsidRPr="00184027">
              <w:rPr>
                <w:rFonts w:asciiTheme="minorHAnsi" w:hAnsiTheme="minorHAnsi" w:cstheme="minorHAnsi"/>
              </w:rPr>
              <w:t>(</w:t>
            </w:r>
            <w:r w:rsidR="00677A3F" w:rsidRPr="00184027">
              <w:rPr>
                <w:rFonts w:asciiTheme="minorHAnsi" w:hAnsiTheme="minorHAnsi" w:cstheme="minorHAnsi"/>
              </w:rPr>
              <w:t>1.8</w:t>
            </w:r>
            <w:r w:rsidRPr="00184027">
              <w:rPr>
                <w:rFonts w:asciiTheme="minorHAnsi" w:hAnsiTheme="minorHAnsi" w:cstheme="minorHAnsi"/>
              </w:rPr>
              <w:t>–</w:t>
            </w:r>
            <w:r w:rsidR="00677A3F" w:rsidRPr="00184027">
              <w:rPr>
                <w:rFonts w:asciiTheme="minorHAnsi" w:hAnsiTheme="minorHAnsi" w:cstheme="minorHAnsi"/>
              </w:rPr>
              <w:t>2.7</w:t>
            </w:r>
            <w:r w:rsidRPr="00184027">
              <w:rPr>
                <w:rFonts w:asciiTheme="minorHAnsi" w:hAnsiTheme="minorHAnsi" w:cstheme="minorHAnsi"/>
              </w:rPr>
              <w:t>)</w:t>
            </w:r>
          </w:p>
        </w:tc>
      </w:tr>
      <w:tr w:rsidR="00F53855" w:rsidRPr="00184027" w14:paraId="50390345" w14:textId="77777777" w:rsidTr="004C2B26">
        <w:trPr>
          <w:trHeight w:val="274"/>
          <w:tblHeader/>
        </w:trPr>
        <w:tc>
          <w:tcPr>
            <w:tcW w:w="2480" w:type="dxa"/>
            <w:tcBorders>
              <w:top w:val="nil"/>
              <w:left w:val="nil"/>
              <w:bottom w:val="nil"/>
              <w:right w:val="nil"/>
            </w:tcBorders>
            <w:shd w:val="clear" w:color="auto" w:fill="auto"/>
            <w:vAlign w:val="center"/>
            <w:hideMark/>
          </w:tcPr>
          <w:p w14:paraId="01330835" w14:textId="23DB0028" w:rsidR="00F53855" w:rsidRPr="00184027" w:rsidRDefault="00F53855" w:rsidP="00F93D9D">
            <w:pPr>
              <w:bidi w:val="0"/>
              <w:jc w:val="center"/>
              <w:rPr>
                <w:rFonts w:asciiTheme="minorHAnsi" w:hAnsiTheme="minorHAnsi" w:cstheme="minorHAnsi"/>
              </w:rPr>
            </w:pPr>
            <w:r w:rsidRPr="00184027">
              <w:rPr>
                <w:rFonts w:asciiTheme="minorHAnsi" w:hAnsiTheme="minorHAnsi" w:cstheme="minorHAnsi"/>
              </w:rPr>
              <w:t>Interest rate</w:t>
            </w:r>
          </w:p>
        </w:tc>
        <w:tc>
          <w:tcPr>
            <w:tcW w:w="2094" w:type="dxa"/>
            <w:tcBorders>
              <w:top w:val="nil"/>
              <w:left w:val="nil"/>
              <w:bottom w:val="nil"/>
              <w:right w:val="nil"/>
            </w:tcBorders>
            <w:shd w:val="clear" w:color="auto" w:fill="auto"/>
            <w:vAlign w:val="center"/>
          </w:tcPr>
          <w:p w14:paraId="1DCE9413" w14:textId="6F4DFCC0" w:rsidR="00F53855" w:rsidRPr="00184027" w:rsidRDefault="00677A3F" w:rsidP="00F93D9D">
            <w:pPr>
              <w:bidi w:val="0"/>
              <w:jc w:val="center"/>
              <w:rPr>
                <w:rFonts w:asciiTheme="minorHAnsi" w:hAnsiTheme="minorHAnsi" w:cstheme="minorHAnsi"/>
              </w:rPr>
            </w:pPr>
            <w:r w:rsidRPr="00184027">
              <w:rPr>
                <w:rFonts w:asciiTheme="minorHAnsi" w:hAnsiTheme="minorHAnsi" w:cstheme="minorHAnsi"/>
              </w:rPr>
              <w:t>3.75</w:t>
            </w:r>
          </w:p>
        </w:tc>
        <w:tc>
          <w:tcPr>
            <w:tcW w:w="1540" w:type="dxa"/>
            <w:tcBorders>
              <w:top w:val="nil"/>
              <w:left w:val="nil"/>
              <w:bottom w:val="nil"/>
              <w:right w:val="nil"/>
            </w:tcBorders>
            <w:shd w:val="clear" w:color="auto" w:fill="auto"/>
            <w:vAlign w:val="center"/>
          </w:tcPr>
          <w:p w14:paraId="191366EF" w14:textId="406E610F" w:rsidR="004C2B26" w:rsidRPr="00184027" w:rsidRDefault="00871F11" w:rsidP="00677A3F">
            <w:pPr>
              <w:bidi w:val="0"/>
              <w:jc w:val="center"/>
              <w:rPr>
                <w:rFonts w:asciiTheme="minorHAnsi" w:hAnsiTheme="minorHAnsi" w:cstheme="minorHAnsi"/>
              </w:rPr>
            </w:pPr>
            <w:r w:rsidRPr="00184027">
              <w:rPr>
                <w:rFonts w:asciiTheme="minorHAnsi" w:hAnsiTheme="minorHAnsi" w:cstheme="minorHAnsi"/>
              </w:rPr>
              <w:t>3.</w:t>
            </w:r>
            <w:r w:rsidR="00677A3F" w:rsidRPr="00184027">
              <w:rPr>
                <w:rFonts w:asciiTheme="minorHAnsi" w:hAnsiTheme="minorHAnsi" w:cstheme="minorHAnsi"/>
              </w:rPr>
              <w:t>7</w:t>
            </w:r>
          </w:p>
        </w:tc>
        <w:tc>
          <w:tcPr>
            <w:tcW w:w="2119" w:type="dxa"/>
            <w:tcBorders>
              <w:top w:val="single" w:sz="4" w:space="0" w:color="auto"/>
              <w:left w:val="nil"/>
              <w:bottom w:val="nil"/>
              <w:right w:val="nil"/>
            </w:tcBorders>
            <w:shd w:val="clear" w:color="auto" w:fill="auto"/>
            <w:vAlign w:val="center"/>
            <w:hideMark/>
          </w:tcPr>
          <w:p w14:paraId="1860AF7D" w14:textId="69663353" w:rsidR="00F53855" w:rsidRPr="00184027" w:rsidRDefault="00EC32FA" w:rsidP="00677A3F">
            <w:pPr>
              <w:bidi w:val="0"/>
              <w:jc w:val="center"/>
              <w:rPr>
                <w:rFonts w:asciiTheme="minorHAnsi" w:hAnsiTheme="minorHAnsi" w:cstheme="minorHAnsi"/>
                <w:rtl/>
              </w:rPr>
            </w:pPr>
            <w:r w:rsidRPr="00184027">
              <w:rPr>
                <w:rFonts w:asciiTheme="minorHAnsi" w:hAnsiTheme="minorHAnsi" w:cstheme="minorHAnsi"/>
              </w:rPr>
              <w:t>3.</w:t>
            </w:r>
            <w:r w:rsidR="004B7FE3" w:rsidRPr="00184027">
              <w:rPr>
                <w:rFonts w:asciiTheme="minorHAnsi" w:hAnsiTheme="minorHAnsi" w:cstheme="minorHAnsi"/>
              </w:rPr>
              <w:t>7</w:t>
            </w:r>
          </w:p>
        </w:tc>
      </w:tr>
      <w:tr w:rsidR="00F53855" w:rsidRPr="00184027" w14:paraId="67D96607" w14:textId="77777777" w:rsidTr="000D5119">
        <w:trPr>
          <w:trHeight w:val="238"/>
          <w:tblHeader/>
        </w:trPr>
        <w:tc>
          <w:tcPr>
            <w:tcW w:w="2480" w:type="dxa"/>
            <w:tcBorders>
              <w:top w:val="nil"/>
              <w:left w:val="nil"/>
              <w:bottom w:val="single" w:sz="4" w:space="0" w:color="auto"/>
              <w:right w:val="nil"/>
            </w:tcBorders>
            <w:shd w:val="clear" w:color="auto" w:fill="auto"/>
            <w:vAlign w:val="center"/>
            <w:hideMark/>
          </w:tcPr>
          <w:p w14:paraId="363F60BF" w14:textId="77777777" w:rsidR="00F53855" w:rsidRPr="00184027" w:rsidRDefault="00F53855" w:rsidP="0044397B">
            <w:pPr>
              <w:bidi w:val="0"/>
              <w:jc w:val="center"/>
              <w:rPr>
                <w:rFonts w:asciiTheme="minorHAnsi" w:hAnsiTheme="minorHAnsi" w:cstheme="minorHAnsi"/>
              </w:rPr>
            </w:pPr>
            <w:r w:rsidRPr="00184027">
              <w:rPr>
                <w:rFonts w:asciiTheme="minorHAnsi" w:hAnsiTheme="minorHAnsi" w:cstheme="minorHAnsi"/>
              </w:rPr>
              <w:t>(range of forecasts)</w:t>
            </w:r>
          </w:p>
        </w:tc>
        <w:tc>
          <w:tcPr>
            <w:tcW w:w="2094" w:type="dxa"/>
            <w:tcBorders>
              <w:top w:val="nil"/>
              <w:left w:val="nil"/>
              <w:bottom w:val="single" w:sz="4" w:space="0" w:color="auto"/>
              <w:right w:val="nil"/>
            </w:tcBorders>
            <w:shd w:val="clear" w:color="auto" w:fill="auto"/>
            <w:vAlign w:val="center"/>
            <w:hideMark/>
          </w:tcPr>
          <w:p w14:paraId="386F461F" w14:textId="77777777" w:rsidR="00F53855" w:rsidRPr="00184027" w:rsidRDefault="00F53855" w:rsidP="0044397B">
            <w:pPr>
              <w:bidi w:val="0"/>
              <w:jc w:val="center"/>
              <w:rPr>
                <w:rFonts w:asciiTheme="minorHAnsi" w:hAnsiTheme="minorHAnsi" w:cstheme="minorHAnsi"/>
              </w:rPr>
            </w:pPr>
          </w:p>
        </w:tc>
        <w:tc>
          <w:tcPr>
            <w:tcW w:w="1540" w:type="dxa"/>
            <w:tcBorders>
              <w:top w:val="nil"/>
              <w:left w:val="nil"/>
              <w:bottom w:val="single" w:sz="4" w:space="0" w:color="auto"/>
              <w:right w:val="nil"/>
            </w:tcBorders>
            <w:shd w:val="clear" w:color="auto" w:fill="auto"/>
            <w:vAlign w:val="center"/>
            <w:hideMark/>
          </w:tcPr>
          <w:p w14:paraId="1FE1D8B9" w14:textId="77777777" w:rsidR="00F53855" w:rsidRPr="00184027" w:rsidRDefault="00F53855" w:rsidP="0044397B">
            <w:pPr>
              <w:bidi w:val="0"/>
              <w:jc w:val="center"/>
              <w:rPr>
                <w:rFonts w:asciiTheme="minorHAnsi" w:hAnsiTheme="minorHAnsi" w:cstheme="minorHAnsi"/>
              </w:rPr>
            </w:pPr>
          </w:p>
        </w:tc>
        <w:tc>
          <w:tcPr>
            <w:tcW w:w="2119" w:type="dxa"/>
            <w:tcBorders>
              <w:top w:val="nil"/>
              <w:left w:val="nil"/>
              <w:bottom w:val="single" w:sz="4" w:space="0" w:color="auto"/>
              <w:right w:val="nil"/>
            </w:tcBorders>
            <w:shd w:val="clear" w:color="auto" w:fill="auto"/>
            <w:noWrap/>
            <w:vAlign w:val="center"/>
            <w:hideMark/>
          </w:tcPr>
          <w:p w14:paraId="3643F34B" w14:textId="2F3CB385" w:rsidR="00F53855" w:rsidRPr="00184027" w:rsidRDefault="00F53855" w:rsidP="00F93D9D">
            <w:pPr>
              <w:bidi w:val="0"/>
              <w:jc w:val="center"/>
              <w:rPr>
                <w:rFonts w:asciiTheme="minorHAnsi" w:hAnsiTheme="minorHAnsi" w:cstheme="minorHAnsi"/>
              </w:rPr>
            </w:pPr>
            <w:r w:rsidRPr="00184027">
              <w:rPr>
                <w:rFonts w:asciiTheme="minorHAnsi" w:hAnsiTheme="minorHAnsi" w:cstheme="minorHAnsi"/>
              </w:rPr>
              <w:t>(</w:t>
            </w:r>
            <w:r w:rsidR="00EC32FA" w:rsidRPr="00184027">
              <w:rPr>
                <w:rFonts w:asciiTheme="minorHAnsi" w:hAnsiTheme="minorHAnsi" w:cstheme="minorHAnsi"/>
              </w:rPr>
              <w:t>3.</w:t>
            </w:r>
            <w:r w:rsidR="00F93D9D" w:rsidRPr="00184027">
              <w:rPr>
                <w:rFonts w:asciiTheme="minorHAnsi" w:hAnsiTheme="minorHAnsi" w:cstheme="minorHAnsi"/>
              </w:rPr>
              <w:t>3</w:t>
            </w:r>
            <w:r w:rsidR="00A2696D" w:rsidRPr="00184027">
              <w:rPr>
                <w:rFonts w:asciiTheme="minorHAnsi" w:hAnsiTheme="minorHAnsi" w:cstheme="minorHAnsi"/>
              </w:rPr>
              <w:t>–</w:t>
            </w:r>
            <w:r w:rsidR="00995A4F" w:rsidRPr="00184027">
              <w:rPr>
                <w:rFonts w:asciiTheme="minorHAnsi" w:hAnsiTheme="minorHAnsi" w:cstheme="minorHAnsi"/>
              </w:rPr>
              <w:t>4.</w:t>
            </w:r>
            <w:r w:rsidR="004B7FE3" w:rsidRPr="00184027">
              <w:rPr>
                <w:rFonts w:asciiTheme="minorHAnsi" w:hAnsiTheme="minorHAnsi" w:cstheme="minorHAnsi"/>
              </w:rPr>
              <w:t>3</w:t>
            </w:r>
            <w:r w:rsidR="001C55F7" w:rsidRPr="00184027">
              <w:rPr>
                <w:rFonts w:asciiTheme="minorHAnsi" w:hAnsiTheme="minorHAnsi" w:cstheme="minorHAnsi"/>
              </w:rPr>
              <w:t>)</w:t>
            </w:r>
          </w:p>
        </w:tc>
      </w:tr>
      <w:tr w:rsidR="00A21D01" w:rsidRPr="00184027" w14:paraId="79FE25C5" w14:textId="77777777" w:rsidTr="00A21D01">
        <w:trPr>
          <w:trHeight w:val="257"/>
          <w:tblHeader/>
        </w:trPr>
        <w:tc>
          <w:tcPr>
            <w:tcW w:w="8233" w:type="dxa"/>
            <w:gridSpan w:val="4"/>
            <w:tcBorders>
              <w:top w:val="nil"/>
              <w:left w:val="nil"/>
              <w:bottom w:val="nil"/>
              <w:right w:val="nil"/>
            </w:tcBorders>
            <w:shd w:val="clear" w:color="auto" w:fill="auto"/>
            <w:hideMark/>
          </w:tcPr>
          <w:p w14:paraId="7B7E2DE2" w14:textId="37BBE566" w:rsidR="00F93D9D" w:rsidRPr="00184027" w:rsidRDefault="00F93D9D" w:rsidP="00677A3F">
            <w:pPr>
              <w:pStyle w:val="af3"/>
              <w:numPr>
                <w:ilvl w:val="0"/>
                <w:numId w:val="11"/>
              </w:numPr>
              <w:bidi w:val="0"/>
              <w:rPr>
                <w:rFonts w:asciiTheme="minorHAnsi" w:hAnsiTheme="minorHAnsi" w:cstheme="minorHAnsi"/>
                <w:sz w:val="20"/>
                <w:szCs w:val="20"/>
              </w:rPr>
            </w:pPr>
            <w:r w:rsidRPr="00184027">
              <w:rPr>
                <w:rFonts w:asciiTheme="minorHAnsi" w:hAnsiTheme="minorHAnsi" w:cstheme="minorHAnsi"/>
                <w:sz w:val="20"/>
                <w:szCs w:val="20"/>
              </w:rPr>
              <w:t xml:space="preserve">The inflation rate during the four quarters ending in the </w:t>
            </w:r>
            <w:r w:rsidR="00677A3F" w:rsidRPr="00184027">
              <w:rPr>
                <w:rFonts w:asciiTheme="minorHAnsi" w:hAnsiTheme="minorHAnsi" w:cstheme="minorHAnsi"/>
                <w:sz w:val="20"/>
                <w:szCs w:val="20"/>
              </w:rPr>
              <w:t>second</w:t>
            </w:r>
            <w:r w:rsidRPr="00184027">
              <w:rPr>
                <w:rFonts w:asciiTheme="minorHAnsi" w:hAnsiTheme="minorHAnsi" w:cstheme="minorHAnsi"/>
                <w:sz w:val="20"/>
                <w:szCs w:val="20"/>
              </w:rPr>
              <w:t xml:space="preserve"> quarter of 2026, and the average interest rate in the </w:t>
            </w:r>
            <w:r w:rsidR="00677A3F" w:rsidRPr="00184027">
              <w:rPr>
                <w:rFonts w:asciiTheme="minorHAnsi" w:hAnsiTheme="minorHAnsi" w:cstheme="minorHAnsi"/>
                <w:sz w:val="20"/>
                <w:szCs w:val="20"/>
              </w:rPr>
              <w:t>second</w:t>
            </w:r>
            <w:r w:rsidRPr="00184027">
              <w:rPr>
                <w:rFonts w:asciiTheme="minorHAnsi" w:hAnsiTheme="minorHAnsi" w:cstheme="minorHAnsi"/>
                <w:sz w:val="20"/>
                <w:szCs w:val="20"/>
              </w:rPr>
              <w:t xml:space="preserve"> quarter of 2026.</w:t>
            </w:r>
          </w:p>
          <w:p w14:paraId="1A2BF5F5" w14:textId="3DC18DDA" w:rsidR="00446B32" w:rsidRPr="00184027" w:rsidRDefault="00F93D9D" w:rsidP="00817D4A">
            <w:pPr>
              <w:pStyle w:val="af3"/>
              <w:numPr>
                <w:ilvl w:val="0"/>
                <w:numId w:val="11"/>
              </w:numPr>
              <w:bidi w:val="0"/>
              <w:rPr>
                <w:rFonts w:asciiTheme="minorHAnsi" w:hAnsiTheme="minorHAnsi" w:cstheme="minorHAnsi"/>
                <w:sz w:val="20"/>
                <w:szCs w:val="20"/>
              </w:rPr>
            </w:pPr>
            <w:r w:rsidRPr="00184027">
              <w:rPr>
                <w:rFonts w:asciiTheme="minorHAnsi" w:hAnsiTheme="minorHAnsi" w:cstheme="minorHAnsi"/>
                <w:sz w:val="20"/>
                <w:szCs w:val="20"/>
              </w:rPr>
              <w:t>A</w:t>
            </w:r>
            <w:r w:rsidR="00862770" w:rsidRPr="00184027">
              <w:rPr>
                <w:rFonts w:asciiTheme="minorHAnsi" w:hAnsiTheme="minorHAnsi" w:cstheme="minorHAnsi"/>
                <w:sz w:val="20"/>
                <w:szCs w:val="20"/>
              </w:rPr>
              <w:t xml:space="preserve">s of </w:t>
            </w:r>
            <w:r w:rsidR="00677A3F" w:rsidRPr="00184027">
              <w:rPr>
                <w:rFonts w:asciiTheme="minorHAnsi" w:hAnsiTheme="minorHAnsi" w:cstheme="minorHAnsi"/>
                <w:sz w:val="20"/>
                <w:szCs w:val="20"/>
              </w:rPr>
              <w:t>July</w:t>
            </w:r>
            <w:r w:rsidR="00EC32FA" w:rsidRPr="00184027">
              <w:rPr>
                <w:rFonts w:asciiTheme="minorHAnsi" w:hAnsiTheme="minorHAnsi" w:cstheme="minorHAnsi"/>
                <w:sz w:val="20"/>
                <w:szCs w:val="20"/>
              </w:rPr>
              <w:t xml:space="preserve"> </w:t>
            </w:r>
            <w:r w:rsidR="00871F11" w:rsidRPr="00184027">
              <w:rPr>
                <w:rFonts w:asciiTheme="minorHAnsi" w:hAnsiTheme="minorHAnsi" w:cstheme="minorHAnsi"/>
                <w:sz w:val="20"/>
                <w:szCs w:val="20"/>
              </w:rPr>
              <w:t>6</w:t>
            </w:r>
            <w:r w:rsidR="00EC32FA" w:rsidRPr="00184027">
              <w:rPr>
                <w:rFonts w:asciiTheme="minorHAnsi" w:hAnsiTheme="minorHAnsi" w:cstheme="minorHAnsi"/>
                <w:sz w:val="20"/>
                <w:szCs w:val="20"/>
              </w:rPr>
              <w:t>, 2025</w:t>
            </w:r>
            <w:r w:rsidR="005650EE" w:rsidRPr="00184027">
              <w:rPr>
                <w:rFonts w:asciiTheme="minorHAnsi" w:hAnsiTheme="minorHAnsi" w:cstheme="minorHAnsi"/>
                <w:sz w:val="20"/>
                <w:szCs w:val="20"/>
              </w:rPr>
              <w:t>.</w:t>
            </w:r>
            <w:r w:rsidRPr="00184027">
              <w:rPr>
                <w:rFonts w:asciiTheme="minorHAnsi" w:hAnsiTheme="minorHAnsi" w:cstheme="minorHAnsi"/>
                <w:sz w:val="20"/>
                <w:szCs w:val="20"/>
              </w:rPr>
              <w:t xml:space="preserve"> Inflation expectations are seasonally adjusted and the interest rate expectations are based on </w:t>
            </w:r>
            <w:r w:rsidR="00E57458" w:rsidRPr="00184027">
              <w:rPr>
                <w:rFonts w:asciiTheme="minorHAnsi" w:hAnsiTheme="minorHAnsi" w:cstheme="minorHAnsi"/>
                <w:sz w:val="20"/>
                <w:szCs w:val="20"/>
              </w:rPr>
              <w:t xml:space="preserve">the Bank of Israel’s analysis of </w:t>
            </w:r>
            <w:r w:rsidRPr="00184027">
              <w:rPr>
                <w:rFonts w:asciiTheme="minorHAnsi" w:hAnsiTheme="minorHAnsi" w:cstheme="minorHAnsi"/>
                <w:sz w:val="20"/>
                <w:szCs w:val="20"/>
              </w:rPr>
              <w:t xml:space="preserve">the </w:t>
            </w:r>
            <w:r w:rsidR="00410812" w:rsidRPr="00184027">
              <w:rPr>
                <w:rFonts w:asciiTheme="minorHAnsi" w:hAnsiTheme="minorHAnsi" w:cstheme="minorHAnsi"/>
                <w:sz w:val="20"/>
                <w:szCs w:val="20"/>
              </w:rPr>
              <w:t xml:space="preserve">average quotes </w:t>
            </w:r>
            <w:r w:rsidR="00817D4A" w:rsidRPr="00184027">
              <w:rPr>
                <w:rFonts w:asciiTheme="minorHAnsi" w:hAnsiTheme="minorHAnsi" w:cstheme="minorHAnsi"/>
                <w:sz w:val="20"/>
                <w:szCs w:val="20"/>
              </w:rPr>
              <w:t>from the SHIR market</w:t>
            </w:r>
            <w:r w:rsidRPr="00184027">
              <w:rPr>
                <w:rFonts w:asciiTheme="minorHAnsi" w:hAnsiTheme="minorHAnsi" w:cstheme="minorHAnsi"/>
                <w:sz w:val="20"/>
                <w:szCs w:val="20"/>
              </w:rPr>
              <w:t>.</w:t>
            </w:r>
          </w:p>
          <w:p w14:paraId="20A87786" w14:textId="37A9E098" w:rsidR="007A06BA" w:rsidRPr="00184027" w:rsidRDefault="00F93D9D" w:rsidP="00677A3F">
            <w:pPr>
              <w:pStyle w:val="af3"/>
              <w:numPr>
                <w:ilvl w:val="0"/>
                <w:numId w:val="11"/>
              </w:numPr>
              <w:bidi w:val="0"/>
              <w:rPr>
                <w:rFonts w:asciiTheme="minorHAnsi" w:hAnsiTheme="minorHAnsi" w:cstheme="minorHAnsi"/>
                <w:sz w:val="20"/>
                <w:szCs w:val="20"/>
              </w:rPr>
            </w:pPr>
            <w:r w:rsidRPr="00184027">
              <w:rPr>
                <w:rFonts w:asciiTheme="minorHAnsi" w:hAnsiTheme="minorHAnsi" w:cstheme="minorHAnsi"/>
                <w:sz w:val="20"/>
                <w:szCs w:val="20"/>
              </w:rPr>
              <w:t>A</w:t>
            </w:r>
            <w:r w:rsidR="007A06BA" w:rsidRPr="00184027">
              <w:rPr>
                <w:rFonts w:asciiTheme="minorHAnsi" w:hAnsiTheme="minorHAnsi" w:cstheme="minorHAnsi"/>
                <w:sz w:val="20"/>
                <w:szCs w:val="20"/>
              </w:rPr>
              <w:t xml:space="preserve">s of </w:t>
            </w:r>
            <w:r w:rsidR="00677A3F" w:rsidRPr="00184027">
              <w:rPr>
                <w:rFonts w:asciiTheme="minorHAnsi" w:hAnsiTheme="minorHAnsi" w:cstheme="minorHAnsi"/>
                <w:sz w:val="20"/>
                <w:szCs w:val="20"/>
              </w:rPr>
              <w:t>July</w:t>
            </w:r>
            <w:r w:rsidR="00EC32FA" w:rsidRPr="00184027">
              <w:rPr>
                <w:rFonts w:asciiTheme="minorHAnsi" w:hAnsiTheme="minorHAnsi" w:cstheme="minorHAnsi"/>
                <w:sz w:val="20"/>
                <w:szCs w:val="20"/>
              </w:rPr>
              <w:t xml:space="preserve"> </w:t>
            </w:r>
            <w:r w:rsidR="00871F11" w:rsidRPr="00184027">
              <w:rPr>
                <w:rFonts w:asciiTheme="minorHAnsi" w:hAnsiTheme="minorHAnsi" w:cstheme="minorHAnsi"/>
                <w:sz w:val="20"/>
                <w:szCs w:val="20"/>
              </w:rPr>
              <w:t>6</w:t>
            </w:r>
            <w:r w:rsidR="00EC32FA" w:rsidRPr="00184027">
              <w:rPr>
                <w:rFonts w:asciiTheme="minorHAnsi" w:hAnsiTheme="minorHAnsi" w:cstheme="minorHAnsi"/>
                <w:sz w:val="20"/>
                <w:szCs w:val="20"/>
              </w:rPr>
              <w:t>, 2025</w:t>
            </w:r>
            <w:r w:rsidR="007A06BA" w:rsidRPr="00184027">
              <w:rPr>
                <w:rFonts w:asciiTheme="minorHAnsi" w:hAnsiTheme="minorHAnsi" w:cstheme="minorHAnsi"/>
                <w:sz w:val="20"/>
                <w:szCs w:val="20"/>
              </w:rPr>
              <w:t>.</w:t>
            </w:r>
            <w:r w:rsidR="001871FF" w:rsidRPr="00184027">
              <w:rPr>
                <w:rFonts w:asciiTheme="minorHAnsi" w:hAnsiTheme="minorHAnsi" w:cstheme="minorHAnsi"/>
                <w:sz w:val="20"/>
                <w:szCs w:val="20"/>
              </w:rPr>
              <w:t xml:space="preserve"> </w:t>
            </w:r>
            <w:r w:rsidR="004B7FE3" w:rsidRPr="00184027">
              <w:rPr>
                <w:rFonts w:asciiTheme="minorHAnsi" w:hAnsiTheme="minorHAnsi" w:cstheme="minorHAnsi"/>
                <w:sz w:val="20"/>
                <w:szCs w:val="20"/>
              </w:rPr>
              <w:t>The forecasters’ projections relate to the coming 12 index readings (June 2025–May 2026).</w:t>
            </w:r>
          </w:p>
        </w:tc>
      </w:tr>
      <w:tr w:rsidR="00A21D01" w:rsidRPr="00184027" w14:paraId="184B4910" w14:textId="77777777" w:rsidTr="00A21D01">
        <w:trPr>
          <w:trHeight w:val="445"/>
          <w:tblHeader/>
        </w:trPr>
        <w:tc>
          <w:tcPr>
            <w:tcW w:w="8233" w:type="dxa"/>
            <w:gridSpan w:val="4"/>
            <w:tcBorders>
              <w:top w:val="nil"/>
              <w:left w:val="nil"/>
              <w:bottom w:val="nil"/>
              <w:right w:val="nil"/>
            </w:tcBorders>
            <w:shd w:val="clear" w:color="auto" w:fill="auto"/>
            <w:hideMark/>
          </w:tcPr>
          <w:p w14:paraId="4C84A8C4" w14:textId="77777777" w:rsidR="00FE6484" w:rsidRPr="00184027" w:rsidRDefault="00FE6484" w:rsidP="00FE6484">
            <w:pPr>
              <w:bidi w:val="0"/>
              <w:rPr>
                <w:rFonts w:asciiTheme="minorHAnsi" w:hAnsiTheme="minorHAnsi" w:cstheme="minorHAnsi"/>
                <w:sz w:val="20"/>
                <w:szCs w:val="20"/>
                <w:rtl/>
              </w:rPr>
            </w:pPr>
            <w:r w:rsidRPr="00184027">
              <w:rPr>
                <w:rFonts w:asciiTheme="minorHAnsi" w:hAnsiTheme="minorHAnsi" w:cstheme="minorHAnsi"/>
                <w:sz w:val="20"/>
                <w:szCs w:val="20"/>
              </w:rPr>
              <w:t>SOURCE: Bank of Israel.</w:t>
            </w:r>
          </w:p>
        </w:tc>
      </w:tr>
    </w:tbl>
    <w:p w14:paraId="1B3EA6D5" w14:textId="77777777" w:rsidR="00D211EC" w:rsidRPr="00184027" w:rsidRDefault="00D211EC" w:rsidP="009335C7">
      <w:pPr>
        <w:bidi w:val="0"/>
        <w:jc w:val="both"/>
        <w:rPr>
          <w:rFonts w:asciiTheme="minorHAnsi" w:hAnsiTheme="minorHAnsi" w:cstheme="minorHAnsi"/>
          <w:b/>
          <w:bCs/>
        </w:rPr>
      </w:pPr>
    </w:p>
    <w:p w14:paraId="6BD73EDD" w14:textId="77777777" w:rsidR="007A06BA" w:rsidRPr="00184027" w:rsidRDefault="007A06BA" w:rsidP="007A06BA">
      <w:pPr>
        <w:bidi w:val="0"/>
        <w:spacing w:line="300" w:lineRule="exact"/>
        <w:jc w:val="both"/>
        <w:rPr>
          <w:rFonts w:asciiTheme="minorHAnsi" w:hAnsiTheme="minorHAnsi" w:cstheme="minorHAnsi"/>
        </w:rPr>
      </w:pPr>
    </w:p>
    <w:p w14:paraId="1B6C9E83" w14:textId="77777777" w:rsidR="00A21D01" w:rsidRPr="00184027" w:rsidRDefault="006648AB" w:rsidP="00202CCB">
      <w:pPr>
        <w:numPr>
          <w:ilvl w:val="0"/>
          <w:numId w:val="9"/>
        </w:numPr>
        <w:bidi w:val="0"/>
        <w:spacing w:line="360" w:lineRule="auto"/>
        <w:ind w:left="357" w:hanging="357"/>
        <w:jc w:val="both"/>
        <w:rPr>
          <w:rFonts w:asciiTheme="minorHAnsi" w:hAnsiTheme="minorHAnsi" w:cstheme="minorHAnsi"/>
          <w:b/>
          <w:bCs/>
        </w:rPr>
      </w:pPr>
      <w:r w:rsidRPr="00184027">
        <w:rPr>
          <w:rFonts w:asciiTheme="minorHAnsi" w:hAnsiTheme="minorHAnsi" w:cstheme="minorHAnsi"/>
          <w:b/>
          <w:bCs/>
        </w:rPr>
        <w:t>Main r</w:t>
      </w:r>
      <w:r w:rsidR="00A21D01" w:rsidRPr="00184027">
        <w:rPr>
          <w:rFonts w:asciiTheme="minorHAnsi" w:hAnsiTheme="minorHAnsi" w:cstheme="minorHAnsi"/>
          <w:b/>
          <w:bCs/>
        </w:rPr>
        <w:t xml:space="preserve">isks </w:t>
      </w:r>
      <w:r w:rsidR="00202CCB" w:rsidRPr="00184027">
        <w:rPr>
          <w:rFonts w:asciiTheme="minorHAnsi" w:hAnsiTheme="minorHAnsi" w:cstheme="minorHAnsi"/>
          <w:b/>
          <w:bCs/>
        </w:rPr>
        <w:t xml:space="preserve">to </w:t>
      </w:r>
      <w:r w:rsidR="00A21D01" w:rsidRPr="00184027">
        <w:rPr>
          <w:rFonts w:asciiTheme="minorHAnsi" w:hAnsiTheme="minorHAnsi" w:cstheme="minorHAnsi"/>
          <w:b/>
          <w:bCs/>
        </w:rPr>
        <w:t>the forecast</w:t>
      </w:r>
    </w:p>
    <w:p w14:paraId="3109DA29" w14:textId="77777777" w:rsidR="00FF22EB" w:rsidRPr="00184027" w:rsidRDefault="00FF22EB" w:rsidP="00425B3F">
      <w:pPr>
        <w:bidi w:val="0"/>
        <w:jc w:val="both"/>
        <w:rPr>
          <w:rFonts w:asciiTheme="minorHAnsi" w:hAnsiTheme="minorHAnsi" w:cstheme="minorHAnsi"/>
        </w:rPr>
      </w:pPr>
    </w:p>
    <w:p w14:paraId="7D428BDE" w14:textId="390334E0" w:rsidR="00F93D9D" w:rsidRPr="00184027" w:rsidRDefault="00677A3F" w:rsidP="004B7FE3">
      <w:pPr>
        <w:bidi w:val="0"/>
        <w:jc w:val="both"/>
        <w:rPr>
          <w:rFonts w:asciiTheme="minorHAnsi" w:hAnsiTheme="minorHAnsi" w:cstheme="minorHAnsi"/>
        </w:rPr>
      </w:pPr>
      <w:r w:rsidRPr="00184027">
        <w:rPr>
          <w:rFonts w:asciiTheme="minorHAnsi" w:hAnsiTheme="minorHAnsi" w:cstheme="minorHAnsi"/>
        </w:rPr>
        <w:t xml:space="preserve">There is </w:t>
      </w:r>
      <w:r w:rsidR="00367112" w:rsidRPr="00184027">
        <w:rPr>
          <w:rFonts w:asciiTheme="minorHAnsi" w:hAnsiTheme="minorHAnsi" w:cstheme="minorHAnsi"/>
        </w:rPr>
        <w:t xml:space="preserve">a </w:t>
      </w:r>
      <w:r w:rsidRPr="00184027">
        <w:rPr>
          <w:rFonts w:asciiTheme="minorHAnsi" w:hAnsiTheme="minorHAnsi" w:cstheme="minorHAnsi"/>
        </w:rPr>
        <w:t>high</w:t>
      </w:r>
      <w:r w:rsidR="00367112" w:rsidRPr="00184027">
        <w:rPr>
          <w:rFonts w:asciiTheme="minorHAnsi" w:hAnsiTheme="minorHAnsi" w:cstheme="minorHAnsi"/>
        </w:rPr>
        <w:t xml:space="preserve"> level of</w:t>
      </w:r>
      <w:r w:rsidRPr="00184027">
        <w:rPr>
          <w:rFonts w:asciiTheme="minorHAnsi" w:hAnsiTheme="minorHAnsi" w:cstheme="minorHAnsi"/>
        </w:rPr>
        <w:t xml:space="preserve"> uncertainty surrounding the forecast, but as opposed to previous forecasts, it includes both upward and downward risks to the forecast</w:t>
      </w:r>
      <w:r w:rsidR="00F93D9D" w:rsidRPr="00184027">
        <w:rPr>
          <w:rFonts w:asciiTheme="minorHAnsi" w:hAnsiTheme="minorHAnsi" w:cstheme="minorHAnsi"/>
        </w:rPr>
        <w:t>.</w:t>
      </w:r>
      <w:r w:rsidR="001871FF" w:rsidRPr="00184027">
        <w:rPr>
          <w:rFonts w:asciiTheme="minorHAnsi" w:hAnsiTheme="minorHAnsi" w:cstheme="minorHAnsi"/>
        </w:rPr>
        <w:t xml:space="preserve"> </w:t>
      </w:r>
      <w:r w:rsidRPr="00184027">
        <w:rPr>
          <w:rFonts w:asciiTheme="minorHAnsi" w:hAnsiTheme="minorHAnsi" w:cstheme="minorHAnsi"/>
        </w:rPr>
        <w:t>On one hand, the results of Operation Rising Lion reflect the possibility of reduced security risks for Israel</w:t>
      </w:r>
      <w:r w:rsidR="004B7FE3" w:rsidRPr="00184027">
        <w:rPr>
          <w:rFonts w:asciiTheme="minorHAnsi" w:hAnsiTheme="minorHAnsi" w:cstheme="minorHAnsi"/>
        </w:rPr>
        <w:t xml:space="preserve">, </w:t>
      </w:r>
      <w:r w:rsidR="00367112" w:rsidRPr="00184027">
        <w:rPr>
          <w:rFonts w:asciiTheme="minorHAnsi" w:hAnsiTheme="minorHAnsi" w:cstheme="minorHAnsi"/>
        </w:rPr>
        <w:t>and possibly</w:t>
      </w:r>
      <w:r w:rsidRPr="00184027">
        <w:rPr>
          <w:rFonts w:asciiTheme="minorHAnsi" w:hAnsiTheme="minorHAnsi" w:cstheme="minorHAnsi"/>
        </w:rPr>
        <w:t xml:space="preserve"> the potential for an arrangement that will end the fighting</w:t>
      </w:r>
      <w:r w:rsidR="004B7FE3" w:rsidRPr="00184027">
        <w:rPr>
          <w:rFonts w:asciiTheme="minorHAnsi" w:hAnsiTheme="minorHAnsi" w:cstheme="minorHAnsi"/>
        </w:rPr>
        <w:t xml:space="preserve"> in Gaza</w:t>
      </w:r>
      <w:r w:rsidRPr="00184027">
        <w:rPr>
          <w:rFonts w:asciiTheme="minorHAnsi" w:hAnsiTheme="minorHAnsi" w:cstheme="minorHAnsi"/>
        </w:rPr>
        <w:t xml:space="preserve"> and perhaps even </w:t>
      </w:r>
      <w:r w:rsidRPr="00184027">
        <w:rPr>
          <w:rFonts w:asciiTheme="minorHAnsi" w:hAnsiTheme="minorHAnsi" w:cstheme="minorHAnsi"/>
        </w:rPr>
        <w:lastRenderedPageBreak/>
        <w:t>enable a broad arrangem</w:t>
      </w:r>
      <w:r w:rsidR="004B7FE3" w:rsidRPr="00184027">
        <w:rPr>
          <w:rFonts w:asciiTheme="minorHAnsi" w:hAnsiTheme="minorHAnsi" w:cstheme="minorHAnsi"/>
        </w:rPr>
        <w:t>ent of relations in the region, particularly if the ceasefire in Gaza leads to an agreement that will end the fighting and remove the threat to Israel that Hamas poses.</w:t>
      </w:r>
      <w:r w:rsidRPr="00184027">
        <w:rPr>
          <w:rFonts w:asciiTheme="minorHAnsi" w:hAnsiTheme="minorHAnsi" w:cstheme="minorHAnsi"/>
        </w:rPr>
        <w:t xml:space="preserve"> The realization of arrangements on the various fronts is expected to reduce the economy’s risk level and to ease supply constraints.</w:t>
      </w:r>
      <w:r w:rsidR="001871FF" w:rsidRPr="00184027">
        <w:rPr>
          <w:rFonts w:asciiTheme="minorHAnsi" w:hAnsiTheme="minorHAnsi" w:cstheme="minorHAnsi"/>
        </w:rPr>
        <w:t xml:space="preserve"> </w:t>
      </w:r>
      <w:r w:rsidRPr="00184027">
        <w:rPr>
          <w:rFonts w:asciiTheme="minorHAnsi" w:hAnsiTheme="minorHAnsi" w:cstheme="minorHAnsi"/>
        </w:rPr>
        <w:t>Such arrangements may also increase demand and investments in the economy over the coming years.</w:t>
      </w:r>
    </w:p>
    <w:p w14:paraId="6CF7F000" w14:textId="440FEFB2" w:rsidR="00677A3F" w:rsidRPr="00184027" w:rsidRDefault="00677A3F" w:rsidP="00677A3F">
      <w:pPr>
        <w:bidi w:val="0"/>
        <w:jc w:val="both"/>
        <w:rPr>
          <w:rFonts w:asciiTheme="minorHAnsi" w:hAnsiTheme="minorHAnsi" w:cstheme="minorHAnsi"/>
        </w:rPr>
      </w:pPr>
    </w:p>
    <w:p w14:paraId="326B480C" w14:textId="4D3FD131" w:rsidR="00677A3F" w:rsidRPr="00184027" w:rsidRDefault="00677A3F" w:rsidP="00367112">
      <w:pPr>
        <w:bidi w:val="0"/>
        <w:jc w:val="both"/>
        <w:rPr>
          <w:rFonts w:asciiTheme="minorHAnsi" w:hAnsiTheme="minorHAnsi" w:cstheme="minorHAnsi"/>
        </w:rPr>
      </w:pPr>
      <w:r w:rsidRPr="00184027">
        <w:rPr>
          <w:rFonts w:asciiTheme="minorHAnsi" w:hAnsiTheme="minorHAnsi" w:cstheme="minorHAnsi"/>
        </w:rPr>
        <w:t>In contrast, uncertainty with regard to Operation</w:t>
      </w:r>
      <w:r w:rsidR="004B7FE3" w:rsidRPr="00184027">
        <w:rPr>
          <w:rFonts w:asciiTheme="minorHAnsi" w:hAnsiTheme="minorHAnsi" w:cstheme="minorHAnsi"/>
        </w:rPr>
        <w:t xml:space="preserve"> Rising Lion’s</w:t>
      </w:r>
      <w:r w:rsidRPr="00184027">
        <w:rPr>
          <w:rFonts w:asciiTheme="minorHAnsi" w:hAnsiTheme="minorHAnsi" w:cstheme="minorHAnsi"/>
        </w:rPr>
        <w:t xml:space="preserve"> long-term effects and the security situation vis-à-vis Iran brings with it risks that the improvement will be limited in time and that its positive effects on the economy will be short-lived.</w:t>
      </w:r>
      <w:r w:rsidR="001871FF" w:rsidRPr="00184027">
        <w:rPr>
          <w:rFonts w:asciiTheme="minorHAnsi" w:hAnsiTheme="minorHAnsi" w:cstheme="minorHAnsi"/>
        </w:rPr>
        <w:t xml:space="preserve"> </w:t>
      </w:r>
      <w:r w:rsidRPr="00184027">
        <w:rPr>
          <w:rFonts w:asciiTheme="minorHAnsi" w:hAnsiTheme="minorHAnsi" w:cstheme="minorHAnsi"/>
        </w:rPr>
        <w:t xml:space="preserve">On the Gaza front as well, if the </w:t>
      </w:r>
      <w:r w:rsidR="004B7FE3" w:rsidRPr="00184027">
        <w:rPr>
          <w:rFonts w:asciiTheme="minorHAnsi" w:hAnsiTheme="minorHAnsi" w:cstheme="minorHAnsi"/>
        </w:rPr>
        <w:t xml:space="preserve">ceasefire does not lead to a sustainable arrangement and the </w:t>
      </w:r>
      <w:r w:rsidRPr="00184027">
        <w:rPr>
          <w:rFonts w:asciiTheme="minorHAnsi" w:hAnsiTheme="minorHAnsi" w:cstheme="minorHAnsi"/>
        </w:rPr>
        <w:t>fighting intensifies or is prolonged, there is a risk that supply constraints will continue to weigh upon the recovery of economic activity, growth will be more moderate, and the</w:t>
      </w:r>
      <w:r w:rsidR="004B7FE3" w:rsidRPr="00184027">
        <w:rPr>
          <w:rFonts w:asciiTheme="minorHAnsi" w:hAnsiTheme="minorHAnsi" w:cstheme="minorHAnsi"/>
        </w:rPr>
        <w:t xml:space="preserve"> budget</w:t>
      </w:r>
      <w:r w:rsidRPr="00184027">
        <w:rPr>
          <w:rFonts w:asciiTheme="minorHAnsi" w:hAnsiTheme="minorHAnsi" w:cstheme="minorHAnsi"/>
        </w:rPr>
        <w:t xml:space="preserve"> deficit will be higher.</w:t>
      </w:r>
    </w:p>
    <w:p w14:paraId="603FB778" w14:textId="53F41D66" w:rsidR="00410812" w:rsidRPr="00184027" w:rsidRDefault="00410812" w:rsidP="00410812">
      <w:pPr>
        <w:bidi w:val="0"/>
        <w:jc w:val="both"/>
        <w:rPr>
          <w:rFonts w:asciiTheme="minorHAnsi" w:hAnsiTheme="minorHAnsi" w:cstheme="minorHAnsi"/>
        </w:rPr>
      </w:pPr>
    </w:p>
    <w:p w14:paraId="5718B64F" w14:textId="28AEF1DF" w:rsidR="00410812" w:rsidRPr="00184027" w:rsidRDefault="00410812" w:rsidP="00410812">
      <w:pPr>
        <w:bidi w:val="0"/>
        <w:jc w:val="both"/>
        <w:rPr>
          <w:rFonts w:asciiTheme="minorHAnsi" w:hAnsiTheme="minorHAnsi" w:cstheme="minorHAnsi"/>
        </w:rPr>
      </w:pPr>
      <w:r w:rsidRPr="00184027">
        <w:rPr>
          <w:rFonts w:asciiTheme="minorHAnsi" w:hAnsiTheme="minorHAnsi" w:cstheme="minorHAnsi"/>
        </w:rPr>
        <w:t>The above developments are obviously not exhaustive of all potential scenarios, and there are other possible developments that may lead to significant changes in the risk premium.</w:t>
      </w:r>
    </w:p>
    <w:p w14:paraId="1CD70651" w14:textId="6CF3288E" w:rsidR="00677A3F" w:rsidRPr="00184027" w:rsidRDefault="00677A3F" w:rsidP="00677A3F">
      <w:pPr>
        <w:bidi w:val="0"/>
        <w:jc w:val="both"/>
        <w:rPr>
          <w:rFonts w:asciiTheme="minorHAnsi" w:hAnsiTheme="minorHAnsi" w:cstheme="minorHAnsi"/>
        </w:rPr>
      </w:pPr>
    </w:p>
    <w:p w14:paraId="4767BAA9" w14:textId="60C2D4C5" w:rsidR="00677A3F" w:rsidRPr="00184027" w:rsidRDefault="00677A3F" w:rsidP="001F69AF">
      <w:pPr>
        <w:bidi w:val="0"/>
        <w:jc w:val="both"/>
        <w:rPr>
          <w:rFonts w:asciiTheme="minorHAnsi" w:hAnsiTheme="minorHAnsi" w:cstheme="minorHAnsi"/>
        </w:rPr>
      </w:pPr>
      <w:r w:rsidRPr="00184027">
        <w:rPr>
          <w:rFonts w:asciiTheme="minorHAnsi" w:hAnsiTheme="minorHAnsi" w:cstheme="minorHAnsi"/>
        </w:rPr>
        <w:t>In our assessment, the risk to the deficit and debt forecasts tends upward</w:t>
      </w:r>
      <w:r w:rsidR="00CF5541" w:rsidRPr="00184027">
        <w:rPr>
          <w:rFonts w:asciiTheme="minorHAnsi" w:hAnsiTheme="minorHAnsi" w:cstheme="minorHAnsi"/>
        </w:rPr>
        <w:t xml:space="preserve">, in view of the uncertainty concerning the budgetary cost of Operation Rising Lion and in view of the risk that the </w:t>
      </w:r>
      <w:r w:rsidR="001F69AF" w:rsidRPr="00184027">
        <w:rPr>
          <w:rFonts w:asciiTheme="minorHAnsi" w:hAnsiTheme="minorHAnsi" w:cstheme="minorHAnsi"/>
        </w:rPr>
        <w:t xml:space="preserve">intense </w:t>
      </w:r>
      <w:r w:rsidR="00CF5541" w:rsidRPr="00184027">
        <w:rPr>
          <w:rFonts w:asciiTheme="minorHAnsi" w:hAnsiTheme="minorHAnsi" w:cstheme="minorHAnsi"/>
        </w:rPr>
        <w:t xml:space="preserve">fighting in Gaza will </w:t>
      </w:r>
      <w:r w:rsidR="001F69AF" w:rsidRPr="00184027">
        <w:rPr>
          <w:rFonts w:asciiTheme="minorHAnsi" w:hAnsiTheme="minorHAnsi" w:cstheme="minorHAnsi"/>
        </w:rPr>
        <w:t>continue</w:t>
      </w:r>
      <w:r w:rsidR="00CF5541" w:rsidRPr="00184027">
        <w:rPr>
          <w:rFonts w:asciiTheme="minorHAnsi" w:hAnsiTheme="minorHAnsi" w:cstheme="minorHAnsi"/>
        </w:rPr>
        <w:t xml:space="preserve"> and will therefore further increase the costs of reserve service.</w:t>
      </w:r>
    </w:p>
    <w:p w14:paraId="6C7667A1" w14:textId="41ABD16D" w:rsidR="00CF5541" w:rsidRPr="00184027" w:rsidRDefault="00CF5541" w:rsidP="00CF5541">
      <w:pPr>
        <w:bidi w:val="0"/>
        <w:jc w:val="both"/>
        <w:rPr>
          <w:rFonts w:asciiTheme="minorHAnsi" w:hAnsiTheme="minorHAnsi" w:cstheme="minorHAnsi"/>
        </w:rPr>
      </w:pPr>
    </w:p>
    <w:p w14:paraId="778E1398" w14:textId="26F50B0D" w:rsidR="00CF5541" w:rsidRPr="00184027" w:rsidRDefault="00CF5541" w:rsidP="00D114B9">
      <w:pPr>
        <w:bidi w:val="0"/>
        <w:jc w:val="both"/>
        <w:rPr>
          <w:rFonts w:asciiTheme="minorHAnsi" w:hAnsiTheme="minorHAnsi" w:cstheme="minorHAnsi"/>
        </w:rPr>
      </w:pPr>
      <w:r w:rsidRPr="00184027">
        <w:rPr>
          <w:rFonts w:asciiTheme="minorHAnsi" w:hAnsiTheme="minorHAnsi" w:cstheme="minorHAnsi"/>
        </w:rPr>
        <w:t>The level of uncertainty also remains high with regard to international trade.</w:t>
      </w:r>
      <w:r w:rsidR="001871FF" w:rsidRPr="00184027">
        <w:rPr>
          <w:rFonts w:asciiTheme="minorHAnsi" w:hAnsiTheme="minorHAnsi" w:cstheme="minorHAnsi"/>
        </w:rPr>
        <w:t xml:space="preserve"> </w:t>
      </w:r>
      <w:r w:rsidRPr="00184027">
        <w:rPr>
          <w:rFonts w:asciiTheme="minorHAnsi" w:hAnsiTheme="minorHAnsi" w:cstheme="minorHAnsi"/>
        </w:rPr>
        <w:t>In this context as well, developments are possible in both directions</w:t>
      </w:r>
      <w:r w:rsidR="00D114B9" w:rsidRPr="00184027">
        <w:rPr>
          <w:rFonts w:asciiTheme="minorHAnsi" w:hAnsiTheme="minorHAnsi" w:cstheme="minorHAnsi"/>
        </w:rPr>
        <w:t>:</w:t>
      </w:r>
      <w:r w:rsidRPr="00184027">
        <w:rPr>
          <w:rFonts w:asciiTheme="minorHAnsi" w:hAnsiTheme="minorHAnsi" w:cstheme="minorHAnsi"/>
        </w:rPr>
        <w:t xml:space="preserve"> worsening tariffs and the cancellation of the suspension of “mutual” tariffs, </w:t>
      </w:r>
      <w:r w:rsidR="00D114B9" w:rsidRPr="00184027">
        <w:rPr>
          <w:rFonts w:asciiTheme="minorHAnsi" w:hAnsiTheme="minorHAnsi" w:cstheme="minorHAnsi"/>
        </w:rPr>
        <w:t>or</w:t>
      </w:r>
      <w:r w:rsidRPr="00184027">
        <w:rPr>
          <w:rFonts w:asciiTheme="minorHAnsi" w:hAnsiTheme="minorHAnsi" w:cstheme="minorHAnsi"/>
        </w:rPr>
        <w:t xml:space="preserve"> reduced tariffs.</w:t>
      </w:r>
    </w:p>
    <w:sectPr w:rsidR="00CF5541" w:rsidRPr="00184027" w:rsidSect="00CA0296">
      <w:headerReference w:type="even" r:id="rId12"/>
      <w:headerReference w:type="default" r:id="rId13"/>
      <w:footerReference w:type="even" r:id="rId14"/>
      <w:footerReference w:type="default" r:id="rId15"/>
      <w:headerReference w:type="first" r:id="rId16"/>
      <w:footerReference w:type="first" r:id="rId17"/>
      <w:pgSz w:w="11906" w:h="16838"/>
      <w:pgMar w:top="1134" w:right="1416" w:bottom="1418" w:left="1418"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F69D7" w14:textId="77777777" w:rsidR="007C1A7A" w:rsidRDefault="007C1A7A" w:rsidP="00AD16FC">
      <w:r>
        <w:separator/>
      </w:r>
    </w:p>
  </w:endnote>
  <w:endnote w:type="continuationSeparator" w:id="0">
    <w:p w14:paraId="6794927A" w14:textId="77777777" w:rsidR="007C1A7A" w:rsidRDefault="007C1A7A" w:rsidP="00AD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1B8F8" w14:textId="77777777" w:rsidR="002D1920" w:rsidRDefault="002D19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9E0D" w14:textId="0DD8A9A5" w:rsidR="00CA0296" w:rsidRDefault="00CA0296" w:rsidP="00CA0296">
    <w:pPr>
      <w:pStyle w:val="a5"/>
      <w:bidi w:val="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DCD0" w14:textId="0F78CBAB" w:rsidR="00AE0ADC" w:rsidRDefault="00AE0ADC" w:rsidP="00CA0296">
    <w:pPr>
      <w:pStyle w:val="a5"/>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16FAA" w14:textId="77777777" w:rsidR="007C1A7A" w:rsidRDefault="007C1A7A" w:rsidP="00AD16FC">
      <w:r>
        <w:separator/>
      </w:r>
    </w:p>
  </w:footnote>
  <w:footnote w:type="continuationSeparator" w:id="0">
    <w:p w14:paraId="510CB41C" w14:textId="77777777" w:rsidR="007C1A7A" w:rsidRDefault="007C1A7A" w:rsidP="00AD16FC">
      <w:r>
        <w:continuationSeparator/>
      </w:r>
    </w:p>
  </w:footnote>
  <w:footnote w:id="1">
    <w:p w14:paraId="7F2E1BD5" w14:textId="3C3B5DF0" w:rsidR="00A30AC5" w:rsidRPr="00184027" w:rsidRDefault="00A30AC5" w:rsidP="00864E97">
      <w:pPr>
        <w:pStyle w:val="aa"/>
        <w:bidi w:val="0"/>
        <w:jc w:val="both"/>
        <w:rPr>
          <w:rFonts w:ascii="Calibri" w:hAnsi="Calibri" w:cs="Calibri"/>
          <w:rtl/>
        </w:rPr>
      </w:pPr>
      <w:r w:rsidRPr="00184027">
        <w:rPr>
          <w:rStyle w:val="ac"/>
          <w:rFonts w:ascii="Calibri" w:hAnsi="Calibri" w:cs="Calibri"/>
        </w:rPr>
        <w:footnoteRef/>
      </w:r>
      <w:r w:rsidR="001871FF" w:rsidRPr="00184027">
        <w:rPr>
          <w:rFonts w:ascii="Calibri" w:hAnsi="Calibri" w:cs="Calibri"/>
        </w:rPr>
        <w:t xml:space="preserve"> </w:t>
      </w:r>
      <w:r w:rsidRPr="00184027">
        <w:rPr>
          <w:rFonts w:ascii="Calibri" w:hAnsi="Calibri" w:cs="Calibri"/>
        </w:rPr>
        <w:t xml:space="preserve">The forecast was presented to the Bank of Israel Monetary Committee on </w:t>
      </w:r>
      <w:r w:rsidR="00864E97" w:rsidRPr="00184027">
        <w:rPr>
          <w:rFonts w:ascii="Calibri" w:hAnsi="Calibri" w:cs="Calibri"/>
        </w:rPr>
        <w:t>July</w:t>
      </w:r>
      <w:r w:rsidR="00EC4295" w:rsidRPr="00184027">
        <w:rPr>
          <w:rFonts w:ascii="Calibri" w:hAnsi="Calibri" w:cs="Calibri"/>
        </w:rPr>
        <w:t xml:space="preserve"> 6</w:t>
      </w:r>
      <w:r w:rsidR="00757359" w:rsidRPr="00184027">
        <w:rPr>
          <w:rFonts w:ascii="Calibri" w:hAnsi="Calibri" w:cs="Calibri"/>
        </w:rPr>
        <w:t>, 2025</w:t>
      </w:r>
      <w:r w:rsidRPr="00184027">
        <w:rPr>
          <w:rFonts w:ascii="Calibri" w:hAnsi="Calibri" w:cs="Calibri"/>
        </w:rPr>
        <w:t xml:space="preserve">, prior to the decision on the interest rate made </w:t>
      </w:r>
      <w:r w:rsidR="00757359" w:rsidRPr="00184027">
        <w:rPr>
          <w:rFonts w:ascii="Calibri" w:hAnsi="Calibri" w:cs="Calibri"/>
        </w:rPr>
        <w:t xml:space="preserve">on </w:t>
      </w:r>
      <w:r w:rsidR="00864E97" w:rsidRPr="00184027">
        <w:rPr>
          <w:rFonts w:ascii="Calibri" w:hAnsi="Calibri" w:cs="Calibri"/>
        </w:rPr>
        <w:t>July</w:t>
      </w:r>
      <w:r w:rsidR="00EC4295" w:rsidRPr="00184027">
        <w:rPr>
          <w:rFonts w:ascii="Calibri" w:hAnsi="Calibri" w:cs="Calibri"/>
        </w:rPr>
        <w:t xml:space="preserve"> 7</w:t>
      </w:r>
      <w:r w:rsidR="00757359" w:rsidRPr="00184027">
        <w:rPr>
          <w:rFonts w:ascii="Calibri" w:hAnsi="Calibri" w:cs="Calibri"/>
        </w:rPr>
        <w:t>, 2025</w:t>
      </w:r>
      <w:r w:rsidR="00D81515" w:rsidRPr="00184027">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60EB" w14:textId="77777777" w:rsidR="002D1920" w:rsidRDefault="002D19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D5965" w14:textId="77777777" w:rsidR="002D1920" w:rsidRDefault="002D192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82E47" w14:textId="77777777" w:rsidR="002D1920" w:rsidRDefault="002D19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E2D49"/>
    <w:multiLevelType w:val="hybridMultilevel"/>
    <w:tmpl w:val="B8AE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F69E1"/>
    <w:multiLevelType w:val="hybridMultilevel"/>
    <w:tmpl w:val="F9A62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62CD1"/>
    <w:multiLevelType w:val="multilevel"/>
    <w:tmpl w:val="6C90399E"/>
    <w:lvl w:ilvl="0">
      <w:start w:val="1"/>
      <w:numFmt w:val="decimal"/>
      <w:pStyle w:val="4"/>
      <w:lvlText w:val="%1."/>
      <w:lvlJc w:val="left"/>
      <w:pPr>
        <w:ind w:left="720" w:hanging="360"/>
      </w:pPr>
    </w:lvl>
    <w:lvl w:ilvl="1">
      <w:start w:val="1"/>
      <w:numFmt w:val="decimal"/>
      <w:pStyle w:val="5"/>
      <w:isLgl/>
      <w:lvlText w:val="%1.%2"/>
      <w:lvlJc w:val="left"/>
      <w:pPr>
        <w:ind w:left="720" w:hanging="360"/>
      </w:pPr>
      <w:rPr>
        <w:rFonts w:hint="default"/>
      </w:rPr>
    </w:lvl>
    <w:lvl w:ilvl="2">
      <w:start w:val="1"/>
      <w:numFmt w:val="decimal"/>
      <w:pStyle w:val="6"/>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1E694E"/>
    <w:multiLevelType w:val="hybridMultilevel"/>
    <w:tmpl w:val="CFA4400A"/>
    <w:lvl w:ilvl="0" w:tplc="410611F2">
      <w:start w:val="1"/>
      <w:numFmt w:val="lowerLetter"/>
      <w:lvlText w:val="%1."/>
      <w:lvlJc w:val="left"/>
      <w:pPr>
        <w:tabs>
          <w:tab w:val="num" w:pos="363"/>
        </w:tabs>
        <w:ind w:left="363" w:hanging="360"/>
      </w:pPr>
      <w:rPr>
        <w:rFonts w:cs="Times New Roman" w:hint="default"/>
      </w:rPr>
    </w:lvl>
    <w:lvl w:ilvl="1" w:tplc="04090019" w:tentative="1">
      <w:start w:val="1"/>
      <w:numFmt w:val="lowerLetter"/>
      <w:lvlText w:val="%2."/>
      <w:lvlJc w:val="left"/>
      <w:pPr>
        <w:tabs>
          <w:tab w:val="num" w:pos="1083"/>
        </w:tabs>
        <w:ind w:left="1083" w:hanging="360"/>
      </w:pPr>
      <w:rPr>
        <w:rFonts w:cs="Times New Roman"/>
      </w:rPr>
    </w:lvl>
    <w:lvl w:ilvl="2" w:tplc="0409001B" w:tentative="1">
      <w:start w:val="1"/>
      <w:numFmt w:val="lowerRoman"/>
      <w:lvlText w:val="%3."/>
      <w:lvlJc w:val="right"/>
      <w:pPr>
        <w:tabs>
          <w:tab w:val="num" w:pos="1803"/>
        </w:tabs>
        <w:ind w:left="1803" w:hanging="180"/>
      </w:pPr>
      <w:rPr>
        <w:rFonts w:cs="Times New Roman"/>
      </w:rPr>
    </w:lvl>
    <w:lvl w:ilvl="3" w:tplc="0409000F" w:tentative="1">
      <w:start w:val="1"/>
      <w:numFmt w:val="decimal"/>
      <w:lvlText w:val="%4."/>
      <w:lvlJc w:val="left"/>
      <w:pPr>
        <w:tabs>
          <w:tab w:val="num" w:pos="2523"/>
        </w:tabs>
        <w:ind w:left="2523" w:hanging="360"/>
      </w:pPr>
      <w:rPr>
        <w:rFonts w:cs="Times New Roman"/>
      </w:rPr>
    </w:lvl>
    <w:lvl w:ilvl="4" w:tplc="04090019" w:tentative="1">
      <w:start w:val="1"/>
      <w:numFmt w:val="lowerLetter"/>
      <w:lvlText w:val="%5."/>
      <w:lvlJc w:val="left"/>
      <w:pPr>
        <w:tabs>
          <w:tab w:val="num" w:pos="3243"/>
        </w:tabs>
        <w:ind w:left="3243" w:hanging="360"/>
      </w:pPr>
      <w:rPr>
        <w:rFonts w:cs="Times New Roman"/>
      </w:rPr>
    </w:lvl>
    <w:lvl w:ilvl="5" w:tplc="0409001B" w:tentative="1">
      <w:start w:val="1"/>
      <w:numFmt w:val="lowerRoman"/>
      <w:lvlText w:val="%6."/>
      <w:lvlJc w:val="right"/>
      <w:pPr>
        <w:tabs>
          <w:tab w:val="num" w:pos="3963"/>
        </w:tabs>
        <w:ind w:left="3963" w:hanging="180"/>
      </w:pPr>
      <w:rPr>
        <w:rFonts w:cs="Times New Roman"/>
      </w:rPr>
    </w:lvl>
    <w:lvl w:ilvl="6" w:tplc="0409000F" w:tentative="1">
      <w:start w:val="1"/>
      <w:numFmt w:val="decimal"/>
      <w:lvlText w:val="%7."/>
      <w:lvlJc w:val="left"/>
      <w:pPr>
        <w:tabs>
          <w:tab w:val="num" w:pos="4683"/>
        </w:tabs>
        <w:ind w:left="4683" w:hanging="360"/>
      </w:pPr>
      <w:rPr>
        <w:rFonts w:cs="Times New Roman"/>
      </w:rPr>
    </w:lvl>
    <w:lvl w:ilvl="7" w:tplc="04090019" w:tentative="1">
      <w:start w:val="1"/>
      <w:numFmt w:val="lowerLetter"/>
      <w:lvlText w:val="%8."/>
      <w:lvlJc w:val="left"/>
      <w:pPr>
        <w:tabs>
          <w:tab w:val="num" w:pos="5403"/>
        </w:tabs>
        <w:ind w:left="5403" w:hanging="360"/>
      </w:pPr>
      <w:rPr>
        <w:rFonts w:cs="Times New Roman"/>
      </w:rPr>
    </w:lvl>
    <w:lvl w:ilvl="8" w:tplc="0409001B" w:tentative="1">
      <w:start w:val="1"/>
      <w:numFmt w:val="lowerRoman"/>
      <w:lvlText w:val="%9."/>
      <w:lvlJc w:val="right"/>
      <w:pPr>
        <w:tabs>
          <w:tab w:val="num" w:pos="6123"/>
        </w:tabs>
        <w:ind w:left="6123" w:hanging="180"/>
      </w:pPr>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01"/>
    <w:rsid w:val="000003FE"/>
    <w:rsid w:val="000011B9"/>
    <w:rsid w:val="00003666"/>
    <w:rsid w:val="0000410B"/>
    <w:rsid w:val="00004767"/>
    <w:rsid w:val="000062AB"/>
    <w:rsid w:val="00006C8A"/>
    <w:rsid w:val="00007CCB"/>
    <w:rsid w:val="00012A9C"/>
    <w:rsid w:val="00012DBD"/>
    <w:rsid w:val="00014365"/>
    <w:rsid w:val="00015BD8"/>
    <w:rsid w:val="0001708B"/>
    <w:rsid w:val="000212CE"/>
    <w:rsid w:val="00021A8C"/>
    <w:rsid w:val="0002620A"/>
    <w:rsid w:val="000268BA"/>
    <w:rsid w:val="00026D60"/>
    <w:rsid w:val="00030DCE"/>
    <w:rsid w:val="00036F1B"/>
    <w:rsid w:val="000379D4"/>
    <w:rsid w:val="0004151F"/>
    <w:rsid w:val="0004160A"/>
    <w:rsid w:val="0004176B"/>
    <w:rsid w:val="00044F2F"/>
    <w:rsid w:val="00045015"/>
    <w:rsid w:val="000463A7"/>
    <w:rsid w:val="00046EE6"/>
    <w:rsid w:val="000502B3"/>
    <w:rsid w:val="00050365"/>
    <w:rsid w:val="0005428E"/>
    <w:rsid w:val="00056568"/>
    <w:rsid w:val="00060A3E"/>
    <w:rsid w:val="00060B61"/>
    <w:rsid w:val="00060F00"/>
    <w:rsid w:val="00061D28"/>
    <w:rsid w:val="00062FE3"/>
    <w:rsid w:val="00064736"/>
    <w:rsid w:val="0006649E"/>
    <w:rsid w:val="00071661"/>
    <w:rsid w:val="00075533"/>
    <w:rsid w:val="00077136"/>
    <w:rsid w:val="00080851"/>
    <w:rsid w:val="000821AD"/>
    <w:rsid w:val="00083E17"/>
    <w:rsid w:val="00087BFF"/>
    <w:rsid w:val="000905F1"/>
    <w:rsid w:val="00090662"/>
    <w:rsid w:val="00090AA3"/>
    <w:rsid w:val="0009185E"/>
    <w:rsid w:val="00091EE0"/>
    <w:rsid w:val="00094471"/>
    <w:rsid w:val="00095B99"/>
    <w:rsid w:val="00095D99"/>
    <w:rsid w:val="0009681A"/>
    <w:rsid w:val="000975CA"/>
    <w:rsid w:val="00097B7A"/>
    <w:rsid w:val="000A0CDA"/>
    <w:rsid w:val="000A3230"/>
    <w:rsid w:val="000A5761"/>
    <w:rsid w:val="000A661B"/>
    <w:rsid w:val="000A776C"/>
    <w:rsid w:val="000B2298"/>
    <w:rsid w:val="000B2D7E"/>
    <w:rsid w:val="000B4DDD"/>
    <w:rsid w:val="000B566D"/>
    <w:rsid w:val="000C0CAD"/>
    <w:rsid w:val="000C3AA1"/>
    <w:rsid w:val="000C4899"/>
    <w:rsid w:val="000C62F4"/>
    <w:rsid w:val="000C73AF"/>
    <w:rsid w:val="000C7FAC"/>
    <w:rsid w:val="000D1147"/>
    <w:rsid w:val="000D5119"/>
    <w:rsid w:val="000D5367"/>
    <w:rsid w:val="000D5A6B"/>
    <w:rsid w:val="000E0ABD"/>
    <w:rsid w:val="000E2E12"/>
    <w:rsid w:val="000E5247"/>
    <w:rsid w:val="000E5777"/>
    <w:rsid w:val="000E72C6"/>
    <w:rsid w:val="000F2234"/>
    <w:rsid w:val="000F3385"/>
    <w:rsid w:val="000F36F2"/>
    <w:rsid w:val="000F48F1"/>
    <w:rsid w:val="000F4B6C"/>
    <w:rsid w:val="000F6AA3"/>
    <w:rsid w:val="0010114F"/>
    <w:rsid w:val="00101C11"/>
    <w:rsid w:val="001031DD"/>
    <w:rsid w:val="00110005"/>
    <w:rsid w:val="00110630"/>
    <w:rsid w:val="00110CD6"/>
    <w:rsid w:val="00113C06"/>
    <w:rsid w:val="0011502F"/>
    <w:rsid w:val="0011529C"/>
    <w:rsid w:val="001156D4"/>
    <w:rsid w:val="0011627D"/>
    <w:rsid w:val="00117D18"/>
    <w:rsid w:val="001218D4"/>
    <w:rsid w:val="00121BFE"/>
    <w:rsid w:val="001222A5"/>
    <w:rsid w:val="001222BC"/>
    <w:rsid w:val="00122462"/>
    <w:rsid w:val="00125698"/>
    <w:rsid w:val="00130360"/>
    <w:rsid w:val="00131338"/>
    <w:rsid w:val="00131A6A"/>
    <w:rsid w:val="00134075"/>
    <w:rsid w:val="00134B36"/>
    <w:rsid w:val="00136000"/>
    <w:rsid w:val="00136B68"/>
    <w:rsid w:val="00136F62"/>
    <w:rsid w:val="00144D12"/>
    <w:rsid w:val="001478D9"/>
    <w:rsid w:val="00151EC6"/>
    <w:rsid w:val="00153D2D"/>
    <w:rsid w:val="0016240A"/>
    <w:rsid w:val="001626C6"/>
    <w:rsid w:val="0016380B"/>
    <w:rsid w:val="001643BB"/>
    <w:rsid w:val="001723D2"/>
    <w:rsid w:val="0017294A"/>
    <w:rsid w:val="00172E4F"/>
    <w:rsid w:val="00176E52"/>
    <w:rsid w:val="00176F0B"/>
    <w:rsid w:val="0018085C"/>
    <w:rsid w:val="00184027"/>
    <w:rsid w:val="00184300"/>
    <w:rsid w:val="00184744"/>
    <w:rsid w:val="001871FF"/>
    <w:rsid w:val="001914F7"/>
    <w:rsid w:val="00191E60"/>
    <w:rsid w:val="00194094"/>
    <w:rsid w:val="001971AC"/>
    <w:rsid w:val="001A27EF"/>
    <w:rsid w:val="001A39E4"/>
    <w:rsid w:val="001A3F54"/>
    <w:rsid w:val="001A4262"/>
    <w:rsid w:val="001A44B1"/>
    <w:rsid w:val="001A5342"/>
    <w:rsid w:val="001A794B"/>
    <w:rsid w:val="001A7A07"/>
    <w:rsid w:val="001B28EA"/>
    <w:rsid w:val="001B362F"/>
    <w:rsid w:val="001B55FD"/>
    <w:rsid w:val="001B7045"/>
    <w:rsid w:val="001B7D9D"/>
    <w:rsid w:val="001C0AC9"/>
    <w:rsid w:val="001C2571"/>
    <w:rsid w:val="001C2680"/>
    <w:rsid w:val="001C3544"/>
    <w:rsid w:val="001C55F7"/>
    <w:rsid w:val="001D21D1"/>
    <w:rsid w:val="001D76F5"/>
    <w:rsid w:val="001E0DAC"/>
    <w:rsid w:val="001E1311"/>
    <w:rsid w:val="001E14D5"/>
    <w:rsid w:val="001E2700"/>
    <w:rsid w:val="001E52BF"/>
    <w:rsid w:val="001E5C9F"/>
    <w:rsid w:val="001F2F2F"/>
    <w:rsid w:val="001F390D"/>
    <w:rsid w:val="001F57FB"/>
    <w:rsid w:val="001F69AF"/>
    <w:rsid w:val="00200E9B"/>
    <w:rsid w:val="0020285E"/>
    <w:rsid w:val="00202CCB"/>
    <w:rsid w:val="00205E52"/>
    <w:rsid w:val="00206BD3"/>
    <w:rsid w:val="00207522"/>
    <w:rsid w:val="00207CCA"/>
    <w:rsid w:val="0021167C"/>
    <w:rsid w:val="00211EF7"/>
    <w:rsid w:val="00213E62"/>
    <w:rsid w:val="002142E4"/>
    <w:rsid w:val="00217D29"/>
    <w:rsid w:val="00221B38"/>
    <w:rsid w:val="00225FAA"/>
    <w:rsid w:val="002260C5"/>
    <w:rsid w:val="00226664"/>
    <w:rsid w:val="00233A26"/>
    <w:rsid w:val="002345E4"/>
    <w:rsid w:val="00234A33"/>
    <w:rsid w:val="00235170"/>
    <w:rsid w:val="0023631B"/>
    <w:rsid w:val="002363D1"/>
    <w:rsid w:val="00236603"/>
    <w:rsid w:val="002405BC"/>
    <w:rsid w:val="00241E66"/>
    <w:rsid w:val="0024200C"/>
    <w:rsid w:val="00242401"/>
    <w:rsid w:val="0024299E"/>
    <w:rsid w:val="0024454F"/>
    <w:rsid w:val="0024467B"/>
    <w:rsid w:val="002452B1"/>
    <w:rsid w:val="002461FF"/>
    <w:rsid w:val="00247644"/>
    <w:rsid w:val="002512BB"/>
    <w:rsid w:val="00252B31"/>
    <w:rsid w:val="002558D9"/>
    <w:rsid w:val="0025636F"/>
    <w:rsid w:val="00256A10"/>
    <w:rsid w:val="00256BCE"/>
    <w:rsid w:val="00257892"/>
    <w:rsid w:val="002621A5"/>
    <w:rsid w:val="00262227"/>
    <w:rsid w:val="00262C88"/>
    <w:rsid w:val="00266083"/>
    <w:rsid w:val="0026626A"/>
    <w:rsid w:val="00270252"/>
    <w:rsid w:val="0027063A"/>
    <w:rsid w:val="00273C4C"/>
    <w:rsid w:val="00275A36"/>
    <w:rsid w:val="002765D9"/>
    <w:rsid w:val="00282853"/>
    <w:rsid w:val="002857E1"/>
    <w:rsid w:val="00291398"/>
    <w:rsid w:val="002945D2"/>
    <w:rsid w:val="002966D2"/>
    <w:rsid w:val="002A1839"/>
    <w:rsid w:val="002A3BC1"/>
    <w:rsid w:val="002A4261"/>
    <w:rsid w:val="002A4B84"/>
    <w:rsid w:val="002B1C60"/>
    <w:rsid w:val="002B2C54"/>
    <w:rsid w:val="002B3EAC"/>
    <w:rsid w:val="002C0AF6"/>
    <w:rsid w:val="002C2B40"/>
    <w:rsid w:val="002C67C7"/>
    <w:rsid w:val="002C74F7"/>
    <w:rsid w:val="002D152A"/>
    <w:rsid w:val="002D1920"/>
    <w:rsid w:val="002D3C08"/>
    <w:rsid w:val="002D50CF"/>
    <w:rsid w:val="002D581C"/>
    <w:rsid w:val="002D6565"/>
    <w:rsid w:val="002E1A22"/>
    <w:rsid w:val="002E2BE2"/>
    <w:rsid w:val="002E350D"/>
    <w:rsid w:val="002E37F1"/>
    <w:rsid w:val="002E3EE1"/>
    <w:rsid w:val="002E5ED3"/>
    <w:rsid w:val="002E616F"/>
    <w:rsid w:val="002F0472"/>
    <w:rsid w:val="002F4ECB"/>
    <w:rsid w:val="002F53E5"/>
    <w:rsid w:val="002F70E9"/>
    <w:rsid w:val="0030038B"/>
    <w:rsid w:val="00300699"/>
    <w:rsid w:val="00302E2F"/>
    <w:rsid w:val="00303FDE"/>
    <w:rsid w:val="00304398"/>
    <w:rsid w:val="00304BF1"/>
    <w:rsid w:val="003071BC"/>
    <w:rsid w:val="00307FE2"/>
    <w:rsid w:val="0031335E"/>
    <w:rsid w:val="00314260"/>
    <w:rsid w:val="00314D4E"/>
    <w:rsid w:val="00316D37"/>
    <w:rsid w:val="00320A7D"/>
    <w:rsid w:val="00322A23"/>
    <w:rsid w:val="00323260"/>
    <w:rsid w:val="00324468"/>
    <w:rsid w:val="00326605"/>
    <w:rsid w:val="00326B5C"/>
    <w:rsid w:val="00327BB0"/>
    <w:rsid w:val="00333B0C"/>
    <w:rsid w:val="003366FD"/>
    <w:rsid w:val="003379D1"/>
    <w:rsid w:val="003415C9"/>
    <w:rsid w:val="0034489A"/>
    <w:rsid w:val="00353C9A"/>
    <w:rsid w:val="00363628"/>
    <w:rsid w:val="003638DE"/>
    <w:rsid w:val="0036663A"/>
    <w:rsid w:val="00367112"/>
    <w:rsid w:val="00371244"/>
    <w:rsid w:val="003723AE"/>
    <w:rsid w:val="00374016"/>
    <w:rsid w:val="0037682D"/>
    <w:rsid w:val="00382474"/>
    <w:rsid w:val="0038300A"/>
    <w:rsid w:val="00391040"/>
    <w:rsid w:val="00391BF2"/>
    <w:rsid w:val="003936A5"/>
    <w:rsid w:val="003955F5"/>
    <w:rsid w:val="00395ECA"/>
    <w:rsid w:val="003979D7"/>
    <w:rsid w:val="003A16A5"/>
    <w:rsid w:val="003A247B"/>
    <w:rsid w:val="003A2BCF"/>
    <w:rsid w:val="003A6075"/>
    <w:rsid w:val="003A6415"/>
    <w:rsid w:val="003B0F6C"/>
    <w:rsid w:val="003B1806"/>
    <w:rsid w:val="003B4955"/>
    <w:rsid w:val="003B5BA1"/>
    <w:rsid w:val="003B6E09"/>
    <w:rsid w:val="003C02C4"/>
    <w:rsid w:val="003C3A13"/>
    <w:rsid w:val="003C3A73"/>
    <w:rsid w:val="003C51B3"/>
    <w:rsid w:val="003C5F5C"/>
    <w:rsid w:val="003C6D39"/>
    <w:rsid w:val="003C7BEB"/>
    <w:rsid w:val="003C7C25"/>
    <w:rsid w:val="003D04E1"/>
    <w:rsid w:val="003D3BC1"/>
    <w:rsid w:val="003D3C91"/>
    <w:rsid w:val="003D41B1"/>
    <w:rsid w:val="003D71BE"/>
    <w:rsid w:val="003E041D"/>
    <w:rsid w:val="003E08B6"/>
    <w:rsid w:val="003E266A"/>
    <w:rsid w:val="003E5DCB"/>
    <w:rsid w:val="003F0CAA"/>
    <w:rsid w:val="003F1F24"/>
    <w:rsid w:val="003F33D5"/>
    <w:rsid w:val="003F40AA"/>
    <w:rsid w:val="003F5174"/>
    <w:rsid w:val="00404ACD"/>
    <w:rsid w:val="00407E88"/>
    <w:rsid w:val="00410736"/>
    <w:rsid w:val="00410812"/>
    <w:rsid w:val="00413594"/>
    <w:rsid w:val="00416C49"/>
    <w:rsid w:val="00417602"/>
    <w:rsid w:val="00422142"/>
    <w:rsid w:val="00422170"/>
    <w:rsid w:val="0042257A"/>
    <w:rsid w:val="00422A8D"/>
    <w:rsid w:val="00423EEF"/>
    <w:rsid w:val="004246B5"/>
    <w:rsid w:val="004247E4"/>
    <w:rsid w:val="00425B3F"/>
    <w:rsid w:val="00425D38"/>
    <w:rsid w:val="00431AC5"/>
    <w:rsid w:val="00432907"/>
    <w:rsid w:val="00432F14"/>
    <w:rsid w:val="00434CA0"/>
    <w:rsid w:val="00435505"/>
    <w:rsid w:val="00435DE5"/>
    <w:rsid w:val="00436407"/>
    <w:rsid w:val="00442670"/>
    <w:rsid w:val="0044397B"/>
    <w:rsid w:val="00444B06"/>
    <w:rsid w:val="00446B32"/>
    <w:rsid w:val="004501E8"/>
    <w:rsid w:val="00452B89"/>
    <w:rsid w:val="00452BAE"/>
    <w:rsid w:val="00453D2B"/>
    <w:rsid w:val="00454090"/>
    <w:rsid w:val="004548EA"/>
    <w:rsid w:val="00456CAD"/>
    <w:rsid w:val="00460495"/>
    <w:rsid w:val="004634B5"/>
    <w:rsid w:val="00463684"/>
    <w:rsid w:val="004654C3"/>
    <w:rsid w:val="0046610D"/>
    <w:rsid w:val="00466491"/>
    <w:rsid w:val="00466E45"/>
    <w:rsid w:val="00467167"/>
    <w:rsid w:val="004675C1"/>
    <w:rsid w:val="004679ED"/>
    <w:rsid w:val="004706AE"/>
    <w:rsid w:val="00470DAC"/>
    <w:rsid w:val="00472053"/>
    <w:rsid w:val="0047600F"/>
    <w:rsid w:val="00477EF7"/>
    <w:rsid w:val="0048096C"/>
    <w:rsid w:val="00480B23"/>
    <w:rsid w:val="004850D5"/>
    <w:rsid w:val="00487712"/>
    <w:rsid w:val="004902DA"/>
    <w:rsid w:val="00490AF3"/>
    <w:rsid w:val="0049210C"/>
    <w:rsid w:val="0049358B"/>
    <w:rsid w:val="00493F59"/>
    <w:rsid w:val="00495C8C"/>
    <w:rsid w:val="00496D92"/>
    <w:rsid w:val="004975C8"/>
    <w:rsid w:val="004A0284"/>
    <w:rsid w:val="004A0C32"/>
    <w:rsid w:val="004A4413"/>
    <w:rsid w:val="004A4BD6"/>
    <w:rsid w:val="004A6595"/>
    <w:rsid w:val="004A7A34"/>
    <w:rsid w:val="004B16A2"/>
    <w:rsid w:val="004B178F"/>
    <w:rsid w:val="004B2862"/>
    <w:rsid w:val="004B3835"/>
    <w:rsid w:val="004B39F5"/>
    <w:rsid w:val="004B415E"/>
    <w:rsid w:val="004B687A"/>
    <w:rsid w:val="004B7FE3"/>
    <w:rsid w:val="004C06F2"/>
    <w:rsid w:val="004C2B26"/>
    <w:rsid w:val="004C4648"/>
    <w:rsid w:val="004C64DB"/>
    <w:rsid w:val="004C6D8F"/>
    <w:rsid w:val="004C77DF"/>
    <w:rsid w:val="004D3688"/>
    <w:rsid w:val="004D4B4E"/>
    <w:rsid w:val="004D5A93"/>
    <w:rsid w:val="004E0BC8"/>
    <w:rsid w:val="004E1A6E"/>
    <w:rsid w:val="004E439A"/>
    <w:rsid w:val="004E4EDE"/>
    <w:rsid w:val="004E6580"/>
    <w:rsid w:val="004E71DD"/>
    <w:rsid w:val="004F4469"/>
    <w:rsid w:val="004F5B5B"/>
    <w:rsid w:val="004F6E9A"/>
    <w:rsid w:val="004F6FA6"/>
    <w:rsid w:val="004F745B"/>
    <w:rsid w:val="004F764E"/>
    <w:rsid w:val="00500C71"/>
    <w:rsid w:val="00501059"/>
    <w:rsid w:val="00502A88"/>
    <w:rsid w:val="005049F9"/>
    <w:rsid w:val="00505C3E"/>
    <w:rsid w:val="005064F4"/>
    <w:rsid w:val="005079F6"/>
    <w:rsid w:val="00511532"/>
    <w:rsid w:val="005138D9"/>
    <w:rsid w:val="00513EBA"/>
    <w:rsid w:val="005145B3"/>
    <w:rsid w:val="00514812"/>
    <w:rsid w:val="00517AA1"/>
    <w:rsid w:val="00522485"/>
    <w:rsid w:val="005259C8"/>
    <w:rsid w:val="005263C5"/>
    <w:rsid w:val="00526A3D"/>
    <w:rsid w:val="00527802"/>
    <w:rsid w:val="00530763"/>
    <w:rsid w:val="00532260"/>
    <w:rsid w:val="005338C6"/>
    <w:rsid w:val="005353CA"/>
    <w:rsid w:val="005371B8"/>
    <w:rsid w:val="00537D44"/>
    <w:rsid w:val="00541457"/>
    <w:rsid w:val="00541F01"/>
    <w:rsid w:val="005430AC"/>
    <w:rsid w:val="005462CC"/>
    <w:rsid w:val="005464BF"/>
    <w:rsid w:val="00547FE2"/>
    <w:rsid w:val="00550958"/>
    <w:rsid w:val="00550DB9"/>
    <w:rsid w:val="0055377E"/>
    <w:rsid w:val="005537E5"/>
    <w:rsid w:val="00553BFE"/>
    <w:rsid w:val="005608BA"/>
    <w:rsid w:val="00560FF6"/>
    <w:rsid w:val="00561A58"/>
    <w:rsid w:val="005650EE"/>
    <w:rsid w:val="00566CFA"/>
    <w:rsid w:val="00567BBF"/>
    <w:rsid w:val="00567BD9"/>
    <w:rsid w:val="00571311"/>
    <w:rsid w:val="005715D5"/>
    <w:rsid w:val="00571AF0"/>
    <w:rsid w:val="005746E6"/>
    <w:rsid w:val="0057714E"/>
    <w:rsid w:val="00577844"/>
    <w:rsid w:val="005778CC"/>
    <w:rsid w:val="00580B69"/>
    <w:rsid w:val="00586880"/>
    <w:rsid w:val="00591B6F"/>
    <w:rsid w:val="00595042"/>
    <w:rsid w:val="0059526F"/>
    <w:rsid w:val="0059707C"/>
    <w:rsid w:val="005A37A5"/>
    <w:rsid w:val="005A3805"/>
    <w:rsid w:val="005A4028"/>
    <w:rsid w:val="005A6809"/>
    <w:rsid w:val="005A7EDF"/>
    <w:rsid w:val="005B2620"/>
    <w:rsid w:val="005B6C8C"/>
    <w:rsid w:val="005B7FE0"/>
    <w:rsid w:val="005C16EC"/>
    <w:rsid w:val="005C2BD4"/>
    <w:rsid w:val="005C4E0D"/>
    <w:rsid w:val="005C5507"/>
    <w:rsid w:val="005C636E"/>
    <w:rsid w:val="005C7192"/>
    <w:rsid w:val="005C76FE"/>
    <w:rsid w:val="005D1848"/>
    <w:rsid w:val="005D38C9"/>
    <w:rsid w:val="005D5BC7"/>
    <w:rsid w:val="005D6EBF"/>
    <w:rsid w:val="005D773A"/>
    <w:rsid w:val="005D77B9"/>
    <w:rsid w:val="005D7D3B"/>
    <w:rsid w:val="005E0237"/>
    <w:rsid w:val="005E18E9"/>
    <w:rsid w:val="005E6AD1"/>
    <w:rsid w:val="005F1F9D"/>
    <w:rsid w:val="005F2B24"/>
    <w:rsid w:val="005F6371"/>
    <w:rsid w:val="005F638E"/>
    <w:rsid w:val="005F6830"/>
    <w:rsid w:val="006001D0"/>
    <w:rsid w:val="00600BC0"/>
    <w:rsid w:val="0060705B"/>
    <w:rsid w:val="006100B7"/>
    <w:rsid w:val="0061045E"/>
    <w:rsid w:val="00611D9B"/>
    <w:rsid w:val="006120B8"/>
    <w:rsid w:val="00614BA6"/>
    <w:rsid w:val="00621127"/>
    <w:rsid w:val="006220D7"/>
    <w:rsid w:val="006264EC"/>
    <w:rsid w:val="00626F33"/>
    <w:rsid w:val="00631795"/>
    <w:rsid w:val="00632EEB"/>
    <w:rsid w:val="00637B9C"/>
    <w:rsid w:val="006418B2"/>
    <w:rsid w:val="00641EA5"/>
    <w:rsid w:val="006476B5"/>
    <w:rsid w:val="00651E7C"/>
    <w:rsid w:val="0065321D"/>
    <w:rsid w:val="00653278"/>
    <w:rsid w:val="00653705"/>
    <w:rsid w:val="00654B16"/>
    <w:rsid w:val="00655875"/>
    <w:rsid w:val="00655AFC"/>
    <w:rsid w:val="0065681F"/>
    <w:rsid w:val="00657FD2"/>
    <w:rsid w:val="0066009C"/>
    <w:rsid w:val="00660ADD"/>
    <w:rsid w:val="00663523"/>
    <w:rsid w:val="00664763"/>
    <w:rsid w:val="006648AB"/>
    <w:rsid w:val="00667BE4"/>
    <w:rsid w:val="00670CEE"/>
    <w:rsid w:val="00672A9F"/>
    <w:rsid w:val="00675998"/>
    <w:rsid w:val="00677A3F"/>
    <w:rsid w:val="00677FE0"/>
    <w:rsid w:val="00680EDD"/>
    <w:rsid w:val="0068229E"/>
    <w:rsid w:val="00682563"/>
    <w:rsid w:val="006866C5"/>
    <w:rsid w:val="00686EBE"/>
    <w:rsid w:val="00690F17"/>
    <w:rsid w:val="0069716E"/>
    <w:rsid w:val="00697916"/>
    <w:rsid w:val="006979F4"/>
    <w:rsid w:val="006A1A74"/>
    <w:rsid w:val="006A647D"/>
    <w:rsid w:val="006A71E3"/>
    <w:rsid w:val="006A7E98"/>
    <w:rsid w:val="006B2402"/>
    <w:rsid w:val="006B2670"/>
    <w:rsid w:val="006B2EE9"/>
    <w:rsid w:val="006B64B8"/>
    <w:rsid w:val="006C03C8"/>
    <w:rsid w:val="006C0D25"/>
    <w:rsid w:val="006C2D83"/>
    <w:rsid w:val="006C48FC"/>
    <w:rsid w:val="006C6293"/>
    <w:rsid w:val="006D3F0D"/>
    <w:rsid w:val="006D561A"/>
    <w:rsid w:val="006D7526"/>
    <w:rsid w:val="006D7BD2"/>
    <w:rsid w:val="006E0D2E"/>
    <w:rsid w:val="006E2552"/>
    <w:rsid w:val="006E6A4A"/>
    <w:rsid w:val="006F0F8C"/>
    <w:rsid w:val="006F28D8"/>
    <w:rsid w:val="006F3960"/>
    <w:rsid w:val="006F3A76"/>
    <w:rsid w:val="006F513A"/>
    <w:rsid w:val="00700196"/>
    <w:rsid w:val="007002DD"/>
    <w:rsid w:val="00704513"/>
    <w:rsid w:val="00705A5F"/>
    <w:rsid w:val="00705C0E"/>
    <w:rsid w:val="007065E7"/>
    <w:rsid w:val="00712802"/>
    <w:rsid w:val="00715AB2"/>
    <w:rsid w:val="00716661"/>
    <w:rsid w:val="00717133"/>
    <w:rsid w:val="007179F2"/>
    <w:rsid w:val="00717F8A"/>
    <w:rsid w:val="00725CB0"/>
    <w:rsid w:val="00732673"/>
    <w:rsid w:val="00733360"/>
    <w:rsid w:val="00734E01"/>
    <w:rsid w:val="00735B53"/>
    <w:rsid w:val="00736708"/>
    <w:rsid w:val="00736C6C"/>
    <w:rsid w:val="00737CE5"/>
    <w:rsid w:val="00740773"/>
    <w:rsid w:val="007456D1"/>
    <w:rsid w:val="00746090"/>
    <w:rsid w:val="00747482"/>
    <w:rsid w:val="00756CD9"/>
    <w:rsid w:val="00757359"/>
    <w:rsid w:val="00761C27"/>
    <w:rsid w:val="00762E0A"/>
    <w:rsid w:val="00763872"/>
    <w:rsid w:val="007638FC"/>
    <w:rsid w:val="00763946"/>
    <w:rsid w:val="00763A43"/>
    <w:rsid w:val="00763FAB"/>
    <w:rsid w:val="00764EAD"/>
    <w:rsid w:val="007669FC"/>
    <w:rsid w:val="00766FCF"/>
    <w:rsid w:val="007674CC"/>
    <w:rsid w:val="00767CA2"/>
    <w:rsid w:val="0077284B"/>
    <w:rsid w:val="00777384"/>
    <w:rsid w:val="00785144"/>
    <w:rsid w:val="007864A7"/>
    <w:rsid w:val="007871AC"/>
    <w:rsid w:val="00787523"/>
    <w:rsid w:val="00790C99"/>
    <w:rsid w:val="007953DF"/>
    <w:rsid w:val="007A06BA"/>
    <w:rsid w:val="007A2D96"/>
    <w:rsid w:val="007A3D38"/>
    <w:rsid w:val="007A4B17"/>
    <w:rsid w:val="007A782B"/>
    <w:rsid w:val="007B1CDB"/>
    <w:rsid w:val="007B3087"/>
    <w:rsid w:val="007B40F4"/>
    <w:rsid w:val="007B4AFB"/>
    <w:rsid w:val="007B7F32"/>
    <w:rsid w:val="007C0339"/>
    <w:rsid w:val="007C1A7A"/>
    <w:rsid w:val="007C4EFD"/>
    <w:rsid w:val="007D04C3"/>
    <w:rsid w:val="007D063F"/>
    <w:rsid w:val="007D1DF5"/>
    <w:rsid w:val="007D4F49"/>
    <w:rsid w:val="007D509C"/>
    <w:rsid w:val="007D6422"/>
    <w:rsid w:val="007D70EA"/>
    <w:rsid w:val="007E05AB"/>
    <w:rsid w:val="007E0AB6"/>
    <w:rsid w:val="007E443D"/>
    <w:rsid w:val="007E523C"/>
    <w:rsid w:val="007F2871"/>
    <w:rsid w:val="007F3C4C"/>
    <w:rsid w:val="007F509E"/>
    <w:rsid w:val="008009B5"/>
    <w:rsid w:val="00802B46"/>
    <w:rsid w:val="00803944"/>
    <w:rsid w:val="00804864"/>
    <w:rsid w:val="008052B5"/>
    <w:rsid w:val="008065C4"/>
    <w:rsid w:val="00813118"/>
    <w:rsid w:val="0081390B"/>
    <w:rsid w:val="00814623"/>
    <w:rsid w:val="00814E81"/>
    <w:rsid w:val="0081703A"/>
    <w:rsid w:val="00817D4A"/>
    <w:rsid w:val="0082256B"/>
    <w:rsid w:val="00823618"/>
    <w:rsid w:val="00826421"/>
    <w:rsid w:val="008277E1"/>
    <w:rsid w:val="008305AA"/>
    <w:rsid w:val="00832B9D"/>
    <w:rsid w:val="00833768"/>
    <w:rsid w:val="00834D8E"/>
    <w:rsid w:val="00834DA7"/>
    <w:rsid w:val="00835712"/>
    <w:rsid w:val="00836E60"/>
    <w:rsid w:val="00840221"/>
    <w:rsid w:val="0084185E"/>
    <w:rsid w:val="00844652"/>
    <w:rsid w:val="0084562F"/>
    <w:rsid w:val="00845C66"/>
    <w:rsid w:val="008512DE"/>
    <w:rsid w:val="0085644E"/>
    <w:rsid w:val="00860246"/>
    <w:rsid w:val="00860679"/>
    <w:rsid w:val="0086132E"/>
    <w:rsid w:val="00861F13"/>
    <w:rsid w:val="00862770"/>
    <w:rsid w:val="0086369E"/>
    <w:rsid w:val="00863B19"/>
    <w:rsid w:val="00864D44"/>
    <w:rsid w:val="00864E97"/>
    <w:rsid w:val="0086708B"/>
    <w:rsid w:val="00870412"/>
    <w:rsid w:val="00870695"/>
    <w:rsid w:val="008707BC"/>
    <w:rsid w:val="0087184F"/>
    <w:rsid w:val="00871E07"/>
    <w:rsid w:val="00871E54"/>
    <w:rsid w:val="00871F11"/>
    <w:rsid w:val="00876B2F"/>
    <w:rsid w:val="008823BA"/>
    <w:rsid w:val="008826C5"/>
    <w:rsid w:val="008839C3"/>
    <w:rsid w:val="00883D6F"/>
    <w:rsid w:val="008862AC"/>
    <w:rsid w:val="00886302"/>
    <w:rsid w:val="00887FE6"/>
    <w:rsid w:val="00890A34"/>
    <w:rsid w:val="00891991"/>
    <w:rsid w:val="00891E50"/>
    <w:rsid w:val="00892A41"/>
    <w:rsid w:val="0089451E"/>
    <w:rsid w:val="008954B2"/>
    <w:rsid w:val="00896FC1"/>
    <w:rsid w:val="0089777D"/>
    <w:rsid w:val="008A0250"/>
    <w:rsid w:val="008A08E9"/>
    <w:rsid w:val="008A0E53"/>
    <w:rsid w:val="008B34A2"/>
    <w:rsid w:val="008B48AF"/>
    <w:rsid w:val="008B6821"/>
    <w:rsid w:val="008B6A6E"/>
    <w:rsid w:val="008C1D94"/>
    <w:rsid w:val="008C5D59"/>
    <w:rsid w:val="008C5F5F"/>
    <w:rsid w:val="008C68E4"/>
    <w:rsid w:val="008C7898"/>
    <w:rsid w:val="008D3638"/>
    <w:rsid w:val="008D65F1"/>
    <w:rsid w:val="008D6A2E"/>
    <w:rsid w:val="008E00AA"/>
    <w:rsid w:val="008E12B0"/>
    <w:rsid w:val="008E27BC"/>
    <w:rsid w:val="008E2CD2"/>
    <w:rsid w:val="008E5126"/>
    <w:rsid w:val="008E5631"/>
    <w:rsid w:val="008E6FFD"/>
    <w:rsid w:val="008F2323"/>
    <w:rsid w:val="008F34C7"/>
    <w:rsid w:val="008F5935"/>
    <w:rsid w:val="008F5BA4"/>
    <w:rsid w:val="008F5DD7"/>
    <w:rsid w:val="008F7582"/>
    <w:rsid w:val="00900D37"/>
    <w:rsid w:val="00905330"/>
    <w:rsid w:val="009120C7"/>
    <w:rsid w:val="00912F53"/>
    <w:rsid w:val="0091354C"/>
    <w:rsid w:val="00914404"/>
    <w:rsid w:val="00915695"/>
    <w:rsid w:val="00917EB4"/>
    <w:rsid w:val="00921594"/>
    <w:rsid w:val="0092271E"/>
    <w:rsid w:val="00922843"/>
    <w:rsid w:val="009229D2"/>
    <w:rsid w:val="00924F7B"/>
    <w:rsid w:val="00931604"/>
    <w:rsid w:val="009335C7"/>
    <w:rsid w:val="009336FC"/>
    <w:rsid w:val="00937DAA"/>
    <w:rsid w:val="00942F47"/>
    <w:rsid w:val="00944B53"/>
    <w:rsid w:val="00947E8A"/>
    <w:rsid w:val="009523E0"/>
    <w:rsid w:val="009532A5"/>
    <w:rsid w:val="00955DCC"/>
    <w:rsid w:val="009561DE"/>
    <w:rsid w:val="00956988"/>
    <w:rsid w:val="00957029"/>
    <w:rsid w:val="009571F6"/>
    <w:rsid w:val="0096005F"/>
    <w:rsid w:val="0096107D"/>
    <w:rsid w:val="009638C2"/>
    <w:rsid w:val="00964BF9"/>
    <w:rsid w:val="00966BA2"/>
    <w:rsid w:val="00966BA9"/>
    <w:rsid w:val="00967A8C"/>
    <w:rsid w:val="00970D63"/>
    <w:rsid w:val="009733B5"/>
    <w:rsid w:val="00974091"/>
    <w:rsid w:val="0097503F"/>
    <w:rsid w:val="0097522F"/>
    <w:rsid w:val="009816FB"/>
    <w:rsid w:val="00982F32"/>
    <w:rsid w:val="00986A17"/>
    <w:rsid w:val="00987A72"/>
    <w:rsid w:val="00987DC0"/>
    <w:rsid w:val="00990177"/>
    <w:rsid w:val="00990197"/>
    <w:rsid w:val="00991A64"/>
    <w:rsid w:val="00995148"/>
    <w:rsid w:val="00995A4F"/>
    <w:rsid w:val="00995EB0"/>
    <w:rsid w:val="00996AA8"/>
    <w:rsid w:val="00997AD1"/>
    <w:rsid w:val="009A24EF"/>
    <w:rsid w:val="009A5B34"/>
    <w:rsid w:val="009A6F35"/>
    <w:rsid w:val="009A7496"/>
    <w:rsid w:val="009B2FDE"/>
    <w:rsid w:val="009B66F6"/>
    <w:rsid w:val="009B6B0B"/>
    <w:rsid w:val="009C23BF"/>
    <w:rsid w:val="009C52DE"/>
    <w:rsid w:val="009C5388"/>
    <w:rsid w:val="009C6342"/>
    <w:rsid w:val="009C6E29"/>
    <w:rsid w:val="009C7987"/>
    <w:rsid w:val="009D0346"/>
    <w:rsid w:val="009D0EE8"/>
    <w:rsid w:val="009D18E9"/>
    <w:rsid w:val="009D204E"/>
    <w:rsid w:val="009D3DC3"/>
    <w:rsid w:val="009D7FDA"/>
    <w:rsid w:val="009E0E54"/>
    <w:rsid w:val="009E1313"/>
    <w:rsid w:val="009E1656"/>
    <w:rsid w:val="009E1E37"/>
    <w:rsid w:val="009E3036"/>
    <w:rsid w:val="009E690A"/>
    <w:rsid w:val="009E7E21"/>
    <w:rsid w:val="009F0CCE"/>
    <w:rsid w:val="009F17F3"/>
    <w:rsid w:val="009F1F95"/>
    <w:rsid w:val="009F20C5"/>
    <w:rsid w:val="009F20F0"/>
    <w:rsid w:val="009F4404"/>
    <w:rsid w:val="009F4481"/>
    <w:rsid w:val="009F6812"/>
    <w:rsid w:val="009F6F89"/>
    <w:rsid w:val="009F7322"/>
    <w:rsid w:val="009F7CC0"/>
    <w:rsid w:val="00A0124F"/>
    <w:rsid w:val="00A02BD8"/>
    <w:rsid w:val="00A034A0"/>
    <w:rsid w:val="00A04ADE"/>
    <w:rsid w:val="00A05E9D"/>
    <w:rsid w:val="00A10196"/>
    <w:rsid w:val="00A11C88"/>
    <w:rsid w:val="00A1285C"/>
    <w:rsid w:val="00A12CDD"/>
    <w:rsid w:val="00A13295"/>
    <w:rsid w:val="00A15315"/>
    <w:rsid w:val="00A168E3"/>
    <w:rsid w:val="00A16ACA"/>
    <w:rsid w:val="00A21D01"/>
    <w:rsid w:val="00A22607"/>
    <w:rsid w:val="00A22DC8"/>
    <w:rsid w:val="00A23F35"/>
    <w:rsid w:val="00A259DD"/>
    <w:rsid w:val="00A2696D"/>
    <w:rsid w:val="00A30AC5"/>
    <w:rsid w:val="00A31317"/>
    <w:rsid w:val="00A32E5F"/>
    <w:rsid w:val="00A3378A"/>
    <w:rsid w:val="00A346A5"/>
    <w:rsid w:val="00A37930"/>
    <w:rsid w:val="00A379B9"/>
    <w:rsid w:val="00A43FBA"/>
    <w:rsid w:val="00A43FFF"/>
    <w:rsid w:val="00A47365"/>
    <w:rsid w:val="00A50C95"/>
    <w:rsid w:val="00A51500"/>
    <w:rsid w:val="00A51FEB"/>
    <w:rsid w:val="00A53B6A"/>
    <w:rsid w:val="00A53FEA"/>
    <w:rsid w:val="00A5432B"/>
    <w:rsid w:val="00A602A3"/>
    <w:rsid w:val="00A61B99"/>
    <w:rsid w:val="00A63D50"/>
    <w:rsid w:val="00A651A5"/>
    <w:rsid w:val="00A65273"/>
    <w:rsid w:val="00A669EF"/>
    <w:rsid w:val="00A7026F"/>
    <w:rsid w:val="00A70E02"/>
    <w:rsid w:val="00A73E62"/>
    <w:rsid w:val="00A749D0"/>
    <w:rsid w:val="00A756DD"/>
    <w:rsid w:val="00A77F12"/>
    <w:rsid w:val="00A8038E"/>
    <w:rsid w:val="00A80511"/>
    <w:rsid w:val="00A80A37"/>
    <w:rsid w:val="00A81DEF"/>
    <w:rsid w:val="00A82108"/>
    <w:rsid w:val="00A834AE"/>
    <w:rsid w:val="00A83C38"/>
    <w:rsid w:val="00A83E54"/>
    <w:rsid w:val="00A872A7"/>
    <w:rsid w:val="00A9061B"/>
    <w:rsid w:val="00A9134F"/>
    <w:rsid w:val="00A93C19"/>
    <w:rsid w:val="00A9470A"/>
    <w:rsid w:val="00A94ED2"/>
    <w:rsid w:val="00A954C5"/>
    <w:rsid w:val="00A962EB"/>
    <w:rsid w:val="00A9787B"/>
    <w:rsid w:val="00AA01B7"/>
    <w:rsid w:val="00AA34D9"/>
    <w:rsid w:val="00AA5B2F"/>
    <w:rsid w:val="00AA6475"/>
    <w:rsid w:val="00AB183B"/>
    <w:rsid w:val="00AB32FD"/>
    <w:rsid w:val="00AB4B8C"/>
    <w:rsid w:val="00AB4FC8"/>
    <w:rsid w:val="00AB5DE3"/>
    <w:rsid w:val="00AB6192"/>
    <w:rsid w:val="00AB635D"/>
    <w:rsid w:val="00AB7494"/>
    <w:rsid w:val="00AC3AB9"/>
    <w:rsid w:val="00AC4199"/>
    <w:rsid w:val="00AC4564"/>
    <w:rsid w:val="00AD16FC"/>
    <w:rsid w:val="00AD1EB9"/>
    <w:rsid w:val="00AD21E2"/>
    <w:rsid w:val="00AD2662"/>
    <w:rsid w:val="00AD2C7B"/>
    <w:rsid w:val="00AD3BF0"/>
    <w:rsid w:val="00AD43AF"/>
    <w:rsid w:val="00AD4C9B"/>
    <w:rsid w:val="00AD5C82"/>
    <w:rsid w:val="00AE0ADC"/>
    <w:rsid w:val="00AE186F"/>
    <w:rsid w:val="00AE3308"/>
    <w:rsid w:val="00AE4B42"/>
    <w:rsid w:val="00AE552C"/>
    <w:rsid w:val="00AE6BBB"/>
    <w:rsid w:val="00AF330E"/>
    <w:rsid w:val="00AF4517"/>
    <w:rsid w:val="00AF613D"/>
    <w:rsid w:val="00B1128D"/>
    <w:rsid w:val="00B1173D"/>
    <w:rsid w:val="00B12495"/>
    <w:rsid w:val="00B13C35"/>
    <w:rsid w:val="00B22B39"/>
    <w:rsid w:val="00B2349C"/>
    <w:rsid w:val="00B32D05"/>
    <w:rsid w:val="00B3457B"/>
    <w:rsid w:val="00B34D7A"/>
    <w:rsid w:val="00B35C9B"/>
    <w:rsid w:val="00B37CA4"/>
    <w:rsid w:val="00B42DBC"/>
    <w:rsid w:val="00B432BB"/>
    <w:rsid w:val="00B44B19"/>
    <w:rsid w:val="00B45809"/>
    <w:rsid w:val="00B509C5"/>
    <w:rsid w:val="00B50BA7"/>
    <w:rsid w:val="00B518A6"/>
    <w:rsid w:val="00B525A8"/>
    <w:rsid w:val="00B525D0"/>
    <w:rsid w:val="00B540ED"/>
    <w:rsid w:val="00B555ED"/>
    <w:rsid w:val="00B61879"/>
    <w:rsid w:val="00B64E48"/>
    <w:rsid w:val="00B70EB0"/>
    <w:rsid w:val="00B766FF"/>
    <w:rsid w:val="00B76C3E"/>
    <w:rsid w:val="00B772E5"/>
    <w:rsid w:val="00B806EB"/>
    <w:rsid w:val="00B8089B"/>
    <w:rsid w:val="00B82756"/>
    <w:rsid w:val="00B836CA"/>
    <w:rsid w:val="00B85FD7"/>
    <w:rsid w:val="00B904FF"/>
    <w:rsid w:val="00B9210D"/>
    <w:rsid w:val="00B94616"/>
    <w:rsid w:val="00B95044"/>
    <w:rsid w:val="00B95850"/>
    <w:rsid w:val="00B95DCF"/>
    <w:rsid w:val="00B97AB5"/>
    <w:rsid w:val="00B97C6C"/>
    <w:rsid w:val="00BA041B"/>
    <w:rsid w:val="00BA2F5F"/>
    <w:rsid w:val="00BA40EB"/>
    <w:rsid w:val="00BA4EBD"/>
    <w:rsid w:val="00BA6033"/>
    <w:rsid w:val="00BA6DB4"/>
    <w:rsid w:val="00BA6E4C"/>
    <w:rsid w:val="00BB6223"/>
    <w:rsid w:val="00BB64BE"/>
    <w:rsid w:val="00BB6822"/>
    <w:rsid w:val="00BC0E38"/>
    <w:rsid w:val="00BC385E"/>
    <w:rsid w:val="00BC423A"/>
    <w:rsid w:val="00BC65EF"/>
    <w:rsid w:val="00BC70AC"/>
    <w:rsid w:val="00BD0469"/>
    <w:rsid w:val="00BD084F"/>
    <w:rsid w:val="00BD179B"/>
    <w:rsid w:val="00BD2F5F"/>
    <w:rsid w:val="00BD37A9"/>
    <w:rsid w:val="00BD45C6"/>
    <w:rsid w:val="00BD4CA3"/>
    <w:rsid w:val="00BD5A5E"/>
    <w:rsid w:val="00BD7343"/>
    <w:rsid w:val="00BD77E6"/>
    <w:rsid w:val="00BE2C29"/>
    <w:rsid w:val="00BE556B"/>
    <w:rsid w:val="00BE6943"/>
    <w:rsid w:val="00BE6CF7"/>
    <w:rsid w:val="00BE7467"/>
    <w:rsid w:val="00BE7EE2"/>
    <w:rsid w:val="00BF0E02"/>
    <w:rsid w:val="00BF22DC"/>
    <w:rsid w:val="00BF2375"/>
    <w:rsid w:val="00C018C7"/>
    <w:rsid w:val="00C031F8"/>
    <w:rsid w:val="00C1167E"/>
    <w:rsid w:val="00C1349C"/>
    <w:rsid w:val="00C1382C"/>
    <w:rsid w:val="00C16253"/>
    <w:rsid w:val="00C21DB7"/>
    <w:rsid w:val="00C22025"/>
    <w:rsid w:val="00C231D1"/>
    <w:rsid w:val="00C25E14"/>
    <w:rsid w:val="00C26FE7"/>
    <w:rsid w:val="00C27023"/>
    <w:rsid w:val="00C27C5C"/>
    <w:rsid w:val="00C313E4"/>
    <w:rsid w:val="00C31FC1"/>
    <w:rsid w:val="00C3415C"/>
    <w:rsid w:val="00C34927"/>
    <w:rsid w:val="00C378E2"/>
    <w:rsid w:val="00C401A1"/>
    <w:rsid w:val="00C40235"/>
    <w:rsid w:val="00C40927"/>
    <w:rsid w:val="00C4235A"/>
    <w:rsid w:val="00C44809"/>
    <w:rsid w:val="00C45D20"/>
    <w:rsid w:val="00C45ED5"/>
    <w:rsid w:val="00C4613B"/>
    <w:rsid w:val="00C476C4"/>
    <w:rsid w:val="00C518BB"/>
    <w:rsid w:val="00C51B50"/>
    <w:rsid w:val="00C53E1E"/>
    <w:rsid w:val="00C53EF6"/>
    <w:rsid w:val="00C54F8B"/>
    <w:rsid w:val="00C55EB9"/>
    <w:rsid w:val="00C621BD"/>
    <w:rsid w:val="00C623CE"/>
    <w:rsid w:val="00C62493"/>
    <w:rsid w:val="00C62C76"/>
    <w:rsid w:val="00C6306D"/>
    <w:rsid w:val="00C6384E"/>
    <w:rsid w:val="00C6598F"/>
    <w:rsid w:val="00C65E19"/>
    <w:rsid w:val="00C66D60"/>
    <w:rsid w:val="00C67AB5"/>
    <w:rsid w:val="00C71567"/>
    <w:rsid w:val="00C74AEF"/>
    <w:rsid w:val="00C74FB1"/>
    <w:rsid w:val="00C769B1"/>
    <w:rsid w:val="00C8362F"/>
    <w:rsid w:val="00C8406C"/>
    <w:rsid w:val="00C8590C"/>
    <w:rsid w:val="00C87351"/>
    <w:rsid w:val="00C90721"/>
    <w:rsid w:val="00C91931"/>
    <w:rsid w:val="00C922E7"/>
    <w:rsid w:val="00C92943"/>
    <w:rsid w:val="00C953AC"/>
    <w:rsid w:val="00C95533"/>
    <w:rsid w:val="00C970BB"/>
    <w:rsid w:val="00CA0296"/>
    <w:rsid w:val="00CA6D37"/>
    <w:rsid w:val="00CA7733"/>
    <w:rsid w:val="00CA7CFC"/>
    <w:rsid w:val="00CB0155"/>
    <w:rsid w:val="00CB178B"/>
    <w:rsid w:val="00CB1B47"/>
    <w:rsid w:val="00CB43C6"/>
    <w:rsid w:val="00CB6585"/>
    <w:rsid w:val="00CB7971"/>
    <w:rsid w:val="00CC3BC3"/>
    <w:rsid w:val="00CC5455"/>
    <w:rsid w:val="00CC6CDD"/>
    <w:rsid w:val="00CD22BB"/>
    <w:rsid w:val="00CD2BEE"/>
    <w:rsid w:val="00CD369F"/>
    <w:rsid w:val="00CD57F7"/>
    <w:rsid w:val="00CD761D"/>
    <w:rsid w:val="00CD77F0"/>
    <w:rsid w:val="00CD79C1"/>
    <w:rsid w:val="00CD7F8B"/>
    <w:rsid w:val="00CE143C"/>
    <w:rsid w:val="00CE72F3"/>
    <w:rsid w:val="00CE7F17"/>
    <w:rsid w:val="00CF1CDA"/>
    <w:rsid w:val="00CF38A0"/>
    <w:rsid w:val="00CF5541"/>
    <w:rsid w:val="00CF669B"/>
    <w:rsid w:val="00CF7D39"/>
    <w:rsid w:val="00D04735"/>
    <w:rsid w:val="00D061FC"/>
    <w:rsid w:val="00D06D1C"/>
    <w:rsid w:val="00D103A1"/>
    <w:rsid w:val="00D114B9"/>
    <w:rsid w:val="00D166DB"/>
    <w:rsid w:val="00D16DFB"/>
    <w:rsid w:val="00D17CE0"/>
    <w:rsid w:val="00D211EC"/>
    <w:rsid w:val="00D22293"/>
    <w:rsid w:val="00D261C7"/>
    <w:rsid w:val="00D31E77"/>
    <w:rsid w:val="00D32664"/>
    <w:rsid w:val="00D334F9"/>
    <w:rsid w:val="00D340F8"/>
    <w:rsid w:val="00D367DC"/>
    <w:rsid w:val="00D36E14"/>
    <w:rsid w:val="00D37267"/>
    <w:rsid w:val="00D372F5"/>
    <w:rsid w:val="00D376AF"/>
    <w:rsid w:val="00D40032"/>
    <w:rsid w:val="00D413D3"/>
    <w:rsid w:val="00D41588"/>
    <w:rsid w:val="00D44004"/>
    <w:rsid w:val="00D44EA6"/>
    <w:rsid w:val="00D45EF8"/>
    <w:rsid w:val="00D45F40"/>
    <w:rsid w:val="00D47D4A"/>
    <w:rsid w:val="00D514B3"/>
    <w:rsid w:val="00D5175F"/>
    <w:rsid w:val="00D51ADF"/>
    <w:rsid w:val="00D52059"/>
    <w:rsid w:val="00D62B59"/>
    <w:rsid w:val="00D6443A"/>
    <w:rsid w:val="00D66FAE"/>
    <w:rsid w:val="00D67632"/>
    <w:rsid w:val="00D7044B"/>
    <w:rsid w:val="00D711D4"/>
    <w:rsid w:val="00D72547"/>
    <w:rsid w:val="00D74481"/>
    <w:rsid w:val="00D7448E"/>
    <w:rsid w:val="00D747B2"/>
    <w:rsid w:val="00D75696"/>
    <w:rsid w:val="00D75E63"/>
    <w:rsid w:val="00D7728C"/>
    <w:rsid w:val="00D809BE"/>
    <w:rsid w:val="00D81515"/>
    <w:rsid w:val="00D860B7"/>
    <w:rsid w:val="00D9026F"/>
    <w:rsid w:val="00D9118C"/>
    <w:rsid w:val="00D914FA"/>
    <w:rsid w:val="00D91D85"/>
    <w:rsid w:val="00D96A40"/>
    <w:rsid w:val="00D975F7"/>
    <w:rsid w:val="00DA0788"/>
    <w:rsid w:val="00DA1966"/>
    <w:rsid w:val="00DA4590"/>
    <w:rsid w:val="00DA623D"/>
    <w:rsid w:val="00DB4C53"/>
    <w:rsid w:val="00DB4F15"/>
    <w:rsid w:val="00DC0990"/>
    <w:rsid w:val="00DC15F5"/>
    <w:rsid w:val="00DC20D4"/>
    <w:rsid w:val="00DC3395"/>
    <w:rsid w:val="00DC3F7B"/>
    <w:rsid w:val="00DC4374"/>
    <w:rsid w:val="00DC4821"/>
    <w:rsid w:val="00DD3474"/>
    <w:rsid w:val="00DD44D1"/>
    <w:rsid w:val="00DD695B"/>
    <w:rsid w:val="00DE3941"/>
    <w:rsid w:val="00DE3D73"/>
    <w:rsid w:val="00DE7EEA"/>
    <w:rsid w:val="00DF033B"/>
    <w:rsid w:val="00DF57AC"/>
    <w:rsid w:val="00DF5E82"/>
    <w:rsid w:val="00DF7CF5"/>
    <w:rsid w:val="00E00733"/>
    <w:rsid w:val="00E01B49"/>
    <w:rsid w:val="00E02101"/>
    <w:rsid w:val="00E02B2C"/>
    <w:rsid w:val="00E035A7"/>
    <w:rsid w:val="00E03A8A"/>
    <w:rsid w:val="00E05B3F"/>
    <w:rsid w:val="00E11913"/>
    <w:rsid w:val="00E13A79"/>
    <w:rsid w:val="00E1417D"/>
    <w:rsid w:val="00E15173"/>
    <w:rsid w:val="00E151AA"/>
    <w:rsid w:val="00E20475"/>
    <w:rsid w:val="00E21C8A"/>
    <w:rsid w:val="00E24D13"/>
    <w:rsid w:val="00E27A4C"/>
    <w:rsid w:val="00E27CE1"/>
    <w:rsid w:val="00E3127C"/>
    <w:rsid w:val="00E33C8E"/>
    <w:rsid w:val="00E352B9"/>
    <w:rsid w:val="00E3673D"/>
    <w:rsid w:val="00E37ABC"/>
    <w:rsid w:val="00E40FF6"/>
    <w:rsid w:val="00E41CB3"/>
    <w:rsid w:val="00E43CBB"/>
    <w:rsid w:val="00E44693"/>
    <w:rsid w:val="00E500A5"/>
    <w:rsid w:val="00E525D9"/>
    <w:rsid w:val="00E55A62"/>
    <w:rsid w:val="00E55AFF"/>
    <w:rsid w:val="00E56B0F"/>
    <w:rsid w:val="00E57458"/>
    <w:rsid w:val="00E60A82"/>
    <w:rsid w:val="00E61CA2"/>
    <w:rsid w:val="00E63B9B"/>
    <w:rsid w:val="00E64B7F"/>
    <w:rsid w:val="00E6514E"/>
    <w:rsid w:val="00E65C57"/>
    <w:rsid w:val="00E662FF"/>
    <w:rsid w:val="00E66516"/>
    <w:rsid w:val="00E66C4B"/>
    <w:rsid w:val="00E70F48"/>
    <w:rsid w:val="00E718CD"/>
    <w:rsid w:val="00E719C4"/>
    <w:rsid w:val="00E72E57"/>
    <w:rsid w:val="00E73417"/>
    <w:rsid w:val="00E76D25"/>
    <w:rsid w:val="00E81591"/>
    <w:rsid w:val="00E81B6C"/>
    <w:rsid w:val="00E828BF"/>
    <w:rsid w:val="00E84BF6"/>
    <w:rsid w:val="00E87D3D"/>
    <w:rsid w:val="00E911EA"/>
    <w:rsid w:val="00E913EE"/>
    <w:rsid w:val="00E932DD"/>
    <w:rsid w:val="00E948FF"/>
    <w:rsid w:val="00E96831"/>
    <w:rsid w:val="00EA4733"/>
    <w:rsid w:val="00EA5E1C"/>
    <w:rsid w:val="00EB0375"/>
    <w:rsid w:val="00EB1D08"/>
    <w:rsid w:val="00EB1E9F"/>
    <w:rsid w:val="00EB31FC"/>
    <w:rsid w:val="00EB4EC6"/>
    <w:rsid w:val="00EC0AF4"/>
    <w:rsid w:val="00EC21CC"/>
    <w:rsid w:val="00EC32FA"/>
    <w:rsid w:val="00EC3622"/>
    <w:rsid w:val="00EC4006"/>
    <w:rsid w:val="00EC4295"/>
    <w:rsid w:val="00EC42C6"/>
    <w:rsid w:val="00EC685B"/>
    <w:rsid w:val="00ED3F52"/>
    <w:rsid w:val="00ED4E9B"/>
    <w:rsid w:val="00ED6FEF"/>
    <w:rsid w:val="00ED7711"/>
    <w:rsid w:val="00EE082A"/>
    <w:rsid w:val="00EE0A32"/>
    <w:rsid w:val="00EE1F2F"/>
    <w:rsid w:val="00EE57B7"/>
    <w:rsid w:val="00EE5A6D"/>
    <w:rsid w:val="00EF27B8"/>
    <w:rsid w:val="00EF49FC"/>
    <w:rsid w:val="00EF70C1"/>
    <w:rsid w:val="00F0702B"/>
    <w:rsid w:val="00F073B4"/>
    <w:rsid w:val="00F1274A"/>
    <w:rsid w:val="00F12FFE"/>
    <w:rsid w:val="00F14BD2"/>
    <w:rsid w:val="00F15900"/>
    <w:rsid w:val="00F161C8"/>
    <w:rsid w:val="00F21CC5"/>
    <w:rsid w:val="00F22F22"/>
    <w:rsid w:val="00F25FE0"/>
    <w:rsid w:val="00F27029"/>
    <w:rsid w:val="00F31BDD"/>
    <w:rsid w:val="00F35A67"/>
    <w:rsid w:val="00F36C49"/>
    <w:rsid w:val="00F4116E"/>
    <w:rsid w:val="00F43758"/>
    <w:rsid w:val="00F4472E"/>
    <w:rsid w:val="00F50B29"/>
    <w:rsid w:val="00F5107E"/>
    <w:rsid w:val="00F53855"/>
    <w:rsid w:val="00F53C9A"/>
    <w:rsid w:val="00F63250"/>
    <w:rsid w:val="00F647DE"/>
    <w:rsid w:val="00F6480D"/>
    <w:rsid w:val="00F65F58"/>
    <w:rsid w:val="00F70963"/>
    <w:rsid w:val="00F71387"/>
    <w:rsid w:val="00F71723"/>
    <w:rsid w:val="00F71FEA"/>
    <w:rsid w:val="00F73566"/>
    <w:rsid w:val="00F735B1"/>
    <w:rsid w:val="00F74179"/>
    <w:rsid w:val="00F753EF"/>
    <w:rsid w:val="00F75C0A"/>
    <w:rsid w:val="00F7669C"/>
    <w:rsid w:val="00F7707F"/>
    <w:rsid w:val="00F77EE8"/>
    <w:rsid w:val="00F77FDE"/>
    <w:rsid w:val="00F81754"/>
    <w:rsid w:val="00F84544"/>
    <w:rsid w:val="00F85D90"/>
    <w:rsid w:val="00F86F4E"/>
    <w:rsid w:val="00F87297"/>
    <w:rsid w:val="00F9046D"/>
    <w:rsid w:val="00F90516"/>
    <w:rsid w:val="00F90556"/>
    <w:rsid w:val="00F90897"/>
    <w:rsid w:val="00F9192D"/>
    <w:rsid w:val="00F93D9A"/>
    <w:rsid w:val="00F93D9D"/>
    <w:rsid w:val="00F969CD"/>
    <w:rsid w:val="00F974D9"/>
    <w:rsid w:val="00F97DDA"/>
    <w:rsid w:val="00FA046B"/>
    <w:rsid w:val="00FA25F5"/>
    <w:rsid w:val="00FA5315"/>
    <w:rsid w:val="00FA56BE"/>
    <w:rsid w:val="00FC01F7"/>
    <w:rsid w:val="00FC352C"/>
    <w:rsid w:val="00FC78B5"/>
    <w:rsid w:val="00FD18B0"/>
    <w:rsid w:val="00FD35C7"/>
    <w:rsid w:val="00FD5019"/>
    <w:rsid w:val="00FD75FB"/>
    <w:rsid w:val="00FE1A7E"/>
    <w:rsid w:val="00FE4827"/>
    <w:rsid w:val="00FE48BA"/>
    <w:rsid w:val="00FE6484"/>
    <w:rsid w:val="00FF098B"/>
    <w:rsid w:val="00FF10BA"/>
    <w:rsid w:val="00FF22EB"/>
    <w:rsid w:val="00FF3AAC"/>
    <w:rsid w:val="00FF3FA4"/>
    <w:rsid w:val="00FF4D1B"/>
    <w:rsid w:val="00FF6686"/>
    <w:rsid w:val="00FF6822"/>
    <w:rsid w:val="00FF7A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2B9A155"/>
  <w15:docId w15:val="{3CD70602-4560-4C88-B38F-A3A2AE7B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0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סגנון4"/>
    <w:basedOn w:val="a"/>
    <w:qFormat/>
    <w:rsid w:val="006418B2"/>
    <w:pPr>
      <w:numPr>
        <w:numId w:val="8"/>
      </w:numPr>
      <w:tabs>
        <w:tab w:val="left" w:pos="567"/>
        <w:tab w:val="left" w:pos="1134"/>
        <w:tab w:val="left" w:pos="1814"/>
        <w:tab w:val="left" w:pos="2665"/>
      </w:tabs>
      <w:spacing w:line="360" w:lineRule="auto"/>
      <w:contextualSpacing/>
      <w:jc w:val="both"/>
    </w:pPr>
    <w:rPr>
      <w:rFonts w:cs="David"/>
    </w:rPr>
  </w:style>
  <w:style w:type="paragraph" w:customStyle="1" w:styleId="5">
    <w:name w:val="סגנון5"/>
    <w:basedOn w:val="4"/>
    <w:qFormat/>
    <w:rsid w:val="006418B2"/>
    <w:pPr>
      <w:numPr>
        <w:ilvl w:val="1"/>
      </w:numPr>
    </w:pPr>
  </w:style>
  <w:style w:type="paragraph" w:customStyle="1" w:styleId="6">
    <w:name w:val="סגנון6"/>
    <w:basedOn w:val="5"/>
    <w:qFormat/>
    <w:rsid w:val="006418B2"/>
    <w:pPr>
      <w:numPr>
        <w:ilvl w:val="2"/>
      </w:numPr>
      <w:tabs>
        <w:tab w:val="left" w:pos="1871"/>
      </w:tabs>
    </w:pPr>
  </w:style>
  <w:style w:type="paragraph" w:styleId="a3">
    <w:name w:val="header"/>
    <w:basedOn w:val="a"/>
    <w:link w:val="a4"/>
    <w:uiPriority w:val="99"/>
    <w:unhideWhenUsed/>
    <w:rsid w:val="00AD16FC"/>
    <w:pPr>
      <w:tabs>
        <w:tab w:val="center" w:pos="4153"/>
        <w:tab w:val="right" w:pos="8306"/>
      </w:tabs>
    </w:pPr>
  </w:style>
  <w:style w:type="character" w:customStyle="1" w:styleId="a4">
    <w:name w:val="כותרת עליונה תו"/>
    <w:basedOn w:val="a0"/>
    <w:link w:val="a3"/>
    <w:uiPriority w:val="99"/>
    <w:rsid w:val="00AD16FC"/>
  </w:style>
  <w:style w:type="paragraph" w:styleId="a5">
    <w:name w:val="footer"/>
    <w:basedOn w:val="a"/>
    <w:link w:val="a6"/>
    <w:uiPriority w:val="99"/>
    <w:unhideWhenUsed/>
    <w:rsid w:val="00AD16FC"/>
    <w:pPr>
      <w:tabs>
        <w:tab w:val="center" w:pos="4153"/>
        <w:tab w:val="right" w:pos="8306"/>
      </w:tabs>
    </w:pPr>
  </w:style>
  <w:style w:type="character" w:customStyle="1" w:styleId="a6">
    <w:name w:val="כותרת תחתונה תו"/>
    <w:basedOn w:val="a0"/>
    <w:link w:val="a5"/>
    <w:uiPriority w:val="99"/>
    <w:rsid w:val="00AD16FC"/>
  </w:style>
  <w:style w:type="table" w:styleId="a7">
    <w:name w:val="Table Grid"/>
    <w:basedOn w:val="a1"/>
    <w:uiPriority w:val="59"/>
    <w:rsid w:val="00AD16F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6FC"/>
    <w:rPr>
      <w:rFonts w:ascii="Tahoma" w:hAnsi="Tahoma" w:cs="Tahoma"/>
      <w:sz w:val="16"/>
      <w:szCs w:val="16"/>
    </w:rPr>
  </w:style>
  <w:style w:type="character" w:customStyle="1" w:styleId="a9">
    <w:name w:val="טקסט בלונים תו"/>
    <w:basedOn w:val="a0"/>
    <w:link w:val="a8"/>
    <w:uiPriority w:val="99"/>
    <w:semiHidden/>
    <w:rsid w:val="00AD16FC"/>
    <w:rPr>
      <w:rFonts w:ascii="Tahoma" w:hAnsi="Tahoma" w:cs="Tahoma"/>
      <w:sz w:val="16"/>
      <w:szCs w:val="16"/>
    </w:rPr>
  </w:style>
  <w:style w:type="paragraph" w:styleId="aa">
    <w:name w:val="footnote text"/>
    <w:basedOn w:val="a"/>
    <w:link w:val="ab"/>
    <w:uiPriority w:val="99"/>
    <w:semiHidden/>
    <w:rsid w:val="00A21D01"/>
    <w:rPr>
      <w:sz w:val="20"/>
      <w:szCs w:val="20"/>
    </w:rPr>
  </w:style>
  <w:style w:type="character" w:customStyle="1" w:styleId="ab">
    <w:name w:val="טקסט הערת שוליים תו"/>
    <w:basedOn w:val="a0"/>
    <w:link w:val="aa"/>
    <w:uiPriority w:val="99"/>
    <w:semiHidden/>
    <w:rsid w:val="00A21D01"/>
    <w:rPr>
      <w:rFonts w:ascii="Times New Roman" w:eastAsia="Times New Roman" w:hAnsi="Times New Roman" w:cs="Times New Roman"/>
      <w:sz w:val="20"/>
      <w:szCs w:val="20"/>
    </w:rPr>
  </w:style>
  <w:style w:type="character" w:styleId="ac">
    <w:name w:val="footnote reference"/>
    <w:basedOn w:val="a0"/>
    <w:uiPriority w:val="99"/>
    <w:semiHidden/>
    <w:rsid w:val="00A21D01"/>
    <w:rPr>
      <w:rFonts w:cs="Times New Roman"/>
      <w:vertAlign w:val="superscript"/>
    </w:rPr>
  </w:style>
  <w:style w:type="character" w:styleId="ad">
    <w:name w:val="annotation reference"/>
    <w:basedOn w:val="a0"/>
    <w:uiPriority w:val="99"/>
    <w:semiHidden/>
    <w:unhideWhenUsed/>
    <w:rsid w:val="00BF2375"/>
    <w:rPr>
      <w:sz w:val="16"/>
      <w:szCs w:val="16"/>
    </w:rPr>
  </w:style>
  <w:style w:type="paragraph" w:styleId="ae">
    <w:name w:val="annotation text"/>
    <w:basedOn w:val="a"/>
    <w:link w:val="af"/>
    <w:uiPriority w:val="99"/>
    <w:semiHidden/>
    <w:unhideWhenUsed/>
    <w:rsid w:val="00BF2375"/>
    <w:rPr>
      <w:sz w:val="20"/>
      <w:szCs w:val="20"/>
    </w:rPr>
  </w:style>
  <w:style w:type="character" w:customStyle="1" w:styleId="af">
    <w:name w:val="טקסט הערה תו"/>
    <w:basedOn w:val="a0"/>
    <w:link w:val="ae"/>
    <w:uiPriority w:val="99"/>
    <w:semiHidden/>
    <w:rsid w:val="00BF2375"/>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BF2375"/>
    <w:rPr>
      <w:b/>
      <w:bCs/>
    </w:rPr>
  </w:style>
  <w:style w:type="character" w:customStyle="1" w:styleId="af1">
    <w:name w:val="נושא הערה תו"/>
    <w:basedOn w:val="af"/>
    <w:link w:val="af0"/>
    <w:uiPriority w:val="99"/>
    <w:semiHidden/>
    <w:rsid w:val="00BF2375"/>
    <w:rPr>
      <w:rFonts w:ascii="Times New Roman" w:eastAsia="Times New Roman" w:hAnsi="Times New Roman" w:cs="Times New Roman"/>
      <w:b/>
      <w:bCs/>
      <w:sz w:val="20"/>
      <w:szCs w:val="20"/>
    </w:rPr>
  </w:style>
  <w:style w:type="paragraph" w:styleId="af2">
    <w:name w:val="Revision"/>
    <w:hidden/>
    <w:uiPriority w:val="99"/>
    <w:semiHidden/>
    <w:rsid w:val="00BE7EE2"/>
    <w:pPr>
      <w:spacing w:after="0"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136000"/>
    <w:pPr>
      <w:ind w:left="720"/>
      <w:contextualSpacing/>
    </w:pPr>
  </w:style>
  <w:style w:type="paragraph" w:customStyle="1" w:styleId="Tablenc">
    <w:name w:val="Table_nc"/>
    <w:basedOn w:val="a"/>
    <w:link w:val="TablencChar"/>
    <w:qFormat/>
    <w:rsid w:val="001D21D1"/>
    <w:pPr>
      <w:ind w:left="113"/>
      <w:jc w:val="both"/>
    </w:pPr>
    <w:rPr>
      <w:rFonts w:asciiTheme="minorHAnsi" w:eastAsiaTheme="minorHAnsi" w:hAnsiTheme="minorHAnsi" w:cstheme="minorBidi"/>
      <w:sz w:val="20"/>
      <w:szCs w:val="20"/>
    </w:rPr>
  </w:style>
  <w:style w:type="character" w:customStyle="1" w:styleId="TablencChar">
    <w:name w:val="Table_nc Char"/>
    <w:basedOn w:val="a0"/>
    <w:link w:val="Tablenc"/>
    <w:rsid w:val="001D21D1"/>
    <w:rPr>
      <w:sz w:val="20"/>
      <w:szCs w:val="20"/>
    </w:rPr>
  </w:style>
  <w:style w:type="paragraph" w:customStyle="1" w:styleId="LetterheadBOI">
    <w:name w:val="Letterhead BOI"/>
    <w:basedOn w:val="a"/>
    <w:link w:val="LetterheadBOIChar"/>
    <w:qFormat/>
    <w:rsid w:val="00B44B19"/>
    <w:pPr>
      <w:bidi w:val="0"/>
      <w:spacing w:line="300" w:lineRule="atLeast"/>
      <w:jc w:val="center"/>
    </w:pPr>
    <w:rPr>
      <w:rFonts w:cs="David"/>
      <w:b/>
    </w:rPr>
  </w:style>
  <w:style w:type="paragraph" w:customStyle="1" w:styleId="Letterhead2">
    <w:name w:val="Letterhead 2"/>
    <w:basedOn w:val="a"/>
    <w:link w:val="Letterhead2Char"/>
    <w:qFormat/>
    <w:rsid w:val="00B44B19"/>
    <w:pPr>
      <w:bidi w:val="0"/>
      <w:spacing w:line="300" w:lineRule="atLeast"/>
      <w:jc w:val="center"/>
    </w:pPr>
    <w:rPr>
      <w:sz w:val="26"/>
      <w:szCs w:val="26"/>
    </w:rPr>
  </w:style>
  <w:style w:type="character" w:customStyle="1" w:styleId="LetterheadBOIChar">
    <w:name w:val="Letterhead BOI Char"/>
    <w:basedOn w:val="a0"/>
    <w:link w:val="LetterheadBOI"/>
    <w:rsid w:val="00B44B19"/>
    <w:rPr>
      <w:rFonts w:ascii="Times New Roman" w:eastAsia="Times New Roman" w:hAnsi="Times New Roman" w:cs="David"/>
      <w:b/>
      <w:sz w:val="24"/>
      <w:szCs w:val="24"/>
    </w:rPr>
  </w:style>
  <w:style w:type="character" w:customStyle="1" w:styleId="Letterhead2Char">
    <w:name w:val="Letterhead 2 Char"/>
    <w:basedOn w:val="a0"/>
    <w:link w:val="Letterhead2"/>
    <w:rsid w:val="00B44B19"/>
    <w:rPr>
      <w:rFonts w:ascii="Times New Roman" w:eastAsia="Times New Roman" w:hAnsi="Times New Roman" w:cs="Times New Roman"/>
      <w:sz w:val="26"/>
      <w:szCs w:val="26"/>
    </w:rPr>
  </w:style>
  <w:style w:type="character" w:customStyle="1" w:styleId="fui-primitive">
    <w:name w:val="fui-primitive"/>
    <w:basedOn w:val="a0"/>
    <w:rsid w:val="00416C49"/>
  </w:style>
  <w:style w:type="paragraph" w:styleId="NormalWeb">
    <w:name w:val="Normal (Web)"/>
    <w:basedOn w:val="a"/>
    <w:uiPriority w:val="99"/>
    <w:unhideWhenUsed/>
    <w:rsid w:val="00416C49"/>
    <w:pPr>
      <w:bidi w:val="0"/>
      <w:spacing w:before="100" w:beforeAutospacing="1" w:after="100" w:afterAutospacing="1"/>
    </w:pPr>
  </w:style>
  <w:style w:type="character" w:customStyle="1" w:styleId="fui-readerheading">
    <w:name w:val="fui-readerheading"/>
    <w:basedOn w:val="a0"/>
    <w:rsid w:val="00F93D9D"/>
  </w:style>
  <w:style w:type="character" w:customStyle="1" w:styleId="fui-styledtext">
    <w:name w:val="fui-styledtext"/>
    <w:basedOn w:val="a0"/>
    <w:rsid w:val="00F93D9D"/>
  </w:style>
  <w:style w:type="paragraph" w:customStyle="1" w:styleId="regpar">
    <w:name w:val="regpar"/>
    <w:basedOn w:val="a"/>
    <w:link w:val="regparChar"/>
    <w:rsid w:val="00184027"/>
    <w:pPr>
      <w:bidi w:val="0"/>
      <w:spacing w:line="300" w:lineRule="exact"/>
      <w:ind w:firstLine="240"/>
      <w:jc w:val="both"/>
    </w:pPr>
    <w:rPr>
      <w:rFonts w:ascii="Times" w:hAnsi="Times" w:cs="Times"/>
    </w:rPr>
  </w:style>
  <w:style w:type="character" w:customStyle="1" w:styleId="regparChar">
    <w:name w:val="regpar Char"/>
    <w:basedOn w:val="a0"/>
    <w:link w:val="regpar"/>
    <w:rsid w:val="00184027"/>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2801">
      <w:bodyDiv w:val="1"/>
      <w:marLeft w:val="0"/>
      <w:marRight w:val="0"/>
      <w:marTop w:val="0"/>
      <w:marBottom w:val="0"/>
      <w:divBdr>
        <w:top w:val="none" w:sz="0" w:space="0" w:color="auto"/>
        <w:left w:val="none" w:sz="0" w:space="0" w:color="auto"/>
        <w:bottom w:val="none" w:sz="0" w:space="0" w:color="auto"/>
        <w:right w:val="none" w:sz="0" w:space="0" w:color="auto"/>
      </w:divBdr>
    </w:div>
    <w:div w:id="241381015">
      <w:bodyDiv w:val="1"/>
      <w:marLeft w:val="0"/>
      <w:marRight w:val="0"/>
      <w:marTop w:val="0"/>
      <w:marBottom w:val="0"/>
      <w:divBdr>
        <w:top w:val="none" w:sz="0" w:space="0" w:color="auto"/>
        <w:left w:val="none" w:sz="0" w:space="0" w:color="auto"/>
        <w:bottom w:val="none" w:sz="0" w:space="0" w:color="auto"/>
        <w:right w:val="none" w:sz="0" w:space="0" w:color="auto"/>
      </w:divBdr>
    </w:div>
    <w:div w:id="460417961">
      <w:bodyDiv w:val="1"/>
      <w:marLeft w:val="0"/>
      <w:marRight w:val="0"/>
      <w:marTop w:val="0"/>
      <w:marBottom w:val="0"/>
      <w:divBdr>
        <w:top w:val="none" w:sz="0" w:space="0" w:color="auto"/>
        <w:left w:val="none" w:sz="0" w:space="0" w:color="auto"/>
        <w:bottom w:val="none" w:sz="0" w:space="0" w:color="auto"/>
        <w:right w:val="none" w:sz="0" w:space="0" w:color="auto"/>
      </w:divBdr>
    </w:div>
    <w:div w:id="674461002">
      <w:bodyDiv w:val="1"/>
      <w:marLeft w:val="0"/>
      <w:marRight w:val="0"/>
      <w:marTop w:val="0"/>
      <w:marBottom w:val="0"/>
      <w:divBdr>
        <w:top w:val="none" w:sz="0" w:space="0" w:color="auto"/>
        <w:left w:val="none" w:sz="0" w:space="0" w:color="auto"/>
        <w:bottom w:val="none" w:sz="0" w:space="0" w:color="auto"/>
        <w:right w:val="none" w:sz="0" w:space="0" w:color="auto"/>
      </w:divBdr>
    </w:div>
    <w:div w:id="1235815620">
      <w:bodyDiv w:val="1"/>
      <w:marLeft w:val="0"/>
      <w:marRight w:val="0"/>
      <w:marTop w:val="0"/>
      <w:marBottom w:val="0"/>
      <w:divBdr>
        <w:top w:val="none" w:sz="0" w:space="0" w:color="auto"/>
        <w:left w:val="none" w:sz="0" w:space="0" w:color="auto"/>
        <w:bottom w:val="none" w:sz="0" w:space="0" w:color="auto"/>
        <w:right w:val="none" w:sz="0" w:space="0" w:color="auto"/>
      </w:divBdr>
    </w:div>
    <w:div w:id="1452284682">
      <w:bodyDiv w:val="1"/>
      <w:marLeft w:val="0"/>
      <w:marRight w:val="0"/>
      <w:marTop w:val="0"/>
      <w:marBottom w:val="0"/>
      <w:divBdr>
        <w:top w:val="none" w:sz="0" w:space="0" w:color="auto"/>
        <w:left w:val="none" w:sz="0" w:space="0" w:color="auto"/>
        <w:bottom w:val="none" w:sz="0" w:space="0" w:color="auto"/>
        <w:right w:val="none" w:sz="0" w:space="0" w:color="auto"/>
      </w:divBdr>
    </w:div>
    <w:div w:id="16963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C57AAB-9898-4DE2-BDAA-17A292961A9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48E4F78-4ADB-41F4-A694-4EA04E6865D5}">
  <ds:schemaRefs>
    <ds:schemaRef ds:uri="http://schemas.microsoft.com/sharepoint/v3/contenttype/forms"/>
  </ds:schemaRefs>
</ds:datastoreItem>
</file>

<file path=customXml/itemProps3.xml><?xml version="1.0" encoding="utf-8"?>
<ds:datastoreItem xmlns:ds="http://schemas.openxmlformats.org/officeDocument/2006/customXml" ds:itemID="{2EA32405-AFA6-4CB9-BBAF-433B329A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54FBB-C27D-4EBC-A33A-EEFFF192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2309</Words>
  <Characters>11550</Characters>
  <Application>Microsoft Office Word</Application>
  <DocSecurity>0</DocSecurity>
  <Lines>96</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דוד בן מיכאל</dc:creator>
  <cp:lastModifiedBy>אילנית שרון</cp:lastModifiedBy>
  <cp:revision>2</cp:revision>
  <cp:lastPrinted>2018-07-08T13:15:00Z</cp:lastPrinted>
  <dcterms:created xsi:type="dcterms:W3CDTF">2025-07-08T05:26:00Z</dcterms:created>
  <dcterms:modified xsi:type="dcterms:W3CDTF">2025-07-08T05:26:00Z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