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01"/>
        <w:bidiVisual/>
        <w:tblW w:w="8997" w:type="dxa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3006"/>
        <w:gridCol w:w="2922"/>
        <w:gridCol w:w="3069"/>
      </w:tblGrid>
      <w:tr w:rsidR="00B25344" w:rsidRPr="00D7267B" w:rsidTr="00D3715D">
        <w:trPr>
          <w:trHeight w:val="2538"/>
          <w:tblHeader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344" w:rsidRPr="000D4675" w:rsidRDefault="00B25344" w:rsidP="00BD7ECC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0D467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B25344" w:rsidRPr="000D4675" w:rsidRDefault="00B25344" w:rsidP="00BD7ECC">
            <w:pPr>
              <w:ind w:right="-101"/>
              <w:jc w:val="center"/>
              <w:rPr>
                <w:rFonts w:ascii="David" w:hAnsi="David" w:cs="David"/>
                <w:rtl/>
              </w:rPr>
            </w:pPr>
            <w:r w:rsidRPr="00F84402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B25344" w:rsidRPr="000D4675" w:rsidRDefault="00B25344" w:rsidP="00BD7ECC">
            <w:pPr>
              <w:spacing w:line="240" w:lineRule="auto"/>
              <w:jc w:val="center"/>
              <w:rPr>
                <w:rFonts w:ascii="David" w:hAnsi="David" w:cs="David"/>
              </w:rPr>
            </w:pPr>
            <w:r w:rsidRPr="000D4675">
              <w:rPr>
                <w:rFonts w:ascii="David" w:hAnsi="David" w:cs="David"/>
                <w:noProof/>
              </w:rPr>
              <w:drawing>
                <wp:inline distT="0" distB="0" distL="0" distR="0" wp14:anchorId="671BF515" wp14:editId="369610D7">
                  <wp:extent cx="590550" cy="615950"/>
                  <wp:effectExtent l="0" t="0" r="0" b="0"/>
                  <wp:docPr id="9" name="תמונה 9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344" w:rsidRPr="00BB7D8E" w:rsidRDefault="00B25344" w:rsidP="00D3715D">
            <w:pPr>
              <w:spacing w:line="240" w:lineRule="auto"/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D7267B">
              <w:rPr>
                <w:rFonts w:ascii="David" w:hAnsi="David" w:cs="David"/>
                <w:sz w:val="24"/>
                <w:szCs w:val="24"/>
                <w:highlight w:val="yellow"/>
                <w:rtl/>
              </w:rPr>
              <w:t>‏‏</w:t>
            </w:r>
            <w:r w:rsidRPr="00BB7D8E">
              <w:rPr>
                <w:rFonts w:ascii="David" w:hAnsi="David" w:cs="David"/>
                <w:sz w:val="24"/>
                <w:szCs w:val="24"/>
                <w:rtl/>
              </w:rPr>
              <w:t>ירושלים,</w:t>
            </w:r>
            <w:r w:rsidRPr="00BB7D8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E81409">
              <w:rPr>
                <w:rFonts w:ascii="David" w:hAnsi="David" w:cs="David" w:hint="cs"/>
                <w:sz w:val="24"/>
                <w:szCs w:val="24"/>
                <w:rtl/>
              </w:rPr>
              <w:t>י"</w:t>
            </w:r>
            <w:r w:rsidR="00D3715D">
              <w:rPr>
                <w:rFonts w:ascii="David" w:hAnsi="David" w:cs="David" w:hint="cs"/>
                <w:sz w:val="24"/>
                <w:szCs w:val="24"/>
                <w:rtl/>
              </w:rPr>
              <w:t>ג</w:t>
            </w:r>
            <w:r w:rsidR="0075512D" w:rsidRPr="00BB7D8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D3715D"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 w:rsidR="00242EC3">
              <w:rPr>
                <w:rFonts w:ascii="David" w:hAnsi="David" w:cs="David" w:hint="cs"/>
                <w:sz w:val="24"/>
                <w:szCs w:val="24"/>
                <w:rtl/>
              </w:rPr>
              <w:t>ניס</w:t>
            </w:r>
            <w:r w:rsidR="006B5933" w:rsidRPr="00BB7D8E">
              <w:rPr>
                <w:rFonts w:ascii="David" w:hAnsi="David" w:cs="David" w:hint="cs"/>
                <w:sz w:val="24"/>
                <w:szCs w:val="24"/>
                <w:rtl/>
              </w:rPr>
              <w:t>ן</w:t>
            </w:r>
            <w:r w:rsidRPr="00BB7D8E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proofErr w:type="spellStart"/>
            <w:r w:rsidR="00242EC3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="00242EC3">
              <w:rPr>
                <w:rFonts w:ascii="David" w:hAnsi="David" w:cs="David"/>
                <w:sz w:val="24"/>
                <w:szCs w:val="24"/>
                <w:rtl/>
              </w:rPr>
              <w:t>תשפ"</w:t>
            </w:r>
            <w:r w:rsidR="009D3511">
              <w:rPr>
                <w:rFonts w:ascii="David" w:hAnsi="David" w:cs="David" w:hint="cs"/>
                <w:sz w:val="24"/>
                <w:szCs w:val="24"/>
                <w:rtl/>
              </w:rPr>
              <w:t>ג</w:t>
            </w:r>
            <w:proofErr w:type="spellEnd"/>
          </w:p>
          <w:p w:rsidR="00B25344" w:rsidRPr="00D7267B" w:rsidRDefault="00296F58" w:rsidP="00401562">
            <w:pPr>
              <w:bidi w:val="0"/>
              <w:spacing w:line="240" w:lineRule="auto"/>
              <w:rPr>
                <w:rFonts w:ascii="David" w:hAnsi="David" w:cs="David"/>
                <w:sz w:val="24"/>
                <w:szCs w:val="24"/>
                <w:highlight w:val="yellow"/>
              </w:rPr>
            </w:pPr>
            <w:r w:rsidRPr="00BB7D8E">
              <w:rPr>
                <w:rFonts w:ascii="David" w:hAnsi="David" w:cs="David" w:hint="eastAsia"/>
                <w:sz w:val="24"/>
                <w:szCs w:val="24"/>
                <w:rtl/>
              </w:rPr>
              <w:t>‏</w:t>
            </w:r>
            <w:r w:rsidR="00401562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  <w:r w:rsidR="0075512D" w:rsidRPr="00BB7D8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CD531C">
              <w:rPr>
                <w:rFonts w:ascii="David" w:hAnsi="David" w:cs="David" w:hint="cs"/>
                <w:sz w:val="24"/>
                <w:szCs w:val="24"/>
                <w:rtl/>
              </w:rPr>
              <w:t>אפר</w:t>
            </w:r>
            <w:r w:rsidR="006B5933" w:rsidRPr="00BB7D8E"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r w:rsidR="00CD531C">
              <w:rPr>
                <w:rFonts w:ascii="David" w:hAnsi="David" w:cs="David" w:hint="cs"/>
                <w:sz w:val="24"/>
                <w:szCs w:val="24"/>
                <w:rtl/>
              </w:rPr>
              <w:t>ל</w:t>
            </w:r>
            <w:r w:rsidRPr="00BB7D8E">
              <w:rPr>
                <w:rFonts w:ascii="David" w:hAnsi="David" w:cs="David"/>
                <w:sz w:val="24"/>
                <w:szCs w:val="24"/>
                <w:rtl/>
              </w:rPr>
              <w:t>, 202</w:t>
            </w:r>
            <w:r w:rsidR="009D3511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</w:tr>
    </w:tbl>
    <w:p w:rsidR="00B25344" w:rsidRDefault="00B25344" w:rsidP="00B25344">
      <w:pPr>
        <w:spacing w:line="240" w:lineRule="auto"/>
        <w:rPr>
          <w:rtl/>
        </w:rPr>
      </w:pPr>
    </w:p>
    <w:p w:rsidR="00B25344" w:rsidRDefault="00B25344" w:rsidP="00EC4F8C">
      <w:pPr>
        <w:rPr>
          <w:rFonts w:ascii="David" w:hAnsi="David" w:cs="David"/>
          <w:sz w:val="24"/>
          <w:szCs w:val="24"/>
          <w:rtl/>
        </w:rPr>
      </w:pPr>
      <w:r w:rsidRPr="00F0534D">
        <w:rPr>
          <w:rFonts w:ascii="David" w:hAnsi="David" w:cs="David" w:hint="cs"/>
          <w:sz w:val="24"/>
          <w:szCs w:val="24"/>
          <w:rtl/>
        </w:rPr>
        <w:t>הודעה לעיתונות</w:t>
      </w:r>
      <w:r>
        <w:rPr>
          <w:rFonts w:ascii="David" w:hAnsi="David" w:cs="David" w:hint="cs"/>
          <w:sz w:val="24"/>
          <w:szCs w:val="24"/>
          <w:rtl/>
        </w:rPr>
        <w:t>:</w:t>
      </w:r>
      <w:bookmarkStart w:id="0" w:name="_GoBack"/>
      <w:bookmarkEnd w:id="0"/>
    </w:p>
    <w:p w:rsidR="00B25344" w:rsidRPr="006A5BBC" w:rsidRDefault="00B25344" w:rsidP="00B25344">
      <w:pPr>
        <w:pStyle w:val="a3"/>
        <w:ind w:left="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6A5BBC">
        <w:rPr>
          <w:rFonts w:ascii="David" w:hAnsi="David" w:cs="David"/>
          <w:b/>
          <w:bCs/>
          <w:sz w:val="28"/>
          <w:szCs w:val="28"/>
          <w:rtl/>
        </w:rPr>
        <w:t xml:space="preserve">דיווח </w:t>
      </w:r>
      <w:r w:rsidRPr="006A5BBC">
        <w:rPr>
          <w:rFonts w:ascii="David" w:hAnsi="David" w:cs="David" w:hint="eastAsia"/>
          <w:b/>
          <w:bCs/>
          <w:sz w:val="28"/>
          <w:szCs w:val="28"/>
          <w:rtl/>
        </w:rPr>
        <w:t>לכנסת</w:t>
      </w:r>
      <w:r w:rsidRPr="006A5BBC">
        <w:rPr>
          <w:rFonts w:ascii="David" w:hAnsi="David" w:cs="David"/>
          <w:b/>
          <w:bCs/>
          <w:sz w:val="28"/>
          <w:szCs w:val="28"/>
          <w:rtl/>
        </w:rPr>
        <w:t xml:space="preserve"> על יישום הוראות חוק נתוני אשראי</w:t>
      </w:r>
    </w:p>
    <w:p w:rsidR="00B25344" w:rsidRDefault="00B25344" w:rsidP="00B25344">
      <w:pPr>
        <w:contextualSpacing/>
        <w:jc w:val="both"/>
        <w:rPr>
          <w:rFonts w:cs="David"/>
          <w:noProof/>
          <w:sz w:val="24"/>
          <w:szCs w:val="24"/>
          <w:rtl/>
        </w:rPr>
      </w:pPr>
    </w:p>
    <w:p w:rsidR="00B25344" w:rsidRDefault="00B25344" w:rsidP="009D3511">
      <w:pPr>
        <w:contextualSpacing/>
        <w:jc w:val="both"/>
        <w:rPr>
          <w:rFonts w:cs="David"/>
          <w:b/>
          <w:bCs/>
          <w:noProof/>
          <w:sz w:val="24"/>
          <w:szCs w:val="24"/>
          <w:rtl/>
        </w:rPr>
      </w:pPr>
      <w:r w:rsidRPr="00596595">
        <w:rPr>
          <w:rFonts w:cs="David" w:hint="cs"/>
          <w:b/>
          <w:bCs/>
          <w:noProof/>
          <w:sz w:val="24"/>
          <w:szCs w:val="24"/>
          <w:rtl/>
        </w:rPr>
        <w:t xml:space="preserve">נגיד בנק ישראל, פרופ' אמיר ירון, הגיש היום לוועדת הכלכלה </w:t>
      </w:r>
      <w:r w:rsidR="00CD531C">
        <w:rPr>
          <w:rFonts w:cs="David" w:hint="cs"/>
          <w:b/>
          <w:bCs/>
          <w:noProof/>
          <w:sz w:val="24"/>
          <w:szCs w:val="24"/>
          <w:rtl/>
        </w:rPr>
        <w:t xml:space="preserve">את הדוח </w:t>
      </w:r>
      <w:r w:rsidR="009D3511">
        <w:rPr>
          <w:rFonts w:cs="David" w:hint="cs"/>
          <w:b/>
          <w:bCs/>
          <w:noProof/>
          <w:sz w:val="24"/>
          <w:szCs w:val="24"/>
          <w:rtl/>
        </w:rPr>
        <w:t>הרביעי</w:t>
      </w:r>
      <w:r w:rsidR="00CD531C">
        <w:rPr>
          <w:rFonts w:cs="David" w:hint="cs"/>
          <w:b/>
          <w:bCs/>
          <w:noProof/>
          <w:sz w:val="24"/>
          <w:szCs w:val="24"/>
          <w:rtl/>
        </w:rPr>
        <w:t xml:space="preserve"> </w:t>
      </w:r>
      <w:r w:rsidRPr="00596595">
        <w:rPr>
          <w:rFonts w:cs="David" w:hint="cs"/>
          <w:b/>
          <w:bCs/>
          <w:noProof/>
          <w:sz w:val="24"/>
          <w:szCs w:val="24"/>
          <w:rtl/>
        </w:rPr>
        <w:t xml:space="preserve">על יישום הוראות חוק נתוני אשראי, התשע"ו-2016. חוק זה </w:t>
      </w:r>
      <w:r w:rsidRPr="00596595">
        <w:rPr>
          <w:rFonts w:cs="David"/>
          <w:b/>
          <w:bCs/>
          <w:noProof/>
          <w:sz w:val="24"/>
          <w:szCs w:val="24"/>
          <w:rtl/>
        </w:rPr>
        <w:t>קובע הסדר לשיתו</w:t>
      </w:r>
      <w:r w:rsidR="006A5BBC">
        <w:rPr>
          <w:rFonts w:cs="David"/>
          <w:b/>
          <w:bCs/>
          <w:noProof/>
          <w:sz w:val="24"/>
          <w:szCs w:val="24"/>
          <w:rtl/>
        </w:rPr>
        <w:t>ף נתוני אשראי בישראל</w:t>
      </w:r>
      <w:r w:rsidR="006A5BBC">
        <w:rPr>
          <w:rFonts w:cs="David" w:hint="cs"/>
          <w:b/>
          <w:bCs/>
          <w:noProof/>
          <w:sz w:val="24"/>
          <w:szCs w:val="24"/>
          <w:rtl/>
        </w:rPr>
        <w:t xml:space="preserve"> ומכוחו בנק ישראל מנהל מערכת מרכזית לשיתוף נתוני אשראי ומפקח על המשתתפים בה. </w:t>
      </w:r>
    </w:p>
    <w:p w:rsidR="00F22B62" w:rsidRDefault="00F22B62" w:rsidP="00B25344">
      <w:pPr>
        <w:contextualSpacing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F22B62" w:rsidRDefault="009B5387" w:rsidP="00B95AF3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מנכ"לית בנק ישראל, גב' שולמית גרי</w:t>
      </w:r>
      <w:r w:rsidR="00F22B62" w:rsidRPr="00296F58">
        <w:rPr>
          <w:rFonts w:cs="David"/>
          <w:noProof/>
          <w:sz w:val="24"/>
          <w:szCs w:val="24"/>
          <w:rtl/>
        </w:rPr>
        <w:t xml:space="preserve">: </w:t>
      </w:r>
      <w:r w:rsidR="00191A87">
        <w:rPr>
          <w:rFonts w:ascii="David" w:hAnsi="David" w:cs="David"/>
          <w:sz w:val="24"/>
          <w:szCs w:val="24"/>
          <w:rtl/>
        </w:rPr>
        <w:t>"</w:t>
      </w:r>
      <w:r w:rsidR="00B95AF3" w:rsidRPr="00B95AF3">
        <w:rPr>
          <w:rFonts w:ascii="David" w:hAnsi="David" w:cs="David"/>
          <w:sz w:val="24"/>
          <w:szCs w:val="24"/>
          <w:rtl/>
        </w:rPr>
        <w:t>חשיבות המערכת לשיתוף נתוני אשראי מתחדדת בתקו</w:t>
      </w:r>
      <w:r w:rsidR="00B95AF3">
        <w:rPr>
          <w:rFonts w:ascii="David" w:hAnsi="David" w:cs="David"/>
          <w:sz w:val="24"/>
          <w:szCs w:val="24"/>
          <w:rtl/>
        </w:rPr>
        <w:t>פה של חוסר ודאות ושינויי ריבית</w:t>
      </w:r>
      <w:r w:rsidR="00B95AF3" w:rsidRPr="00B95AF3">
        <w:rPr>
          <w:rFonts w:ascii="David" w:hAnsi="David" w:cs="David"/>
          <w:sz w:val="24"/>
          <w:szCs w:val="24"/>
          <w:rtl/>
        </w:rPr>
        <w:t xml:space="preserve"> בזכות הערך הרב שכל לקוח יכול להפיק גם במעקב אחר מצב </w:t>
      </w:r>
      <w:r w:rsidR="00B95AF3">
        <w:rPr>
          <w:rFonts w:ascii="David" w:hAnsi="David" w:cs="David" w:hint="cs"/>
          <w:sz w:val="24"/>
          <w:szCs w:val="24"/>
          <w:rtl/>
        </w:rPr>
        <w:t xml:space="preserve">פעילות </w:t>
      </w:r>
      <w:r w:rsidR="00B95AF3" w:rsidRPr="00B95AF3">
        <w:rPr>
          <w:rFonts w:ascii="David" w:hAnsi="David" w:cs="David"/>
          <w:sz w:val="24"/>
          <w:szCs w:val="24"/>
          <w:rtl/>
        </w:rPr>
        <w:t xml:space="preserve">האשראי </w:t>
      </w:r>
      <w:r w:rsidR="00B95AF3">
        <w:rPr>
          <w:rFonts w:ascii="David" w:hAnsi="David" w:cs="David" w:hint="cs"/>
          <w:sz w:val="24"/>
          <w:szCs w:val="24"/>
          <w:rtl/>
        </w:rPr>
        <w:t>שלו</w:t>
      </w:r>
      <w:r w:rsidR="00B95AF3" w:rsidRPr="00B95AF3">
        <w:rPr>
          <w:rFonts w:ascii="David" w:hAnsi="David" w:cs="David"/>
          <w:sz w:val="24"/>
          <w:szCs w:val="24"/>
          <w:rtl/>
        </w:rPr>
        <w:t xml:space="preserve"> וגם במיקוח על </w:t>
      </w:r>
      <w:r w:rsidR="00B95AF3">
        <w:rPr>
          <w:rFonts w:ascii="David" w:hAnsi="David" w:cs="David" w:hint="cs"/>
          <w:sz w:val="24"/>
          <w:szCs w:val="24"/>
          <w:rtl/>
        </w:rPr>
        <w:t xml:space="preserve">בקשות </w:t>
      </w:r>
      <w:r w:rsidR="00B95AF3" w:rsidRPr="00B95AF3">
        <w:rPr>
          <w:rFonts w:ascii="David" w:hAnsi="David" w:cs="David"/>
          <w:sz w:val="24"/>
          <w:szCs w:val="24"/>
          <w:rtl/>
        </w:rPr>
        <w:t>אשראי חדש</w:t>
      </w:r>
      <w:r w:rsidR="00B95AF3">
        <w:rPr>
          <w:rFonts w:ascii="David" w:hAnsi="David" w:cs="David" w:hint="cs"/>
          <w:sz w:val="24"/>
          <w:szCs w:val="24"/>
          <w:rtl/>
        </w:rPr>
        <w:t>ות</w:t>
      </w:r>
      <w:r w:rsidR="00191A87">
        <w:rPr>
          <w:rFonts w:ascii="David" w:hAnsi="David" w:cs="David"/>
          <w:sz w:val="24"/>
          <w:szCs w:val="24"/>
          <w:rtl/>
        </w:rPr>
        <w:t>."</w:t>
      </w:r>
    </w:p>
    <w:p w:rsidR="00F45602" w:rsidRDefault="00F45602" w:rsidP="00F45602">
      <w:pPr>
        <w:contextualSpacing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95AF3" w:rsidRPr="00B95AF3" w:rsidRDefault="00F45602" w:rsidP="00B95AF3">
      <w:pPr>
        <w:contextualSpacing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הממונה על שיתוף בנתוני אשראי, רו"ח אייל חדד</w:t>
      </w:r>
      <w:r w:rsidRPr="00553FE9">
        <w:rPr>
          <w:rFonts w:ascii="David" w:hAnsi="David" w:cs="David" w:hint="cs"/>
          <w:sz w:val="24"/>
          <w:szCs w:val="24"/>
          <w:rtl/>
        </w:rPr>
        <w:t>:</w:t>
      </w:r>
      <w:r w:rsidRPr="00A87D9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91A87">
        <w:rPr>
          <w:rFonts w:ascii="David" w:hAnsi="David" w:cs="David"/>
          <w:sz w:val="24"/>
          <w:szCs w:val="24"/>
          <w:rtl/>
        </w:rPr>
        <w:t>"</w:t>
      </w:r>
      <w:r w:rsidR="00B95AF3" w:rsidRPr="00B95AF3">
        <w:rPr>
          <w:rFonts w:ascii="David" w:hAnsi="David" w:cs="David"/>
          <w:sz w:val="24"/>
          <w:szCs w:val="24"/>
          <w:rtl/>
        </w:rPr>
        <w:t xml:space="preserve">השימוש במערכת נתוני אשראי מאפשר </w:t>
      </w:r>
      <w:r w:rsidR="001D38D4">
        <w:rPr>
          <w:rFonts w:ascii="David" w:hAnsi="David" w:cs="David" w:hint="cs"/>
          <w:sz w:val="24"/>
          <w:szCs w:val="24"/>
          <w:rtl/>
        </w:rPr>
        <w:t xml:space="preserve">לנותני האשראי </w:t>
      </w:r>
      <w:r w:rsidR="00B95AF3" w:rsidRPr="00B95AF3">
        <w:rPr>
          <w:rFonts w:ascii="David" w:hAnsi="David" w:cs="David"/>
          <w:sz w:val="24"/>
          <w:szCs w:val="24"/>
          <w:rtl/>
        </w:rPr>
        <w:t>להעריך את סיכון האשראי של כל לווה באופן טוב יותר וכך לקבוע את תנאי</w:t>
      </w:r>
      <w:r w:rsidR="00B95AF3">
        <w:rPr>
          <w:rFonts w:ascii="David" w:hAnsi="David" w:cs="David" w:hint="cs"/>
          <w:sz w:val="24"/>
          <w:szCs w:val="24"/>
          <w:rtl/>
        </w:rPr>
        <w:t xml:space="preserve"> האשראי</w:t>
      </w:r>
      <w:r w:rsidR="00B95AF3" w:rsidRPr="00B95AF3">
        <w:rPr>
          <w:rFonts w:ascii="David" w:hAnsi="David" w:cs="David"/>
          <w:sz w:val="24"/>
          <w:szCs w:val="24"/>
          <w:rtl/>
        </w:rPr>
        <w:t xml:space="preserve"> בהתאם. </w:t>
      </w:r>
    </w:p>
    <w:p w:rsidR="00F45602" w:rsidRPr="00865D96" w:rsidRDefault="001D38D4" w:rsidP="00B95AF3">
      <w:pPr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B95AF3">
        <w:rPr>
          <w:rFonts w:ascii="David" w:hAnsi="David" w:cs="David"/>
          <w:sz w:val="24"/>
          <w:szCs w:val="24"/>
          <w:rtl/>
        </w:rPr>
        <w:t>לכן חשוב מאוד לנהל את התחייבויות האשראי באופן אחראי ולהקפיד לעמוד בתשלו</w:t>
      </w:r>
      <w:r>
        <w:rPr>
          <w:rFonts w:ascii="David" w:hAnsi="David" w:cs="David" w:hint="cs"/>
          <w:sz w:val="24"/>
          <w:szCs w:val="24"/>
          <w:rtl/>
        </w:rPr>
        <w:t>מי</w:t>
      </w:r>
      <w:r w:rsidRPr="00B95AF3">
        <w:rPr>
          <w:rFonts w:ascii="David" w:hAnsi="David" w:cs="David"/>
          <w:sz w:val="24"/>
          <w:szCs w:val="24"/>
          <w:rtl/>
        </w:rPr>
        <w:t xml:space="preserve">ם בזמן, </w:t>
      </w:r>
      <w:r>
        <w:rPr>
          <w:rFonts w:ascii="David" w:hAnsi="David" w:cs="David" w:hint="cs"/>
          <w:sz w:val="24"/>
          <w:szCs w:val="24"/>
          <w:rtl/>
        </w:rPr>
        <w:t>בפרט בתקופות בהן ההחזרים החודשיים על הלוואות קיימות, עולים לאור עליות הריבית</w:t>
      </w:r>
      <w:r>
        <w:rPr>
          <w:rFonts w:ascii="David" w:hAnsi="David" w:cs="David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הפיקוח הרגולטורי שלנו נועד לטפח סביבת אשראי יציבה ושקופה והגנה על האינטרסים של הלקוחות</w:t>
      </w:r>
      <w:r w:rsidR="00191A87">
        <w:rPr>
          <w:rFonts w:ascii="David" w:hAnsi="David" w:cs="David"/>
          <w:sz w:val="24"/>
          <w:szCs w:val="24"/>
          <w:rtl/>
        </w:rPr>
        <w:t>."</w:t>
      </w:r>
    </w:p>
    <w:p w:rsidR="00B25344" w:rsidRDefault="00B25344" w:rsidP="00B25344">
      <w:pPr>
        <w:contextualSpacing/>
        <w:jc w:val="both"/>
        <w:rPr>
          <w:rFonts w:cs="David"/>
          <w:noProof/>
          <w:sz w:val="24"/>
          <w:szCs w:val="24"/>
          <w:rtl/>
        </w:rPr>
      </w:pPr>
    </w:p>
    <w:p w:rsidR="00B25344" w:rsidRPr="009D3511" w:rsidRDefault="00B25344" w:rsidP="001832A8">
      <w:pPr>
        <w:contextualSpacing/>
        <w:jc w:val="both"/>
        <w:rPr>
          <w:rFonts w:cs="David"/>
          <w:noProof/>
          <w:sz w:val="24"/>
          <w:szCs w:val="24"/>
          <w:rtl/>
        </w:rPr>
      </w:pPr>
      <w:r w:rsidRPr="009D3511">
        <w:rPr>
          <w:rFonts w:cs="David" w:hint="cs"/>
          <w:noProof/>
          <w:sz w:val="24"/>
          <w:szCs w:val="24"/>
          <w:rtl/>
        </w:rPr>
        <w:t>הד</w:t>
      </w:r>
      <w:r w:rsidR="00F120F7" w:rsidRPr="009D3511">
        <w:rPr>
          <w:rFonts w:cs="David" w:hint="cs"/>
          <w:noProof/>
          <w:sz w:val="24"/>
          <w:szCs w:val="24"/>
          <w:rtl/>
        </w:rPr>
        <w:t>יו</w:t>
      </w:r>
      <w:r w:rsidRPr="009D3511">
        <w:rPr>
          <w:rFonts w:cs="David" w:hint="cs"/>
          <w:noProof/>
          <w:sz w:val="24"/>
          <w:szCs w:val="24"/>
          <w:rtl/>
        </w:rPr>
        <w:t xml:space="preserve">וח </w:t>
      </w:r>
      <w:r w:rsidR="001B0094" w:rsidRPr="009D3511">
        <w:rPr>
          <w:rFonts w:cs="David" w:hint="cs"/>
          <w:noProof/>
          <w:sz w:val="24"/>
          <w:szCs w:val="24"/>
          <w:rtl/>
        </w:rPr>
        <w:t xml:space="preserve">הנוכחי </w:t>
      </w:r>
      <w:r w:rsidRPr="009D3511">
        <w:rPr>
          <w:rFonts w:cs="David" w:hint="cs"/>
          <w:noProof/>
          <w:sz w:val="24"/>
          <w:szCs w:val="24"/>
          <w:rtl/>
        </w:rPr>
        <w:t xml:space="preserve">כולל ממצאים </w:t>
      </w:r>
      <w:r w:rsidR="00F120F7" w:rsidRPr="009D3511">
        <w:rPr>
          <w:rFonts w:cs="David" w:hint="cs"/>
          <w:noProof/>
          <w:sz w:val="24"/>
          <w:szCs w:val="24"/>
          <w:rtl/>
        </w:rPr>
        <w:t>מ</w:t>
      </w:r>
      <w:r w:rsidR="00CD531C" w:rsidRPr="009D3511">
        <w:rPr>
          <w:rFonts w:cs="David" w:hint="cs"/>
          <w:noProof/>
          <w:sz w:val="24"/>
          <w:szCs w:val="24"/>
          <w:rtl/>
        </w:rPr>
        <w:t>מחקרים ש</w:t>
      </w:r>
      <w:r w:rsidR="00F120F7" w:rsidRPr="009D3511">
        <w:rPr>
          <w:rFonts w:cs="David" w:hint="cs"/>
          <w:noProof/>
          <w:sz w:val="24"/>
          <w:szCs w:val="24"/>
          <w:rtl/>
        </w:rPr>
        <w:t>עורך הבנק על בסיס נתוני האשראי שבמאגר</w:t>
      </w:r>
      <w:r w:rsidR="00BE1C59" w:rsidRPr="009D3511">
        <w:rPr>
          <w:rFonts w:cs="David" w:hint="cs"/>
          <w:noProof/>
          <w:sz w:val="24"/>
          <w:szCs w:val="24"/>
          <w:rtl/>
        </w:rPr>
        <w:t>,</w:t>
      </w:r>
      <w:r w:rsidR="009D3511">
        <w:rPr>
          <w:rFonts w:cs="David" w:hint="cs"/>
          <w:noProof/>
          <w:sz w:val="24"/>
          <w:szCs w:val="24"/>
          <w:rtl/>
        </w:rPr>
        <w:t xml:space="preserve"> </w:t>
      </w:r>
      <w:r w:rsidR="001832A8">
        <w:rPr>
          <w:rFonts w:cs="David" w:hint="cs"/>
          <w:noProof/>
          <w:sz w:val="24"/>
          <w:szCs w:val="24"/>
          <w:rtl/>
        </w:rPr>
        <w:t>כגון ני</w:t>
      </w:r>
      <w:r w:rsidR="001832A8" w:rsidRPr="009D3511">
        <w:rPr>
          <w:rFonts w:cs="David"/>
          <w:noProof/>
          <w:sz w:val="24"/>
          <w:szCs w:val="24"/>
          <w:rtl/>
        </w:rPr>
        <w:t>תוח אמפירי על שוק הלוואות לרכישת רכב</w:t>
      </w:r>
      <w:r w:rsidR="001832A8">
        <w:rPr>
          <w:rFonts w:cs="David" w:hint="cs"/>
          <w:noProof/>
          <w:sz w:val="24"/>
          <w:szCs w:val="24"/>
          <w:rtl/>
        </w:rPr>
        <w:t>. הניתוח</w:t>
      </w:r>
      <w:r w:rsidR="001832A8" w:rsidRPr="009D3511">
        <w:rPr>
          <w:rFonts w:cs="David"/>
          <w:noProof/>
          <w:sz w:val="24"/>
          <w:szCs w:val="24"/>
          <w:rtl/>
        </w:rPr>
        <w:t xml:space="preserve"> מעלה כי מאגר האשראי תרם באופן מובהק ליכולת של גופים חוץ בנקאיים להרחיב את היצע האשראי האיכותי ולשפר את ביצועי האשראי שלהם מול התאגידים הבנקאיים</w:t>
      </w:r>
      <w:r w:rsidR="009D3511">
        <w:rPr>
          <w:rFonts w:cs="David" w:hint="cs"/>
          <w:noProof/>
          <w:sz w:val="24"/>
          <w:szCs w:val="24"/>
          <w:rtl/>
        </w:rPr>
        <w:t>.</w:t>
      </w:r>
    </w:p>
    <w:p w:rsidR="00865D96" w:rsidRDefault="00865D96" w:rsidP="00865D96">
      <w:pPr>
        <w:contextualSpacing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25344" w:rsidRDefault="00B25344" w:rsidP="00B25344">
      <w:pPr>
        <w:contextualSpacing/>
        <w:jc w:val="both"/>
        <w:rPr>
          <w:rFonts w:cs="David"/>
          <w:noProof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w:t>הדוח שהוגש היום מציג,</w:t>
      </w:r>
      <w:r w:rsidR="001B7F21">
        <w:rPr>
          <w:rFonts w:cs="David" w:hint="cs"/>
          <w:noProof/>
          <w:sz w:val="24"/>
          <w:szCs w:val="24"/>
          <w:rtl/>
        </w:rPr>
        <w:t xml:space="preserve"> </w:t>
      </w:r>
      <w:r>
        <w:rPr>
          <w:rFonts w:cs="David" w:hint="cs"/>
          <w:noProof/>
          <w:sz w:val="24"/>
          <w:szCs w:val="24"/>
          <w:rtl/>
        </w:rPr>
        <w:t>בין היתר, את פעילות הממונה על שיתוף בנתוני אשראי, לרבות פעולות הפיקוח והבקרה שנעשו והטיפול בתלונות ציבור</w:t>
      </w:r>
      <w:r w:rsidR="00DD0395">
        <w:rPr>
          <w:rFonts w:cs="David" w:hint="cs"/>
          <w:noProof/>
          <w:sz w:val="24"/>
          <w:szCs w:val="24"/>
          <w:rtl/>
        </w:rPr>
        <w:t>,</w:t>
      </w:r>
      <w:r>
        <w:rPr>
          <w:rFonts w:cs="David" w:hint="cs"/>
          <w:noProof/>
          <w:sz w:val="24"/>
          <w:szCs w:val="24"/>
          <w:rtl/>
        </w:rPr>
        <w:t xml:space="preserve"> וכן </w:t>
      </w:r>
      <w:r w:rsidR="00DD0395">
        <w:rPr>
          <w:rFonts w:cs="David" w:hint="cs"/>
          <w:noProof/>
          <w:sz w:val="24"/>
          <w:szCs w:val="24"/>
          <w:rtl/>
        </w:rPr>
        <w:t xml:space="preserve">את </w:t>
      </w:r>
      <w:r>
        <w:rPr>
          <w:rFonts w:cs="David" w:hint="cs"/>
          <w:noProof/>
          <w:sz w:val="24"/>
          <w:szCs w:val="24"/>
          <w:rtl/>
        </w:rPr>
        <w:t>פעילותם של המאגר, של מנהלת המאגר ושל הממונה על הגנת הפרטיות.</w:t>
      </w:r>
      <w:r w:rsidR="001B7F21">
        <w:rPr>
          <w:rFonts w:cs="David" w:hint="cs"/>
          <w:noProof/>
          <w:sz w:val="24"/>
          <w:szCs w:val="24"/>
          <w:rtl/>
        </w:rPr>
        <w:t xml:space="preserve"> </w:t>
      </w:r>
    </w:p>
    <w:p w:rsidR="00865D96" w:rsidRDefault="00865D96" w:rsidP="00B25344">
      <w:pPr>
        <w:contextualSpacing/>
        <w:jc w:val="both"/>
        <w:rPr>
          <w:rFonts w:cs="David"/>
          <w:noProof/>
          <w:sz w:val="24"/>
          <w:szCs w:val="24"/>
          <w:rtl/>
        </w:rPr>
      </w:pPr>
    </w:p>
    <w:p w:rsidR="0030426F" w:rsidRDefault="0030426F" w:rsidP="00B25344">
      <w:pPr>
        <w:contextualSpacing/>
        <w:jc w:val="both"/>
        <w:rPr>
          <w:rFonts w:cs="David"/>
          <w:noProof/>
          <w:sz w:val="24"/>
          <w:szCs w:val="24"/>
          <w:rtl/>
        </w:rPr>
      </w:pPr>
    </w:p>
    <w:p w:rsidR="001B7F21" w:rsidRDefault="001B7F21" w:rsidP="00B25344">
      <w:pPr>
        <w:contextualSpacing/>
        <w:jc w:val="both"/>
        <w:rPr>
          <w:rFonts w:cs="David"/>
          <w:noProof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w:t xml:space="preserve">מצורף הדיווח שהוגש לכנסת. </w:t>
      </w:r>
    </w:p>
    <w:p w:rsidR="00B25344" w:rsidRDefault="00B25344" w:rsidP="00B25344">
      <w:pPr>
        <w:contextualSpacing/>
        <w:jc w:val="both"/>
        <w:rPr>
          <w:rFonts w:cs="David"/>
          <w:noProof/>
          <w:sz w:val="24"/>
          <w:szCs w:val="24"/>
          <w:rtl/>
        </w:rPr>
      </w:pPr>
    </w:p>
    <w:p w:rsidR="00EF672F" w:rsidRDefault="00EF672F"/>
    <w:sectPr w:rsidR="00EF672F" w:rsidSect="00955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A6" w:rsidRDefault="00A863A6" w:rsidP="00A863A6">
      <w:pPr>
        <w:spacing w:after="0" w:line="240" w:lineRule="auto"/>
      </w:pPr>
      <w:r>
        <w:separator/>
      </w:r>
    </w:p>
  </w:endnote>
  <w:endnote w:type="continuationSeparator" w:id="0">
    <w:p w:rsidR="00A863A6" w:rsidRDefault="00A863A6" w:rsidP="00A8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3A6" w:rsidRDefault="00A863A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3A6" w:rsidRDefault="00A863A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3A6" w:rsidRDefault="00A863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A6" w:rsidRDefault="00A863A6" w:rsidP="00A863A6">
      <w:pPr>
        <w:spacing w:after="0" w:line="240" w:lineRule="auto"/>
      </w:pPr>
      <w:r>
        <w:separator/>
      </w:r>
    </w:p>
  </w:footnote>
  <w:footnote w:type="continuationSeparator" w:id="0">
    <w:p w:rsidR="00A863A6" w:rsidRDefault="00A863A6" w:rsidP="00A8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3A6" w:rsidRDefault="00A863A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3A6" w:rsidRDefault="00A863A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3A6" w:rsidRDefault="00A863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C1D84"/>
    <w:multiLevelType w:val="hybridMultilevel"/>
    <w:tmpl w:val="1676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44"/>
    <w:rsid w:val="000032A9"/>
    <w:rsid w:val="000138A7"/>
    <w:rsid w:val="00065A86"/>
    <w:rsid w:val="00073E77"/>
    <w:rsid w:val="0008768F"/>
    <w:rsid w:val="000A63FF"/>
    <w:rsid w:val="000B5274"/>
    <w:rsid w:val="000B5C79"/>
    <w:rsid w:val="000C23B0"/>
    <w:rsid w:val="000D65CE"/>
    <w:rsid w:val="000F0B23"/>
    <w:rsid w:val="00100C18"/>
    <w:rsid w:val="00114BA5"/>
    <w:rsid w:val="00131EC0"/>
    <w:rsid w:val="00132CE1"/>
    <w:rsid w:val="0013718F"/>
    <w:rsid w:val="00145350"/>
    <w:rsid w:val="0016114A"/>
    <w:rsid w:val="00172F63"/>
    <w:rsid w:val="001832A8"/>
    <w:rsid w:val="0018622B"/>
    <w:rsid w:val="00187B0B"/>
    <w:rsid w:val="00191A87"/>
    <w:rsid w:val="001A1917"/>
    <w:rsid w:val="001A74A5"/>
    <w:rsid w:val="001B0094"/>
    <w:rsid w:val="001B7F21"/>
    <w:rsid w:val="001C254E"/>
    <w:rsid w:val="001C5A02"/>
    <w:rsid w:val="001D1F34"/>
    <w:rsid w:val="001D38D4"/>
    <w:rsid w:val="001D42DA"/>
    <w:rsid w:val="001E59E7"/>
    <w:rsid w:val="0021229D"/>
    <w:rsid w:val="00215C99"/>
    <w:rsid w:val="00221D70"/>
    <w:rsid w:val="00242EC3"/>
    <w:rsid w:val="00244DB9"/>
    <w:rsid w:val="00244E89"/>
    <w:rsid w:val="002463F8"/>
    <w:rsid w:val="0025405B"/>
    <w:rsid w:val="00263695"/>
    <w:rsid w:val="00296F58"/>
    <w:rsid w:val="002A1689"/>
    <w:rsid w:val="002B1307"/>
    <w:rsid w:val="002C5326"/>
    <w:rsid w:val="002E4D9B"/>
    <w:rsid w:val="002F675E"/>
    <w:rsid w:val="00301A25"/>
    <w:rsid w:val="00303B5C"/>
    <w:rsid w:val="0030426F"/>
    <w:rsid w:val="00306B8B"/>
    <w:rsid w:val="00306CC3"/>
    <w:rsid w:val="00327332"/>
    <w:rsid w:val="00327D73"/>
    <w:rsid w:val="00337DBB"/>
    <w:rsid w:val="0036106D"/>
    <w:rsid w:val="00367990"/>
    <w:rsid w:val="00376189"/>
    <w:rsid w:val="003950BD"/>
    <w:rsid w:val="003A3242"/>
    <w:rsid w:val="003C30A6"/>
    <w:rsid w:val="003C5B1B"/>
    <w:rsid w:val="003F14EE"/>
    <w:rsid w:val="00401562"/>
    <w:rsid w:val="00413545"/>
    <w:rsid w:val="0042028C"/>
    <w:rsid w:val="00420AAC"/>
    <w:rsid w:val="00441943"/>
    <w:rsid w:val="004525A7"/>
    <w:rsid w:val="00455F10"/>
    <w:rsid w:val="00460B79"/>
    <w:rsid w:val="00463548"/>
    <w:rsid w:val="00474722"/>
    <w:rsid w:val="00482FA0"/>
    <w:rsid w:val="00497DF3"/>
    <w:rsid w:val="004A0E09"/>
    <w:rsid w:val="004A1A36"/>
    <w:rsid w:val="004C5E75"/>
    <w:rsid w:val="004D3376"/>
    <w:rsid w:val="004E25A6"/>
    <w:rsid w:val="004E50A5"/>
    <w:rsid w:val="004E5E04"/>
    <w:rsid w:val="004E5EFA"/>
    <w:rsid w:val="004F2C59"/>
    <w:rsid w:val="004F46E0"/>
    <w:rsid w:val="00507634"/>
    <w:rsid w:val="0051193C"/>
    <w:rsid w:val="00521045"/>
    <w:rsid w:val="005248F1"/>
    <w:rsid w:val="005400AE"/>
    <w:rsid w:val="0054749D"/>
    <w:rsid w:val="005504D4"/>
    <w:rsid w:val="005553A7"/>
    <w:rsid w:val="00581704"/>
    <w:rsid w:val="0059025D"/>
    <w:rsid w:val="005C4746"/>
    <w:rsid w:val="005E0951"/>
    <w:rsid w:val="005F2554"/>
    <w:rsid w:val="005F6723"/>
    <w:rsid w:val="00646430"/>
    <w:rsid w:val="0066324A"/>
    <w:rsid w:val="006809B8"/>
    <w:rsid w:val="006A1E48"/>
    <w:rsid w:val="006A5BBC"/>
    <w:rsid w:val="006B5933"/>
    <w:rsid w:val="006C19AB"/>
    <w:rsid w:val="006C57C2"/>
    <w:rsid w:val="006D5CE6"/>
    <w:rsid w:val="006D69EF"/>
    <w:rsid w:val="006E7F37"/>
    <w:rsid w:val="006F7B92"/>
    <w:rsid w:val="0070640D"/>
    <w:rsid w:val="00711002"/>
    <w:rsid w:val="0071682D"/>
    <w:rsid w:val="00731297"/>
    <w:rsid w:val="007329E8"/>
    <w:rsid w:val="007356AF"/>
    <w:rsid w:val="0075512D"/>
    <w:rsid w:val="007728EA"/>
    <w:rsid w:val="00785E70"/>
    <w:rsid w:val="00791D7D"/>
    <w:rsid w:val="007A011C"/>
    <w:rsid w:val="007A5370"/>
    <w:rsid w:val="007D13D2"/>
    <w:rsid w:val="007D73E7"/>
    <w:rsid w:val="007E7FB3"/>
    <w:rsid w:val="007F64E6"/>
    <w:rsid w:val="00800C88"/>
    <w:rsid w:val="00815F16"/>
    <w:rsid w:val="00820F1F"/>
    <w:rsid w:val="00862D11"/>
    <w:rsid w:val="00865D96"/>
    <w:rsid w:val="0086615F"/>
    <w:rsid w:val="00867742"/>
    <w:rsid w:val="00877EDA"/>
    <w:rsid w:val="00893871"/>
    <w:rsid w:val="008A16FE"/>
    <w:rsid w:val="008A201C"/>
    <w:rsid w:val="008A70C8"/>
    <w:rsid w:val="008B54F4"/>
    <w:rsid w:val="008C3CEE"/>
    <w:rsid w:val="008E5371"/>
    <w:rsid w:val="008F1239"/>
    <w:rsid w:val="008F2AE4"/>
    <w:rsid w:val="00905269"/>
    <w:rsid w:val="00912B06"/>
    <w:rsid w:val="00914469"/>
    <w:rsid w:val="009173C2"/>
    <w:rsid w:val="00946248"/>
    <w:rsid w:val="00952FEA"/>
    <w:rsid w:val="00981623"/>
    <w:rsid w:val="00981793"/>
    <w:rsid w:val="009A0349"/>
    <w:rsid w:val="009B5387"/>
    <w:rsid w:val="009C630F"/>
    <w:rsid w:val="009C7E73"/>
    <w:rsid w:val="009D3511"/>
    <w:rsid w:val="009E3C9D"/>
    <w:rsid w:val="00A032F8"/>
    <w:rsid w:val="00A25A12"/>
    <w:rsid w:val="00A33D8B"/>
    <w:rsid w:val="00A41995"/>
    <w:rsid w:val="00A863A6"/>
    <w:rsid w:val="00AB0E5E"/>
    <w:rsid w:val="00AC6A30"/>
    <w:rsid w:val="00AC758E"/>
    <w:rsid w:val="00AD00E3"/>
    <w:rsid w:val="00AD54BB"/>
    <w:rsid w:val="00AE6C9B"/>
    <w:rsid w:val="00AF392C"/>
    <w:rsid w:val="00B1308D"/>
    <w:rsid w:val="00B152E2"/>
    <w:rsid w:val="00B25344"/>
    <w:rsid w:val="00B55BC0"/>
    <w:rsid w:val="00B62597"/>
    <w:rsid w:val="00B73F44"/>
    <w:rsid w:val="00B81A5E"/>
    <w:rsid w:val="00B849C8"/>
    <w:rsid w:val="00B87EA5"/>
    <w:rsid w:val="00B95AF3"/>
    <w:rsid w:val="00BA323D"/>
    <w:rsid w:val="00BB5193"/>
    <w:rsid w:val="00BB727B"/>
    <w:rsid w:val="00BB7D8E"/>
    <w:rsid w:val="00BC657F"/>
    <w:rsid w:val="00BE1C59"/>
    <w:rsid w:val="00BE6B6E"/>
    <w:rsid w:val="00BF7F66"/>
    <w:rsid w:val="00C01E8A"/>
    <w:rsid w:val="00C06942"/>
    <w:rsid w:val="00C26023"/>
    <w:rsid w:val="00C42C4F"/>
    <w:rsid w:val="00C4706E"/>
    <w:rsid w:val="00C52EC0"/>
    <w:rsid w:val="00C537F2"/>
    <w:rsid w:val="00C627AC"/>
    <w:rsid w:val="00C63598"/>
    <w:rsid w:val="00C65D4A"/>
    <w:rsid w:val="00C664F4"/>
    <w:rsid w:val="00C72836"/>
    <w:rsid w:val="00C72BDD"/>
    <w:rsid w:val="00C81276"/>
    <w:rsid w:val="00C9123C"/>
    <w:rsid w:val="00CA4E77"/>
    <w:rsid w:val="00CA500A"/>
    <w:rsid w:val="00CA5726"/>
    <w:rsid w:val="00CA7105"/>
    <w:rsid w:val="00CB552C"/>
    <w:rsid w:val="00CB64F4"/>
    <w:rsid w:val="00CD09B0"/>
    <w:rsid w:val="00CD531C"/>
    <w:rsid w:val="00CE1261"/>
    <w:rsid w:val="00CE1676"/>
    <w:rsid w:val="00D013EB"/>
    <w:rsid w:val="00D04F10"/>
    <w:rsid w:val="00D07456"/>
    <w:rsid w:val="00D07E9E"/>
    <w:rsid w:val="00D108FF"/>
    <w:rsid w:val="00D110A3"/>
    <w:rsid w:val="00D1198D"/>
    <w:rsid w:val="00D20997"/>
    <w:rsid w:val="00D22DF3"/>
    <w:rsid w:val="00D3715D"/>
    <w:rsid w:val="00D437D1"/>
    <w:rsid w:val="00D516C6"/>
    <w:rsid w:val="00D55165"/>
    <w:rsid w:val="00D70BED"/>
    <w:rsid w:val="00D815EA"/>
    <w:rsid w:val="00D8308C"/>
    <w:rsid w:val="00DA149F"/>
    <w:rsid w:val="00DB755C"/>
    <w:rsid w:val="00DD0395"/>
    <w:rsid w:val="00DD3138"/>
    <w:rsid w:val="00DE38EC"/>
    <w:rsid w:val="00E05521"/>
    <w:rsid w:val="00E06A9C"/>
    <w:rsid w:val="00E258BE"/>
    <w:rsid w:val="00E44D41"/>
    <w:rsid w:val="00E65C0A"/>
    <w:rsid w:val="00E80840"/>
    <w:rsid w:val="00E81409"/>
    <w:rsid w:val="00E85912"/>
    <w:rsid w:val="00E91D9D"/>
    <w:rsid w:val="00E95C4D"/>
    <w:rsid w:val="00EA1927"/>
    <w:rsid w:val="00EA1F84"/>
    <w:rsid w:val="00EB50B5"/>
    <w:rsid w:val="00EC4F8C"/>
    <w:rsid w:val="00EF0C7E"/>
    <w:rsid w:val="00EF1C05"/>
    <w:rsid w:val="00EF30D0"/>
    <w:rsid w:val="00EF672F"/>
    <w:rsid w:val="00F0707A"/>
    <w:rsid w:val="00F110B1"/>
    <w:rsid w:val="00F120F7"/>
    <w:rsid w:val="00F22B62"/>
    <w:rsid w:val="00F3302E"/>
    <w:rsid w:val="00F45602"/>
    <w:rsid w:val="00F66687"/>
    <w:rsid w:val="00F70070"/>
    <w:rsid w:val="00F848A1"/>
    <w:rsid w:val="00F86AAB"/>
    <w:rsid w:val="00FA2EB6"/>
    <w:rsid w:val="00FC3B3B"/>
    <w:rsid w:val="00FE02F1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7DE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344"/>
    <w:pPr>
      <w:bidi/>
      <w:spacing w:after="12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25344"/>
    <w:pPr>
      <w:ind w:left="720"/>
    </w:pPr>
  </w:style>
  <w:style w:type="character" w:customStyle="1" w:styleId="a4">
    <w:name w:val="פיסקת רשימה תו"/>
    <w:link w:val="a3"/>
    <w:uiPriority w:val="34"/>
    <w:locked/>
    <w:rsid w:val="00B25344"/>
  </w:style>
  <w:style w:type="paragraph" w:styleId="a5">
    <w:name w:val="Balloon Text"/>
    <w:basedOn w:val="a"/>
    <w:link w:val="a6"/>
    <w:uiPriority w:val="99"/>
    <w:semiHidden/>
    <w:unhideWhenUsed/>
    <w:rsid w:val="001B7F2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1B7F21"/>
    <w:rPr>
      <w:rFonts w:ascii="Tahoma" w:hAnsi="Tahoma" w:cs="Tahoma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73F4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F44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B73F4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F44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B73F44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86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A863A6"/>
  </w:style>
  <w:style w:type="paragraph" w:styleId="ae">
    <w:name w:val="footer"/>
    <w:basedOn w:val="a"/>
    <w:link w:val="af"/>
    <w:uiPriority w:val="99"/>
    <w:unhideWhenUsed/>
    <w:rsid w:val="00A86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A86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1265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2023-04-04T06:53:00Z</dcterms:created>
  <dcterms:modified xsi:type="dcterms:W3CDTF">2023-04-04T06:53:00Z</dcterms:modified>
</cp:coreProperties>
</file>