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14:paraId="233CACE3" w14:textId="77777777" w:rsidTr="002E5159">
        <w:trPr>
          <w:jc w:val="center"/>
        </w:trPr>
        <w:tc>
          <w:tcPr>
            <w:tcW w:w="2840" w:type="dxa"/>
            <w:vAlign w:val="center"/>
          </w:tcPr>
          <w:p w14:paraId="233CACDE" w14:textId="77777777"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14:paraId="233CACDF" w14:textId="77777777"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14:paraId="233CACE0" w14:textId="77777777"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vAlign w:val="center"/>
          </w:tcPr>
          <w:p w14:paraId="233CACE1" w14:textId="7B31A282" w:rsidR="00D921A2" w:rsidRPr="000B3287" w:rsidRDefault="00D921A2" w:rsidP="00551380">
            <w:pPr>
              <w:spacing w:before="240" w:line="480" w:lineRule="auto"/>
              <w:jc w:val="right"/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6C1E0C">
              <w:rPr>
                <w:rFonts w:hint="cs"/>
                <w:rtl/>
              </w:rPr>
              <w:t>כ</w:t>
            </w:r>
            <w:r w:rsidR="00D96916">
              <w:rPr>
                <w:rFonts w:hint="cs"/>
                <w:rtl/>
              </w:rPr>
              <w:t>"ב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6C1E0C">
              <w:rPr>
                <w:rFonts w:hint="cs"/>
                <w:rtl/>
              </w:rPr>
              <w:t>בסיוון</w:t>
            </w:r>
            <w:r w:rsidR="00D43807" w:rsidRPr="000B3287">
              <w:rPr>
                <w:rFonts w:hint="cs"/>
                <w:rtl/>
              </w:rPr>
              <w:t xml:space="preserve"> </w:t>
            </w:r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תשע"</w:t>
            </w:r>
            <w:r w:rsidR="00F26049">
              <w:rPr>
                <w:rFonts w:hint="cs"/>
                <w:rtl/>
              </w:rPr>
              <w:t>ט</w:t>
            </w:r>
          </w:p>
          <w:p w14:paraId="233CACE2" w14:textId="355501A8" w:rsidR="00D921A2" w:rsidRPr="000B3287" w:rsidRDefault="006C1E0C" w:rsidP="00551380">
            <w:pPr>
              <w:spacing w:before="240" w:line="480" w:lineRule="auto"/>
              <w:jc w:val="right"/>
            </w:pPr>
            <w:r>
              <w:rPr>
                <w:rFonts w:hint="cs"/>
                <w:rtl/>
              </w:rPr>
              <w:t>25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יוני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2019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14:paraId="233CACE5" w14:textId="77777777"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14:paraId="233CACE6" w14:textId="4AD8FACB" w:rsidR="00E724A2" w:rsidRPr="002E5159" w:rsidRDefault="0078645B" w:rsidP="00551380">
      <w:pPr>
        <w:pStyle w:val="af1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CE2D8C">
        <w:rPr>
          <w:rFonts w:hint="cs"/>
          <w:b/>
          <w:bCs/>
          <w:rtl/>
        </w:rPr>
        <w:t>הר</w:t>
      </w:r>
      <w:r w:rsidR="006C1E0C">
        <w:rPr>
          <w:rFonts w:hint="cs"/>
          <w:b/>
          <w:bCs/>
          <w:rtl/>
        </w:rPr>
        <w:t>אשון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201</w:t>
      </w:r>
      <w:r w:rsidR="006C1E0C">
        <w:rPr>
          <w:rFonts w:hint="cs"/>
          <w:b/>
          <w:bCs/>
          <w:rtl/>
        </w:rPr>
        <w:t>9</w:t>
      </w:r>
    </w:p>
    <w:p w14:paraId="233CACE7" w14:textId="2844DB6A" w:rsidR="00091F3F" w:rsidRPr="009264FD" w:rsidRDefault="00F502DF" w:rsidP="006C1E0C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264FD">
        <w:rPr>
          <w:b/>
          <w:bCs/>
          <w:rtl/>
        </w:rPr>
        <w:t xml:space="preserve">ברביע </w:t>
      </w:r>
      <w:r w:rsidR="00767D86" w:rsidRPr="009264FD">
        <w:rPr>
          <w:rFonts w:hint="cs"/>
          <w:b/>
          <w:bCs/>
          <w:rtl/>
        </w:rPr>
        <w:t>ה</w:t>
      </w:r>
      <w:r w:rsidR="006C1E0C">
        <w:rPr>
          <w:rFonts w:hint="cs"/>
          <w:b/>
          <w:bCs/>
          <w:rtl/>
        </w:rPr>
        <w:t>ראשון</w:t>
      </w:r>
      <w:r w:rsidRPr="009264FD">
        <w:rPr>
          <w:b/>
          <w:bCs/>
          <w:rtl/>
        </w:rPr>
        <w:t xml:space="preserve"> של שנת 201</w:t>
      </w:r>
      <w:r w:rsidR="006C1E0C">
        <w:rPr>
          <w:rFonts w:hint="cs"/>
          <w:b/>
          <w:bCs/>
          <w:rtl/>
        </w:rPr>
        <w:t>9</w:t>
      </w:r>
      <w:r w:rsidRPr="009264FD">
        <w:rPr>
          <w:b/>
          <w:bCs/>
          <w:rtl/>
        </w:rPr>
        <w:t xml:space="preserve"> </w:t>
      </w:r>
      <w:r w:rsidR="006C1E0C">
        <w:rPr>
          <w:rFonts w:hint="cs"/>
          <w:b/>
          <w:bCs/>
          <w:rtl/>
        </w:rPr>
        <w:t>עלת</w:t>
      </w:r>
      <w:r w:rsidR="003F7C50">
        <w:rPr>
          <w:rFonts w:hint="cs"/>
          <w:b/>
          <w:bCs/>
          <w:rtl/>
        </w:rPr>
        <w:t>ה</w:t>
      </w:r>
      <w:r w:rsidRPr="009264FD">
        <w:rPr>
          <w:b/>
          <w:bCs/>
          <w:rtl/>
        </w:rPr>
        <w:t xml:space="preserve"> </w:t>
      </w:r>
      <w:r w:rsidR="003F7C50">
        <w:rPr>
          <w:rFonts w:hint="cs"/>
          <w:b/>
          <w:bCs/>
          <w:rtl/>
        </w:rPr>
        <w:t>יתרת</w:t>
      </w:r>
      <w:r w:rsidR="00EC18EA" w:rsidRPr="009264FD">
        <w:rPr>
          <w:rFonts w:hint="cs"/>
          <w:b/>
          <w:bCs/>
          <w:rtl/>
        </w:rPr>
        <w:t xml:space="preserve"> תיק הנכסים</w:t>
      </w:r>
      <w:r w:rsidR="00235FBA" w:rsidRPr="009264FD">
        <w:rPr>
          <w:rFonts w:hint="cs"/>
          <w:b/>
          <w:bCs/>
          <w:rtl/>
        </w:rPr>
        <w:t xml:space="preserve"> הפיננסיים של הציבור</w:t>
      </w:r>
      <w:r w:rsidR="00EC18EA" w:rsidRPr="009264FD">
        <w:rPr>
          <w:rFonts w:hint="cs"/>
          <w:b/>
          <w:bCs/>
          <w:rtl/>
        </w:rPr>
        <w:t xml:space="preserve"> בכ-</w:t>
      </w:r>
      <w:r w:rsidR="006C1E0C">
        <w:rPr>
          <w:rFonts w:hint="cs"/>
          <w:b/>
          <w:bCs/>
          <w:rtl/>
        </w:rPr>
        <w:t>161</w:t>
      </w:r>
      <w:r w:rsidR="00EC18EA" w:rsidRPr="009264FD">
        <w:rPr>
          <w:rFonts w:hint="cs"/>
          <w:b/>
          <w:bCs/>
          <w:rtl/>
        </w:rPr>
        <w:t xml:space="preserve"> מיליארדי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 (</w:t>
      </w:r>
      <w:r w:rsidR="00E32E8A" w:rsidRPr="009264FD">
        <w:rPr>
          <w:b/>
          <w:bCs/>
        </w:rPr>
        <w:t>%</w:t>
      </w:r>
      <w:r w:rsidR="006C1E0C">
        <w:rPr>
          <w:rFonts w:hint="cs"/>
          <w:b/>
          <w:bCs/>
          <w:rtl/>
        </w:rPr>
        <w:t>4</w:t>
      </w:r>
      <w:r w:rsidR="006D6B90" w:rsidRPr="009264FD">
        <w:rPr>
          <w:rFonts w:hint="cs"/>
          <w:b/>
          <w:bCs/>
          <w:rtl/>
        </w:rPr>
        <w:t>.</w:t>
      </w:r>
      <w:r w:rsidR="006C1E0C">
        <w:rPr>
          <w:rFonts w:hint="cs"/>
          <w:b/>
          <w:bCs/>
          <w:rtl/>
        </w:rPr>
        <w:t>4</w:t>
      </w:r>
      <w:r w:rsidR="006D6B90" w:rsidRPr="009264FD">
        <w:rPr>
          <w:rFonts w:hint="cs"/>
          <w:b/>
          <w:bCs/>
          <w:rtl/>
        </w:rPr>
        <w:t>) ועמד</w:t>
      </w:r>
      <w:r w:rsidR="003F7C50">
        <w:rPr>
          <w:rFonts w:hint="cs"/>
          <w:b/>
          <w:bCs/>
          <w:rtl/>
        </w:rPr>
        <w:t>ה</w:t>
      </w:r>
      <w:r w:rsidR="006D6B90" w:rsidRPr="009264FD">
        <w:rPr>
          <w:rFonts w:hint="cs"/>
          <w:b/>
          <w:bCs/>
          <w:rtl/>
        </w:rPr>
        <w:t xml:space="preserve"> בסופו על כ-3.</w:t>
      </w:r>
      <w:r w:rsidR="006C1E0C">
        <w:rPr>
          <w:rFonts w:hint="cs"/>
          <w:b/>
          <w:bCs/>
          <w:rtl/>
        </w:rPr>
        <w:t>8</w:t>
      </w:r>
      <w:r w:rsidR="00DD612E">
        <w:rPr>
          <w:rFonts w:hint="cs"/>
          <w:b/>
          <w:bCs/>
          <w:rtl/>
        </w:rPr>
        <w:t xml:space="preserve"> טריליוני </w:t>
      </w:r>
      <w:r w:rsidR="00EC18EA" w:rsidRPr="009264FD">
        <w:rPr>
          <w:rFonts w:hint="cs"/>
          <w:b/>
          <w:bCs/>
          <w:rtl/>
        </w:rPr>
        <w:t>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ח.</w:t>
      </w:r>
    </w:p>
    <w:p w14:paraId="310A9BA0" w14:textId="7C982921" w:rsidR="00C31AD4" w:rsidRDefault="00C31AD4" w:rsidP="009709E0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31AD4">
        <w:rPr>
          <w:rFonts w:hint="cs"/>
          <w:b/>
          <w:bCs/>
          <w:rtl/>
        </w:rPr>
        <w:t>בלטו העליות ביתר</w:t>
      </w:r>
      <w:r>
        <w:rPr>
          <w:rFonts w:hint="cs"/>
          <w:b/>
          <w:bCs/>
          <w:rtl/>
        </w:rPr>
        <w:t>ו</w:t>
      </w:r>
      <w:r w:rsidRPr="00C31AD4">
        <w:rPr>
          <w:rFonts w:hint="cs"/>
          <w:b/>
          <w:bCs/>
          <w:rtl/>
        </w:rPr>
        <w:t>ת החזקת הציבור במניות בארץ, באג"ח הממשלתיות וברכיבי המזומן והפיקדונות.</w:t>
      </w:r>
    </w:p>
    <w:p w14:paraId="5059198A" w14:textId="23A5DE47" w:rsidR="00FF1E74" w:rsidRPr="00C31AD4" w:rsidRDefault="00FF1E74" w:rsidP="000226B0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31AD4">
        <w:rPr>
          <w:rFonts w:hint="cs"/>
          <w:b/>
          <w:bCs/>
          <w:rtl/>
        </w:rPr>
        <w:t xml:space="preserve">יתרת התיק המנוהל בידי המשקיעים המוסדיים עלתה ברביע הראשון של שנת 2019 בכ-85 מיליארדי </w:t>
      </w:r>
      <w:r w:rsidR="000226B0">
        <w:rPr>
          <w:rFonts w:hint="cs"/>
          <w:b/>
          <w:bCs/>
          <w:rtl/>
        </w:rPr>
        <w:t>ש"ח</w:t>
      </w:r>
      <w:r w:rsidRPr="00C31AD4">
        <w:rPr>
          <w:rFonts w:hint="cs"/>
          <w:b/>
          <w:bCs/>
          <w:rtl/>
        </w:rPr>
        <w:t xml:space="preserve"> (5.2%) לרמה של כ-1.72 טריליונים</w:t>
      </w:r>
      <w:r w:rsidR="00267453">
        <w:rPr>
          <w:rFonts w:hint="cs"/>
          <w:b/>
          <w:bCs/>
          <w:rtl/>
        </w:rPr>
        <w:t>.</w:t>
      </w:r>
    </w:p>
    <w:p w14:paraId="7A411D64" w14:textId="7EAB7853" w:rsidR="00CB18EF" w:rsidRPr="00C31AD4" w:rsidRDefault="00CB18EF" w:rsidP="000226B0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31AD4">
        <w:rPr>
          <w:rFonts w:hint="cs"/>
          <w:b/>
          <w:bCs/>
          <w:rtl/>
        </w:rPr>
        <w:t>שיעורי החשיפה של ה</w:t>
      </w:r>
      <w:r w:rsidR="00060438" w:rsidRPr="00C31AD4">
        <w:rPr>
          <w:rFonts w:hint="cs"/>
          <w:b/>
          <w:bCs/>
          <w:rtl/>
        </w:rPr>
        <w:t>גופים ה</w:t>
      </w:r>
      <w:r w:rsidRPr="00C31AD4">
        <w:rPr>
          <w:rFonts w:hint="cs"/>
          <w:b/>
          <w:bCs/>
          <w:rtl/>
        </w:rPr>
        <w:t xml:space="preserve">מוסדיים לנכסים זרים </w:t>
      </w:r>
      <w:r w:rsidR="00060438" w:rsidRPr="00C31AD4">
        <w:rPr>
          <w:rFonts w:hint="cs"/>
          <w:b/>
          <w:bCs/>
          <w:rtl/>
        </w:rPr>
        <w:t>עלה בכ-0.</w:t>
      </w:r>
      <w:r w:rsidR="00FF1E74" w:rsidRPr="00C31AD4">
        <w:rPr>
          <w:rFonts w:hint="cs"/>
          <w:b/>
          <w:bCs/>
          <w:rtl/>
        </w:rPr>
        <w:t>2</w:t>
      </w:r>
      <w:r w:rsidR="00060438" w:rsidRPr="00C31AD4">
        <w:rPr>
          <w:rFonts w:hint="cs"/>
          <w:b/>
          <w:bCs/>
          <w:rtl/>
        </w:rPr>
        <w:t xml:space="preserve"> נקודת אחוז </w:t>
      </w:r>
      <w:r w:rsidR="00FF1E74" w:rsidRPr="00C31AD4">
        <w:rPr>
          <w:rFonts w:hint="cs"/>
          <w:b/>
          <w:bCs/>
          <w:rtl/>
        </w:rPr>
        <w:t>ובמקביל</w:t>
      </w:r>
      <w:r w:rsidR="00060438" w:rsidRPr="00C31AD4">
        <w:rPr>
          <w:rFonts w:hint="cs"/>
          <w:b/>
          <w:bCs/>
          <w:rtl/>
        </w:rPr>
        <w:t xml:space="preserve">, שיעור החשיפה </w:t>
      </w:r>
      <w:r w:rsidRPr="00C31AD4">
        <w:rPr>
          <w:rFonts w:hint="cs"/>
          <w:b/>
          <w:bCs/>
          <w:rtl/>
        </w:rPr>
        <w:t xml:space="preserve">למט"ח </w:t>
      </w:r>
      <w:r w:rsidR="00FF1E74" w:rsidRPr="00C31AD4">
        <w:rPr>
          <w:rFonts w:hint="cs"/>
          <w:b/>
          <w:bCs/>
          <w:rtl/>
        </w:rPr>
        <w:t>על</w:t>
      </w:r>
      <w:r w:rsidR="000226B0">
        <w:rPr>
          <w:rFonts w:hint="cs"/>
          <w:b/>
          <w:bCs/>
          <w:rtl/>
        </w:rPr>
        <w:t>ה</w:t>
      </w:r>
      <w:r w:rsidR="00060438" w:rsidRPr="00C31AD4">
        <w:rPr>
          <w:rFonts w:hint="cs"/>
          <w:b/>
          <w:bCs/>
          <w:rtl/>
        </w:rPr>
        <w:t xml:space="preserve"> </w:t>
      </w:r>
      <w:r w:rsidR="00FF1E74" w:rsidRPr="00C31AD4">
        <w:rPr>
          <w:rFonts w:hint="cs"/>
          <w:b/>
          <w:bCs/>
          <w:rtl/>
        </w:rPr>
        <w:t xml:space="preserve">גם כן </w:t>
      </w:r>
      <w:r w:rsidR="00060438" w:rsidRPr="00C31AD4">
        <w:rPr>
          <w:rFonts w:hint="cs"/>
          <w:b/>
          <w:bCs/>
          <w:rtl/>
        </w:rPr>
        <w:t>בכ-0.</w:t>
      </w:r>
      <w:r w:rsidR="00FF1E74" w:rsidRPr="00C31AD4">
        <w:rPr>
          <w:rFonts w:hint="cs"/>
          <w:b/>
          <w:bCs/>
          <w:rtl/>
        </w:rPr>
        <w:t>2</w:t>
      </w:r>
      <w:r w:rsidR="00060438" w:rsidRPr="00C31AD4">
        <w:rPr>
          <w:rFonts w:hint="cs"/>
          <w:b/>
          <w:bCs/>
          <w:rtl/>
        </w:rPr>
        <w:t xml:space="preserve"> נקודת אחוז.</w:t>
      </w:r>
    </w:p>
    <w:p w14:paraId="7A07A1BF" w14:textId="05F6159B" w:rsidR="00D96916" w:rsidRPr="00C31AD4" w:rsidRDefault="00D96916" w:rsidP="00B72310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r w:rsidRPr="00C31AD4">
        <w:rPr>
          <w:b/>
          <w:bCs/>
          <w:rtl/>
        </w:rPr>
        <w:t>היקף התיק המנוהל באמצעות קרנות נאמנות</w:t>
      </w:r>
      <w:r w:rsidR="000226B0">
        <w:rPr>
          <w:rFonts w:hint="cs"/>
          <w:b/>
          <w:bCs/>
          <w:rtl/>
        </w:rPr>
        <w:t xml:space="preserve"> </w:t>
      </w:r>
      <w:r w:rsidRPr="00C31AD4">
        <w:rPr>
          <w:b/>
          <w:bCs/>
          <w:rtl/>
        </w:rPr>
        <w:t xml:space="preserve">בארץ </w:t>
      </w:r>
      <w:r w:rsidR="00C31AD4" w:rsidRPr="00C31AD4">
        <w:rPr>
          <w:rFonts w:hint="cs"/>
          <w:b/>
          <w:bCs/>
          <w:rtl/>
        </w:rPr>
        <w:t>עלה</w:t>
      </w:r>
      <w:r w:rsidRPr="00C31AD4">
        <w:rPr>
          <w:b/>
          <w:bCs/>
          <w:rtl/>
        </w:rPr>
        <w:t xml:space="preserve"> ברביע הר</w:t>
      </w:r>
      <w:r w:rsidR="00C31AD4" w:rsidRPr="00C31AD4">
        <w:rPr>
          <w:rFonts w:hint="cs"/>
          <w:b/>
          <w:bCs/>
          <w:rtl/>
        </w:rPr>
        <w:t>אשון</w:t>
      </w:r>
      <w:r w:rsidRPr="00C31AD4">
        <w:rPr>
          <w:b/>
          <w:bCs/>
          <w:rtl/>
        </w:rPr>
        <w:t xml:space="preserve"> של השנה בכ-</w:t>
      </w:r>
      <w:r w:rsidR="00C31AD4" w:rsidRPr="00C31AD4">
        <w:rPr>
          <w:rFonts w:hint="cs"/>
          <w:b/>
          <w:bCs/>
          <w:rtl/>
        </w:rPr>
        <w:t>14</w:t>
      </w:r>
      <w:r w:rsidRPr="00C31AD4">
        <w:rPr>
          <w:b/>
          <w:bCs/>
          <w:rtl/>
        </w:rPr>
        <w:t>.</w:t>
      </w:r>
      <w:r w:rsidR="00C31AD4" w:rsidRPr="00C31AD4">
        <w:rPr>
          <w:rFonts w:hint="cs"/>
          <w:b/>
          <w:bCs/>
          <w:rtl/>
        </w:rPr>
        <w:t>8</w:t>
      </w:r>
      <w:r w:rsidRPr="00C31AD4">
        <w:rPr>
          <w:b/>
          <w:bCs/>
          <w:rtl/>
        </w:rPr>
        <w:t xml:space="preserve"> מיליארדי </w:t>
      </w:r>
      <w:r w:rsidRPr="00C31AD4">
        <w:rPr>
          <w:rFonts w:hint="cs"/>
          <w:b/>
          <w:bCs/>
          <w:rtl/>
        </w:rPr>
        <w:t>ש"ח.</w:t>
      </w:r>
    </w:p>
    <w:p w14:paraId="52183C95" w14:textId="77777777" w:rsidR="00A35E6E" w:rsidRDefault="00A35E6E" w:rsidP="009709E0">
      <w:pPr>
        <w:pStyle w:val="ae"/>
        <w:spacing w:before="240" w:line="360" w:lineRule="auto"/>
        <w:jc w:val="both"/>
        <w:rPr>
          <w:b/>
          <w:bCs/>
          <w:rtl/>
        </w:rPr>
      </w:pPr>
    </w:p>
    <w:p w14:paraId="233CACEC" w14:textId="77777777" w:rsidR="008D130A" w:rsidRPr="00C739C4" w:rsidRDefault="002A7E7B" w:rsidP="009709E0">
      <w:pPr>
        <w:pStyle w:val="ae"/>
        <w:numPr>
          <w:ilvl w:val="0"/>
          <w:numId w:val="18"/>
        </w:numPr>
        <w:spacing w:before="240"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14:paraId="795BCAE6" w14:textId="670D4369" w:rsidR="003F7C50" w:rsidRDefault="0027468F" w:rsidP="0063699B">
      <w:pPr>
        <w:spacing w:before="240" w:line="360" w:lineRule="auto"/>
        <w:ind w:left="360"/>
        <w:jc w:val="both"/>
        <w:rPr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1C18C5">
        <w:rPr>
          <w:rFonts w:hint="cs"/>
          <w:b/>
          <w:bCs/>
          <w:rtl/>
        </w:rPr>
        <w:t>ה</w:t>
      </w:r>
      <w:r w:rsidR="00480908">
        <w:rPr>
          <w:rFonts w:hint="cs"/>
          <w:b/>
          <w:bCs/>
          <w:rtl/>
        </w:rPr>
        <w:t>ראשון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201</w:t>
      </w:r>
      <w:r w:rsidR="00480908">
        <w:rPr>
          <w:rFonts w:hint="cs"/>
          <w:b/>
          <w:bCs/>
          <w:rtl/>
        </w:rPr>
        <w:t>9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480908">
        <w:rPr>
          <w:rFonts w:hint="cs"/>
          <w:rtl/>
        </w:rPr>
        <w:t>עלתה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480908">
        <w:rPr>
          <w:rFonts w:hint="cs"/>
          <w:rtl/>
        </w:rPr>
        <w:t>161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</w:t>
      </w:r>
      <w:r w:rsidR="00DD612E" w:rsidRPr="00DD612E">
        <w:rPr>
          <w:rFonts w:hint="cs"/>
          <w:rtl/>
        </w:rPr>
        <w:t>(</w:t>
      </w:r>
      <w:r w:rsidR="0063699B">
        <w:rPr>
          <w:rFonts w:hint="cs"/>
          <w:rtl/>
        </w:rPr>
        <w:t>4.4%</w:t>
      </w:r>
      <w:r w:rsidR="00DD612E" w:rsidRPr="00DD612E">
        <w:rPr>
          <w:rFonts w:hint="cs"/>
          <w:rtl/>
        </w:rPr>
        <w:t>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63699B">
        <w:rPr>
          <w:rFonts w:hint="cs"/>
          <w:rtl/>
        </w:rPr>
        <w:t>3.8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  <w:r w:rsidR="00975AF9">
        <w:rPr>
          <w:rFonts w:hint="cs"/>
          <w:rtl/>
        </w:rPr>
        <w:t xml:space="preserve"> </w:t>
      </w:r>
      <w:r w:rsidR="00C90138" w:rsidRPr="00830F9A">
        <w:rPr>
          <w:rFonts w:hint="cs"/>
          <w:rtl/>
        </w:rPr>
        <w:t xml:space="preserve">משקל תיק הנכסים הפיננסיים של הציבור ביחס לתוצר </w:t>
      </w:r>
      <w:r w:rsidR="00480908">
        <w:rPr>
          <w:rFonts w:hint="cs"/>
          <w:rtl/>
        </w:rPr>
        <w:t>עלה</w:t>
      </w:r>
      <w:r w:rsidR="00BE7B9A">
        <w:rPr>
          <w:rFonts w:hint="cs"/>
          <w:rtl/>
        </w:rPr>
        <w:t xml:space="preserve"> </w:t>
      </w:r>
      <w:r w:rsidR="000D49A8">
        <w:rPr>
          <w:rFonts w:hint="cs"/>
          <w:rtl/>
        </w:rPr>
        <w:t>בכ-</w:t>
      </w:r>
      <w:r w:rsidR="00CE2D8C">
        <w:rPr>
          <w:rFonts w:hint="cs"/>
          <w:rtl/>
        </w:rPr>
        <w:t>8</w:t>
      </w:r>
      <w:r w:rsidR="000D49A8">
        <w:rPr>
          <w:rFonts w:hint="cs"/>
          <w:rtl/>
        </w:rPr>
        <w:t xml:space="preserve"> נקודות אחוז ועמד בסוף הרביע</w:t>
      </w:r>
      <w:r w:rsidR="00975AF9" w:rsidRPr="00830F9A">
        <w:rPr>
          <w:rFonts w:hint="cs"/>
          <w:rtl/>
        </w:rPr>
        <w:t xml:space="preserve"> על</w:t>
      </w:r>
      <w:r w:rsidR="00C90138" w:rsidRPr="00830F9A">
        <w:rPr>
          <w:rFonts w:hint="cs"/>
          <w:rtl/>
        </w:rPr>
        <w:t xml:space="preserve"> </w:t>
      </w:r>
      <w:r w:rsidR="00830F9A" w:rsidRPr="00830F9A">
        <w:rPr>
          <w:rFonts w:hint="cs"/>
          <w:rtl/>
        </w:rPr>
        <w:t>2</w:t>
      </w:r>
      <w:r w:rsidR="00480908">
        <w:rPr>
          <w:rFonts w:hint="cs"/>
          <w:rtl/>
        </w:rPr>
        <w:t>84</w:t>
      </w:r>
      <w:r w:rsidR="00CE2D8C">
        <w:rPr>
          <w:rFonts w:hint="cs"/>
          <w:rtl/>
        </w:rPr>
        <w:t>.</w:t>
      </w:r>
      <w:r w:rsidR="00480908">
        <w:rPr>
          <w:rFonts w:hint="cs"/>
          <w:rtl/>
        </w:rPr>
        <w:t>6</w:t>
      </w:r>
      <w:r w:rsidR="00C90138" w:rsidRPr="00830F9A">
        <w:rPr>
          <w:rFonts w:hint="cs"/>
          <w:rtl/>
        </w:rPr>
        <w:t>% (תרשים 1)</w:t>
      </w:r>
      <w:r w:rsidR="00B72310">
        <w:rPr>
          <w:rFonts w:hint="cs"/>
          <w:rtl/>
        </w:rPr>
        <w:t xml:space="preserve"> בדומה לשיעורו בסוף הרביע השלישי של שנת 2018</w:t>
      </w:r>
      <w:r w:rsidR="00C90138" w:rsidRPr="00830F9A">
        <w:rPr>
          <w:rFonts w:hint="cs"/>
          <w:rtl/>
        </w:rPr>
        <w:t xml:space="preserve">. </w:t>
      </w:r>
    </w:p>
    <w:p w14:paraId="1DB630EC" w14:textId="77777777" w:rsidR="00A35E6E" w:rsidRDefault="00A35E6E" w:rsidP="00A35E6E">
      <w:pPr>
        <w:spacing w:before="240" w:line="360" w:lineRule="auto"/>
        <w:ind w:left="360"/>
        <w:jc w:val="both"/>
        <w:rPr>
          <w:sz w:val="14"/>
          <w:szCs w:val="14"/>
          <w:rtl/>
        </w:rPr>
      </w:pPr>
    </w:p>
    <w:p w14:paraId="0BE4E461" w14:textId="71DDF9FE" w:rsidR="00A35E6E" w:rsidRDefault="00A35E6E" w:rsidP="00A35E6E">
      <w:pPr>
        <w:spacing w:before="240" w:line="360" w:lineRule="auto"/>
        <w:ind w:left="360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240FD2A8" wp14:editId="7802E9A8">
            <wp:extent cx="5871756" cy="2349600"/>
            <wp:effectExtent l="0" t="0" r="0" b="0"/>
            <wp:docPr id="4" name="תמונה 3" descr="תרשים 1: יתרת תיק הנכסים הפיננסיים שבידי הציבור &#10;" title="תרשים 1: יתרת תיק הנכסים הפיננסיים שבידי הציבו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3205" cy="235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C6AF3" w14:textId="26505602" w:rsidR="00D10907" w:rsidRDefault="00D10907" w:rsidP="00A35E6E">
      <w:pPr>
        <w:spacing w:before="240" w:line="360" w:lineRule="auto"/>
        <w:ind w:left="360"/>
        <w:jc w:val="both"/>
        <w:rPr>
          <w:rtl/>
        </w:rPr>
      </w:pPr>
    </w:p>
    <w:p w14:paraId="73005FFE" w14:textId="77777777" w:rsidR="00D10907" w:rsidRPr="00DD612E" w:rsidRDefault="00D10907" w:rsidP="00A35E6E">
      <w:pPr>
        <w:spacing w:before="240" w:line="360" w:lineRule="auto"/>
        <w:ind w:left="360"/>
        <w:jc w:val="both"/>
        <w:rPr>
          <w:rtl/>
        </w:rPr>
      </w:pPr>
    </w:p>
    <w:p w14:paraId="233CACF0" w14:textId="63270F15" w:rsidR="00CF5B27" w:rsidRDefault="00CF5B27" w:rsidP="009709E0">
      <w:pPr>
        <w:pStyle w:val="ae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</w:t>
      </w:r>
      <w:r w:rsidR="00EA3535" w:rsidRPr="00F26049">
        <w:rPr>
          <w:rStyle w:val="10"/>
          <w:rFonts w:hint="cs"/>
          <w:rtl/>
        </w:rPr>
        <w:t xml:space="preserve">כלל </w:t>
      </w:r>
      <w:r w:rsidR="00327E2A" w:rsidRPr="00F26049">
        <w:rPr>
          <w:rStyle w:val="10"/>
          <w:rFonts w:hint="cs"/>
          <w:rtl/>
        </w:rPr>
        <w:t>ה</w:t>
      </w:r>
      <w:r w:rsidRPr="00F26049">
        <w:rPr>
          <w:rStyle w:val="10"/>
          <w:rFonts w:hint="cs"/>
          <w:rtl/>
        </w:rPr>
        <w:t>תיק</w:t>
      </w:r>
    </w:p>
    <w:p w14:paraId="1CC9DAE8" w14:textId="4A02614A" w:rsidR="00CE2D8C" w:rsidRDefault="001D15A4" w:rsidP="009233DD">
      <w:pPr>
        <w:pStyle w:val="ae"/>
        <w:spacing w:before="240" w:line="360" w:lineRule="auto"/>
        <w:ind w:left="360"/>
        <w:jc w:val="both"/>
        <w:rPr>
          <w:rtl/>
        </w:rPr>
      </w:pPr>
      <w:r w:rsidRPr="00CE2D8C">
        <w:rPr>
          <w:rFonts w:hint="cs"/>
          <w:rtl/>
        </w:rPr>
        <w:t xml:space="preserve">במהלך הרביע </w:t>
      </w:r>
      <w:r w:rsidR="00CE2D8C" w:rsidRPr="00CE2D8C">
        <w:rPr>
          <w:rFonts w:hint="cs"/>
          <w:rtl/>
        </w:rPr>
        <w:t>ה</w:t>
      </w:r>
      <w:r w:rsidR="00D10907">
        <w:rPr>
          <w:rFonts w:hint="cs"/>
          <w:rtl/>
        </w:rPr>
        <w:t>ראשון</w:t>
      </w:r>
      <w:r w:rsidRPr="00CE2D8C">
        <w:rPr>
          <w:rFonts w:hint="cs"/>
          <w:rtl/>
        </w:rPr>
        <w:t xml:space="preserve"> </w:t>
      </w:r>
      <w:r w:rsidR="00D10907">
        <w:rPr>
          <w:rFonts w:hint="cs"/>
          <w:rtl/>
        </w:rPr>
        <w:t>עלו</w:t>
      </w:r>
      <w:r w:rsidR="00CE2D8C" w:rsidRPr="00CE2D8C">
        <w:rPr>
          <w:rFonts w:hint="cs"/>
          <w:rtl/>
        </w:rPr>
        <w:t xml:space="preserve"> </w:t>
      </w:r>
      <w:r w:rsidR="000A525E">
        <w:rPr>
          <w:rFonts w:hint="cs"/>
          <w:rtl/>
        </w:rPr>
        <w:t>היתרות</w:t>
      </w:r>
      <w:r w:rsidR="00CE2D8C" w:rsidRPr="00CE2D8C">
        <w:rPr>
          <w:rFonts w:hint="cs"/>
          <w:rtl/>
        </w:rPr>
        <w:t xml:space="preserve"> </w:t>
      </w:r>
      <w:r w:rsidR="00CE2D8C">
        <w:rPr>
          <w:rFonts w:hint="cs"/>
          <w:rtl/>
        </w:rPr>
        <w:t xml:space="preserve">של </w:t>
      </w:r>
      <w:r w:rsidR="00D10907">
        <w:rPr>
          <w:rFonts w:hint="cs"/>
          <w:rtl/>
        </w:rPr>
        <w:t>כלל</w:t>
      </w:r>
      <w:r w:rsidR="00CE2D8C" w:rsidRPr="00CE2D8C">
        <w:rPr>
          <w:rFonts w:hint="cs"/>
          <w:rtl/>
        </w:rPr>
        <w:t xml:space="preserve"> </w:t>
      </w:r>
      <w:r w:rsidR="00D10907">
        <w:rPr>
          <w:rFonts w:hint="cs"/>
          <w:rtl/>
        </w:rPr>
        <w:t>הרכיבים בתיק</w:t>
      </w:r>
      <w:r w:rsidR="002E23BA" w:rsidRPr="00CE2D8C">
        <w:rPr>
          <w:rFonts w:hint="cs"/>
          <w:rtl/>
        </w:rPr>
        <w:t xml:space="preserve">. בלטו </w:t>
      </w:r>
      <w:r w:rsidR="00CE2D8C">
        <w:rPr>
          <w:rFonts w:hint="cs"/>
          <w:rtl/>
        </w:rPr>
        <w:t>ה</w:t>
      </w:r>
      <w:r w:rsidR="00D10907">
        <w:rPr>
          <w:rFonts w:hint="cs"/>
          <w:rtl/>
        </w:rPr>
        <w:t>עליות</w:t>
      </w:r>
      <w:r w:rsidR="002E23BA" w:rsidRPr="00CE2D8C">
        <w:rPr>
          <w:rFonts w:hint="cs"/>
          <w:rtl/>
        </w:rPr>
        <w:t xml:space="preserve"> ביתר</w:t>
      </w:r>
      <w:r w:rsidR="00C31AD4">
        <w:rPr>
          <w:rFonts w:hint="cs"/>
          <w:rtl/>
        </w:rPr>
        <w:t>ו</w:t>
      </w:r>
      <w:r w:rsidR="002E23BA" w:rsidRPr="00CE2D8C">
        <w:rPr>
          <w:rFonts w:hint="cs"/>
          <w:rtl/>
        </w:rPr>
        <w:t xml:space="preserve">ת </w:t>
      </w:r>
      <w:r w:rsidR="00112327">
        <w:rPr>
          <w:rFonts w:hint="cs"/>
          <w:rtl/>
        </w:rPr>
        <w:t xml:space="preserve">החזקת הציבור </w:t>
      </w:r>
      <w:r w:rsidR="00D10907">
        <w:rPr>
          <w:rFonts w:hint="cs"/>
          <w:rtl/>
        </w:rPr>
        <w:t>במניות בארץ, באג"ח הממשלתיות וברכיב המזומן והפיקדונות</w:t>
      </w:r>
      <w:r w:rsidR="00CE2D8C">
        <w:rPr>
          <w:rFonts w:hint="cs"/>
          <w:rtl/>
        </w:rPr>
        <w:t>.</w:t>
      </w:r>
    </w:p>
    <w:p w14:paraId="142AF58E" w14:textId="77777777" w:rsidR="009233DD" w:rsidRDefault="009233DD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555CFE89" wp14:editId="6647A9D8">
            <wp:extent cx="5859300" cy="2347415"/>
            <wp:effectExtent l="0" t="0" r="8255" b="0"/>
            <wp:docPr id="10" name="תמונה 5" descr="תרשים 2: יתרות מכשירים עיקריים בתיק הנכסים לסוף מרץ 2019 (במיליארדי ש&quot;ח)&#10;" title="תרשים 2: יתרות מכשירים עיקריים בתיק הנכסים לסוף מרץ 2019 (במיליארדי ש&quot;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2829" cy="235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5263" w14:textId="3431F02C" w:rsidR="006E0D76" w:rsidRPr="00A03104" w:rsidRDefault="00F510AA" w:rsidP="009233DD">
      <w:pPr>
        <w:pStyle w:val="ae"/>
        <w:numPr>
          <w:ilvl w:val="0"/>
          <w:numId w:val="24"/>
        </w:numPr>
        <w:spacing w:before="240" w:line="360" w:lineRule="auto"/>
      </w:pPr>
      <w:r>
        <w:rPr>
          <w:rFonts w:hint="cs"/>
          <w:rtl/>
        </w:rPr>
        <w:t>יתרת ההחזקות</w:t>
      </w:r>
      <w:r w:rsidR="006E0D76">
        <w:rPr>
          <w:rFonts w:hint="cs"/>
          <w:rtl/>
        </w:rPr>
        <w:t xml:space="preserve"> </w:t>
      </w:r>
      <w:r w:rsidRPr="009233DD">
        <w:rPr>
          <w:rFonts w:hint="cs"/>
          <w:b/>
          <w:bCs/>
          <w:rtl/>
        </w:rPr>
        <w:t>ב</w:t>
      </w:r>
      <w:r w:rsidR="006E0D76" w:rsidRPr="009233DD">
        <w:rPr>
          <w:rFonts w:hint="cs"/>
          <w:b/>
          <w:bCs/>
          <w:rtl/>
        </w:rPr>
        <w:t>מניות בארץ</w:t>
      </w:r>
      <w:r w:rsidR="006E0D76">
        <w:rPr>
          <w:rFonts w:hint="cs"/>
          <w:rtl/>
        </w:rPr>
        <w:t xml:space="preserve"> על</w:t>
      </w:r>
      <w:r w:rsidR="00AB6EE0">
        <w:rPr>
          <w:rFonts w:hint="cs"/>
          <w:rtl/>
        </w:rPr>
        <w:t>ת</w:t>
      </w:r>
      <w:r w:rsidR="006E0D76">
        <w:rPr>
          <w:rFonts w:hint="cs"/>
          <w:rtl/>
        </w:rPr>
        <w:t>ה בכ-</w:t>
      </w:r>
      <w:r w:rsidR="00D10907">
        <w:rPr>
          <w:rFonts w:hint="cs"/>
          <w:rtl/>
        </w:rPr>
        <w:t>53</w:t>
      </w:r>
      <w:r w:rsidR="006E0D76">
        <w:rPr>
          <w:rFonts w:hint="cs"/>
          <w:rtl/>
        </w:rPr>
        <w:t xml:space="preserve"> </w:t>
      </w:r>
      <w:r w:rsidR="00CE2D8C">
        <w:rPr>
          <w:rFonts w:hint="cs"/>
          <w:rtl/>
        </w:rPr>
        <w:t>מיליארדי ש"ח</w:t>
      </w:r>
      <w:r w:rsidR="006E0D76">
        <w:rPr>
          <w:rFonts w:hint="cs"/>
          <w:rtl/>
        </w:rPr>
        <w:t xml:space="preserve"> (</w:t>
      </w:r>
      <w:r w:rsidR="00D10907">
        <w:rPr>
          <w:rFonts w:hint="cs"/>
          <w:rtl/>
        </w:rPr>
        <w:t>9.6</w:t>
      </w:r>
      <w:r w:rsidR="006E0D76">
        <w:rPr>
          <w:rFonts w:hint="cs"/>
          <w:rtl/>
        </w:rPr>
        <w:t>%)</w:t>
      </w:r>
      <w:r w:rsidR="00CE2D8C">
        <w:rPr>
          <w:rFonts w:hint="cs"/>
          <w:rtl/>
        </w:rPr>
        <w:t xml:space="preserve">, </w:t>
      </w:r>
      <w:r w:rsidR="00CE2D8C" w:rsidRPr="00A03104">
        <w:rPr>
          <w:rFonts w:hint="cs"/>
          <w:rtl/>
        </w:rPr>
        <w:t xml:space="preserve">זאת </w:t>
      </w:r>
      <w:r w:rsidR="00B059E5">
        <w:rPr>
          <w:rFonts w:hint="cs"/>
          <w:rtl/>
        </w:rPr>
        <w:t>בעיקר כ</w:t>
      </w:r>
      <w:r w:rsidR="00CE2D8C" w:rsidRPr="00A03104">
        <w:rPr>
          <w:rFonts w:hint="cs"/>
          <w:rtl/>
        </w:rPr>
        <w:t xml:space="preserve">תוצאה </w:t>
      </w:r>
      <w:r w:rsidR="00D10907" w:rsidRPr="00A03104">
        <w:rPr>
          <w:rFonts w:hint="cs"/>
          <w:rtl/>
        </w:rPr>
        <w:t xml:space="preserve">מעליות </w:t>
      </w:r>
      <w:r w:rsidR="006E0D76" w:rsidRPr="00A03104">
        <w:rPr>
          <w:rFonts w:hint="cs"/>
          <w:rtl/>
        </w:rPr>
        <w:t>מחירים בבורסה בת"א</w:t>
      </w:r>
      <w:r w:rsidR="00A03104" w:rsidRPr="00A03104">
        <w:rPr>
          <w:rFonts w:hint="cs"/>
          <w:rtl/>
        </w:rPr>
        <w:t xml:space="preserve">, </w:t>
      </w:r>
      <w:r w:rsidR="00D10907" w:rsidRPr="00A03104">
        <w:rPr>
          <w:rFonts w:hint="cs"/>
          <w:rtl/>
        </w:rPr>
        <w:t>תיקון לירידות שאפיינו את</w:t>
      </w:r>
      <w:r w:rsidR="00A03104" w:rsidRPr="00A03104">
        <w:rPr>
          <w:rFonts w:hint="cs"/>
          <w:rtl/>
        </w:rPr>
        <w:t xml:space="preserve"> סוף שנת 2018.</w:t>
      </w:r>
    </w:p>
    <w:p w14:paraId="0A71A0EE" w14:textId="77777777" w:rsidR="002B3369" w:rsidRDefault="00A03104" w:rsidP="002B3369">
      <w:pPr>
        <w:pStyle w:val="ae"/>
        <w:numPr>
          <w:ilvl w:val="0"/>
          <w:numId w:val="24"/>
        </w:numPr>
        <w:spacing w:before="240" w:line="360" w:lineRule="auto"/>
        <w:ind w:hanging="319"/>
      </w:pPr>
      <w:r w:rsidRPr="000526A0">
        <w:rPr>
          <w:rFonts w:hint="cs"/>
          <w:rtl/>
        </w:rPr>
        <w:t xml:space="preserve">יתרת </w:t>
      </w:r>
      <w:r w:rsidRPr="000526A0">
        <w:rPr>
          <w:rFonts w:hint="cs"/>
          <w:b/>
          <w:bCs/>
          <w:rtl/>
        </w:rPr>
        <w:t>האג"ח הממשלתיות</w:t>
      </w:r>
      <w:r w:rsidRPr="000526A0">
        <w:rPr>
          <w:rFonts w:hint="cs"/>
          <w:rtl/>
        </w:rPr>
        <w:t xml:space="preserve"> (סחירות ולא-סחירות) </w:t>
      </w:r>
      <w:r w:rsidRPr="000526A0">
        <w:rPr>
          <w:rFonts w:hint="cs"/>
          <w:b/>
          <w:bCs/>
          <w:rtl/>
        </w:rPr>
        <w:t>והמק"ם</w:t>
      </w:r>
      <w:r w:rsidRPr="000526A0">
        <w:rPr>
          <w:rFonts w:hint="cs"/>
          <w:rtl/>
        </w:rPr>
        <w:t xml:space="preserve"> </w:t>
      </w:r>
      <w:r w:rsidR="000526A0">
        <w:rPr>
          <w:rFonts w:hint="cs"/>
          <w:rtl/>
        </w:rPr>
        <w:t>עלתה</w:t>
      </w:r>
      <w:r w:rsidRPr="000526A0">
        <w:rPr>
          <w:rFonts w:hint="cs"/>
          <w:rtl/>
        </w:rPr>
        <w:t xml:space="preserve"> ב</w:t>
      </w:r>
      <w:r w:rsidR="000526A0">
        <w:rPr>
          <w:rFonts w:hint="cs"/>
          <w:rtl/>
        </w:rPr>
        <w:t>כ</w:t>
      </w:r>
      <w:r w:rsidRPr="000526A0">
        <w:rPr>
          <w:rFonts w:hint="cs"/>
          <w:rtl/>
        </w:rPr>
        <w:t>-</w:t>
      </w:r>
      <w:r w:rsidR="000526A0">
        <w:rPr>
          <w:rFonts w:hint="cs"/>
          <w:rtl/>
        </w:rPr>
        <w:t>30</w:t>
      </w:r>
      <w:r w:rsidRPr="000526A0">
        <w:rPr>
          <w:rFonts w:hint="cs"/>
          <w:rtl/>
        </w:rPr>
        <w:t xml:space="preserve"> מיליארדי ש</w:t>
      </w:r>
      <w:r w:rsidRPr="000526A0">
        <w:rPr>
          <w:rtl/>
        </w:rPr>
        <w:t>"</w:t>
      </w:r>
      <w:r w:rsidRPr="000526A0">
        <w:rPr>
          <w:rFonts w:hint="cs"/>
          <w:rtl/>
        </w:rPr>
        <w:t>ח (</w:t>
      </w:r>
      <w:r w:rsidR="000526A0">
        <w:rPr>
          <w:rFonts w:hint="cs"/>
          <w:rtl/>
        </w:rPr>
        <w:t>3</w:t>
      </w:r>
      <w:r w:rsidRPr="000526A0">
        <w:rPr>
          <w:rFonts w:hint="cs"/>
          <w:rtl/>
        </w:rPr>
        <w:t>.</w:t>
      </w:r>
      <w:r w:rsidR="000526A0">
        <w:rPr>
          <w:rFonts w:hint="cs"/>
          <w:rtl/>
        </w:rPr>
        <w:t>6</w:t>
      </w:r>
      <w:r w:rsidRPr="000526A0">
        <w:rPr>
          <w:rFonts w:hint="cs"/>
          <w:rtl/>
        </w:rPr>
        <w:t xml:space="preserve">%). </w:t>
      </w:r>
    </w:p>
    <w:p w14:paraId="0B4DF108" w14:textId="061C6594" w:rsidR="002B3369" w:rsidRDefault="002F6207" w:rsidP="002B3369">
      <w:pPr>
        <w:pStyle w:val="ae"/>
        <w:numPr>
          <w:ilvl w:val="0"/>
          <w:numId w:val="24"/>
        </w:numPr>
        <w:spacing w:before="240" w:line="360" w:lineRule="auto"/>
        <w:ind w:hanging="319"/>
      </w:pPr>
      <w:r w:rsidRPr="002B3369">
        <w:rPr>
          <w:rFonts w:hint="cs"/>
          <w:b/>
          <w:bCs/>
          <w:rtl/>
        </w:rPr>
        <w:t xml:space="preserve">יתרת האג"ח החברות הסחירות בארץ </w:t>
      </w:r>
      <w:r w:rsidR="00A03104" w:rsidRPr="000526A0">
        <w:rPr>
          <w:rFonts w:hint="cs"/>
          <w:rtl/>
        </w:rPr>
        <w:t>עלתה</w:t>
      </w:r>
      <w:r w:rsidRPr="000526A0">
        <w:rPr>
          <w:rFonts w:hint="cs"/>
          <w:rtl/>
        </w:rPr>
        <w:t xml:space="preserve"> ב</w:t>
      </w:r>
      <w:r w:rsidR="00A511FC">
        <w:rPr>
          <w:rFonts w:hint="cs"/>
          <w:rtl/>
        </w:rPr>
        <w:t>כ</w:t>
      </w:r>
      <w:r w:rsidRPr="000526A0">
        <w:rPr>
          <w:rFonts w:hint="cs"/>
          <w:rtl/>
        </w:rPr>
        <w:t>-</w:t>
      </w:r>
      <w:r w:rsidR="00A511FC">
        <w:rPr>
          <w:rFonts w:hint="cs"/>
          <w:rtl/>
        </w:rPr>
        <w:t>9</w:t>
      </w:r>
      <w:r w:rsidRPr="000526A0">
        <w:rPr>
          <w:rFonts w:hint="cs"/>
          <w:rtl/>
        </w:rPr>
        <w:t xml:space="preserve"> מיליארדי ש"ח (2.</w:t>
      </w:r>
      <w:r w:rsidR="00A511FC">
        <w:rPr>
          <w:rFonts w:hint="cs"/>
          <w:rtl/>
        </w:rPr>
        <w:t>6</w:t>
      </w:r>
      <w:r w:rsidRPr="000526A0">
        <w:rPr>
          <w:rFonts w:hint="cs"/>
          <w:rtl/>
        </w:rPr>
        <w:t>%) ועמדה בסוף הרביע על כ-3</w:t>
      </w:r>
      <w:r w:rsidR="00A511FC">
        <w:rPr>
          <w:rFonts w:hint="cs"/>
          <w:rtl/>
        </w:rPr>
        <w:t>45</w:t>
      </w:r>
      <w:r w:rsidR="00E1512C">
        <w:rPr>
          <w:rFonts w:hint="cs"/>
          <w:rtl/>
        </w:rPr>
        <w:t xml:space="preserve"> מיליארדים</w:t>
      </w:r>
      <w:r w:rsidR="00E1512C" w:rsidRPr="00596201">
        <w:rPr>
          <w:rFonts w:hint="cs"/>
          <w:rtl/>
        </w:rPr>
        <w:t xml:space="preserve">, </w:t>
      </w:r>
      <w:r w:rsidRPr="00596201">
        <w:rPr>
          <w:rFonts w:hint="cs"/>
          <w:rtl/>
        </w:rPr>
        <w:t>זאת כתוצאה מ</w:t>
      </w:r>
      <w:r w:rsidR="00E1512C" w:rsidRPr="00596201">
        <w:rPr>
          <w:rFonts w:hint="cs"/>
          <w:rtl/>
        </w:rPr>
        <w:t>עלי</w:t>
      </w:r>
      <w:r w:rsidR="00D11430" w:rsidRPr="00596201">
        <w:rPr>
          <w:rFonts w:hint="cs"/>
          <w:rtl/>
        </w:rPr>
        <w:t xml:space="preserve">ות </w:t>
      </w:r>
      <w:r w:rsidR="00E1512C" w:rsidRPr="00596201">
        <w:rPr>
          <w:rFonts w:hint="cs"/>
          <w:rtl/>
        </w:rPr>
        <w:t>מחירים שקוזזו בחלק</w:t>
      </w:r>
      <w:r w:rsidR="00D11430" w:rsidRPr="00596201">
        <w:rPr>
          <w:rFonts w:hint="cs"/>
          <w:rtl/>
        </w:rPr>
        <w:t xml:space="preserve">ם ע"י </w:t>
      </w:r>
      <w:r w:rsidR="00E1512C" w:rsidRPr="00596201">
        <w:rPr>
          <w:rFonts w:hint="cs"/>
          <w:rtl/>
        </w:rPr>
        <w:t>מימושים נטו.</w:t>
      </w:r>
    </w:p>
    <w:p w14:paraId="233CACF6" w14:textId="0EEA4021" w:rsidR="000430C8" w:rsidRDefault="00E1512C" w:rsidP="009233DD">
      <w:pPr>
        <w:spacing w:before="240" w:line="360" w:lineRule="auto"/>
        <w:ind w:left="401"/>
        <w:jc w:val="center"/>
        <w:rPr>
          <w:rtl/>
        </w:rPr>
      </w:pPr>
      <w:r w:rsidRPr="00596201">
        <w:rPr>
          <w:rFonts w:hint="cs"/>
          <w:rtl/>
        </w:rPr>
        <w:t xml:space="preserve"> </w:t>
      </w:r>
      <w:r w:rsidR="002B3369">
        <w:rPr>
          <w:noProof/>
          <w:lang w:eastAsia="en-US"/>
        </w:rPr>
        <w:drawing>
          <wp:inline distT="0" distB="0" distL="0" distR="0" wp14:anchorId="37C57225" wp14:editId="4105697B">
            <wp:extent cx="5575110" cy="2895691"/>
            <wp:effectExtent l="0" t="0" r="6985" b="0"/>
            <wp:docPr id="9" name="תמונה 2" descr="תרשים 3: יתרות המכשירים הפיננסים בתיק, 2012 עד 2019&#10; (במיליארדי ש&quot;ח) &#10;" title="תרשים 3: יתרות המכשירים הפיננסים בתיק, 2012 עד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3995" cy="2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CACF7" w14:textId="5BCD5774" w:rsidR="00247F73" w:rsidRPr="00594308" w:rsidRDefault="009F64A1" w:rsidP="00801E60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801E60">
        <w:rPr>
          <w:rFonts w:hint="cs"/>
          <w:rtl/>
        </w:rPr>
        <w:t>עלתה</w:t>
      </w:r>
      <w:r w:rsidR="00FD6210">
        <w:rPr>
          <w:rFonts w:hint="cs"/>
          <w:rtl/>
        </w:rPr>
        <w:t xml:space="preserve"> </w:t>
      </w:r>
      <w:r w:rsidR="00F510AA">
        <w:rPr>
          <w:rFonts w:hint="cs"/>
          <w:rtl/>
        </w:rPr>
        <w:t xml:space="preserve">במהלך הרביע </w:t>
      </w:r>
      <w:r w:rsidR="00247F73" w:rsidRPr="00594308">
        <w:rPr>
          <w:rFonts w:hint="cs"/>
          <w:rtl/>
        </w:rPr>
        <w:t>ב</w:t>
      </w:r>
      <w:r w:rsidR="00801E60">
        <w:rPr>
          <w:rFonts w:hint="cs"/>
          <w:rtl/>
        </w:rPr>
        <w:t>כ</w:t>
      </w:r>
      <w:r w:rsidR="00247F73" w:rsidRPr="00594308">
        <w:rPr>
          <w:rFonts w:hint="cs"/>
          <w:rtl/>
        </w:rPr>
        <w:t>-</w:t>
      </w:r>
      <w:r w:rsidR="00801E60">
        <w:rPr>
          <w:rFonts w:hint="cs"/>
          <w:rtl/>
        </w:rPr>
        <w:t>19</w:t>
      </w:r>
      <w:r w:rsidR="00247F73" w:rsidRPr="00594308">
        <w:rPr>
          <w:rFonts w:hint="cs"/>
          <w:rtl/>
        </w:rPr>
        <w:t xml:space="preserve"> מיליארדי ש</w:t>
      </w:r>
      <w:r w:rsidR="00247F73" w:rsidRPr="00594308">
        <w:rPr>
          <w:rtl/>
        </w:rPr>
        <w:t>"</w:t>
      </w:r>
      <w:r w:rsidR="00247F73" w:rsidRPr="00594308">
        <w:rPr>
          <w:rFonts w:hint="cs"/>
          <w:rtl/>
        </w:rPr>
        <w:t xml:space="preserve">ח </w:t>
      </w:r>
      <w:r w:rsidR="00AB6EE0">
        <w:rPr>
          <w:rFonts w:hint="cs"/>
          <w:rtl/>
        </w:rPr>
        <w:t>(</w:t>
      </w:r>
      <w:r w:rsidR="00801E60">
        <w:rPr>
          <w:rFonts w:hint="cs"/>
          <w:rtl/>
        </w:rPr>
        <w:t>3</w:t>
      </w:r>
      <w:r w:rsidR="00AB6EE0">
        <w:rPr>
          <w:rFonts w:hint="cs"/>
          <w:rtl/>
        </w:rPr>
        <w:t>.</w:t>
      </w:r>
      <w:r w:rsidR="00801E60">
        <w:rPr>
          <w:rFonts w:hint="cs"/>
          <w:rtl/>
        </w:rPr>
        <w:t>4</w:t>
      </w:r>
      <w:r w:rsidR="00AB6EE0">
        <w:rPr>
          <w:rFonts w:hint="cs"/>
          <w:rtl/>
        </w:rPr>
        <w:t>%</w:t>
      </w:r>
      <w:r w:rsidR="00247F73" w:rsidRPr="00594308">
        <w:rPr>
          <w:rFonts w:hint="cs"/>
          <w:rtl/>
        </w:rPr>
        <w:t>) 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כ-5</w:t>
      </w:r>
      <w:r w:rsidR="00801E60">
        <w:rPr>
          <w:rFonts w:hint="cs"/>
          <w:rtl/>
        </w:rPr>
        <w:t>45</w:t>
      </w:r>
      <w:r w:rsidR="00247F73" w:rsidRPr="00594308">
        <w:rPr>
          <w:rFonts w:hint="cs"/>
          <w:rtl/>
        </w:rPr>
        <w:t xml:space="preserve"> מיליארדי ש"ח - המהווים </w:t>
      </w:r>
      <w:r w:rsidR="00FD6210">
        <w:rPr>
          <w:rFonts w:hint="cs"/>
          <w:rtl/>
        </w:rPr>
        <w:t>1</w:t>
      </w:r>
      <w:r w:rsidR="00AB6EE0">
        <w:rPr>
          <w:rFonts w:hint="cs"/>
          <w:rtl/>
        </w:rPr>
        <w:t>4</w:t>
      </w:r>
      <w:r w:rsidR="00247F73" w:rsidRPr="00594308">
        <w:rPr>
          <w:rFonts w:hint="cs"/>
          <w:rtl/>
        </w:rPr>
        <w:t>% מסך תיק הנכסים:</w:t>
      </w:r>
    </w:p>
    <w:p w14:paraId="233CACF8" w14:textId="46E76613" w:rsidR="00247F73" w:rsidRPr="00596201" w:rsidRDefault="00247F73" w:rsidP="00155623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96201">
        <w:rPr>
          <w:rFonts w:hint="cs"/>
          <w:rtl/>
        </w:rPr>
        <w:t xml:space="preserve">יתרת </w:t>
      </w:r>
      <w:r w:rsidRPr="00596201">
        <w:rPr>
          <w:rFonts w:hint="cs"/>
          <w:b/>
          <w:bCs/>
          <w:rtl/>
        </w:rPr>
        <w:t>המניות בחו"ל</w:t>
      </w:r>
      <w:r w:rsidRPr="00596201">
        <w:rPr>
          <w:rFonts w:hint="cs"/>
          <w:rtl/>
        </w:rPr>
        <w:t xml:space="preserve"> </w:t>
      </w:r>
      <w:r w:rsidR="00C23E04" w:rsidRPr="00596201">
        <w:rPr>
          <w:rFonts w:hint="cs"/>
          <w:rtl/>
        </w:rPr>
        <w:t>עלת</w:t>
      </w:r>
      <w:r w:rsidR="00C82318" w:rsidRPr="00596201">
        <w:rPr>
          <w:rFonts w:hint="cs"/>
          <w:rtl/>
        </w:rPr>
        <w:t>ה</w:t>
      </w:r>
      <w:r w:rsidRPr="00596201">
        <w:rPr>
          <w:rFonts w:hint="cs"/>
          <w:rtl/>
        </w:rPr>
        <w:t xml:space="preserve"> בכ-</w:t>
      </w:r>
      <w:r w:rsidR="00C82318" w:rsidRPr="00596201">
        <w:rPr>
          <w:rFonts w:hint="cs"/>
          <w:rtl/>
        </w:rPr>
        <w:t>2</w:t>
      </w:r>
      <w:r w:rsidR="00C23E04" w:rsidRPr="00596201">
        <w:rPr>
          <w:rFonts w:hint="cs"/>
          <w:rtl/>
        </w:rPr>
        <w:t>1</w:t>
      </w:r>
      <w:r w:rsidR="00C82318" w:rsidRPr="00596201">
        <w:rPr>
          <w:rFonts w:hint="cs"/>
          <w:rtl/>
        </w:rPr>
        <w:t>.</w:t>
      </w:r>
      <w:r w:rsidR="00C23E04" w:rsidRPr="00596201">
        <w:rPr>
          <w:rFonts w:hint="cs"/>
          <w:rtl/>
        </w:rPr>
        <w:t>4</w:t>
      </w:r>
      <w:r w:rsidRPr="00596201">
        <w:rPr>
          <w:rFonts w:hint="cs"/>
          <w:rtl/>
        </w:rPr>
        <w:t xml:space="preserve"> מיליארדי ש"ח (</w:t>
      </w:r>
      <w:r w:rsidR="00FF2FA1" w:rsidRPr="00596201">
        <w:rPr>
          <w:rFonts w:hint="cs"/>
          <w:rtl/>
        </w:rPr>
        <w:t>6</w:t>
      </w:r>
      <w:r w:rsidR="00C82318" w:rsidRPr="00596201">
        <w:rPr>
          <w:rFonts w:hint="cs"/>
          <w:rtl/>
        </w:rPr>
        <w:t>.</w:t>
      </w:r>
      <w:r w:rsidR="00FF2FA1" w:rsidRPr="00596201">
        <w:rPr>
          <w:rFonts w:hint="cs"/>
          <w:rtl/>
        </w:rPr>
        <w:t>5</w:t>
      </w:r>
      <w:r w:rsidRPr="00596201">
        <w:rPr>
          <w:rFonts w:hint="cs"/>
          <w:rtl/>
        </w:rPr>
        <w:t>%) ועמדה בסוף הרביע על כ-</w:t>
      </w:r>
      <w:r w:rsidR="00C82318" w:rsidRPr="00596201">
        <w:rPr>
          <w:rFonts w:hint="cs"/>
          <w:rtl/>
        </w:rPr>
        <w:t>3</w:t>
      </w:r>
      <w:r w:rsidR="00C23E04" w:rsidRPr="00596201">
        <w:rPr>
          <w:rFonts w:hint="cs"/>
          <w:rtl/>
        </w:rPr>
        <w:t>52</w:t>
      </w:r>
      <w:r w:rsidRPr="00596201">
        <w:rPr>
          <w:rFonts w:hint="cs"/>
          <w:rtl/>
        </w:rPr>
        <w:t xml:space="preserve"> מיליארדי ש"ח. </w:t>
      </w:r>
      <w:r w:rsidR="00FF2FA1" w:rsidRPr="00596201">
        <w:rPr>
          <w:rFonts w:hint="cs"/>
          <w:rtl/>
        </w:rPr>
        <w:t>עלייה</w:t>
      </w:r>
      <w:r w:rsidRPr="00596201">
        <w:rPr>
          <w:rFonts w:hint="cs"/>
          <w:rtl/>
        </w:rPr>
        <w:t xml:space="preserve"> </w:t>
      </w:r>
      <w:r w:rsidR="00C82318" w:rsidRPr="00596201">
        <w:rPr>
          <w:rFonts w:hint="cs"/>
          <w:rtl/>
        </w:rPr>
        <w:t>זו נבעה</w:t>
      </w:r>
      <w:r w:rsidRPr="00596201">
        <w:rPr>
          <w:rFonts w:hint="cs"/>
          <w:rtl/>
        </w:rPr>
        <w:t xml:space="preserve"> </w:t>
      </w:r>
      <w:r w:rsidR="00596201">
        <w:rPr>
          <w:rFonts w:hint="cs"/>
          <w:rtl/>
        </w:rPr>
        <w:t>מ</w:t>
      </w:r>
      <w:r w:rsidR="00FF2FA1" w:rsidRPr="00596201">
        <w:rPr>
          <w:rFonts w:hint="cs"/>
          <w:rtl/>
        </w:rPr>
        <w:t>עליו</w:t>
      </w:r>
      <w:r w:rsidR="00C82318" w:rsidRPr="00596201">
        <w:rPr>
          <w:rFonts w:hint="cs"/>
          <w:rtl/>
        </w:rPr>
        <w:t xml:space="preserve">ת המחירים בבורסות בחו"ל שקוזזו חלקית על ידי </w:t>
      </w:r>
      <w:r w:rsidR="00596201" w:rsidRPr="00596201">
        <w:rPr>
          <w:rFonts w:hint="cs"/>
          <w:rtl/>
        </w:rPr>
        <w:t>מימושים</w:t>
      </w:r>
      <w:r w:rsidRPr="00596201">
        <w:rPr>
          <w:rFonts w:hint="cs"/>
          <w:rtl/>
        </w:rPr>
        <w:t xml:space="preserve"> נטו</w:t>
      </w:r>
      <w:r w:rsidR="006D3812" w:rsidRPr="00596201">
        <w:rPr>
          <w:rFonts w:hint="cs"/>
          <w:rtl/>
        </w:rPr>
        <w:t xml:space="preserve"> (אומדן של כ-</w:t>
      </w:r>
      <w:r w:rsidR="00C82318" w:rsidRPr="00596201">
        <w:rPr>
          <w:rFonts w:hint="cs"/>
          <w:rtl/>
        </w:rPr>
        <w:t>5.</w:t>
      </w:r>
      <w:r w:rsidR="00596201" w:rsidRPr="00596201">
        <w:rPr>
          <w:rFonts w:hint="cs"/>
          <w:rtl/>
        </w:rPr>
        <w:t>4</w:t>
      </w:r>
      <w:r w:rsidR="006D3812" w:rsidRPr="00596201">
        <w:rPr>
          <w:rFonts w:hint="cs"/>
          <w:rtl/>
        </w:rPr>
        <w:t xml:space="preserve"> מיליארדי ש"ח)</w:t>
      </w:r>
      <w:r w:rsidR="00FA4BBE" w:rsidRPr="00596201">
        <w:rPr>
          <w:rFonts w:hint="cs"/>
          <w:rtl/>
        </w:rPr>
        <w:t xml:space="preserve"> </w:t>
      </w:r>
      <w:r w:rsidR="00596201" w:rsidRPr="00596201">
        <w:rPr>
          <w:rFonts w:hint="cs"/>
          <w:rtl/>
        </w:rPr>
        <w:t>וייסוף</w:t>
      </w:r>
      <w:r w:rsidR="00C82318" w:rsidRPr="00596201">
        <w:rPr>
          <w:rFonts w:hint="cs"/>
          <w:rtl/>
        </w:rPr>
        <w:t xml:space="preserve"> השקל מול הדולר (3.</w:t>
      </w:r>
      <w:r w:rsidR="00596201" w:rsidRPr="00596201">
        <w:rPr>
          <w:rFonts w:hint="cs"/>
          <w:rtl/>
        </w:rPr>
        <w:t>1</w:t>
      </w:r>
      <w:r w:rsidR="00C82318" w:rsidRPr="00596201">
        <w:rPr>
          <w:rFonts w:hint="cs"/>
          <w:rtl/>
        </w:rPr>
        <w:t xml:space="preserve">%) </w:t>
      </w:r>
      <w:r w:rsidR="00596201" w:rsidRPr="00596201">
        <w:rPr>
          <w:rFonts w:hint="cs"/>
          <w:rtl/>
        </w:rPr>
        <w:t>שהוריד</w:t>
      </w:r>
      <w:r w:rsidR="00C82318" w:rsidRPr="00596201">
        <w:rPr>
          <w:rFonts w:hint="cs"/>
          <w:rtl/>
        </w:rPr>
        <w:t xml:space="preserve"> את השווי השקלי של </w:t>
      </w:r>
      <w:r w:rsidR="00155623">
        <w:rPr>
          <w:rFonts w:hint="cs"/>
          <w:rtl/>
        </w:rPr>
        <w:t>ההחזקות במניות בחו"ל</w:t>
      </w:r>
      <w:r w:rsidR="00C82318" w:rsidRPr="00596201">
        <w:rPr>
          <w:rFonts w:hint="cs"/>
          <w:rtl/>
        </w:rPr>
        <w:t>.</w:t>
      </w:r>
    </w:p>
    <w:p w14:paraId="233CACF9" w14:textId="2B08A35F" w:rsidR="00247F73" w:rsidRPr="00596201" w:rsidRDefault="00247F73" w:rsidP="00596201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96201">
        <w:rPr>
          <w:rFonts w:hint="cs"/>
          <w:rtl/>
        </w:rPr>
        <w:lastRenderedPageBreak/>
        <w:t xml:space="preserve">יתרת </w:t>
      </w:r>
      <w:r w:rsidRPr="00596201">
        <w:rPr>
          <w:rFonts w:hint="cs"/>
          <w:b/>
          <w:bCs/>
          <w:rtl/>
        </w:rPr>
        <w:t>האג"ח הסחירות (חברות וממשלתיות)</w:t>
      </w:r>
      <w:r w:rsidRPr="00596201">
        <w:rPr>
          <w:rFonts w:hint="cs"/>
          <w:rtl/>
        </w:rPr>
        <w:t xml:space="preserve"> </w:t>
      </w:r>
      <w:r w:rsidRPr="00596201">
        <w:rPr>
          <w:rFonts w:hint="cs"/>
          <w:b/>
          <w:bCs/>
          <w:rtl/>
        </w:rPr>
        <w:t>בחו"ל</w:t>
      </w:r>
      <w:r w:rsidRPr="00596201">
        <w:rPr>
          <w:rFonts w:hint="cs"/>
          <w:rtl/>
        </w:rPr>
        <w:t xml:space="preserve"> </w:t>
      </w:r>
      <w:r w:rsidR="00A36DFB" w:rsidRPr="00596201">
        <w:rPr>
          <w:rFonts w:hint="cs"/>
          <w:rtl/>
        </w:rPr>
        <w:t>עלתה</w:t>
      </w:r>
      <w:r w:rsidRPr="00596201">
        <w:rPr>
          <w:rFonts w:hint="cs"/>
          <w:rtl/>
        </w:rPr>
        <w:t xml:space="preserve"> בכ</w:t>
      </w:r>
      <w:r w:rsidR="00C23E04" w:rsidRPr="00596201">
        <w:rPr>
          <w:rFonts w:hint="cs"/>
          <w:rtl/>
        </w:rPr>
        <w:t>מיליארד ש"ח</w:t>
      </w:r>
      <w:r w:rsidRPr="00596201">
        <w:rPr>
          <w:rFonts w:hint="cs"/>
          <w:rtl/>
        </w:rPr>
        <w:t xml:space="preserve"> </w:t>
      </w:r>
      <w:r w:rsidR="0024440A" w:rsidRPr="00596201">
        <w:rPr>
          <w:rFonts w:hint="cs"/>
          <w:rtl/>
        </w:rPr>
        <w:t>(</w:t>
      </w:r>
      <w:r w:rsidR="00FF2FA1" w:rsidRPr="00596201">
        <w:rPr>
          <w:rFonts w:hint="cs"/>
          <w:rtl/>
        </w:rPr>
        <w:t>0</w:t>
      </w:r>
      <w:r w:rsidR="008A763C" w:rsidRPr="00596201">
        <w:rPr>
          <w:rFonts w:hint="cs"/>
          <w:rtl/>
        </w:rPr>
        <w:t>.5</w:t>
      </w:r>
      <w:r w:rsidR="0024440A" w:rsidRPr="00596201">
        <w:rPr>
          <w:rFonts w:hint="cs"/>
          <w:rtl/>
        </w:rPr>
        <w:t xml:space="preserve">%) </w:t>
      </w:r>
      <w:r w:rsidRPr="00596201">
        <w:rPr>
          <w:rFonts w:hint="cs"/>
          <w:rtl/>
        </w:rPr>
        <w:t>ועמדה בסוף הרביע על כ-</w:t>
      </w:r>
      <w:r w:rsidR="008A763C" w:rsidRPr="00596201">
        <w:rPr>
          <w:rFonts w:hint="cs"/>
          <w:rtl/>
        </w:rPr>
        <w:t>19</w:t>
      </w:r>
      <w:r w:rsidR="00C23E04" w:rsidRPr="00596201">
        <w:rPr>
          <w:rFonts w:hint="cs"/>
          <w:rtl/>
        </w:rPr>
        <w:t>2</w:t>
      </w:r>
      <w:r w:rsidR="00A36DFB" w:rsidRPr="00596201">
        <w:rPr>
          <w:rFonts w:hint="cs"/>
          <w:rtl/>
        </w:rPr>
        <w:t xml:space="preserve"> </w:t>
      </w:r>
      <w:r w:rsidRPr="00596201">
        <w:rPr>
          <w:rFonts w:hint="cs"/>
          <w:rtl/>
        </w:rPr>
        <w:t xml:space="preserve">מיליארדי ש"ח. </w:t>
      </w:r>
      <w:r w:rsidR="000F4780" w:rsidRPr="00596201">
        <w:rPr>
          <w:rFonts w:hint="cs"/>
          <w:rtl/>
        </w:rPr>
        <w:t>עלייה</w:t>
      </w:r>
      <w:r w:rsidRPr="00596201">
        <w:rPr>
          <w:rFonts w:hint="cs"/>
          <w:rtl/>
        </w:rPr>
        <w:t xml:space="preserve"> </w:t>
      </w:r>
      <w:r w:rsidR="008A763C" w:rsidRPr="00596201">
        <w:rPr>
          <w:rFonts w:hint="cs"/>
          <w:rtl/>
        </w:rPr>
        <w:t xml:space="preserve">זו </w:t>
      </w:r>
      <w:r w:rsidRPr="00596201">
        <w:rPr>
          <w:rFonts w:hint="cs"/>
          <w:rtl/>
        </w:rPr>
        <w:t xml:space="preserve">נבעה בעיקר </w:t>
      </w:r>
      <w:r w:rsidR="00596201" w:rsidRPr="00596201">
        <w:rPr>
          <w:rFonts w:hint="cs"/>
          <w:rtl/>
        </w:rPr>
        <w:t>מעליות המחירים והשקעות נטו אשר קוזזו בחלקם ע"י ייסוף השקל מול הדולר.</w:t>
      </w:r>
    </w:p>
    <w:p w14:paraId="233CACFB" w14:textId="179CBD3E" w:rsidR="007C2B07" w:rsidRDefault="00F510AA" w:rsidP="00167C6D">
      <w:pPr>
        <w:spacing w:before="240" w:after="240" w:line="360" w:lineRule="auto"/>
        <w:ind w:left="360"/>
        <w:jc w:val="both"/>
        <w:rPr>
          <w:rtl/>
        </w:rPr>
      </w:pPr>
      <w:r w:rsidRPr="00167C6D">
        <w:rPr>
          <w:rFonts w:hint="cs"/>
          <w:rtl/>
        </w:rPr>
        <w:t>כתוצאה מההתפתחויות במהלך הרביע,</w:t>
      </w:r>
      <w:r w:rsidR="00C46ABC" w:rsidRPr="00167C6D">
        <w:rPr>
          <w:rFonts w:hint="cs"/>
          <w:rtl/>
        </w:rPr>
        <w:t xml:space="preserve"> חלה </w:t>
      </w:r>
      <w:r w:rsidR="00167C6D" w:rsidRPr="00167C6D">
        <w:rPr>
          <w:rFonts w:hint="cs"/>
          <w:rtl/>
        </w:rPr>
        <w:t>עלייה</w:t>
      </w:r>
      <w:r w:rsidR="00C46ABC" w:rsidRPr="00167C6D">
        <w:rPr>
          <w:rFonts w:hint="cs"/>
          <w:rtl/>
        </w:rPr>
        <w:t xml:space="preserve"> </w:t>
      </w:r>
      <w:r w:rsidR="006B440B" w:rsidRPr="00167C6D">
        <w:rPr>
          <w:rFonts w:hint="cs"/>
          <w:rtl/>
        </w:rPr>
        <w:t>של כ</w:t>
      </w:r>
      <w:r w:rsidR="00D21053" w:rsidRPr="00167C6D">
        <w:rPr>
          <w:rFonts w:hint="cs"/>
          <w:rtl/>
        </w:rPr>
        <w:t xml:space="preserve">-0.7 </w:t>
      </w:r>
      <w:r w:rsidR="001006AD" w:rsidRPr="00167C6D">
        <w:rPr>
          <w:rFonts w:hint="cs"/>
          <w:rtl/>
        </w:rPr>
        <w:t>נקודת</w:t>
      </w:r>
      <w:r w:rsidR="006B440B" w:rsidRPr="00167C6D">
        <w:rPr>
          <w:rFonts w:hint="cs"/>
          <w:rtl/>
        </w:rPr>
        <w:t xml:space="preserve"> אחוז</w:t>
      </w:r>
      <w:r w:rsidR="00D21053" w:rsidRPr="00167C6D">
        <w:rPr>
          <w:rFonts w:hint="cs"/>
          <w:rtl/>
        </w:rPr>
        <w:t>, בממוצע,</w:t>
      </w:r>
      <w:r w:rsidR="006B440B" w:rsidRPr="00167C6D">
        <w:rPr>
          <w:rFonts w:hint="cs"/>
          <w:rtl/>
        </w:rPr>
        <w:t xml:space="preserve"> הן </w:t>
      </w:r>
      <w:r w:rsidR="00C46ABC" w:rsidRPr="00167C6D">
        <w:rPr>
          <w:rFonts w:hint="cs"/>
          <w:rtl/>
        </w:rPr>
        <w:t xml:space="preserve">בשיעור הנכסים </w:t>
      </w:r>
      <w:r w:rsidR="00D21053" w:rsidRPr="00167C6D">
        <w:rPr>
          <w:rFonts w:hint="cs"/>
          <w:rtl/>
        </w:rPr>
        <w:t>ה</w:t>
      </w:r>
      <w:r w:rsidR="00167C6D" w:rsidRPr="00167C6D">
        <w:rPr>
          <w:rFonts w:hint="cs"/>
          <w:rtl/>
        </w:rPr>
        <w:t>סחירים</w:t>
      </w:r>
      <w:r w:rsidR="00C46ABC" w:rsidRPr="00167C6D">
        <w:rPr>
          <w:rFonts w:hint="cs"/>
          <w:rtl/>
        </w:rPr>
        <w:t xml:space="preserve"> ו</w:t>
      </w:r>
      <w:r w:rsidR="006B440B" w:rsidRPr="00167C6D">
        <w:rPr>
          <w:rFonts w:hint="cs"/>
          <w:rtl/>
        </w:rPr>
        <w:t xml:space="preserve">הן </w:t>
      </w:r>
      <w:r w:rsidR="00C46ABC" w:rsidRPr="00167C6D">
        <w:rPr>
          <w:rFonts w:hint="cs"/>
          <w:rtl/>
        </w:rPr>
        <w:t xml:space="preserve">בשיעור הנכסים </w:t>
      </w:r>
      <w:r w:rsidR="001006AD" w:rsidRPr="00167C6D">
        <w:rPr>
          <w:rFonts w:hint="cs"/>
          <w:rtl/>
        </w:rPr>
        <w:t>בסיכון</w:t>
      </w:r>
      <w:r w:rsidR="000A525E" w:rsidRPr="00167C6D">
        <w:rPr>
          <w:rStyle w:val="a4"/>
          <w:rtl/>
        </w:rPr>
        <w:footnoteReference w:id="2"/>
      </w:r>
      <w:r w:rsidRPr="00167C6D">
        <w:rPr>
          <w:rFonts w:hint="cs"/>
          <w:rtl/>
        </w:rPr>
        <w:t xml:space="preserve"> ועמדו בסופו על כ-</w:t>
      </w:r>
      <w:r w:rsidR="00167C6D" w:rsidRPr="00167C6D">
        <w:rPr>
          <w:rFonts w:hint="cs"/>
          <w:rtl/>
        </w:rPr>
        <w:t>50</w:t>
      </w:r>
      <w:r w:rsidR="00D21053" w:rsidRPr="00167C6D">
        <w:rPr>
          <w:rFonts w:hint="cs"/>
          <w:rtl/>
        </w:rPr>
        <w:t>.</w:t>
      </w:r>
      <w:r w:rsidR="00167C6D" w:rsidRPr="00167C6D">
        <w:rPr>
          <w:rFonts w:hint="cs"/>
          <w:rtl/>
        </w:rPr>
        <w:t>1</w:t>
      </w:r>
      <w:r w:rsidR="006D3F47" w:rsidRPr="00167C6D">
        <w:rPr>
          <w:rFonts w:hint="cs"/>
          <w:rtl/>
        </w:rPr>
        <w:t xml:space="preserve"> ו-</w:t>
      </w:r>
      <w:r w:rsidR="00D21053" w:rsidRPr="00167C6D">
        <w:rPr>
          <w:rFonts w:hint="cs"/>
          <w:rtl/>
        </w:rPr>
        <w:t>4</w:t>
      </w:r>
      <w:r w:rsidR="00167C6D" w:rsidRPr="00167C6D">
        <w:rPr>
          <w:rFonts w:hint="cs"/>
          <w:rtl/>
        </w:rPr>
        <w:t>3</w:t>
      </w:r>
      <w:r w:rsidR="00D21053" w:rsidRPr="00167C6D">
        <w:rPr>
          <w:rFonts w:hint="cs"/>
          <w:rtl/>
        </w:rPr>
        <w:t>.5</w:t>
      </w:r>
      <w:r w:rsidR="006D3F47" w:rsidRPr="00167C6D">
        <w:rPr>
          <w:rFonts w:hint="cs"/>
          <w:rtl/>
        </w:rPr>
        <w:t>, בהתאמה</w:t>
      </w:r>
      <w:r w:rsidR="00C46ABC" w:rsidRPr="00167C6D">
        <w:rPr>
          <w:rFonts w:hint="cs"/>
          <w:rtl/>
        </w:rPr>
        <w:t>. זאת</w:t>
      </w:r>
      <w:r w:rsidR="008A5A5C" w:rsidRPr="00167C6D">
        <w:rPr>
          <w:rFonts w:hint="cs"/>
          <w:rtl/>
        </w:rPr>
        <w:t>, בעיקר</w:t>
      </w:r>
      <w:r w:rsidR="00C46ABC" w:rsidRPr="00167C6D">
        <w:rPr>
          <w:rFonts w:hint="cs"/>
          <w:rtl/>
        </w:rPr>
        <w:t xml:space="preserve"> כתוצאה </w:t>
      </w:r>
      <w:r w:rsidR="00D21053" w:rsidRPr="00167C6D">
        <w:rPr>
          <w:rFonts w:hint="cs"/>
          <w:rtl/>
        </w:rPr>
        <w:t>מה</w:t>
      </w:r>
      <w:r w:rsidR="00167C6D" w:rsidRPr="00167C6D">
        <w:rPr>
          <w:rFonts w:hint="cs"/>
          <w:rtl/>
        </w:rPr>
        <w:t>עלייה</w:t>
      </w:r>
      <w:r w:rsidR="001006AD" w:rsidRPr="00167C6D">
        <w:rPr>
          <w:rFonts w:hint="cs"/>
          <w:rtl/>
        </w:rPr>
        <w:t xml:space="preserve"> </w:t>
      </w:r>
      <w:r w:rsidR="009709E0" w:rsidRPr="00167C6D">
        <w:rPr>
          <w:rFonts w:hint="cs"/>
          <w:rtl/>
        </w:rPr>
        <w:t>ב</w:t>
      </w:r>
      <w:r w:rsidR="001006AD" w:rsidRPr="00167C6D">
        <w:rPr>
          <w:rFonts w:hint="cs"/>
          <w:rtl/>
        </w:rPr>
        <w:t xml:space="preserve">יתרת המניות </w:t>
      </w:r>
      <w:r w:rsidR="00167C6D" w:rsidRPr="00167C6D">
        <w:rPr>
          <w:rFonts w:hint="cs"/>
          <w:rtl/>
        </w:rPr>
        <w:t>בארץ</w:t>
      </w:r>
      <w:r w:rsidR="00D21053" w:rsidRPr="00167C6D">
        <w:rPr>
          <w:rFonts w:hint="cs"/>
          <w:rtl/>
        </w:rPr>
        <w:t xml:space="preserve"> </w:t>
      </w:r>
      <w:r w:rsidR="001006AD" w:rsidRPr="00167C6D">
        <w:rPr>
          <w:rFonts w:hint="cs"/>
          <w:rtl/>
        </w:rPr>
        <w:t>בתיק הנכסים.</w:t>
      </w:r>
    </w:p>
    <w:p w14:paraId="233CACFC" w14:textId="77777777"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4"/>
          <w:rtl/>
        </w:rPr>
        <w:footnoteReference w:id="3"/>
      </w:r>
    </w:p>
    <w:p w14:paraId="583D1FB8" w14:textId="3A820F32" w:rsidR="000620EE" w:rsidRDefault="006E153A" w:rsidP="009233DD">
      <w:pPr>
        <w:numPr>
          <w:ilvl w:val="0"/>
          <w:numId w:val="9"/>
        </w:numPr>
        <w:spacing w:line="360" w:lineRule="auto"/>
        <w:jc w:val="both"/>
        <w:rPr>
          <w:rtl/>
        </w:rPr>
      </w:pPr>
      <w:r w:rsidRPr="006E153A">
        <w:rPr>
          <w:rFonts w:hint="cs"/>
          <w:b/>
          <w:bCs/>
          <w:rtl/>
        </w:rPr>
        <w:t xml:space="preserve"> </w:t>
      </w:r>
      <w:r w:rsidRPr="004C3A6D">
        <w:rPr>
          <w:rFonts w:hint="cs"/>
          <w:b/>
          <w:bCs/>
          <w:rtl/>
        </w:rPr>
        <w:t>יתרת התיק המנוהל בידי המשקיעים המוסדיים</w:t>
      </w:r>
      <w:r w:rsidRPr="004C3A6D">
        <w:rPr>
          <w:rFonts w:hint="cs"/>
          <w:rtl/>
        </w:rPr>
        <w:t xml:space="preserve"> </w:t>
      </w:r>
      <w:r w:rsidRPr="00FD63D4">
        <w:rPr>
          <w:rFonts w:hint="cs"/>
          <w:rtl/>
        </w:rPr>
        <w:t xml:space="preserve">עלתה ברביע </w:t>
      </w:r>
      <w:r>
        <w:rPr>
          <w:rFonts w:hint="cs"/>
          <w:rtl/>
        </w:rPr>
        <w:t>הראשון</w:t>
      </w:r>
      <w:r w:rsidRPr="00FD63D4">
        <w:rPr>
          <w:rFonts w:hint="cs"/>
          <w:rtl/>
        </w:rPr>
        <w:t xml:space="preserve"> של שנת 201</w:t>
      </w:r>
      <w:r>
        <w:rPr>
          <w:rFonts w:hint="cs"/>
          <w:rtl/>
        </w:rPr>
        <w:t>9</w:t>
      </w:r>
      <w:r w:rsidRPr="00FD63D4">
        <w:rPr>
          <w:rFonts w:hint="cs"/>
          <w:rtl/>
        </w:rPr>
        <w:t xml:space="preserve"> </w:t>
      </w:r>
      <w:r w:rsidRPr="004C3A6D">
        <w:rPr>
          <w:rFonts w:hint="cs"/>
          <w:rtl/>
        </w:rPr>
        <w:t>בכ-</w:t>
      </w:r>
      <w:r>
        <w:rPr>
          <w:rFonts w:hint="cs"/>
          <w:rtl/>
        </w:rPr>
        <w:t>85</w:t>
      </w:r>
      <w:r w:rsidRPr="004C3A6D">
        <w:rPr>
          <w:rFonts w:hint="cs"/>
          <w:rtl/>
        </w:rPr>
        <w:t xml:space="preserve"> מיליארדי </w:t>
      </w:r>
      <w:r w:rsidR="004037B0">
        <w:rPr>
          <w:rFonts w:hint="cs"/>
          <w:rtl/>
        </w:rPr>
        <w:t>ש"ח</w:t>
      </w:r>
      <w:r>
        <w:rPr>
          <w:rFonts w:hint="cs"/>
          <w:rtl/>
        </w:rPr>
        <w:t xml:space="preserve"> (5.2%)</w:t>
      </w:r>
      <w:r w:rsidRPr="004C3A6D">
        <w:rPr>
          <w:rFonts w:hint="cs"/>
          <w:rtl/>
        </w:rPr>
        <w:t xml:space="preserve"> לרמה של כ-1.</w:t>
      </w:r>
      <w:r>
        <w:rPr>
          <w:rFonts w:hint="cs"/>
          <w:rtl/>
        </w:rPr>
        <w:t>72</w:t>
      </w:r>
      <w:r w:rsidRPr="004C3A6D">
        <w:rPr>
          <w:rFonts w:hint="cs"/>
          <w:rtl/>
        </w:rPr>
        <w:t xml:space="preserve"> טריליונים</w:t>
      </w:r>
      <w:r>
        <w:rPr>
          <w:rFonts w:hint="cs"/>
          <w:rtl/>
        </w:rPr>
        <w:t xml:space="preserve"> </w:t>
      </w:r>
      <w:r w:rsidR="007C2B07" w:rsidRPr="00342FC2">
        <w:rPr>
          <w:rFonts w:hint="cs"/>
          <w:rtl/>
        </w:rPr>
        <w:t>(</w:t>
      </w:r>
      <w:r>
        <w:rPr>
          <w:rFonts w:hint="cs"/>
          <w:rtl/>
        </w:rPr>
        <w:t>45</w:t>
      </w:r>
      <w:r w:rsidR="007C2B07" w:rsidRPr="00342FC2">
        <w:rPr>
          <w:rFonts w:hint="cs"/>
          <w:rtl/>
        </w:rPr>
        <w:t>% מסך תיק הנכסים הפיננסים של הציבור)</w:t>
      </w:r>
      <w:r w:rsidR="00377914" w:rsidRPr="00342FC2">
        <w:rPr>
          <w:rFonts w:hint="cs"/>
          <w:rtl/>
        </w:rPr>
        <w:t xml:space="preserve">. </w:t>
      </w:r>
      <w:r>
        <w:rPr>
          <w:rFonts w:hint="cs"/>
          <w:rtl/>
        </w:rPr>
        <w:t>העלייה</w:t>
      </w:r>
      <w:r w:rsidR="007C2B07" w:rsidRPr="00342FC2">
        <w:rPr>
          <w:rtl/>
        </w:rPr>
        <w:t xml:space="preserve"> ביתרת התיק נבעה </w:t>
      </w:r>
      <w:r>
        <w:rPr>
          <w:rFonts w:hint="cs"/>
          <w:rtl/>
        </w:rPr>
        <w:t>מעלייה</w:t>
      </w:r>
      <w:r w:rsidR="007C2B07" w:rsidRPr="00342FC2">
        <w:rPr>
          <w:rtl/>
        </w:rPr>
        <w:t xml:space="preserve"> </w:t>
      </w:r>
      <w:r w:rsidR="000620EE">
        <w:rPr>
          <w:rFonts w:hint="cs"/>
          <w:rtl/>
        </w:rPr>
        <w:t xml:space="preserve">בכל </w:t>
      </w:r>
      <w:r w:rsidR="000A525E">
        <w:rPr>
          <w:rFonts w:hint="cs"/>
          <w:rtl/>
        </w:rPr>
        <w:t xml:space="preserve">המכשירים המוחזקים בידי </w:t>
      </w:r>
      <w:r w:rsidR="009233DD">
        <w:rPr>
          <w:rFonts w:hint="cs"/>
          <w:rtl/>
        </w:rPr>
        <w:t>המוסדיים</w:t>
      </w:r>
      <w:r w:rsidR="000620EE">
        <w:rPr>
          <w:rFonts w:hint="cs"/>
          <w:rtl/>
        </w:rPr>
        <w:t xml:space="preserve">. אך בעיקר </w:t>
      </w:r>
      <w:r>
        <w:rPr>
          <w:rFonts w:hint="cs"/>
          <w:rtl/>
        </w:rPr>
        <w:t>מ</w:t>
      </w:r>
      <w:r w:rsidR="003637B1">
        <w:rPr>
          <w:rFonts w:hint="cs"/>
          <w:rtl/>
        </w:rPr>
        <w:t>ה</w:t>
      </w:r>
      <w:r>
        <w:rPr>
          <w:rFonts w:hint="cs"/>
          <w:rtl/>
        </w:rPr>
        <w:t>עלייה</w:t>
      </w:r>
      <w:r w:rsidR="000620EE">
        <w:rPr>
          <w:rFonts w:hint="cs"/>
          <w:rtl/>
        </w:rPr>
        <w:t xml:space="preserve"> </w:t>
      </w:r>
      <w:r w:rsidR="00900B16" w:rsidRPr="00342FC2">
        <w:rPr>
          <w:rFonts w:hint="cs"/>
          <w:rtl/>
        </w:rPr>
        <w:t xml:space="preserve">ביתרת </w:t>
      </w:r>
      <w:r w:rsidR="000620EE" w:rsidRPr="00342FC2">
        <w:rPr>
          <w:rFonts w:hint="cs"/>
          <w:rtl/>
        </w:rPr>
        <w:t>ההחזקה באג"ח הממשלתיות והמק"מ (</w:t>
      </w:r>
      <w:r>
        <w:rPr>
          <w:rFonts w:hint="cs"/>
          <w:rtl/>
        </w:rPr>
        <w:t>30.3</w:t>
      </w:r>
      <w:r w:rsidR="000620EE" w:rsidRPr="00342FC2">
        <w:rPr>
          <w:rFonts w:hint="cs"/>
          <w:rtl/>
        </w:rPr>
        <w:t xml:space="preserve"> מיליארדים, </w:t>
      </w:r>
      <w:r>
        <w:rPr>
          <w:rFonts w:hint="cs"/>
          <w:rtl/>
        </w:rPr>
        <w:t>4.6%</w:t>
      </w:r>
      <w:r w:rsidR="000620EE" w:rsidRPr="00342FC2">
        <w:rPr>
          <w:rFonts w:hint="cs"/>
          <w:rtl/>
        </w:rPr>
        <w:t>)</w:t>
      </w:r>
      <w:r w:rsidR="000620EE">
        <w:rPr>
          <w:rFonts w:hint="cs"/>
          <w:rtl/>
        </w:rPr>
        <w:t xml:space="preserve"> ו</w:t>
      </w:r>
      <w:r>
        <w:rPr>
          <w:rFonts w:hint="cs"/>
          <w:rtl/>
        </w:rPr>
        <w:t>ב</w:t>
      </w:r>
      <w:r w:rsidR="000620EE">
        <w:rPr>
          <w:rFonts w:hint="cs"/>
          <w:rtl/>
        </w:rPr>
        <w:t xml:space="preserve">השקעות בחו"ל </w:t>
      </w:r>
      <w:r w:rsidR="000620EE" w:rsidRPr="00342FC2">
        <w:rPr>
          <w:rFonts w:hint="cs"/>
          <w:rtl/>
        </w:rPr>
        <w:t>(</w:t>
      </w:r>
      <w:r>
        <w:rPr>
          <w:rFonts w:hint="cs"/>
          <w:rtl/>
        </w:rPr>
        <w:t>23.3</w:t>
      </w:r>
      <w:r w:rsidR="000620EE" w:rsidRPr="00342FC2">
        <w:rPr>
          <w:rFonts w:hint="cs"/>
          <w:rtl/>
        </w:rPr>
        <w:t xml:space="preserve"> מיליארדים, </w:t>
      </w:r>
      <w:r>
        <w:rPr>
          <w:rFonts w:hint="cs"/>
          <w:rtl/>
        </w:rPr>
        <w:t>6.4%).</w:t>
      </w:r>
    </w:p>
    <w:p w14:paraId="407C34D5" w14:textId="153D8BB7" w:rsidR="00AE49AB" w:rsidRPr="00C1256D" w:rsidRDefault="00C1256D" w:rsidP="00C1256D">
      <w:pPr>
        <w:spacing w:before="240" w:line="360" w:lineRule="auto"/>
        <w:ind w:left="390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4A12B863" wp14:editId="3CF428FE">
            <wp:extent cx="6645910" cy="2659380"/>
            <wp:effectExtent l="0" t="0" r="2540" b="7620"/>
            <wp:docPr id="6" name="תמונה 2" descr="תרשים 4: יתרת סך התיק המנוהל בידי המשקיעים המוסדיים &#10;" title="תרשים 4: יתרת סך התיק המנוהל בידי המשקיעים המוסדי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CACFF" w14:textId="4FDFA7EB" w:rsidR="007C2B07" w:rsidRPr="007C2B07" w:rsidRDefault="007C2B07" w:rsidP="003D28E4">
      <w:pPr>
        <w:spacing w:before="240" w:line="360" w:lineRule="auto"/>
        <w:ind w:left="390"/>
        <w:jc w:val="both"/>
      </w:pPr>
      <w:r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4"/>
          <w:b/>
          <w:bCs/>
          <w:rtl/>
        </w:rPr>
        <w:footnoteReference w:id="4"/>
      </w:r>
      <w:r>
        <w:rPr>
          <w:rFonts w:hint="cs"/>
          <w:b/>
          <w:bCs/>
          <w:rtl/>
        </w:rPr>
        <w:t xml:space="preserve"> לנכסים זרים ולייסוף השקל מול מט"ח </w:t>
      </w:r>
      <w:r w:rsidR="00620D7A">
        <w:rPr>
          <w:rFonts w:hint="cs"/>
          <w:b/>
          <w:bCs/>
          <w:rtl/>
        </w:rPr>
        <w:t>-</w:t>
      </w:r>
      <w:r w:rsidR="000A525E">
        <w:rPr>
          <w:rFonts w:hint="cs"/>
          <w:b/>
          <w:bCs/>
          <w:rtl/>
        </w:rPr>
        <w:t xml:space="preserve"> </w:t>
      </w:r>
      <w:r>
        <w:rPr>
          <w:rtl/>
        </w:rPr>
        <w:t xml:space="preserve">ברביע </w:t>
      </w:r>
      <w:r w:rsidR="003637B1">
        <w:rPr>
          <w:rFonts w:hint="cs"/>
          <w:rtl/>
        </w:rPr>
        <w:t>הראשון</w:t>
      </w:r>
      <w:r>
        <w:rPr>
          <w:rtl/>
        </w:rPr>
        <w:t xml:space="preserve"> </w:t>
      </w:r>
      <w:r w:rsidRPr="007C2B07">
        <w:rPr>
          <w:rtl/>
        </w:rPr>
        <w:t xml:space="preserve">של שנת </w:t>
      </w:r>
      <w:r w:rsidR="003637B1">
        <w:rPr>
          <w:rFonts w:hint="cs"/>
          <w:rtl/>
        </w:rPr>
        <w:t>2019</w:t>
      </w:r>
      <w:r w:rsidR="003D28E4">
        <w:rPr>
          <w:rFonts w:hint="cs"/>
          <w:rtl/>
        </w:rPr>
        <w:t xml:space="preserve"> המשיך לעלות</w:t>
      </w:r>
      <w:r w:rsidRPr="007C2B07">
        <w:rPr>
          <w:rtl/>
        </w:rPr>
        <w:t xml:space="preserve"> </w:t>
      </w:r>
      <w:r w:rsidRPr="007C2B07">
        <w:rPr>
          <w:b/>
          <w:bCs/>
          <w:rtl/>
        </w:rPr>
        <w:t>שיעור החשיפה של המשקיעים המוסדיים לנכסים זרים</w:t>
      </w:r>
      <w:r w:rsidRPr="007C2B07">
        <w:rPr>
          <w:rtl/>
        </w:rPr>
        <w:t xml:space="preserve"> לרמה של כ-</w:t>
      </w:r>
      <w:r w:rsidR="001B7370">
        <w:rPr>
          <w:rFonts w:hint="cs"/>
          <w:rtl/>
        </w:rPr>
        <w:t>28</w:t>
      </w:r>
      <w:r w:rsidRPr="007C2B07">
        <w:rPr>
          <w:rtl/>
        </w:rPr>
        <w:t>.</w:t>
      </w:r>
      <w:r w:rsidR="003637B1">
        <w:rPr>
          <w:rFonts w:hint="cs"/>
          <w:rtl/>
        </w:rPr>
        <w:t>8</w:t>
      </w:r>
      <w:r w:rsidRPr="007C2B07">
        <w:rPr>
          <w:rtl/>
        </w:rPr>
        <w:t>% מהתיק</w:t>
      </w:r>
      <w:r w:rsidR="003D28E4">
        <w:rPr>
          <w:rFonts w:hint="cs"/>
          <w:rtl/>
        </w:rPr>
        <w:t>,</w:t>
      </w:r>
      <w:r w:rsidR="003D28E4" w:rsidRPr="007C2B07">
        <w:rPr>
          <w:rFonts w:hint="cs"/>
          <w:rtl/>
        </w:rPr>
        <w:t xml:space="preserve"> </w:t>
      </w:r>
      <w:r w:rsidR="001F2235" w:rsidRPr="00AE49AB">
        <w:rPr>
          <w:rFonts w:hint="cs"/>
          <w:rtl/>
        </w:rPr>
        <w:t xml:space="preserve">זאת כתוצאה </w:t>
      </w:r>
      <w:r w:rsidR="003637B1">
        <w:rPr>
          <w:rFonts w:hint="cs"/>
          <w:rtl/>
        </w:rPr>
        <w:t>מעלייה</w:t>
      </w:r>
      <w:r w:rsidR="001F2235" w:rsidRPr="00AE49AB">
        <w:rPr>
          <w:rFonts w:hint="cs"/>
          <w:rtl/>
        </w:rPr>
        <w:t xml:space="preserve"> גדולה יותר </w:t>
      </w:r>
      <w:r w:rsidR="003637B1" w:rsidRPr="00AE49AB">
        <w:rPr>
          <w:rFonts w:hint="cs"/>
          <w:rtl/>
        </w:rPr>
        <w:t xml:space="preserve">בסך הנכסים הזרים </w:t>
      </w:r>
      <w:r w:rsidR="003637B1">
        <w:rPr>
          <w:rFonts w:hint="cs"/>
          <w:rtl/>
        </w:rPr>
        <w:t xml:space="preserve">מאשר </w:t>
      </w:r>
      <w:r w:rsidR="001F2235" w:rsidRPr="00AE49AB">
        <w:rPr>
          <w:rFonts w:hint="cs"/>
          <w:rtl/>
        </w:rPr>
        <w:t>בסך נכסי ההשקעה.</w:t>
      </w:r>
      <w:r w:rsidR="001F2235">
        <w:rPr>
          <w:rFonts w:hint="cs"/>
          <w:rtl/>
        </w:rPr>
        <w:t xml:space="preserve"> </w:t>
      </w:r>
      <w:r w:rsidR="00432AAF">
        <w:rPr>
          <w:rFonts w:hint="cs"/>
          <w:rtl/>
        </w:rPr>
        <w:t>העלייה המשמעותית ביותר</w:t>
      </w:r>
      <w:r w:rsidRPr="00EE7382">
        <w:rPr>
          <w:rtl/>
        </w:rPr>
        <w:t xml:space="preserve"> </w:t>
      </w:r>
      <w:r w:rsidR="00432AAF">
        <w:rPr>
          <w:rFonts w:hint="cs"/>
          <w:rtl/>
        </w:rPr>
        <w:t>התרחשה אצל קופות הגמל וקרנות ההשתלמות שהגדילו</w:t>
      </w:r>
      <w:r w:rsidRPr="007C2B07">
        <w:rPr>
          <w:rtl/>
        </w:rPr>
        <w:t xml:space="preserve"> את היקף חשיפתן לנכסים זרים בכ-</w:t>
      </w:r>
      <w:r w:rsidR="00432AAF">
        <w:rPr>
          <w:rFonts w:hint="cs"/>
          <w:rtl/>
        </w:rPr>
        <w:t>0.</w:t>
      </w:r>
      <w:r w:rsidR="003637B1">
        <w:rPr>
          <w:rFonts w:hint="cs"/>
          <w:rtl/>
        </w:rPr>
        <w:t>4</w:t>
      </w:r>
      <w:r w:rsidRPr="007C2B07">
        <w:rPr>
          <w:rtl/>
        </w:rPr>
        <w:t xml:space="preserve"> נקודות אחוז עד לרמה של כ-</w:t>
      </w:r>
      <w:r w:rsidR="00432AAF">
        <w:rPr>
          <w:rFonts w:hint="cs"/>
          <w:rtl/>
        </w:rPr>
        <w:t>30.</w:t>
      </w:r>
      <w:r w:rsidR="003637B1">
        <w:rPr>
          <w:rFonts w:hint="cs"/>
          <w:rtl/>
        </w:rPr>
        <w:t>6</w:t>
      </w:r>
      <w:r w:rsidRPr="007C2B07">
        <w:rPr>
          <w:rtl/>
        </w:rPr>
        <w:t xml:space="preserve">%. </w:t>
      </w:r>
    </w:p>
    <w:p w14:paraId="233CAD00" w14:textId="5239B803" w:rsidR="000430C8" w:rsidRPr="00C739C4" w:rsidRDefault="007C2B07" w:rsidP="003D28E4">
      <w:pPr>
        <w:spacing w:before="240" w:line="360" w:lineRule="auto"/>
        <w:ind w:left="390"/>
        <w:jc w:val="both"/>
        <w:outlineLvl w:val="0"/>
      </w:pPr>
      <w:r w:rsidRPr="007C2B07">
        <w:rPr>
          <w:rtl/>
        </w:rPr>
        <w:t xml:space="preserve">ברביע </w:t>
      </w:r>
      <w:r w:rsidR="003637B1">
        <w:rPr>
          <w:rFonts w:hint="cs"/>
          <w:rtl/>
        </w:rPr>
        <w:t>הראשון</w:t>
      </w:r>
      <w:r w:rsidRPr="007C2B07">
        <w:rPr>
          <w:rtl/>
        </w:rPr>
        <w:t xml:space="preserve"> של השנה </w:t>
      </w:r>
      <w:r w:rsidR="003637B1">
        <w:rPr>
          <w:rFonts w:hint="cs"/>
          <w:rtl/>
        </w:rPr>
        <w:t>עלה</w:t>
      </w:r>
      <w:r w:rsidRPr="007C2B07">
        <w:rPr>
          <w:rtl/>
        </w:rPr>
        <w:t xml:space="preserve"> </w:t>
      </w:r>
      <w:r w:rsidRPr="007C2B07">
        <w:rPr>
          <w:b/>
          <w:bCs/>
          <w:rtl/>
        </w:rPr>
        <w:t>שיעור החשיפה למט"ח (כולל נגזרי ש"ח/מט"ח)</w:t>
      </w:r>
      <w:r w:rsidRPr="007C2B07">
        <w:rPr>
          <w:rtl/>
        </w:rPr>
        <w:t xml:space="preserve"> ב</w:t>
      </w:r>
      <w:r w:rsidR="00EE7382">
        <w:rPr>
          <w:rFonts w:hint="cs"/>
          <w:rtl/>
        </w:rPr>
        <w:t>כ-0.</w:t>
      </w:r>
      <w:r w:rsidR="003637B1">
        <w:rPr>
          <w:rFonts w:hint="cs"/>
          <w:rtl/>
        </w:rPr>
        <w:t>2</w:t>
      </w:r>
      <w:r w:rsidR="00EE7382">
        <w:rPr>
          <w:rFonts w:hint="cs"/>
          <w:rtl/>
        </w:rPr>
        <w:t xml:space="preserve"> </w:t>
      </w:r>
      <w:r w:rsidRPr="007C2B07">
        <w:rPr>
          <w:rtl/>
        </w:rPr>
        <w:t>נקודת אחוז לרמה של כ-</w:t>
      </w:r>
      <w:r w:rsidR="00EE7382">
        <w:rPr>
          <w:rFonts w:hint="cs"/>
          <w:rtl/>
        </w:rPr>
        <w:t>17.</w:t>
      </w:r>
      <w:r w:rsidR="003637B1">
        <w:rPr>
          <w:rFonts w:hint="cs"/>
          <w:rtl/>
        </w:rPr>
        <w:t>3</w:t>
      </w:r>
      <w:r w:rsidR="003D28E4" w:rsidRPr="007C2B07">
        <w:rPr>
          <w:rtl/>
        </w:rPr>
        <w:t>%</w:t>
      </w:r>
      <w:r w:rsidR="003D28E4">
        <w:rPr>
          <w:rFonts w:hint="cs"/>
          <w:rtl/>
        </w:rPr>
        <w:t>.</w:t>
      </w:r>
      <w:r w:rsidR="003D28E4" w:rsidRPr="007C2B07">
        <w:rPr>
          <w:rtl/>
        </w:rPr>
        <w:t xml:space="preserve"> </w:t>
      </w:r>
      <w:r w:rsidR="003637B1">
        <w:rPr>
          <w:rFonts w:hint="cs"/>
          <w:rtl/>
        </w:rPr>
        <w:t>העלייה</w:t>
      </w:r>
      <w:r w:rsidRPr="007C2B07">
        <w:rPr>
          <w:rtl/>
        </w:rPr>
        <w:t xml:space="preserve"> ביתרת החשיפה נבעה </w:t>
      </w:r>
      <w:r w:rsidR="00060438">
        <w:rPr>
          <w:rFonts w:hint="cs"/>
          <w:rtl/>
        </w:rPr>
        <w:t xml:space="preserve">בעיקר </w:t>
      </w:r>
      <w:r w:rsidR="003637B1">
        <w:rPr>
          <w:rFonts w:hint="cs"/>
          <w:rtl/>
        </w:rPr>
        <w:t>מהעלייה</w:t>
      </w:r>
      <w:r w:rsidR="00592C9A" w:rsidRPr="007C2B07">
        <w:rPr>
          <w:rtl/>
        </w:rPr>
        <w:t xml:space="preserve"> במחירי </w:t>
      </w:r>
      <w:r w:rsidR="00592C9A">
        <w:rPr>
          <w:rFonts w:hint="cs"/>
          <w:rtl/>
        </w:rPr>
        <w:t>המניות</w:t>
      </w:r>
      <w:r w:rsidR="00592C9A" w:rsidRPr="007C2B07">
        <w:rPr>
          <w:rtl/>
        </w:rPr>
        <w:t xml:space="preserve"> בשוקי חו"ל</w:t>
      </w:r>
      <w:r w:rsidR="00060438">
        <w:rPr>
          <w:rFonts w:hint="cs"/>
          <w:rtl/>
        </w:rPr>
        <w:t xml:space="preserve">. </w:t>
      </w:r>
      <w:r w:rsidR="00347124">
        <w:rPr>
          <w:rFonts w:hint="cs"/>
          <w:rtl/>
        </w:rPr>
        <w:t>מנגד</w:t>
      </w:r>
      <w:r w:rsidR="00060438">
        <w:rPr>
          <w:rFonts w:hint="cs"/>
          <w:rtl/>
        </w:rPr>
        <w:t>,</w:t>
      </w:r>
      <w:r w:rsidR="00592C9A" w:rsidRPr="00E82168">
        <w:rPr>
          <w:rFonts w:hint="cs"/>
          <w:rtl/>
        </w:rPr>
        <w:t xml:space="preserve"> </w:t>
      </w:r>
      <w:r w:rsidR="00060438">
        <w:rPr>
          <w:rFonts w:hint="cs"/>
          <w:rtl/>
        </w:rPr>
        <w:t xml:space="preserve">הגופים המוסדיים </w:t>
      </w:r>
      <w:r w:rsidR="00347124">
        <w:rPr>
          <w:rFonts w:hint="cs"/>
          <w:rtl/>
        </w:rPr>
        <w:t xml:space="preserve">מימשו </w:t>
      </w:r>
      <w:r w:rsidRPr="007C2B07">
        <w:rPr>
          <w:rFonts w:hint="cs"/>
          <w:rtl/>
        </w:rPr>
        <w:t>נטו כ-</w:t>
      </w:r>
      <w:r w:rsidR="00347124">
        <w:rPr>
          <w:rFonts w:hint="cs"/>
          <w:rtl/>
        </w:rPr>
        <w:t>1.3</w:t>
      </w:r>
      <w:r w:rsidRPr="007C2B07">
        <w:rPr>
          <w:rFonts w:hint="cs"/>
          <w:rtl/>
        </w:rPr>
        <w:t xml:space="preserve"> מיליארדי דולר</w:t>
      </w:r>
      <w:r w:rsidRPr="007C2B07">
        <w:rPr>
          <w:rtl/>
        </w:rPr>
        <w:t xml:space="preserve"> בנכסים נקובים וצמודים למט"ח</w:t>
      </w:r>
      <w:r w:rsidRPr="007C2B07">
        <w:rPr>
          <w:rFonts w:hint="cs"/>
          <w:rtl/>
        </w:rPr>
        <w:t xml:space="preserve"> (בעיקר</w:t>
      </w:r>
      <w:r w:rsidR="00E014CE">
        <w:rPr>
          <w:rFonts w:hint="cs"/>
          <w:rtl/>
        </w:rPr>
        <w:t xml:space="preserve"> </w:t>
      </w:r>
      <w:r w:rsidR="00103EC2">
        <w:rPr>
          <w:rFonts w:hint="cs"/>
          <w:rtl/>
        </w:rPr>
        <w:t>ב</w:t>
      </w:r>
      <w:r w:rsidRPr="007C2B07">
        <w:rPr>
          <w:rFonts w:hint="cs"/>
          <w:rtl/>
        </w:rPr>
        <w:t xml:space="preserve">מניות </w:t>
      </w:r>
      <w:r w:rsidR="00103EC2">
        <w:rPr>
          <w:rFonts w:hint="cs"/>
          <w:rtl/>
        </w:rPr>
        <w:t>ב</w:t>
      </w:r>
      <w:r w:rsidR="00E014CE" w:rsidRPr="007C2B07">
        <w:rPr>
          <w:rFonts w:hint="cs"/>
          <w:rtl/>
        </w:rPr>
        <w:t>חו"ל</w:t>
      </w:r>
      <w:r w:rsidRPr="007C2B07">
        <w:rPr>
          <w:rFonts w:hint="cs"/>
          <w:rtl/>
        </w:rPr>
        <w:t>)</w:t>
      </w:r>
      <w:r w:rsidR="00B2245B">
        <w:rPr>
          <w:rFonts w:hint="cs"/>
          <w:rtl/>
        </w:rPr>
        <w:t xml:space="preserve">, במקביל </w:t>
      </w:r>
      <w:r w:rsidR="00347124">
        <w:rPr>
          <w:rFonts w:hint="cs"/>
          <w:rtl/>
        </w:rPr>
        <w:t>לירידה</w:t>
      </w:r>
      <w:r w:rsidRPr="007C2B07">
        <w:rPr>
          <w:rtl/>
        </w:rPr>
        <w:t xml:space="preserve"> </w:t>
      </w:r>
      <w:r w:rsidR="00B2245B">
        <w:rPr>
          <w:rFonts w:hint="cs"/>
          <w:rtl/>
        </w:rPr>
        <w:t>ב</w:t>
      </w:r>
      <w:r w:rsidR="00E014CE">
        <w:rPr>
          <w:rFonts w:hint="cs"/>
          <w:rtl/>
        </w:rPr>
        <w:t xml:space="preserve">יתרת </w:t>
      </w:r>
      <w:r w:rsidRPr="007C2B07">
        <w:rPr>
          <w:rFonts w:hint="cs"/>
          <w:rtl/>
        </w:rPr>
        <w:t>העסקאות העתידיות למכירת מט"ח נטו באמצעות מכשי</w:t>
      </w:r>
      <w:r>
        <w:rPr>
          <w:rFonts w:hint="cs"/>
          <w:rtl/>
        </w:rPr>
        <w:t xml:space="preserve">רים פיננסים נגזרים </w:t>
      </w:r>
      <w:r w:rsidR="00B2245B">
        <w:rPr>
          <w:rFonts w:hint="cs"/>
          <w:rtl/>
        </w:rPr>
        <w:t xml:space="preserve">של </w:t>
      </w:r>
      <w:r w:rsidR="00E82168">
        <w:rPr>
          <w:rFonts w:hint="cs"/>
          <w:rtl/>
        </w:rPr>
        <w:t>כ</w:t>
      </w:r>
      <w:r w:rsidR="00347124">
        <w:rPr>
          <w:rFonts w:hint="cs"/>
          <w:rtl/>
        </w:rPr>
        <w:t xml:space="preserve">-2.3 </w:t>
      </w:r>
      <w:r w:rsidR="00E82168">
        <w:rPr>
          <w:rFonts w:hint="cs"/>
          <w:rtl/>
        </w:rPr>
        <w:t>מיליארד</w:t>
      </w:r>
      <w:r w:rsidR="00347124">
        <w:rPr>
          <w:rFonts w:hint="cs"/>
          <w:rtl/>
        </w:rPr>
        <w:t>י</w:t>
      </w:r>
      <w:r w:rsidR="00E82168">
        <w:rPr>
          <w:rFonts w:hint="cs"/>
          <w:rtl/>
        </w:rPr>
        <w:t xml:space="preserve"> דולרים</w:t>
      </w:r>
      <w:r w:rsidR="00060438">
        <w:rPr>
          <w:rFonts w:hint="cs"/>
          <w:rtl/>
        </w:rPr>
        <w:t>.</w:t>
      </w:r>
      <w:r w:rsidR="00E82168">
        <w:rPr>
          <w:rFonts w:hint="cs"/>
          <w:rtl/>
        </w:rPr>
        <w:t xml:space="preserve"> </w:t>
      </w:r>
    </w:p>
    <w:p w14:paraId="68A37AD3" w14:textId="77777777" w:rsidR="00347124" w:rsidRDefault="00347124" w:rsidP="0033163E">
      <w:pPr>
        <w:spacing w:before="240" w:line="360" w:lineRule="auto"/>
        <w:jc w:val="both"/>
        <w:rPr>
          <w:b/>
          <w:bCs/>
          <w:rtl/>
        </w:rPr>
      </w:pPr>
    </w:p>
    <w:tbl>
      <w:tblPr>
        <w:tblStyle w:val="a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47124" w14:paraId="5A2A50F0" w14:textId="77777777" w:rsidTr="00103EC2">
        <w:trPr>
          <w:trHeight w:val="3971"/>
        </w:trPr>
        <w:tc>
          <w:tcPr>
            <w:tcW w:w="5341" w:type="dxa"/>
          </w:tcPr>
          <w:p w14:paraId="028514DA" w14:textId="2A2CCD66" w:rsidR="00347124" w:rsidRDefault="00347124" w:rsidP="00347124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72576" behindDoc="0" locked="0" layoutInCell="1" allowOverlap="1" wp14:anchorId="428A4091" wp14:editId="4837E713">
                  <wp:simplePos x="0" y="0"/>
                  <wp:positionH relativeFrom="column">
                    <wp:align>center</wp:align>
                  </wp:positionH>
                  <wp:positionV relativeFrom="page">
                    <wp:align>top</wp:align>
                  </wp:positionV>
                  <wp:extent cx="2898000" cy="2314800"/>
                  <wp:effectExtent l="0" t="0" r="0" b="0"/>
                  <wp:wrapSquare wrapText="bothSides"/>
                  <wp:docPr id="7" name="תמונה 7" descr="תרשים 5: אומדן תנועות נטו בנכסי מט&quot;ח של המשקיעים המוסדיים מול שינוי בנגזרים ש&quot;ח/מט&quot;ח, מיליארדי דולרים &#10;" title="תרשים 5: אומדן תנועות נטו בנכסי מט&quot;ח של המשקיעים המוסדיים מול שינוי בנגזרים ש&quot;ח/מט&quot;ח, מיליארדי דולרי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000" cy="231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14:paraId="467D90D7" w14:textId="79C35DA0" w:rsidR="00347124" w:rsidRDefault="00347124" w:rsidP="0033163E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88960" behindDoc="0" locked="0" layoutInCell="1" allowOverlap="1" wp14:anchorId="0117105A" wp14:editId="6D4C01E0">
                  <wp:simplePos x="460858" y="636422"/>
                  <wp:positionH relativeFrom="column">
                    <wp:align>center</wp:align>
                  </wp:positionH>
                  <wp:positionV relativeFrom="paragraph">
                    <wp:posOffset>3175</wp:posOffset>
                  </wp:positionV>
                  <wp:extent cx="2898000" cy="2314800"/>
                  <wp:effectExtent l="0" t="0" r="0" b="0"/>
                  <wp:wrapSquare wrapText="bothSides"/>
                  <wp:docPr id="8" name="תמונה 8" descr="תרשים 6: שיעור החשיפה של המשקיעים המוסדיים לנכסים זרים ולייסוף השקל מול הדולר מסך כל נכסי השקעתם&#10;" title="תרשים 6: שיעור החשיפה של המשקיעים המוסדיים לנכסים זרים ולייסוף השקל מול הדולר מסך כל נכסי השקעתם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000" cy="231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3CAD02" w14:textId="53EF9B7C" w:rsidR="002E1C15" w:rsidRPr="007D55C2" w:rsidRDefault="009B2E2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7D55C2">
        <w:rPr>
          <w:rFonts w:hint="eastAsia"/>
          <w:rtl/>
        </w:rPr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</w:p>
    <w:p w14:paraId="6F086F58" w14:textId="63CB6D2E" w:rsidR="00377914" w:rsidRDefault="0012692B" w:rsidP="007D55C2">
      <w:pPr>
        <w:spacing w:before="240" w:line="360" w:lineRule="auto"/>
        <w:ind w:left="360"/>
        <w:jc w:val="both"/>
        <w:rPr>
          <w:rtl/>
        </w:rPr>
      </w:pPr>
      <w:r w:rsidRPr="0012692B">
        <w:rPr>
          <w:rtl/>
        </w:rPr>
        <w:t xml:space="preserve">היקף התיק המנוהל </w:t>
      </w:r>
      <w:r w:rsidRPr="007D55C2">
        <w:rPr>
          <w:rtl/>
        </w:rPr>
        <w:t>באמצעות קרנות נאמנות</w:t>
      </w:r>
      <w:r w:rsidR="00AC78A4" w:rsidRPr="007D55C2">
        <w:rPr>
          <w:rStyle w:val="a4"/>
          <w:rtl/>
        </w:rPr>
        <w:footnoteReference w:id="5"/>
      </w:r>
      <w:r w:rsidR="004D33BB" w:rsidRPr="007D55C2">
        <w:rPr>
          <w:rFonts w:hint="cs"/>
          <w:rtl/>
        </w:rPr>
        <w:t xml:space="preserve"> </w:t>
      </w:r>
      <w:r w:rsidR="007C2B07" w:rsidRPr="007D55C2">
        <w:rPr>
          <w:rFonts w:hint="cs"/>
          <w:rtl/>
        </w:rPr>
        <w:t>בארץ</w:t>
      </w:r>
      <w:r w:rsidR="00543423" w:rsidRPr="007D55C2">
        <w:rPr>
          <w:rFonts w:hint="cs"/>
          <w:rtl/>
        </w:rPr>
        <w:t xml:space="preserve"> </w:t>
      </w:r>
      <w:r w:rsidR="004C6DBB" w:rsidRPr="007D55C2">
        <w:rPr>
          <w:rFonts w:hint="cs"/>
          <w:rtl/>
        </w:rPr>
        <w:t>עלה</w:t>
      </w:r>
      <w:r w:rsidR="00543423">
        <w:rPr>
          <w:rFonts w:hint="cs"/>
          <w:rtl/>
        </w:rPr>
        <w:t xml:space="preserve"> ברביע </w:t>
      </w:r>
      <w:r w:rsidR="00EE5AC1">
        <w:rPr>
          <w:rFonts w:hint="cs"/>
          <w:rtl/>
        </w:rPr>
        <w:t>הראשון</w:t>
      </w:r>
      <w:r w:rsidR="00543423">
        <w:rPr>
          <w:rFonts w:hint="cs"/>
          <w:rtl/>
        </w:rPr>
        <w:t xml:space="preserve"> </w:t>
      </w:r>
      <w:r w:rsidR="00377914">
        <w:rPr>
          <w:rFonts w:hint="cs"/>
          <w:rtl/>
        </w:rPr>
        <w:t xml:space="preserve">של השנה </w:t>
      </w:r>
      <w:r w:rsidR="00543423">
        <w:rPr>
          <w:rFonts w:hint="cs"/>
          <w:rtl/>
        </w:rPr>
        <w:t>בכ-</w:t>
      </w:r>
      <w:r w:rsidR="004C6DBB">
        <w:rPr>
          <w:rFonts w:hint="cs"/>
          <w:rtl/>
        </w:rPr>
        <w:t>14</w:t>
      </w:r>
      <w:r w:rsidR="006E3BA6" w:rsidRPr="00CB6699">
        <w:rPr>
          <w:rFonts w:hint="cs"/>
          <w:rtl/>
        </w:rPr>
        <w:t>.</w:t>
      </w:r>
      <w:r w:rsidR="004C6DBB">
        <w:rPr>
          <w:rFonts w:hint="cs"/>
          <w:rtl/>
        </w:rPr>
        <w:t>8</w:t>
      </w:r>
      <w:r w:rsidR="006E3BA6">
        <w:rPr>
          <w:rFonts w:hint="cs"/>
          <w:rtl/>
        </w:rPr>
        <w:t xml:space="preserve"> מיליארדי ש"ח </w:t>
      </w:r>
      <w:r w:rsidR="00CB6699">
        <w:rPr>
          <w:rFonts w:hint="cs"/>
          <w:rtl/>
        </w:rPr>
        <w:t>(</w:t>
      </w:r>
      <w:r w:rsidR="004C6DBB">
        <w:rPr>
          <w:rFonts w:hint="cs"/>
          <w:rtl/>
        </w:rPr>
        <w:t>5</w:t>
      </w:r>
      <w:r w:rsidR="00CB6699">
        <w:rPr>
          <w:rFonts w:hint="cs"/>
          <w:rtl/>
        </w:rPr>
        <w:t>%)</w:t>
      </w:r>
      <w:r w:rsidR="006E3BA6">
        <w:rPr>
          <w:rFonts w:hint="cs"/>
          <w:rtl/>
        </w:rPr>
        <w:t xml:space="preserve"> </w:t>
      </w:r>
      <w:r w:rsidR="00E77E06">
        <w:rPr>
          <w:rFonts w:hint="cs"/>
          <w:rtl/>
        </w:rPr>
        <w:t>ו</w:t>
      </w:r>
      <w:r w:rsidRPr="0012692B">
        <w:rPr>
          <w:rtl/>
        </w:rPr>
        <w:t xml:space="preserve">עמד </w:t>
      </w:r>
      <w:r w:rsidR="006D3437">
        <w:rPr>
          <w:rFonts w:hint="cs"/>
          <w:rtl/>
        </w:rPr>
        <w:t>בסופו</w:t>
      </w:r>
      <w:r w:rsidRPr="0012692B">
        <w:rPr>
          <w:rtl/>
        </w:rPr>
        <w:t xml:space="preserve"> על כ-</w:t>
      </w:r>
      <w:r w:rsidR="004C6DBB">
        <w:rPr>
          <w:rFonts w:hint="cs"/>
          <w:rtl/>
        </w:rPr>
        <w:t>322</w:t>
      </w:r>
      <w:r w:rsidRPr="0012692B">
        <w:rPr>
          <w:rtl/>
        </w:rPr>
        <w:t xml:space="preserve"> מיליארדי ש"ח, כ-</w:t>
      </w:r>
      <w:r w:rsidR="004C6DBB">
        <w:rPr>
          <w:rFonts w:hint="cs"/>
          <w:rtl/>
        </w:rPr>
        <w:t>8.4</w:t>
      </w:r>
      <w:r w:rsidRPr="00D50557">
        <w:rPr>
          <w:rtl/>
        </w:rPr>
        <w:t>%</w:t>
      </w:r>
      <w:r w:rsidRPr="0012692B">
        <w:rPr>
          <w:rtl/>
        </w:rPr>
        <w:t xml:space="preserve"> מסך תיק הנכסים של הציבור.</w:t>
      </w:r>
      <w:r w:rsidR="006E3BA6">
        <w:rPr>
          <w:rFonts w:hint="cs"/>
          <w:rtl/>
        </w:rPr>
        <w:t xml:space="preserve"> </w:t>
      </w:r>
    </w:p>
    <w:p w14:paraId="233CAD04" w14:textId="015817DD" w:rsidR="00620D7A" w:rsidRDefault="00CB6699" w:rsidP="007D55C2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ה</w:t>
      </w:r>
      <w:r w:rsidR="004C6DBB">
        <w:rPr>
          <w:rFonts w:hint="cs"/>
          <w:rtl/>
        </w:rPr>
        <w:t>עלייה</w:t>
      </w:r>
      <w:r>
        <w:rPr>
          <w:rFonts w:hint="cs"/>
          <w:rtl/>
        </w:rPr>
        <w:t xml:space="preserve"> ברביע </w:t>
      </w:r>
      <w:r w:rsidR="00FF1E74">
        <w:rPr>
          <w:rFonts w:hint="cs"/>
          <w:rtl/>
        </w:rPr>
        <w:t xml:space="preserve">הראשון </w:t>
      </w:r>
      <w:r>
        <w:rPr>
          <w:rFonts w:hint="cs"/>
          <w:rtl/>
        </w:rPr>
        <w:t xml:space="preserve">הינה תוצאה בעיקר של </w:t>
      </w:r>
      <w:r w:rsidR="004C6DBB">
        <w:rPr>
          <w:rFonts w:hint="cs"/>
          <w:rtl/>
        </w:rPr>
        <w:t>עליות</w:t>
      </w:r>
      <w:r>
        <w:rPr>
          <w:rFonts w:hint="cs"/>
          <w:rtl/>
        </w:rPr>
        <w:t xml:space="preserve"> מחירים, לצד </w:t>
      </w:r>
      <w:r w:rsidR="004C6DBB">
        <w:rPr>
          <w:rFonts w:hint="cs"/>
          <w:rtl/>
        </w:rPr>
        <w:t>הפקדות</w:t>
      </w:r>
      <w:r w:rsidR="00377914" w:rsidRPr="00377914">
        <w:rPr>
          <w:rFonts w:hint="cs"/>
          <w:rtl/>
        </w:rPr>
        <w:t xml:space="preserve"> נטו </w:t>
      </w:r>
      <w:r w:rsidR="00377914" w:rsidRPr="0012692B">
        <w:rPr>
          <w:rtl/>
        </w:rPr>
        <w:t xml:space="preserve">(עודף </w:t>
      </w:r>
      <w:r w:rsidR="004C6DBB">
        <w:rPr>
          <w:rFonts w:hint="cs"/>
          <w:rtl/>
        </w:rPr>
        <w:t>הפקדות</w:t>
      </w:r>
      <w:r w:rsidR="00377914" w:rsidRPr="0012692B">
        <w:rPr>
          <w:rtl/>
        </w:rPr>
        <w:t xml:space="preserve"> על </w:t>
      </w:r>
      <w:r w:rsidR="004C6DBB">
        <w:rPr>
          <w:rFonts w:hint="cs"/>
          <w:rtl/>
        </w:rPr>
        <w:t>פדיונות</w:t>
      </w:r>
      <w:r w:rsidR="00377914" w:rsidRPr="0012692B">
        <w:rPr>
          <w:rtl/>
        </w:rPr>
        <w:t>, בניכוי דיבידנד)</w:t>
      </w:r>
      <w:r w:rsidR="00377914">
        <w:rPr>
          <w:rFonts w:hint="cs"/>
          <w:rtl/>
        </w:rPr>
        <w:t xml:space="preserve"> </w:t>
      </w:r>
      <w:r w:rsidR="00267453">
        <w:rPr>
          <w:rFonts w:hint="cs"/>
          <w:rtl/>
        </w:rPr>
        <w:t>ב</w:t>
      </w:r>
      <w:r w:rsidR="004C6DBB">
        <w:rPr>
          <w:rFonts w:hint="cs"/>
          <w:rtl/>
        </w:rPr>
        <w:t>קרנות בהיקף של</w:t>
      </w:r>
      <w:r>
        <w:rPr>
          <w:rFonts w:hint="cs"/>
          <w:rtl/>
        </w:rPr>
        <w:t xml:space="preserve"> </w:t>
      </w:r>
      <w:r w:rsidR="00AF07E0">
        <w:rPr>
          <w:rFonts w:hint="cs"/>
          <w:rtl/>
        </w:rPr>
        <w:t xml:space="preserve">חצי </w:t>
      </w:r>
      <w:r>
        <w:rPr>
          <w:rFonts w:hint="cs"/>
          <w:rtl/>
        </w:rPr>
        <w:t>מיליארד ש"ח</w:t>
      </w:r>
      <w:r w:rsidR="00377914" w:rsidRPr="00377914">
        <w:rPr>
          <w:rFonts w:hint="cs"/>
          <w:rtl/>
        </w:rPr>
        <w:t>.</w:t>
      </w:r>
      <w:r w:rsidR="00377914">
        <w:rPr>
          <w:rFonts w:hint="cs"/>
          <w:rtl/>
        </w:rPr>
        <w:t xml:space="preserve"> </w:t>
      </w:r>
      <w:r w:rsidR="004279F8">
        <w:rPr>
          <w:rFonts w:hint="cs"/>
          <w:rtl/>
        </w:rPr>
        <w:t xml:space="preserve">זאת, </w:t>
      </w:r>
      <w:r w:rsidR="004C6DBB">
        <w:rPr>
          <w:rFonts w:hint="cs"/>
          <w:rtl/>
        </w:rPr>
        <w:t xml:space="preserve">בניגוד למגמה של פדיונות שאפיינה </w:t>
      </w:r>
      <w:r w:rsidR="00FF1E74">
        <w:rPr>
          <w:rFonts w:hint="cs"/>
          <w:rtl/>
        </w:rPr>
        <w:t xml:space="preserve">שלושת </w:t>
      </w:r>
      <w:r w:rsidR="004C6DBB">
        <w:rPr>
          <w:rFonts w:hint="cs"/>
          <w:rtl/>
        </w:rPr>
        <w:t>הרבעונים</w:t>
      </w:r>
      <w:r w:rsidR="00FF1E74">
        <w:rPr>
          <w:rFonts w:hint="cs"/>
          <w:rtl/>
        </w:rPr>
        <w:t xml:space="preserve"> האחרונים</w:t>
      </w:r>
      <w:r w:rsidR="004C6DBB">
        <w:rPr>
          <w:rFonts w:hint="cs"/>
          <w:rtl/>
        </w:rPr>
        <w:t xml:space="preserve"> בשנת 2018</w:t>
      </w:r>
      <w:r w:rsidR="00AC78A4">
        <w:rPr>
          <w:rFonts w:hint="cs"/>
          <w:rtl/>
        </w:rPr>
        <w:t>.</w:t>
      </w:r>
    </w:p>
    <w:p w14:paraId="6F65D28D" w14:textId="09DD6EED" w:rsidR="00676C34" w:rsidRDefault="00CE46D3" w:rsidP="007D55C2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עיקר ההפקדות </w:t>
      </w:r>
      <w:r w:rsidRPr="009A4AE4">
        <w:rPr>
          <w:rFonts w:hint="cs"/>
          <w:rtl/>
        </w:rPr>
        <w:t xml:space="preserve">בקרנות </w:t>
      </w:r>
      <w:r>
        <w:rPr>
          <w:rFonts w:hint="cs"/>
          <w:rtl/>
        </w:rPr>
        <w:t xml:space="preserve">הנאמנות היו </w:t>
      </w:r>
      <w:r w:rsidRPr="009A4AE4">
        <w:rPr>
          <w:rFonts w:hint="cs"/>
          <w:rtl/>
        </w:rPr>
        <w:t xml:space="preserve">בקרנות </w:t>
      </w:r>
      <w:r>
        <w:rPr>
          <w:rFonts w:hint="cs"/>
          <w:rtl/>
        </w:rPr>
        <w:t>הכספיות</w:t>
      </w:r>
      <w:r w:rsidRPr="009A4AE4">
        <w:rPr>
          <w:rFonts w:hint="cs"/>
          <w:rtl/>
        </w:rPr>
        <w:t xml:space="preserve"> בהיק</w:t>
      </w:r>
      <w:r>
        <w:rPr>
          <w:rFonts w:hint="cs"/>
          <w:rtl/>
        </w:rPr>
        <w:t>ף</w:t>
      </w:r>
      <w:r w:rsidRPr="009A4AE4">
        <w:rPr>
          <w:rFonts w:hint="cs"/>
          <w:rtl/>
        </w:rPr>
        <w:t xml:space="preserve"> של כ-2.6 מיליארדי </w:t>
      </w:r>
      <w:r>
        <w:rPr>
          <w:rFonts w:hint="cs"/>
          <w:rtl/>
        </w:rPr>
        <w:t xml:space="preserve">ש"ח ובקרנות </w:t>
      </w:r>
      <w:r w:rsidRPr="009A4AE4">
        <w:rPr>
          <w:rFonts w:hint="cs"/>
          <w:rtl/>
        </w:rPr>
        <w:t xml:space="preserve">המחקות המתמחות באג"ח חברות בארץ (כמיליארד </w:t>
      </w:r>
      <w:r>
        <w:rPr>
          <w:rFonts w:hint="cs"/>
          <w:rtl/>
        </w:rPr>
        <w:t>ש"ח</w:t>
      </w:r>
      <w:r w:rsidRPr="009A4AE4">
        <w:rPr>
          <w:rFonts w:hint="cs"/>
          <w:rtl/>
        </w:rPr>
        <w:t xml:space="preserve">). </w:t>
      </w:r>
      <w:r w:rsidR="00AF07E0" w:rsidRPr="007D55C2">
        <w:rPr>
          <w:rFonts w:hint="eastAsia"/>
          <w:rtl/>
        </w:rPr>
        <w:t>בקרנות</w:t>
      </w:r>
      <w:r w:rsidR="00AF07E0" w:rsidRPr="007D55C2">
        <w:rPr>
          <w:rtl/>
        </w:rPr>
        <w:t xml:space="preserve"> הסל </w:t>
      </w:r>
      <w:r w:rsidRPr="008D6B8A">
        <w:rPr>
          <w:rFonts w:hint="cs"/>
          <w:rtl/>
        </w:rPr>
        <w:t xml:space="preserve">המתמחות במניות בחו"ל </w:t>
      </w:r>
      <w:r w:rsidR="00AF07E0" w:rsidRPr="007D55C2">
        <w:rPr>
          <w:rFonts w:hint="eastAsia"/>
          <w:rtl/>
        </w:rPr>
        <w:t>נרשמו</w:t>
      </w:r>
      <w:r w:rsidR="00AF07E0" w:rsidRPr="007D55C2">
        <w:rPr>
          <w:rtl/>
        </w:rPr>
        <w:t xml:space="preserve"> פדיונות </w:t>
      </w:r>
      <w:r>
        <w:rPr>
          <w:rFonts w:hint="cs"/>
          <w:rtl/>
        </w:rPr>
        <w:t xml:space="preserve">בהיקף של </w:t>
      </w:r>
      <w:r w:rsidR="00AF07E0" w:rsidRPr="007D55C2">
        <w:rPr>
          <w:rtl/>
        </w:rPr>
        <w:t xml:space="preserve">2.7 מיליארדי </w:t>
      </w:r>
      <w:r w:rsidR="00AC78A4">
        <w:rPr>
          <w:rFonts w:hint="cs"/>
          <w:rtl/>
        </w:rPr>
        <w:t>ש"ח</w:t>
      </w:r>
      <w:r w:rsidR="007D4AE2">
        <w:rPr>
          <w:rFonts w:hint="cs"/>
          <w:rtl/>
        </w:rPr>
        <w:t>.</w:t>
      </w:r>
      <w:r w:rsidR="00AF07E0" w:rsidRPr="007D55C2">
        <w:rPr>
          <w:rtl/>
        </w:rPr>
        <w:t xml:space="preserve"> </w:t>
      </w:r>
    </w:p>
    <w:p w14:paraId="6FB24E02" w14:textId="24E7E6F2" w:rsidR="003F276B" w:rsidRDefault="003F276B" w:rsidP="007D55C2">
      <w:pPr>
        <w:spacing w:before="240" w:line="360" w:lineRule="auto"/>
        <w:ind w:left="360"/>
        <w:jc w:val="both"/>
        <w:rPr>
          <w:rtl/>
        </w:rPr>
      </w:pPr>
    </w:p>
    <w:p w14:paraId="233CAD07" w14:textId="5FEAD81E" w:rsidR="00CA3E19" w:rsidRPr="009444D3" w:rsidRDefault="009444D3" w:rsidP="009709E0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  <w:r w:rsidRPr="009444D3">
        <w:rPr>
          <w:rFonts w:hint="cs"/>
          <w:b/>
          <w:bCs/>
          <w:u w:val="single"/>
          <w:rtl/>
        </w:rPr>
        <w:t>למידע נוסף:</w:t>
      </w:r>
    </w:p>
    <w:p w14:paraId="233CAD08" w14:textId="77777777" w:rsidR="00436816" w:rsidRPr="00436816" w:rsidRDefault="00436816" w:rsidP="009709E0">
      <w:pPr>
        <w:autoSpaceDE w:val="0"/>
        <w:autoSpaceDN w:val="0"/>
        <w:adjustRightInd w:val="0"/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8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14:paraId="233CAD09" w14:textId="1835BA08" w:rsidR="00436816" w:rsidRPr="00436816" w:rsidRDefault="00436816" w:rsidP="009709E0">
      <w:pPr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9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14:paraId="233CAD0A" w14:textId="77777777" w:rsidR="00BF0A57" w:rsidRDefault="00436816" w:rsidP="009709E0">
      <w:pPr>
        <w:autoSpaceDE w:val="0"/>
        <w:autoSpaceDN w:val="0"/>
        <w:adjustRightInd w:val="0"/>
        <w:spacing w:before="240" w:line="360" w:lineRule="auto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</w:t>
      </w:r>
      <w:bookmarkStart w:id="0" w:name="_GoBack"/>
      <w:bookmarkEnd w:id="0"/>
      <w:r w:rsidRPr="00436816">
        <w:rPr>
          <w:rFonts w:hint="cs"/>
          <w:rtl/>
        </w:rPr>
        <w:t xml:space="preserve">הנאמנות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1"/>
      <w:footerReference w:type="even" r:id="rId22"/>
      <w:footerReference w:type="defaul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433E1" w14:textId="77777777" w:rsidR="00D50C0D" w:rsidRDefault="00D50C0D">
      <w:r>
        <w:separator/>
      </w:r>
    </w:p>
  </w:endnote>
  <w:endnote w:type="continuationSeparator" w:id="0">
    <w:p w14:paraId="5F72EF5C" w14:textId="77777777" w:rsidR="00D50C0D" w:rsidRDefault="00D50C0D">
      <w:r>
        <w:continuationSeparator/>
      </w:r>
    </w:p>
  </w:endnote>
  <w:endnote w:type="continuationNotice" w:id="1">
    <w:p w14:paraId="099A60FC" w14:textId="77777777" w:rsidR="00D50C0D" w:rsidRDefault="00D50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AD20" w14:textId="77777777" w:rsidR="002E23BA" w:rsidRDefault="002E23BA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233CAD21" w14:textId="77777777" w:rsidR="002E23BA" w:rsidRDefault="002E23BA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AD22" w14:textId="100DBC71" w:rsidR="002E23BA" w:rsidRPr="002E2C04" w:rsidRDefault="002E23BA" w:rsidP="00103EC2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103EC2">
      <w:rPr>
        <w:rFonts w:hint="cs"/>
        <w:rtl/>
      </w:rPr>
      <w:t>ראשון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2019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551380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551380">
      <w:rPr>
        <w:b/>
        <w:bCs/>
        <w:noProof/>
        <w:rtl/>
      </w:rPr>
      <w:t>4</w:t>
    </w:r>
    <w:r w:rsidRPr="002E2C04">
      <w:rPr>
        <w:b/>
        <w:bCs/>
      </w:rPr>
      <w:fldChar w:fldCharType="end"/>
    </w:r>
  </w:p>
  <w:p w14:paraId="233CAD23" w14:textId="77777777" w:rsidR="002E23BA" w:rsidRDefault="002E23BA" w:rsidP="005F7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31BC" w14:textId="77777777" w:rsidR="00D50C0D" w:rsidRDefault="00D50C0D">
      <w:r>
        <w:separator/>
      </w:r>
    </w:p>
  </w:footnote>
  <w:footnote w:type="continuationSeparator" w:id="0">
    <w:p w14:paraId="20B86BCE" w14:textId="77777777" w:rsidR="00D50C0D" w:rsidRDefault="00D50C0D">
      <w:r>
        <w:continuationSeparator/>
      </w:r>
    </w:p>
  </w:footnote>
  <w:footnote w:type="continuationNotice" w:id="1">
    <w:p w14:paraId="22EA479E" w14:textId="77777777" w:rsidR="00D50C0D" w:rsidRDefault="00D50C0D"/>
  </w:footnote>
  <w:footnote w:id="2">
    <w:p w14:paraId="78489D91" w14:textId="04B8DD93" w:rsidR="000A525E" w:rsidRPr="000A525E" w:rsidRDefault="000A525E" w:rsidP="000A525E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3">
    <w:p w14:paraId="233CAD24" w14:textId="77777777" w:rsidR="002E23BA" w:rsidRDefault="002E23BA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4">
    <w:p w14:paraId="233CAD25" w14:textId="72B83290" w:rsidR="002E23BA" w:rsidRDefault="002E23BA" w:rsidP="00377914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  <w:footnote w:id="5">
    <w:p w14:paraId="4EAAD15E" w14:textId="7124C0A7" w:rsidR="00C87A21" w:rsidRPr="007D55C2" w:rsidRDefault="00AC78A4" w:rsidP="00C87A21">
      <w:pPr>
        <w:rPr>
          <w:rStyle w:val="Hyperlink"/>
          <w:sz w:val="20"/>
          <w:szCs w:val="20"/>
        </w:rPr>
      </w:pPr>
      <w:r w:rsidRPr="007D55C2">
        <w:rPr>
          <w:rStyle w:val="a4"/>
        </w:rPr>
        <w:footnoteRef/>
      </w:r>
      <w:r w:rsidRPr="007D55C2">
        <w:rPr>
          <w:sz w:val="20"/>
          <w:szCs w:val="20"/>
          <w:rtl/>
        </w:rPr>
        <w:t xml:space="preserve"> </w:t>
      </w:r>
      <w:r w:rsidRPr="007D55C2">
        <w:rPr>
          <w:rFonts w:hint="eastAsia"/>
          <w:sz w:val="20"/>
          <w:szCs w:val="20"/>
          <w:rtl/>
        </w:rPr>
        <w:t>כולל</w:t>
      </w:r>
      <w:r w:rsidRPr="007D55C2">
        <w:rPr>
          <w:sz w:val="20"/>
          <w:szCs w:val="20"/>
          <w:rtl/>
        </w:rPr>
        <w:t xml:space="preserve"> </w:t>
      </w:r>
      <w:r w:rsidRPr="007D55C2">
        <w:rPr>
          <w:rFonts w:hint="eastAsia"/>
          <w:sz w:val="20"/>
          <w:szCs w:val="20"/>
          <w:rtl/>
        </w:rPr>
        <w:t>קרנות</w:t>
      </w:r>
      <w:r w:rsidRPr="007D55C2">
        <w:rPr>
          <w:sz w:val="20"/>
          <w:szCs w:val="20"/>
          <w:rtl/>
        </w:rPr>
        <w:t xml:space="preserve"> </w:t>
      </w:r>
      <w:r w:rsidRPr="007D55C2">
        <w:rPr>
          <w:rFonts w:hint="eastAsia"/>
          <w:sz w:val="20"/>
          <w:szCs w:val="20"/>
          <w:rtl/>
        </w:rPr>
        <w:t>סל</w:t>
      </w:r>
      <w:r w:rsidR="00C87A21" w:rsidRPr="007D55C2">
        <w:rPr>
          <w:sz w:val="20"/>
          <w:szCs w:val="20"/>
          <w:rtl/>
        </w:rPr>
        <w:t xml:space="preserve"> </w:t>
      </w:r>
      <w:r w:rsidR="00C87A21" w:rsidRPr="007D55C2">
        <w:rPr>
          <w:rFonts w:hint="eastAsia"/>
          <w:sz w:val="20"/>
          <w:szCs w:val="20"/>
          <w:rtl/>
        </w:rPr>
        <w:t>להרחבה</w:t>
      </w:r>
      <w:r w:rsidR="00C87A21" w:rsidRPr="007D55C2">
        <w:rPr>
          <w:sz w:val="20"/>
          <w:szCs w:val="20"/>
          <w:rtl/>
        </w:rPr>
        <w:t xml:space="preserve"> אודות רפורמת </w:t>
      </w:r>
      <w:r w:rsidR="00C87A21" w:rsidRPr="007D55C2">
        <w:rPr>
          <w:rFonts w:hint="eastAsia"/>
          <w:sz w:val="20"/>
          <w:szCs w:val="20"/>
          <w:rtl/>
        </w:rPr>
        <w:t>קרנות</w:t>
      </w:r>
      <w:r w:rsidR="00C87A21" w:rsidRPr="007D55C2">
        <w:rPr>
          <w:sz w:val="20"/>
          <w:szCs w:val="20"/>
          <w:rtl/>
        </w:rPr>
        <w:t xml:space="preserve"> </w:t>
      </w:r>
      <w:r w:rsidR="00C87A21" w:rsidRPr="007D55C2">
        <w:rPr>
          <w:rFonts w:hint="eastAsia"/>
          <w:sz w:val="20"/>
          <w:szCs w:val="20"/>
          <w:rtl/>
        </w:rPr>
        <w:t>הסל</w:t>
      </w:r>
      <w:r w:rsidR="00C87A21" w:rsidRPr="007D55C2">
        <w:rPr>
          <w:sz w:val="20"/>
          <w:szCs w:val="20"/>
          <w:rtl/>
        </w:rPr>
        <w:t xml:space="preserve">, </w:t>
      </w:r>
      <w:r w:rsidR="00C87A21" w:rsidRPr="007D55C2">
        <w:rPr>
          <w:rFonts w:hint="eastAsia"/>
          <w:sz w:val="20"/>
          <w:szCs w:val="20"/>
          <w:rtl/>
        </w:rPr>
        <w:t>לחץ</w:t>
      </w:r>
      <w:r w:rsidR="00C87A21" w:rsidRPr="007D55C2">
        <w:rPr>
          <w:sz w:val="20"/>
          <w:szCs w:val="20"/>
          <w:rtl/>
        </w:rPr>
        <w:t xml:space="preserve"> </w:t>
      </w:r>
      <w:r w:rsidR="00C87A21" w:rsidRPr="007D55C2">
        <w:rPr>
          <w:rFonts w:hint="eastAsia"/>
          <w:sz w:val="20"/>
          <w:szCs w:val="20"/>
          <w:rtl/>
        </w:rPr>
        <w:t>להגדרות</w:t>
      </w:r>
      <w:r w:rsidR="00C87A21" w:rsidRPr="007D55C2">
        <w:rPr>
          <w:sz w:val="20"/>
          <w:szCs w:val="20"/>
          <w:rtl/>
        </w:rPr>
        <w:t xml:space="preserve"> מורחבות ב</w:t>
      </w:r>
      <w:hyperlink r:id="rId2" w:history="1">
        <w:r w:rsidR="00C87A21" w:rsidRPr="00551380">
          <w:rPr>
            <w:rStyle w:val="Hyperlink"/>
            <w:sz w:val="20"/>
            <w:szCs w:val="20"/>
            <w:rtl/>
          </w:rPr>
          <w:t xml:space="preserve">פרסום </w:t>
        </w:r>
        <w:r w:rsidR="00C87A21" w:rsidRPr="00551380">
          <w:rPr>
            <w:rStyle w:val="Hyperlink"/>
            <w:rFonts w:hint="eastAsia"/>
            <w:sz w:val="20"/>
            <w:szCs w:val="20"/>
            <w:rtl/>
          </w:rPr>
          <w:t>ה</w:t>
        </w:r>
        <w:r w:rsidR="00C87A21" w:rsidRPr="00551380">
          <w:rPr>
            <w:rStyle w:val="Hyperlink"/>
            <w:sz w:val="20"/>
            <w:szCs w:val="20"/>
            <w:rtl/>
          </w:rPr>
          <w:t xml:space="preserve">רשות </w:t>
        </w:r>
        <w:r w:rsidR="00C87A21" w:rsidRPr="00551380">
          <w:rPr>
            <w:rStyle w:val="Hyperlink"/>
            <w:rFonts w:hint="eastAsia"/>
            <w:sz w:val="20"/>
            <w:szCs w:val="20"/>
            <w:rtl/>
          </w:rPr>
          <w:t>לני</w:t>
        </w:r>
        <w:r w:rsidR="00C87A21" w:rsidRPr="00551380">
          <w:rPr>
            <w:rStyle w:val="Hyperlink"/>
            <w:sz w:val="20"/>
            <w:szCs w:val="20"/>
            <w:rtl/>
          </w:rPr>
          <w:t>"ע</w:t>
        </w:r>
      </w:hyperlink>
      <w:r w:rsidR="00C87A21" w:rsidRPr="007D55C2">
        <w:rPr>
          <w:rStyle w:val="Hyperlink"/>
          <w:sz w:val="20"/>
          <w:szCs w:val="20"/>
          <w:rtl/>
        </w:rPr>
        <w:t>.</w:t>
      </w:r>
    </w:p>
    <w:p w14:paraId="11D95CF8" w14:textId="486B1253" w:rsidR="00AC78A4" w:rsidRPr="007D55C2" w:rsidRDefault="00AC78A4">
      <w:pPr>
        <w:pStyle w:val="a3"/>
        <w:rPr>
          <w:sz w:val="16"/>
          <w:szCs w:val="16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AD1F" w14:textId="77777777" w:rsidR="002E23BA" w:rsidRDefault="002E23BA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20"/>
  </w:num>
  <w:num w:numId="9">
    <w:abstractNumId w:val="2"/>
  </w:num>
  <w:num w:numId="10">
    <w:abstractNumId w:val="9"/>
  </w:num>
  <w:num w:numId="11">
    <w:abstractNumId w:val="22"/>
  </w:num>
  <w:num w:numId="12">
    <w:abstractNumId w:val="0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4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F00"/>
    <w:rsid w:val="000017DF"/>
    <w:rsid w:val="00001C31"/>
    <w:rsid w:val="000020FA"/>
    <w:rsid w:val="000022B8"/>
    <w:rsid w:val="00002A43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32FA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581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1D2"/>
    <w:rsid w:val="00047E41"/>
    <w:rsid w:val="0005021A"/>
    <w:rsid w:val="00051250"/>
    <w:rsid w:val="00051E43"/>
    <w:rsid w:val="000526A0"/>
    <w:rsid w:val="00052A72"/>
    <w:rsid w:val="00053087"/>
    <w:rsid w:val="000536B9"/>
    <w:rsid w:val="00054020"/>
    <w:rsid w:val="00054513"/>
    <w:rsid w:val="000546A3"/>
    <w:rsid w:val="00054CF0"/>
    <w:rsid w:val="00055921"/>
    <w:rsid w:val="000559EC"/>
    <w:rsid w:val="00055A9E"/>
    <w:rsid w:val="000564D4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20EE"/>
    <w:rsid w:val="00062277"/>
    <w:rsid w:val="0006250C"/>
    <w:rsid w:val="00062933"/>
    <w:rsid w:val="00063A3F"/>
    <w:rsid w:val="00063EA2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0C9F"/>
    <w:rsid w:val="0008142A"/>
    <w:rsid w:val="00081868"/>
    <w:rsid w:val="00081BD3"/>
    <w:rsid w:val="000820EA"/>
    <w:rsid w:val="00083BDF"/>
    <w:rsid w:val="000842B9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E48"/>
    <w:rsid w:val="000D4F71"/>
    <w:rsid w:val="000D6B53"/>
    <w:rsid w:val="000D6BCE"/>
    <w:rsid w:val="000D6E59"/>
    <w:rsid w:val="000D6FF2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F96"/>
    <w:rsid w:val="000F6504"/>
    <w:rsid w:val="000F6CAC"/>
    <w:rsid w:val="000F7611"/>
    <w:rsid w:val="00100334"/>
    <w:rsid w:val="00100611"/>
    <w:rsid w:val="001006AD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0D5"/>
    <w:rsid w:val="00151D1D"/>
    <w:rsid w:val="0015236A"/>
    <w:rsid w:val="00152F2D"/>
    <w:rsid w:val="00154533"/>
    <w:rsid w:val="001553C3"/>
    <w:rsid w:val="001555E5"/>
    <w:rsid w:val="00155623"/>
    <w:rsid w:val="001558E4"/>
    <w:rsid w:val="0015662F"/>
    <w:rsid w:val="00156C5F"/>
    <w:rsid w:val="00156D03"/>
    <w:rsid w:val="001574CD"/>
    <w:rsid w:val="00157B5D"/>
    <w:rsid w:val="00157C66"/>
    <w:rsid w:val="00157E94"/>
    <w:rsid w:val="00160292"/>
    <w:rsid w:val="001602C1"/>
    <w:rsid w:val="001607A3"/>
    <w:rsid w:val="00160CCF"/>
    <w:rsid w:val="001613B9"/>
    <w:rsid w:val="00161545"/>
    <w:rsid w:val="0016191B"/>
    <w:rsid w:val="00161BE9"/>
    <w:rsid w:val="00162774"/>
    <w:rsid w:val="00162F67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E44"/>
    <w:rsid w:val="00194180"/>
    <w:rsid w:val="001949E8"/>
    <w:rsid w:val="00194CB7"/>
    <w:rsid w:val="0019565E"/>
    <w:rsid w:val="00196A7F"/>
    <w:rsid w:val="00197842"/>
    <w:rsid w:val="00197A7E"/>
    <w:rsid w:val="00197D0B"/>
    <w:rsid w:val="001A095A"/>
    <w:rsid w:val="001A0A07"/>
    <w:rsid w:val="001A0AAC"/>
    <w:rsid w:val="001A176C"/>
    <w:rsid w:val="001A17E8"/>
    <w:rsid w:val="001A1A30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C99"/>
    <w:rsid w:val="001B6E57"/>
    <w:rsid w:val="001B71BE"/>
    <w:rsid w:val="001B7370"/>
    <w:rsid w:val="001B7547"/>
    <w:rsid w:val="001B7675"/>
    <w:rsid w:val="001B7E7B"/>
    <w:rsid w:val="001C0856"/>
    <w:rsid w:val="001C1347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D0A"/>
    <w:rsid w:val="001E5EF4"/>
    <w:rsid w:val="001E6A6C"/>
    <w:rsid w:val="001E7B49"/>
    <w:rsid w:val="001E7CD6"/>
    <w:rsid w:val="001F043C"/>
    <w:rsid w:val="001F0470"/>
    <w:rsid w:val="001F0485"/>
    <w:rsid w:val="001F0DF7"/>
    <w:rsid w:val="001F1C05"/>
    <w:rsid w:val="001F2087"/>
    <w:rsid w:val="001F2235"/>
    <w:rsid w:val="001F3A15"/>
    <w:rsid w:val="001F4211"/>
    <w:rsid w:val="001F4BA3"/>
    <w:rsid w:val="001F4DAA"/>
    <w:rsid w:val="001F4DD2"/>
    <w:rsid w:val="001F56B7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697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472"/>
    <w:rsid w:val="002204AB"/>
    <w:rsid w:val="0022173B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440A"/>
    <w:rsid w:val="00245554"/>
    <w:rsid w:val="00245655"/>
    <w:rsid w:val="00245A1A"/>
    <w:rsid w:val="0024602D"/>
    <w:rsid w:val="002467E1"/>
    <w:rsid w:val="00247D86"/>
    <w:rsid w:val="00247E64"/>
    <w:rsid w:val="00247E9A"/>
    <w:rsid w:val="00247F73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C6"/>
    <w:rsid w:val="002649BD"/>
    <w:rsid w:val="00264EA8"/>
    <w:rsid w:val="002653A0"/>
    <w:rsid w:val="0026547B"/>
    <w:rsid w:val="0026567C"/>
    <w:rsid w:val="00265D1C"/>
    <w:rsid w:val="002665AE"/>
    <w:rsid w:val="002670AD"/>
    <w:rsid w:val="00267453"/>
    <w:rsid w:val="00267A92"/>
    <w:rsid w:val="00270B18"/>
    <w:rsid w:val="002717B2"/>
    <w:rsid w:val="002726E1"/>
    <w:rsid w:val="00272A69"/>
    <w:rsid w:val="00272FF7"/>
    <w:rsid w:val="0027319D"/>
    <w:rsid w:val="002731B0"/>
    <w:rsid w:val="002732E7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346"/>
    <w:rsid w:val="00293831"/>
    <w:rsid w:val="002941EA"/>
    <w:rsid w:val="0029432C"/>
    <w:rsid w:val="00295A41"/>
    <w:rsid w:val="00295B3F"/>
    <w:rsid w:val="0029682A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10E2"/>
    <w:rsid w:val="002B120D"/>
    <w:rsid w:val="002B3369"/>
    <w:rsid w:val="002B3BDD"/>
    <w:rsid w:val="002B4998"/>
    <w:rsid w:val="002B49E1"/>
    <w:rsid w:val="002B51DF"/>
    <w:rsid w:val="002B566E"/>
    <w:rsid w:val="002B594E"/>
    <w:rsid w:val="002B67EB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5AD2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C52"/>
    <w:rsid w:val="002D5E9B"/>
    <w:rsid w:val="002D7A01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44A"/>
    <w:rsid w:val="002F0565"/>
    <w:rsid w:val="002F0602"/>
    <w:rsid w:val="002F0D7B"/>
    <w:rsid w:val="002F0DC3"/>
    <w:rsid w:val="002F1460"/>
    <w:rsid w:val="002F18CE"/>
    <w:rsid w:val="002F1A2D"/>
    <w:rsid w:val="002F1B65"/>
    <w:rsid w:val="002F2C4D"/>
    <w:rsid w:val="002F2F3D"/>
    <w:rsid w:val="002F3383"/>
    <w:rsid w:val="002F3B73"/>
    <w:rsid w:val="002F4179"/>
    <w:rsid w:val="002F4E60"/>
    <w:rsid w:val="002F5401"/>
    <w:rsid w:val="002F56BB"/>
    <w:rsid w:val="002F58E6"/>
    <w:rsid w:val="002F5E9B"/>
    <w:rsid w:val="002F6207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2FC2"/>
    <w:rsid w:val="00343418"/>
    <w:rsid w:val="00343F19"/>
    <w:rsid w:val="00344A50"/>
    <w:rsid w:val="0034590D"/>
    <w:rsid w:val="00346595"/>
    <w:rsid w:val="0034700B"/>
    <w:rsid w:val="00347124"/>
    <w:rsid w:val="00347299"/>
    <w:rsid w:val="003475AD"/>
    <w:rsid w:val="0034768C"/>
    <w:rsid w:val="0035002C"/>
    <w:rsid w:val="00350300"/>
    <w:rsid w:val="00351058"/>
    <w:rsid w:val="003517D8"/>
    <w:rsid w:val="00351C10"/>
    <w:rsid w:val="0035212D"/>
    <w:rsid w:val="00352ABE"/>
    <w:rsid w:val="00352E75"/>
    <w:rsid w:val="00353174"/>
    <w:rsid w:val="00353A9A"/>
    <w:rsid w:val="00354058"/>
    <w:rsid w:val="00354E9E"/>
    <w:rsid w:val="00355B39"/>
    <w:rsid w:val="00355B3D"/>
    <w:rsid w:val="00355D57"/>
    <w:rsid w:val="0036019C"/>
    <w:rsid w:val="003606FD"/>
    <w:rsid w:val="0036090B"/>
    <w:rsid w:val="00360EE1"/>
    <w:rsid w:val="003624D0"/>
    <w:rsid w:val="00362C17"/>
    <w:rsid w:val="00363003"/>
    <w:rsid w:val="003637B1"/>
    <w:rsid w:val="00363E4A"/>
    <w:rsid w:val="00364258"/>
    <w:rsid w:val="0036442C"/>
    <w:rsid w:val="00364520"/>
    <w:rsid w:val="00364782"/>
    <w:rsid w:val="00364D25"/>
    <w:rsid w:val="00364EED"/>
    <w:rsid w:val="00365B98"/>
    <w:rsid w:val="003673A0"/>
    <w:rsid w:val="00367E60"/>
    <w:rsid w:val="00370832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EEC"/>
    <w:rsid w:val="00386C83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787"/>
    <w:rsid w:val="00396B35"/>
    <w:rsid w:val="003971F2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24F"/>
    <w:rsid w:val="003A6452"/>
    <w:rsid w:val="003A70ED"/>
    <w:rsid w:val="003A75AC"/>
    <w:rsid w:val="003B0778"/>
    <w:rsid w:val="003B0875"/>
    <w:rsid w:val="003B091C"/>
    <w:rsid w:val="003B0B89"/>
    <w:rsid w:val="003B2263"/>
    <w:rsid w:val="003B24D1"/>
    <w:rsid w:val="003B264E"/>
    <w:rsid w:val="003B3ED7"/>
    <w:rsid w:val="003B437B"/>
    <w:rsid w:val="003B544B"/>
    <w:rsid w:val="003B5649"/>
    <w:rsid w:val="003B57D2"/>
    <w:rsid w:val="003B5B33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00BD"/>
    <w:rsid w:val="003D18BB"/>
    <w:rsid w:val="003D236F"/>
    <w:rsid w:val="003D276A"/>
    <w:rsid w:val="003D28E4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194"/>
    <w:rsid w:val="003E536B"/>
    <w:rsid w:val="003E5DA9"/>
    <w:rsid w:val="003E5EDA"/>
    <w:rsid w:val="003E616A"/>
    <w:rsid w:val="003E61C1"/>
    <w:rsid w:val="003E6D70"/>
    <w:rsid w:val="003E740C"/>
    <w:rsid w:val="003E7730"/>
    <w:rsid w:val="003E78C4"/>
    <w:rsid w:val="003F0413"/>
    <w:rsid w:val="003F0F09"/>
    <w:rsid w:val="003F1101"/>
    <w:rsid w:val="003F119B"/>
    <w:rsid w:val="003F193A"/>
    <w:rsid w:val="003F25B5"/>
    <w:rsid w:val="003F276B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3F7C50"/>
    <w:rsid w:val="00400605"/>
    <w:rsid w:val="004011E9"/>
    <w:rsid w:val="004012D8"/>
    <w:rsid w:val="0040139E"/>
    <w:rsid w:val="004017A6"/>
    <w:rsid w:val="004021CE"/>
    <w:rsid w:val="004021D8"/>
    <w:rsid w:val="004031E8"/>
    <w:rsid w:val="004037B0"/>
    <w:rsid w:val="00403972"/>
    <w:rsid w:val="00403BFB"/>
    <w:rsid w:val="0040405E"/>
    <w:rsid w:val="0040499D"/>
    <w:rsid w:val="0040565B"/>
    <w:rsid w:val="004056F3"/>
    <w:rsid w:val="0040667A"/>
    <w:rsid w:val="00406F16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61F0"/>
    <w:rsid w:val="00416525"/>
    <w:rsid w:val="00416F4B"/>
    <w:rsid w:val="00417A04"/>
    <w:rsid w:val="004207C3"/>
    <w:rsid w:val="004211E7"/>
    <w:rsid w:val="004211EB"/>
    <w:rsid w:val="00421A3C"/>
    <w:rsid w:val="00422508"/>
    <w:rsid w:val="00422C7E"/>
    <w:rsid w:val="00423E9F"/>
    <w:rsid w:val="00423FF4"/>
    <w:rsid w:val="004242EF"/>
    <w:rsid w:val="00424A00"/>
    <w:rsid w:val="00425589"/>
    <w:rsid w:val="00425D74"/>
    <w:rsid w:val="00425E0E"/>
    <w:rsid w:val="004261B5"/>
    <w:rsid w:val="004267EF"/>
    <w:rsid w:val="0042718A"/>
    <w:rsid w:val="0042727F"/>
    <w:rsid w:val="004279A7"/>
    <w:rsid w:val="004279F8"/>
    <w:rsid w:val="00432302"/>
    <w:rsid w:val="004324AC"/>
    <w:rsid w:val="00432AAF"/>
    <w:rsid w:val="00433492"/>
    <w:rsid w:val="00433A8C"/>
    <w:rsid w:val="00433B9F"/>
    <w:rsid w:val="004340A2"/>
    <w:rsid w:val="0043465E"/>
    <w:rsid w:val="00434B2F"/>
    <w:rsid w:val="00434B61"/>
    <w:rsid w:val="00436800"/>
    <w:rsid w:val="00436816"/>
    <w:rsid w:val="004370D8"/>
    <w:rsid w:val="004376A1"/>
    <w:rsid w:val="00437961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7086"/>
    <w:rsid w:val="004475B6"/>
    <w:rsid w:val="00447D54"/>
    <w:rsid w:val="00450711"/>
    <w:rsid w:val="00450CE8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F7D"/>
    <w:rsid w:val="0047034B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595"/>
    <w:rsid w:val="00493A3A"/>
    <w:rsid w:val="00493C39"/>
    <w:rsid w:val="00493F84"/>
    <w:rsid w:val="004946BD"/>
    <w:rsid w:val="00495917"/>
    <w:rsid w:val="00496899"/>
    <w:rsid w:val="0049743C"/>
    <w:rsid w:val="0049781C"/>
    <w:rsid w:val="004A1529"/>
    <w:rsid w:val="004A257E"/>
    <w:rsid w:val="004A378B"/>
    <w:rsid w:val="004A3D2E"/>
    <w:rsid w:val="004A425C"/>
    <w:rsid w:val="004A47C0"/>
    <w:rsid w:val="004A4B22"/>
    <w:rsid w:val="004A5764"/>
    <w:rsid w:val="004A5D5C"/>
    <w:rsid w:val="004A612B"/>
    <w:rsid w:val="004A6D6F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1C7"/>
    <w:rsid w:val="004C029C"/>
    <w:rsid w:val="004C0943"/>
    <w:rsid w:val="004C12F3"/>
    <w:rsid w:val="004C175D"/>
    <w:rsid w:val="004C1F81"/>
    <w:rsid w:val="004C2622"/>
    <w:rsid w:val="004C28BA"/>
    <w:rsid w:val="004C2A42"/>
    <w:rsid w:val="004C33BB"/>
    <w:rsid w:val="004C4E9A"/>
    <w:rsid w:val="004C4ECE"/>
    <w:rsid w:val="004C513E"/>
    <w:rsid w:val="004C5B0F"/>
    <w:rsid w:val="004C6117"/>
    <w:rsid w:val="004C630F"/>
    <w:rsid w:val="004C6DBB"/>
    <w:rsid w:val="004C7F8A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AAA"/>
    <w:rsid w:val="004E0C2D"/>
    <w:rsid w:val="004E1046"/>
    <w:rsid w:val="004E1730"/>
    <w:rsid w:val="004E1854"/>
    <w:rsid w:val="004E1B0C"/>
    <w:rsid w:val="004E1CBD"/>
    <w:rsid w:val="004E1CC5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B17"/>
    <w:rsid w:val="004E7F8C"/>
    <w:rsid w:val="004F11FF"/>
    <w:rsid w:val="004F1F22"/>
    <w:rsid w:val="004F2641"/>
    <w:rsid w:val="004F3D42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831"/>
    <w:rsid w:val="005065AB"/>
    <w:rsid w:val="005067A7"/>
    <w:rsid w:val="00506A77"/>
    <w:rsid w:val="00506D22"/>
    <w:rsid w:val="00507A39"/>
    <w:rsid w:val="00507C60"/>
    <w:rsid w:val="005105FC"/>
    <w:rsid w:val="005109DF"/>
    <w:rsid w:val="005122CD"/>
    <w:rsid w:val="00512723"/>
    <w:rsid w:val="0051370C"/>
    <w:rsid w:val="00513B71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62E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E18"/>
    <w:rsid w:val="00550AB4"/>
    <w:rsid w:val="00551177"/>
    <w:rsid w:val="0055128C"/>
    <w:rsid w:val="00551380"/>
    <w:rsid w:val="00551935"/>
    <w:rsid w:val="005524A0"/>
    <w:rsid w:val="00553A28"/>
    <w:rsid w:val="00553C3E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027"/>
    <w:rsid w:val="005729AD"/>
    <w:rsid w:val="00573331"/>
    <w:rsid w:val="005758BF"/>
    <w:rsid w:val="00575F2A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343"/>
    <w:rsid w:val="005A7DF4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07D"/>
    <w:rsid w:val="005C3274"/>
    <w:rsid w:val="005C354D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C07"/>
    <w:rsid w:val="005D0E7B"/>
    <w:rsid w:val="005D119C"/>
    <w:rsid w:val="005D14DE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FE6"/>
    <w:rsid w:val="0061760A"/>
    <w:rsid w:val="00617941"/>
    <w:rsid w:val="0061797B"/>
    <w:rsid w:val="00617AC2"/>
    <w:rsid w:val="0062000C"/>
    <w:rsid w:val="0062039E"/>
    <w:rsid w:val="00620D7A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44D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6C34"/>
    <w:rsid w:val="00677235"/>
    <w:rsid w:val="00680170"/>
    <w:rsid w:val="006808A6"/>
    <w:rsid w:val="00680EC7"/>
    <w:rsid w:val="00681356"/>
    <w:rsid w:val="006822D7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167"/>
    <w:rsid w:val="006B0283"/>
    <w:rsid w:val="006B0A2D"/>
    <w:rsid w:val="006B2120"/>
    <w:rsid w:val="006B2423"/>
    <w:rsid w:val="006B2A0B"/>
    <w:rsid w:val="006B302E"/>
    <w:rsid w:val="006B340D"/>
    <w:rsid w:val="006B440B"/>
    <w:rsid w:val="006B5457"/>
    <w:rsid w:val="006B58F6"/>
    <w:rsid w:val="006B62E0"/>
    <w:rsid w:val="006B7816"/>
    <w:rsid w:val="006B7F4C"/>
    <w:rsid w:val="006C036F"/>
    <w:rsid w:val="006C0718"/>
    <w:rsid w:val="006C1E0C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D0AE4"/>
    <w:rsid w:val="006D0BBE"/>
    <w:rsid w:val="006D0CCA"/>
    <w:rsid w:val="006D1860"/>
    <w:rsid w:val="006D1DDA"/>
    <w:rsid w:val="006D202A"/>
    <w:rsid w:val="006D22AC"/>
    <w:rsid w:val="006D313A"/>
    <w:rsid w:val="006D3437"/>
    <w:rsid w:val="006D3724"/>
    <w:rsid w:val="006D3812"/>
    <w:rsid w:val="006D3F47"/>
    <w:rsid w:val="006D3F8C"/>
    <w:rsid w:val="006D5195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E31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2E3A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9059D"/>
    <w:rsid w:val="00792F53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B54"/>
    <w:rsid w:val="007C1030"/>
    <w:rsid w:val="007C161B"/>
    <w:rsid w:val="007C2805"/>
    <w:rsid w:val="007C2B07"/>
    <w:rsid w:val="007C3758"/>
    <w:rsid w:val="007C48A1"/>
    <w:rsid w:val="007C4AD3"/>
    <w:rsid w:val="007C4CE8"/>
    <w:rsid w:val="007C5255"/>
    <w:rsid w:val="007C57EE"/>
    <w:rsid w:val="007C6DD1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4AE2"/>
    <w:rsid w:val="007D50AE"/>
    <w:rsid w:val="007D543E"/>
    <w:rsid w:val="007D55C2"/>
    <w:rsid w:val="007D5620"/>
    <w:rsid w:val="007D57F4"/>
    <w:rsid w:val="007D5C9A"/>
    <w:rsid w:val="007D6E7B"/>
    <w:rsid w:val="007D72CD"/>
    <w:rsid w:val="007D78D0"/>
    <w:rsid w:val="007E0142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43E5"/>
    <w:rsid w:val="007E4EE4"/>
    <w:rsid w:val="007E5BA8"/>
    <w:rsid w:val="007E60C5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1E60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779D"/>
    <w:rsid w:val="008110AB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37615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AD4"/>
    <w:rsid w:val="00847D19"/>
    <w:rsid w:val="00851C59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2E61"/>
    <w:rsid w:val="00864102"/>
    <w:rsid w:val="0086490E"/>
    <w:rsid w:val="00865C8F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97C50"/>
    <w:rsid w:val="008A14F7"/>
    <w:rsid w:val="008A15C3"/>
    <w:rsid w:val="008A1A45"/>
    <w:rsid w:val="008A1B81"/>
    <w:rsid w:val="008A223E"/>
    <w:rsid w:val="008A23DA"/>
    <w:rsid w:val="008A548A"/>
    <w:rsid w:val="008A5A5C"/>
    <w:rsid w:val="008A5BE6"/>
    <w:rsid w:val="008A5F84"/>
    <w:rsid w:val="008A6201"/>
    <w:rsid w:val="008A653B"/>
    <w:rsid w:val="008A693F"/>
    <w:rsid w:val="008A6CD6"/>
    <w:rsid w:val="008A73F3"/>
    <w:rsid w:val="008A763C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90F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774"/>
    <w:rsid w:val="008C3C14"/>
    <w:rsid w:val="008C408B"/>
    <w:rsid w:val="008C4EAF"/>
    <w:rsid w:val="008C5388"/>
    <w:rsid w:val="008D08CE"/>
    <w:rsid w:val="008D09AE"/>
    <w:rsid w:val="008D09E7"/>
    <w:rsid w:val="008D0A34"/>
    <w:rsid w:val="008D130A"/>
    <w:rsid w:val="008D2453"/>
    <w:rsid w:val="008D28ED"/>
    <w:rsid w:val="008D46A9"/>
    <w:rsid w:val="008D6DD0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26E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786"/>
    <w:rsid w:val="00913AAF"/>
    <w:rsid w:val="00914662"/>
    <w:rsid w:val="00914A9F"/>
    <w:rsid w:val="009152BE"/>
    <w:rsid w:val="00915BBE"/>
    <w:rsid w:val="009161E4"/>
    <w:rsid w:val="0091696F"/>
    <w:rsid w:val="00916D75"/>
    <w:rsid w:val="00920260"/>
    <w:rsid w:val="00920A52"/>
    <w:rsid w:val="009218E0"/>
    <w:rsid w:val="00922CCB"/>
    <w:rsid w:val="009233DD"/>
    <w:rsid w:val="009237DB"/>
    <w:rsid w:val="00923B12"/>
    <w:rsid w:val="0092433A"/>
    <w:rsid w:val="0092527C"/>
    <w:rsid w:val="009264FD"/>
    <w:rsid w:val="00927424"/>
    <w:rsid w:val="00927B8E"/>
    <w:rsid w:val="00930531"/>
    <w:rsid w:val="00931154"/>
    <w:rsid w:val="009322E4"/>
    <w:rsid w:val="00932F32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C6B"/>
    <w:rsid w:val="00971E06"/>
    <w:rsid w:val="00971FF4"/>
    <w:rsid w:val="0097234F"/>
    <w:rsid w:val="009725B8"/>
    <w:rsid w:val="0097316B"/>
    <w:rsid w:val="009736A1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404"/>
    <w:rsid w:val="009947FE"/>
    <w:rsid w:val="00994A4F"/>
    <w:rsid w:val="00994D4A"/>
    <w:rsid w:val="00994E15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389"/>
    <w:rsid w:val="009A4456"/>
    <w:rsid w:val="009A47C1"/>
    <w:rsid w:val="009A5F9B"/>
    <w:rsid w:val="009A75C8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4A0F"/>
    <w:rsid w:val="009D6206"/>
    <w:rsid w:val="009D76DF"/>
    <w:rsid w:val="009D77E0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19AE"/>
    <w:rsid w:val="00A02489"/>
    <w:rsid w:val="00A0262E"/>
    <w:rsid w:val="00A0280D"/>
    <w:rsid w:val="00A03104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E"/>
    <w:rsid w:val="00A1737F"/>
    <w:rsid w:val="00A219A4"/>
    <w:rsid w:val="00A21D66"/>
    <w:rsid w:val="00A21ECF"/>
    <w:rsid w:val="00A22967"/>
    <w:rsid w:val="00A22D8E"/>
    <w:rsid w:val="00A23B39"/>
    <w:rsid w:val="00A23B42"/>
    <w:rsid w:val="00A24556"/>
    <w:rsid w:val="00A25343"/>
    <w:rsid w:val="00A253DD"/>
    <w:rsid w:val="00A2571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772"/>
    <w:rsid w:val="00A45819"/>
    <w:rsid w:val="00A4584C"/>
    <w:rsid w:val="00A45E71"/>
    <w:rsid w:val="00A45F9A"/>
    <w:rsid w:val="00A470A6"/>
    <w:rsid w:val="00A47A5E"/>
    <w:rsid w:val="00A511FC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3B8F"/>
    <w:rsid w:val="00A64F73"/>
    <w:rsid w:val="00A65765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4D6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C07A2"/>
    <w:rsid w:val="00AC1CB6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C19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4FB0"/>
    <w:rsid w:val="00AF5358"/>
    <w:rsid w:val="00AF574B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10B8"/>
    <w:rsid w:val="00B112CF"/>
    <w:rsid w:val="00B11AD9"/>
    <w:rsid w:val="00B11D5B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45B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14CC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3E8F"/>
    <w:rsid w:val="00BE3F24"/>
    <w:rsid w:val="00BE4F12"/>
    <w:rsid w:val="00BE509C"/>
    <w:rsid w:val="00BE582C"/>
    <w:rsid w:val="00BE74E0"/>
    <w:rsid w:val="00BE774D"/>
    <w:rsid w:val="00BE7B9A"/>
    <w:rsid w:val="00BF0A57"/>
    <w:rsid w:val="00BF127F"/>
    <w:rsid w:val="00BF1775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CCE"/>
    <w:rsid w:val="00C27D1A"/>
    <w:rsid w:val="00C302B6"/>
    <w:rsid w:val="00C306C0"/>
    <w:rsid w:val="00C31341"/>
    <w:rsid w:val="00C313E3"/>
    <w:rsid w:val="00C31AD4"/>
    <w:rsid w:val="00C31D33"/>
    <w:rsid w:val="00C32786"/>
    <w:rsid w:val="00C32C00"/>
    <w:rsid w:val="00C34E9B"/>
    <w:rsid w:val="00C3514E"/>
    <w:rsid w:val="00C35A6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F2E"/>
    <w:rsid w:val="00C84136"/>
    <w:rsid w:val="00C8515C"/>
    <w:rsid w:val="00C8520B"/>
    <w:rsid w:val="00C87A21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5659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9"/>
    <w:rsid w:val="00CB669E"/>
    <w:rsid w:val="00CB6802"/>
    <w:rsid w:val="00CB6A1B"/>
    <w:rsid w:val="00CB776F"/>
    <w:rsid w:val="00CC0269"/>
    <w:rsid w:val="00CC041C"/>
    <w:rsid w:val="00CC0824"/>
    <w:rsid w:val="00CC0C1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0907"/>
    <w:rsid w:val="00D11409"/>
    <w:rsid w:val="00D11430"/>
    <w:rsid w:val="00D11995"/>
    <w:rsid w:val="00D11F1E"/>
    <w:rsid w:val="00D11F67"/>
    <w:rsid w:val="00D12313"/>
    <w:rsid w:val="00D12CE3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807"/>
    <w:rsid w:val="00D4431C"/>
    <w:rsid w:val="00D44C6D"/>
    <w:rsid w:val="00D44DC9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C17"/>
    <w:rsid w:val="00D82E76"/>
    <w:rsid w:val="00D832B5"/>
    <w:rsid w:val="00D83902"/>
    <w:rsid w:val="00D84164"/>
    <w:rsid w:val="00D84418"/>
    <w:rsid w:val="00D84F8F"/>
    <w:rsid w:val="00D858A0"/>
    <w:rsid w:val="00D86B23"/>
    <w:rsid w:val="00D86EA4"/>
    <w:rsid w:val="00D90F9D"/>
    <w:rsid w:val="00D921A2"/>
    <w:rsid w:val="00D922CE"/>
    <w:rsid w:val="00D92B68"/>
    <w:rsid w:val="00D937AD"/>
    <w:rsid w:val="00D947C2"/>
    <w:rsid w:val="00D94AB4"/>
    <w:rsid w:val="00D94E2C"/>
    <w:rsid w:val="00D951F3"/>
    <w:rsid w:val="00D95F7F"/>
    <w:rsid w:val="00D962F2"/>
    <w:rsid w:val="00D96916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5FE"/>
    <w:rsid w:val="00DA7877"/>
    <w:rsid w:val="00DA7B5F"/>
    <w:rsid w:val="00DB05A6"/>
    <w:rsid w:val="00DB0A62"/>
    <w:rsid w:val="00DB12CA"/>
    <w:rsid w:val="00DB1BF9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6F7"/>
    <w:rsid w:val="00DF7BC0"/>
    <w:rsid w:val="00E002CE"/>
    <w:rsid w:val="00E014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A23"/>
    <w:rsid w:val="00E25A92"/>
    <w:rsid w:val="00E25E27"/>
    <w:rsid w:val="00E26756"/>
    <w:rsid w:val="00E26C78"/>
    <w:rsid w:val="00E26CF2"/>
    <w:rsid w:val="00E26F55"/>
    <w:rsid w:val="00E27742"/>
    <w:rsid w:val="00E27C22"/>
    <w:rsid w:val="00E304A4"/>
    <w:rsid w:val="00E30692"/>
    <w:rsid w:val="00E317EA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79B"/>
    <w:rsid w:val="00E708C3"/>
    <w:rsid w:val="00E724A2"/>
    <w:rsid w:val="00E726FF"/>
    <w:rsid w:val="00E72A6E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77E06"/>
    <w:rsid w:val="00E81415"/>
    <w:rsid w:val="00E815A8"/>
    <w:rsid w:val="00E81BDF"/>
    <w:rsid w:val="00E81D1D"/>
    <w:rsid w:val="00E82168"/>
    <w:rsid w:val="00E82FDA"/>
    <w:rsid w:val="00E846DD"/>
    <w:rsid w:val="00E8554D"/>
    <w:rsid w:val="00E85B18"/>
    <w:rsid w:val="00E871FA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535"/>
    <w:rsid w:val="00EA382D"/>
    <w:rsid w:val="00EA3D04"/>
    <w:rsid w:val="00EA3FFA"/>
    <w:rsid w:val="00EA4162"/>
    <w:rsid w:val="00EA491F"/>
    <w:rsid w:val="00EA4CE0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49C6"/>
    <w:rsid w:val="00EB5A69"/>
    <w:rsid w:val="00EB6AE9"/>
    <w:rsid w:val="00EB76C3"/>
    <w:rsid w:val="00EB7B33"/>
    <w:rsid w:val="00EB7FFA"/>
    <w:rsid w:val="00EC0384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C698F"/>
    <w:rsid w:val="00ED1E4A"/>
    <w:rsid w:val="00ED2035"/>
    <w:rsid w:val="00ED35C8"/>
    <w:rsid w:val="00ED3DF1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F08D7"/>
    <w:rsid w:val="00EF0CA1"/>
    <w:rsid w:val="00EF0F56"/>
    <w:rsid w:val="00EF120C"/>
    <w:rsid w:val="00EF1615"/>
    <w:rsid w:val="00EF22B5"/>
    <w:rsid w:val="00EF23EC"/>
    <w:rsid w:val="00EF250F"/>
    <w:rsid w:val="00EF264E"/>
    <w:rsid w:val="00EF2CCD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5E63"/>
    <w:rsid w:val="00F26049"/>
    <w:rsid w:val="00F26A50"/>
    <w:rsid w:val="00F27AD8"/>
    <w:rsid w:val="00F30323"/>
    <w:rsid w:val="00F30DEA"/>
    <w:rsid w:val="00F30E40"/>
    <w:rsid w:val="00F32117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0AA"/>
    <w:rsid w:val="00F517E7"/>
    <w:rsid w:val="00F51B25"/>
    <w:rsid w:val="00F51F3A"/>
    <w:rsid w:val="00F535ED"/>
    <w:rsid w:val="00F54038"/>
    <w:rsid w:val="00F54A71"/>
    <w:rsid w:val="00F54F1B"/>
    <w:rsid w:val="00F5609A"/>
    <w:rsid w:val="00F6001C"/>
    <w:rsid w:val="00F60629"/>
    <w:rsid w:val="00F6082A"/>
    <w:rsid w:val="00F608FC"/>
    <w:rsid w:val="00F60DA3"/>
    <w:rsid w:val="00F611CF"/>
    <w:rsid w:val="00F61ECE"/>
    <w:rsid w:val="00F61FA4"/>
    <w:rsid w:val="00F627F5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491B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A221A"/>
    <w:rsid w:val="00FA2B69"/>
    <w:rsid w:val="00FA2DCB"/>
    <w:rsid w:val="00FA3EEF"/>
    <w:rsid w:val="00FA4303"/>
    <w:rsid w:val="00FA4801"/>
    <w:rsid w:val="00FA4BBE"/>
    <w:rsid w:val="00FA5838"/>
    <w:rsid w:val="00FA5E2C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3A2E"/>
    <w:rsid w:val="00FC3B5E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813"/>
    <w:rsid w:val="00FD4C4E"/>
    <w:rsid w:val="00FD5904"/>
    <w:rsid w:val="00FD6210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495"/>
    <w:rsid w:val="00FE3DF1"/>
    <w:rsid w:val="00FE3FD3"/>
    <w:rsid w:val="00FE41FA"/>
    <w:rsid w:val="00FE4369"/>
    <w:rsid w:val="00FE4C61"/>
    <w:rsid w:val="00FE575C"/>
    <w:rsid w:val="00FE595A"/>
    <w:rsid w:val="00FE698D"/>
    <w:rsid w:val="00FE7D6D"/>
    <w:rsid w:val="00FE7E72"/>
    <w:rsid w:val="00FE7FB9"/>
    <w:rsid w:val="00FE7FE0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3CA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boi.org.il/he/DataAndStatistics/Pages/MainPage.aspx?Level=3&amp;Sid=47&amp;SubjectType=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boi.org.il/he/DataAndStatistics/Pages/MainPage.aspx?Level=3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he/DataAndStatistics/Pages/MainPage.aspx?Level=3&amp;Sid=49&amp;SubjectType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a.gov.il/%D7%92%D7%95%D7%A4%D7%99%D7%9D%20%D7%9E%D7%A4%D7%95%D7%A7%D7%97%D7%99%D7%9D/Mutual_Funds/Principles%20and%20rules%20for%20determining%20the%20classification%20where%20the%20Fund/2414/Pages/default.aspx" TargetMode="External"/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340E0-8B61-463D-A028-217C6E2B54A1}"/>
</file>

<file path=customXml/itemProps2.xml><?xml version="1.0" encoding="utf-8"?>
<ds:datastoreItem xmlns:ds="http://schemas.openxmlformats.org/officeDocument/2006/customXml" ds:itemID="{81A3EC7C-E8D8-4F74-B97B-8E2C6FAFF44E}"/>
</file>

<file path=customXml/itemProps3.xml><?xml version="1.0" encoding="utf-8"?>
<ds:datastoreItem xmlns:ds="http://schemas.openxmlformats.org/officeDocument/2006/customXml" ds:itemID="{AE8055C8-D1BF-4E13-82B4-B1BFDF07C64A}"/>
</file>

<file path=customXml/itemProps4.xml><?xml version="1.0" encoding="utf-8"?>
<ds:datastoreItem xmlns:ds="http://schemas.openxmlformats.org/officeDocument/2006/customXml" ds:itemID="{33BFC99F-2A01-48CD-8B8E-D0922AF1B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4849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2019-06-25T08:21:00Z</dcterms:created>
  <dcterms:modified xsi:type="dcterms:W3CDTF">2019-06-25T08:21:00Z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