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2B4" w:rsidRPr="003272B4" w:rsidRDefault="003272B4" w:rsidP="00A47635">
      <w:pPr>
        <w:spacing w:before="157" w:after="157" w:line="270" w:lineRule="auto"/>
        <w:jc w:val="both"/>
        <w:rPr>
          <w:rFonts w:ascii="Calibri" w:eastAsia="Georgia" w:hAnsi="Calibri" w:cs="Calibri"/>
          <w:b/>
          <w:bCs/>
          <w:color w:val="000000"/>
          <w:sz w:val="24"/>
          <w:szCs w:val="24"/>
          <w:rtl/>
          <w:lang w:bidi="he-IL"/>
        </w:rPr>
      </w:pPr>
      <w:bookmarkStart w:id="0" w:name="הודעה_לעיתונות_נוסח_מוצע"/>
    </w:p>
    <w:tbl>
      <w:tblPr>
        <w:tblpPr w:leftFromText="180" w:rightFromText="180" w:vertAnchor="page" w:horzAnchor="margin" w:tblpXSpec="center" w:tblpY="961"/>
        <w:bidiVisual/>
        <w:tblW w:w="0" w:type="auto"/>
        <w:tblLayout w:type="fixed"/>
        <w:tblLook w:val="0000" w:firstRow="0" w:lastRow="0" w:firstColumn="0" w:lastColumn="0" w:noHBand="0" w:noVBand="0"/>
      </w:tblPr>
      <w:tblGrid>
        <w:gridCol w:w="2840"/>
        <w:gridCol w:w="2596"/>
        <w:gridCol w:w="3084"/>
      </w:tblGrid>
      <w:tr w:rsidR="003272B4" w:rsidRPr="003272B4" w:rsidTr="0040151B">
        <w:tc>
          <w:tcPr>
            <w:tcW w:w="2840" w:type="dxa"/>
            <w:vAlign w:val="center"/>
          </w:tcPr>
          <w:p w:rsidR="003272B4" w:rsidRPr="003272B4" w:rsidRDefault="003272B4" w:rsidP="0040151B">
            <w:pPr>
              <w:spacing w:line="360" w:lineRule="auto"/>
              <w:jc w:val="both"/>
              <w:rPr>
                <w:rFonts w:ascii="Calibri" w:hAnsi="Calibri" w:cs="Calibri"/>
                <w:b/>
                <w:bCs/>
                <w:sz w:val="28"/>
                <w:szCs w:val="28"/>
              </w:rPr>
            </w:pPr>
            <w:proofErr w:type="spellStart"/>
            <w:r w:rsidRPr="003272B4">
              <w:rPr>
                <w:rFonts w:ascii="Calibri" w:hAnsi="Calibri" w:cs="Calibri"/>
                <w:b/>
                <w:bCs/>
                <w:sz w:val="28"/>
                <w:szCs w:val="28"/>
                <w:rtl/>
              </w:rPr>
              <w:t>בנק</w:t>
            </w:r>
            <w:proofErr w:type="spellEnd"/>
            <w:r w:rsidRPr="003272B4">
              <w:rPr>
                <w:rFonts w:ascii="Calibri" w:hAnsi="Calibri" w:cs="Calibri"/>
                <w:b/>
                <w:bCs/>
                <w:sz w:val="28"/>
                <w:szCs w:val="28"/>
                <w:rtl/>
              </w:rPr>
              <w:t xml:space="preserve"> ישראל</w:t>
            </w:r>
          </w:p>
          <w:p w:rsidR="003272B4" w:rsidRPr="003272B4" w:rsidRDefault="003272B4" w:rsidP="0040151B">
            <w:pPr>
              <w:spacing w:line="360" w:lineRule="auto"/>
              <w:ind w:right="-101"/>
              <w:jc w:val="both"/>
              <w:rPr>
                <w:rFonts w:ascii="Calibri" w:hAnsi="Calibri" w:cs="Calibri"/>
              </w:rPr>
            </w:pPr>
            <w:proofErr w:type="spellStart"/>
            <w:r w:rsidRPr="003272B4">
              <w:rPr>
                <w:rFonts w:ascii="Calibri" w:hAnsi="Calibri" w:cs="Calibri"/>
                <w:rtl/>
              </w:rPr>
              <w:t>דוברות</w:t>
            </w:r>
            <w:proofErr w:type="spellEnd"/>
            <w:r w:rsidRPr="003272B4">
              <w:rPr>
                <w:rFonts w:ascii="Calibri" w:hAnsi="Calibri" w:cs="Calibri"/>
                <w:rtl/>
              </w:rPr>
              <w:t xml:space="preserve"> </w:t>
            </w:r>
            <w:proofErr w:type="spellStart"/>
            <w:r w:rsidRPr="003272B4">
              <w:rPr>
                <w:rFonts w:ascii="Calibri" w:hAnsi="Calibri" w:cs="Calibri"/>
                <w:rtl/>
              </w:rPr>
              <w:t>והסברה</w:t>
            </w:r>
            <w:proofErr w:type="spellEnd"/>
            <w:r w:rsidRPr="003272B4">
              <w:rPr>
                <w:rFonts w:ascii="Calibri" w:hAnsi="Calibri" w:cs="Calibri"/>
                <w:rtl/>
              </w:rPr>
              <w:t xml:space="preserve"> </w:t>
            </w:r>
            <w:proofErr w:type="spellStart"/>
            <w:r w:rsidRPr="003272B4">
              <w:rPr>
                <w:rFonts w:ascii="Calibri" w:hAnsi="Calibri" w:cs="Calibri"/>
                <w:rtl/>
              </w:rPr>
              <w:t>כלכלית</w:t>
            </w:r>
            <w:proofErr w:type="spellEnd"/>
          </w:p>
        </w:tc>
        <w:tc>
          <w:tcPr>
            <w:tcW w:w="2596" w:type="dxa"/>
          </w:tcPr>
          <w:p w:rsidR="003272B4" w:rsidRPr="003272B4" w:rsidRDefault="003272B4" w:rsidP="0040151B">
            <w:pPr>
              <w:spacing w:line="360" w:lineRule="auto"/>
              <w:jc w:val="both"/>
              <w:rPr>
                <w:rFonts w:ascii="Calibri" w:hAnsi="Calibri" w:cs="Calibri"/>
              </w:rPr>
            </w:pPr>
            <w:r w:rsidRPr="003272B4">
              <w:rPr>
                <w:rFonts w:ascii="Calibri" w:hAnsi="Calibri" w:cs="Calibri"/>
                <w:noProof/>
              </w:rPr>
              <w:drawing>
                <wp:inline distT="0" distB="0" distL="0" distR="0" wp14:anchorId="3C4A76E8" wp14:editId="0FC072E8">
                  <wp:extent cx="981710" cy="768350"/>
                  <wp:effectExtent l="0" t="0" r="8890" b="0"/>
                  <wp:docPr id="4" name="תמונה 4"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לוגו בנק ישראל" title="לוגו בנק ישראל"/>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1710" cy="768350"/>
                          </a:xfrm>
                          <a:prstGeom prst="rect">
                            <a:avLst/>
                          </a:prstGeom>
                          <a:noFill/>
                          <a:ln>
                            <a:noFill/>
                          </a:ln>
                        </pic:spPr>
                      </pic:pic>
                    </a:graphicData>
                  </a:graphic>
                </wp:inline>
              </w:drawing>
            </w:r>
          </w:p>
        </w:tc>
        <w:tc>
          <w:tcPr>
            <w:tcW w:w="3084" w:type="dxa"/>
            <w:vAlign w:val="center"/>
          </w:tcPr>
          <w:p w:rsidR="003272B4" w:rsidRPr="003272B4" w:rsidRDefault="003272B4" w:rsidP="003272B4">
            <w:pPr>
              <w:spacing w:line="360" w:lineRule="auto"/>
              <w:jc w:val="right"/>
              <w:rPr>
                <w:rFonts w:ascii="Calibri" w:hAnsi="Calibri" w:cs="Calibri"/>
              </w:rPr>
            </w:pPr>
            <w:r w:rsidRPr="003272B4">
              <w:rPr>
                <w:rFonts w:ascii="Calibri" w:hAnsi="Calibri" w:cs="Calibri"/>
                <w:rtl/>
              </w:rPr>
              <w:t>‏</w:t>
            </w:r>
            <w:proofErr w:type="spellStart"/>
            <w:r w:rsidRPr="003272B4">
              <w:rPr>
                <w:rFonts w:ascii="Calibri" w:hAnsi="Calibri" w:cs="Calibri"/>
                <w:rtl/>
              </w:rPr>
              <w:t>ירושלים</w:t>
            </w:r>
            <w:proofErr w:type="spellEnd"/>
            <w:r w:rsidRPr="003272B4">
              <w:rPr>
                <w:rFonts w:ascii="Calibri" w:hAnsi="Calibri" w:cs="Calibri"/>
                <w:rtl/>
              </w:rPr>
              <w:t xml:space="preserve">, </w:t>
            </w:r>
            <w:r w:rsidRPr="003272B4">
              <w:rPr>
                <w:rFonts w:ascii="Calibri" w:hAnsi="Calibri" w:cs="Calibri"/>
                <w:rtl/>
                <w:lang w:bidi="he-IL"/>
              </w:rPr>
              <w:t>כ"ה</w:t>
            </w:r>
            <w:r w:rsidRPr="003272B4">
              <w:rPr>
                <w:rFonts w:ascii="Calibri" w:hAnsi="Calibri" w:cs="Calibri"/>
                <w:rtl/>
              </w:rPr>
              <w:t xml:space="preserve"> </w:t>
            </w:r>
            <w:proofErr w:type="spellStart"/>
            <w:r w:rsidRPr="003272B4">
              <w:rPr>
                <w:rFonts w:ascii="Calibri" w:hAnsi="Calibri" w:cs="Calibri"/>
                <w:rtl/>
              </w:rPr>
              <w:t>בסיון</w:t>
            </w:r>
            <w:proofErr w:type="spellEnd"/>
            <w:r w:rsidRPr="003272B4">
              <w:rPr>
                <w:rFonts w:ascii="Calibri" w:hAnsi="Calibri" w:cs="Calibri"/>
                <w:rtl/>
              </w:rPr>
              <w:t xml:space="preserve"> </w:t>
            </w:r>
            <w:proofErr w:type="spellStart"/>
            <w:r w:rsidRPr="003272B4">
              <w:rPr>
                <w:rFonts w:ascii="Calibri" w:hAnsi="Calibri" w:cs="Calibri"/>
                <w:rtl/>
              </w:rPr>
              <w:t>תשפ"ו</w:t>
            </w:r>
            <w:proofErr w:type="spellEnd"/>
          </w:p>
          <w:p w:rsidR="003272B4" w:rsidRPr="003272B4" w:rsidRDefault="003272B4" w:rsidP="003272B4">
            <w:pPr>
              <w:spacing w:line="360" w:lineRule="auto"/>
              <w:jc w:val="right"/>
              <w:rPr>
                <w:rFonts w:ascii="Calibri" w:hAnsi="Calibri" w:cs="Calibri"/>
              </w:rPr>
            </w:pPr>
            <w:r w:rsidRPr="003272B4">
              <w:rPr>
                <w:rFonts w:ascii="Calibri" w:hAnsi="Calibri" w:cs="Calibri"/>
                <w:rtl/>
              </w:rPr>
              <w:t>‏‏</w:t>
            </w:r>
            <w:r w:rsidRPr="003272B4">
              <w:rPr>
                <w:rFonts w:ascii="Calibri" w:hAnsi="Calibri" w:cs="Calibri"/>
                <w:rtl/>
                <w:lang w:bidi="he-IL"/>
              </w:rPr>
              <w:t>10</w:t>
            </w:r>
            <w:r w:rsidRPr="003272B4">
              <w:rPr>
                <w:rFonts w:ascii="Calibri" w:hAnsi="Calibri" w:cs="Calibri"/>
                <w:rtl/>
              </w:rPr>
              <w:t xml:space="preserve"> </w:t>
            </w:r>
            <w:proofErr w:type="spellStart"/>
            <w:r w:rsidRPr="003272B4">
              <w:rPr>
                <w:rFonts w:ascii="Calibri" w:hAnsi="Calibri" w:cs="Calibri"/>
                <w:rtl/>
              </w:rPr>
              <w:t>יוני</w:t>
            </w:r>
            <w:proofErr w:type="spellEnd"/>
            <w:r w:rsidRPr="003272B4">
              <w:rPr>
                <w:rFonts w:ascii="Calibri" w:hAnsi="Calibri" w:cs="Calibri"/>
                <w:rtl/>
              </w:rPr>
              <w:t xml:space="preserve"> 2026</w:t>
            </w:r>
          </w:p>
        </w:tc>
      </w:tr>
    </w:tbl>
    <w:p w:rsidR="003272B4" w:rsidRPr="003272B4" w:rsidRDefault="003272B4" w:rsidP="003272B4">
      <w:pPr>
        <w:spacing w:line="360" w:lineRule="auto"/>
        <w:ind w:right="-101"/>
        <w:jc w:val="both"/>
        <w:rPr>
          <w:rFonts w:ascii="Calibri" w:hAnsi="Calibri" w:cs="Calibri"/>
          <w:sz w:val="24"/>
          <w:szCs w:val="24"/>
        </w:rPr>
      </w:pPr>
      <w:proofErr w:type="spellStart"/>
      <w:r w:rsidRPr="003272B4">
        <w:rPr>
          <w:rFonts w:ascii="Calibri" w:hAnsi="Calibri" w:cs="Calibri"/>
          <w:sz w:val="24"/>
          <w:szCs w:val="24"/>
          <w:rtl/>
        </w:rPr>
        <w:t>הודעה</w:t>
      </w:r>
      <w:proofErr w:type="spellEnd"/>
      <w:r w:rsidRPr="003272B4">
        <w:rPr>
          <w:rFonts w:ascii="Calibri" w:hAnsi="Calibri" w:cs="Calibri"/>
          <w:sz w:val="24"/>
          <w:szCs w:val="24"/>
          <w:rtl/>
        </w:rPr>
        <w:t xml:space="preserve"> </w:t>
      </w:r>
      <w:proofErr w:type="spellStart"/>
      <w:r w:rsidRPr="003272B4">
        <w:rPr>
          <w:rFonts w:ascii="Calibri" w:hAnsi="Calibri" w:cs="Calibri"/>
          <w:sz w:val="24"/>
          <w:szCs w:val="24"/>
          <w:rtl/>
        </w:rPr>
        <w:t>לעיתונות</w:t>
      </w:r>
      <w:proofErr w:type="spellEnd"/>
      <w:r w:rsidRPr="003272B4">
        <w:rPr>
          <w:rFonts w:ascii="Calibri" w:hAnsi="Calibri" w:cs="Calibri"/>
          <w:sz w:val="24"/>
          <w:szCs w:val="24"/>
          <w:rtl/>
        </w:rPr>
        <w:t>:</w:t>
      </w:r>
    </w:p>
    <w:p w:rsidR="00C96C25" w:rsidRPr="003272B4" w:rsidRDefault="003272B4" w:rsidP="003272B4">
      <w:pPr>
        <w:spacing w:before="157" w:after="157" w:line="270" w:lineRule="auto"/>
        <w:jc w:val="both"/>
        <w:rPr>
          <w:rFonts w:ascii="Calibri" w:eastAsia="Georgia" w:hAnsi="Calibri" w:cs="Calibri"/>
          <w:b/>
          <w:bCs/>
          <w:color w:val="000000"/>
          <w:sz w:val="28"/>
          <w:szCs w:val="28"/>
          <w:rtl/>
          <w:lang w:bidi="he-IL"/>
        </w:rPr>
      </w:pPr>
      <w:bookmarkStart w:id="1" w:name="_GoBack"/>
      <w:proofErr w:type="spellStart"/>
      <w:r w:rsidRPr="003272B4">
        <w:rPr>
          <w:rFonts w:ascii="Calibri" w:hAnsi="Calibri" w:cs="Calibri"/>
          <w:b/>
          <w:bCs/>
          <w:sz w:val="28"/>
          <w:szCs w:val="28"/>
          <w:rtl/>
        </w:rPr>
        <w:t>מחקר</w:t>
      </w:r>
      <w:proofErr w:type="spellEnd"/>
      <w:r w:rsidRPr="003272B4">
        <w:rPr>
          <w:rFonts w:ascii="Calibri" w:hAnsi="Calibri" w:cs="Calibri"/>
          <w:b/>
          <w:bCs/>
          <w:sz w:val="28"/>
          <w:szCs w:val="28"/>
          <w:rtl/>
        </w:rPr>
        <w:t xml:space="preserve"> </w:t>
      </w:r>
      <w:proofErr w:type="spellStart"/>
      <w:r w:rsidRPr="003272B4">
        <w:rPr>
          <w:rFonts w:ascii="Calibri" w:hAnsi="Calibri" w:cs="Calibri"/>
          <w:b/>
          <w:bCs/>
          <w:sz w:val="28"/>
          <w:szCs w:val="28"/>
          <w:rtl/>
        </w:rPr>
        <w:t>חדש</w:t>
      </w:r>
      <w:proofErr w:type="spellEnd"/>
      <w:r w:rsidRPr="003272B4">
        <w:rPr>
          <w:rFonts w:ascii="Calibri" w:hAnsi="Calibri" w:cs="Calibri"/>
          <w:b/>
          <w:bCs/>
          <w:sz w:val="28"/>
          <w:szCs w:val="28"/>
          <w:rtl/>
        </w:rPr>
        <w:t xml:space="preserve"> </w:t>
      </w:r>
      <w:proofErr w:type="spellStart"/>
      <w:r w:rsidRPr="003272B4">
        <w:rPr>
          <w:rFonts w:ascii="Calibri" w:hAnsi="Calibri" w:cs="Calibri"/>
          <w:b/>
          <w:bCs/>
          <w:sz w:val="28"/>
          <w:szCs w:val="28"/>
          <w:rtl/>
        </w:rPr>
        <w:t>בבנק</w:t>
      </w:r>
      <w:proofErr w:type="spellEnd"/>
      <w:r w:rsidRPr="003272B4">
        <w:rPr>
          <w:rFonts w:ascii="Calibri" w:hAnsi="Calibri" w:cs="Calibri"/>
          <w:b/>
          <w:bCs/>
          <w:sz w:val="28"/>
          <w:szCs w:val="28"/>
          <w:rtl/>
        </w:rPr>
        <w:t xml:space="preserve"> ישראל:</w:t>
      </w:r>
      <w:bookmarkEnd w:id="0"/>
      <w:r w:rsidRPr="003272B4">
        <w:rPr>
          <w:rFonts w:ascii="Calibri" w:eastAsia="Georgia" w:hAnsi="Calibri" w:cs="Calibri"/>
          <w:b/>
          <w:bCs/>
          <w:color w:val="000000"/>
          <w:sz w:val="28"/>
          <w:szCs w:val="28"/>
          <w:rtl/>
          <w:lang w:bidi="he-IL"/>
        </w:rPr>
        <w:t xml:space="preserve"> </w:t>
      </w:r>
      <w:r w:rsidR="000B0A76" w:rsidRPr="003272B4">
        <w:rPr>
          <w:rFonts w:ascii="Calibri" w:eastAsia="Georgia" w:hAnsi="Calibri" w:cs="Calibri"/>
          <w:b/>
          <w:bCs/>
          <w:color w:val="000000"/>
          <w:sz w:val="28"/>
          <w:szCs w:val="28"/>
          <w:rtl/>
          <w:lang w:bidi="he-IL"/>
        </w:rPr>
        <w:t>העלאות הריבית הגדילו את חלקם של הגופים הפיננסיים הלא-בנקאיים בשוק האשראי הצרכני</w:t>
      </w:r>
    </w:p>
    <w:bookmarkEnd w:id="1"/>
    <w:p w:rsidR="00C96C25" w:rsidRPr="003272B4" w:rsidRDefault="000B0A76" w:rsidP="005D29F0">
      <w:pPr>
        <w:numPr>
          <w:ilvl w:val="0"/>
          <w:numId w:val="1"/>
        </w:numPr>
        <w:spacing w:before="105" w:after="105" w:line="360" w:lineRule="auto"/>
        <w:ind w:right="426"/>
        <w:jc w:val="both"/>
        <w:rPr>
          <w:rFonts w:ascii="Calibri" w:hAnsi="Calibri" w:cs="Calibri"/>
          <w:sz w:val="24"/>
          <w:szCs w:val="24"/>
          <w:rtl/>
          <w:lang w:bidi="he-IL"/>
        </w:rPr>
      </w:pPr>
      <w:r w:rsidRPr="003272B4">
        <w:rPr>
          <w:rFonts w:ascii="Calibri" w:eastAsia="Georgia" w:hAnsi="Calibri" w:cs="Calibri"/>
          <w:color w:val="000000"/>
          <w:sz w:val="24"/>
          <w:szCs w:val="24"/>
          <w:rtl/>
          <w:lang w:bidi="he-IL"/>
        </w:rPr>
        <w:t xml:space="preserve">מחקר חדש המבוסס על נתוני מאגר האשראי הקמעונאי </w:t>
      </w:r>
      <w:r w:rsidR="009D715E" w:rsidRPr="003272B4">
        <w:rPr>
          <w:rFonts w:ascii="Calibri" w:eastAsia="Georgia" w:hAnsi="Calibri" w:cs="Calibri"/>
          <w:color w:val="000000"/>
          <w:sz w:val="24"/>
          <w:szCs w:val="24"/>
          <w:rtl/>
          <w:lang w:bidi="he-IL"/>
        </w:rPr>
        <w:t>מראה כי</w:t>
      </w:r>
      <w:r w:rsidRPr="003272B4">
        <w:rPr>
          <w:rFonts w:ascii="Calibri" w:eastAsia="Georgia" w:hAnsi="Calibri" w:cs="Calibri"/>
          <w:color w:val="000000"/>
          <w:sz w:val="24"/>
          <w:szCs w:val="24"/>
          <w:rtl/>
          <w:lang w:bidi="he-IL"/>
        </w:rPr>
        <w:t xml:space="preserve"> העלאות הריבית בשנים</w:t>
      </w:r>
      <w:r w:rsidR="00A47635" w:rsidRPr="003272B4">
        <w:rPr>
          <w:rFonts w:ascii="Calibri" w:eastAsia="Georgia" w:hAnsi="Calibri" w:cs="Calibri"/>
          <w:color w:val="000000"/>
          <w:sz w:val="24"/>
          <w:szCs w:val="24"/>
          <w:rtl/>
          <w:lang w:bidi="he-IL"/>
        </w:rPr>
        <w:t xml:space="preserve"> </w:t>
      </w:r>
      <w:r w:rsidRPr="003272B4">
        <w:rPr>
          <w:rFonts w:ascii="Calibri" w:eastAsia="Georgia" w:hAnsi="Calibri" w:cs="Calibri"/>
          <w:color w:val="000000"/>
          <w:sz w:val="24"/>
          <w:szCs w:val="24"/>
          <w:rtl/>
          <w:lang w:bidi="he-IL"/>
        </w:rPr>
        <w:t>2022</w:t>
      </w:r>
      <w:r w:rsidR="009D715E" w:rsidRPr="003272B4">
        <w:rPr>
          <w:rFonts w:ascii="Calibri" w:eastAsia="Georgia" w:hAnsi="Calibri" w:cs="Calibri"/>
          <w:color w:val="000000"/>
          <w:sz w:val="24"/>
          <w:szCs w:val="24"/>
          <w:rtl/>
          <w:lang w:bidi="he-IL"/>
        </w:rPr>
        <w:t>–</w:t>
      </w:r>
      <w:r w:rsidRPr="003272B4">
        <w:rPr>
          <w:rFonts w:ascii="Calibri" w:eastAsia="Georgia" w:hAnsi="Calibri" w:cs="Calibri"/>
          <w:color w:val="000000"/>
          <w:sz w:val="24"/>
          <w:szCs w:val="24"/>
          <w:rtl/>
          <w:lang w:bidi="he-IL"/>
        </w:rPr>
        <w:t xml:space="preserve">2023 </w:t>
      </w:r>
      <w:r w:rsidR="009D715E" w:rsidRPr="003272B4">
        <w:rPr>
          <w:rFonts w:ascii="Calibri" w:eastAsia="Georgia" w:hAnsi="Calibri" w:cs="Calibri"/>
          <w:color w:val="000000"/>
          <w:sz w:val="24"/>
          <w:szCs w:val="24"/>
          <w:rtl/>
          <w:lang w:bidi="he-IL"/>
        </w:rPr>
        <w:t xml:space="preserve">לוו בגידול בחלקם של </w:t>
      </w:r>
      <w:r w:rsidR="00906706" w:rsidRPr="003272B4">
        <w:rPr>
          <w:rFonts w:ascii="Calibri" w:eastAsia="Georgia" w:hAnsi="Calibri" w:cs="Calibri"/>
          <w:color w:val="000000"/>
          <w:sz w:val="24"/>
          <w:szCs w:val="24"/>
          <w:rtl/>
          <w:lang w:bidi="he-IL"/>
        </w:rPr>
        <w:t xml:space="preserve">הגופים הפיננסיים הלא-בנקאיים </w:t>
      </w:r>
      <w:r w:rsidR="009D715E" w:rsidRPr="003272B4">
        <w:rPr>
          <w:rFonts w:ascii="Calibri" w:eastAsia="Georgia" w:hAnsi="Calibri" w:cs="Calibri"/>
          <w:color w:val="000000"/>
          <w:sz w:val="24"/>
          <w:szCs w:val="24"/>
          <w:rtl/>
          <w:lang w:bidi="he-IL"/>
        </w:rPr>
        <w:t>בשוק האשראי הצרכני בישראל על חשבון הבנקים</w:t>
      </w:r>
      <w:r w:rsidR="00A47635" w:rsidRPr="003272B4">
        <w:rPr>
          <w:rFonts w:ascii="Calibri" w:eastAsia="Georgia" w:hAnsi="Calibri" w:cs="Calibri"/>
          <w:color w:val="000000"/>
          <w:sz w:val="24"/>
          <w:szCs w:val="24"/>
          <w:rtl/>
          <w:lang w:bidi="he-IL"/>
        </w:rPr>
        <w:t>.</w:t>
      </w:r>
    </w:p>
    <w:p w:rsidR="00C96C25" w:rsidRPr="003272B4" w:rsidRDefault="000B0A76" w:rsidP="005D29F0">
      <w:pPr>
        <w:numPr>
          <w:ilvl w:val="0"/>
          <w:numId w:val="1"/>
        </w:numPr>
        <w:spacing w:before="105" w:after="105" w:line="360" w:lineRule="auto"/>
        <w:ind w:right="426"/>
        <w:jc w:val="both"/>
        <w:rPr>
          <w:rFonts w:ascii="Calibri" w:hAnsi="Calibri" w:cs="Calibri"/>
          <w:sz w:val="24"/>
          <w:szCs w:val="24"/>
          <w:rtl/>
          <w:lang w:bidi="he-IL"/>
        </w:rPr>
      </w:pPr>
      <w:r w:rsidRPr="003272B4">
        <w:rPr>
          <w:rFonts w:ascii="Calibri" w:eastAsia="Georgia" w:hAnsi="Calibri" w:cs="Calibri"/>
          <w:color w:val="000000"/>
          <w:sz w:val="24"/>
          <w:szCs w:val="24"/>
          <w:rtl/>
          <w:lang w:bidi="he-IL"/>
        </w:rPr>
        <w:t xml:space="preserve">המחקר מעלה כי הגידול בחלקם של </w:t>
      </w:r>
      <w:r w:rsidR="009D715E" w:rsidRPr="003272B4">
        <w:rPr>
          <w:rFonts w:ascii="Calibri" w:eastAsia="Georgia" w:hAnsi="Calibri" w:cs="Calibri"/>
          <w:color w:val="000000"/>
          <w:sz w:val="24"/>
          <w:szCs w:val="24"/>
          <w:rtl/>
          <w:lang w:bidi="he-IL"/>
        </w:rPr>
        <w:t xml:space="preserve">הגופים הפיננסיים הלא-בנקאיים </w:t>
      </w:r>
      <w:r w:rsidRPr="003272B4">
        <w:rPr>
          <w:rFonts w:ascii="Calibri" w:eastAsia="Georgia" w:hAnsi="Calibri" w:cs="Calibri"/>
          <w:color w:val="000000"/>
          <w:sz w:val="24"/>
          <w:szCs w:val="24"/>
          <w:rtl/>
          <w:lang w:bidi="he-IL"/>
        </w:rPr>
        <w:t xml:space="preserve">אינו משקף נטילת סיכון גבוהה יותר, ואינו מוסבר במעבר של לווים בעלי פרופיל סיכון גבוה יותר אליהם. </w:t>
      </w:r>
      <w:r w:rsidR="001B70A8" w:rsidRPr="003272B4">
        <w:rPr>
          <w:rFonts w:ascii="Calibri" w:eastAsia="Georgia" w:hAnsi="Calibri" w:cs="Calibri"/>
          <w:color w:val="000000"/>
          <w:sz w:val="24"/>
          <w:szCs w:val="24"/>
          <w:rtl/>
          <w:lang w:bidi="he-IL"/>
        </w:rPr>
        <w:t xml:space="preserve">יתר על כן, </w:t>
      </w:r>
      <w:r w:rsidRPr="003272B4">
        <w:rPr>
          <w:rFonts w:ascii="Calibri" w:eastAsia="Georgia" w:hAnsi="Calibri" w:cs="Calibri"/>
          <w:color w:val="000000"/>
          <w:sz w:val="24"/>
          <w:szCs w:val="24"/>
          <w:rtl/>
          <w:lang w:bidi="he-IL"/>
        </w:rPr>
        <w:t>גופים אלה</w:t>
      </w:r>
      <w:r w:rsidR="009D715E" w:rsidRPr="003272B4">
        <w:rPr>
          <w:rFonts w:ascii="Calibri" w:eastAsia="Georgia" w:hAnsi="Calibri" w:cs="Calibri"/>
          <w:color w:val="000000"/>
          <w:sz w:val="24"/>
          <w:szCs w:val="24"/>
          <w:rtl/>
          <w:lang w:bidi="he-IL"/>
        </w:rPr>
        <w:t>, כמו גם הבנקים,</w:t>
      </w:r>
      <w:r w:rsidRPr="003272B4">
        <w:rPr>
          <w:rFonts w:ascii="Calibri" w:eastAsia="Georgia" w:hAnsi="Calibri" w:cs="Calibri"/>
          <w:color w:val="000000"/>
          <w:sz w:val="24"/>
          <w:szCs w:val="24"/>
          <w:rtl/>
          <w:lang w:bidi="he-IL"/>
        </w:rPr>
        <w:t xml:space="preserve"> צמצמו את חשיפתם ללווים כאלה בעקבות העלאות הריבית</w:t>
      </w:r>
      <w:r w:rsidR="00A47635" w:rsidRPr="003272B4">
        <w:rPr>
          <w:rFonts w:ascii="Calibri" w:eastAsia="Georgia" w:hAnsi="Calibri" w:cs="Calibri"/>
          <w:color w:val="000000"/>
          <w:sz w:val="24"/>
          <w:szCs w:val="24"/>
          <w:rtl/>
          <w:lang w:bidi="he-IL"/>
        </w:rPr>
        <w:t>.</w:t>
      </w:r>
    </w:p>
    <w:p w:rsidR="00B54A25" w:rsidRPr="003272B4" w:rsidRDefault="000B0A76" w:rsidP="00B54A25">
      <w:pPr>
        <w:numPr>
          <w:ilvl w:val="0"/>
          <w:numId w:val="1"/>
        </w:numPr>
        <w:spacing w:before="105" w:after="105" w:line="360" w:lineRule="auto"/>
        <w:ind w:right="426"/>
        <w:jc w:val="both"/>
        <w:rPr>
          <w:rFonts w:ascii="Calibri" w:eastAsia="Georgia" w:hAnsi="Calibri" w:cs="Calibri"/>
          <w:color w:val="000000"/>
          <w:sz w:val="24"/>
          <w:szCs w:val="24"/>
          <w:rtl/>
          <w:lang w:bidi="he-IL"/>
        </w:rPr>
      </w:pPr>
      <w:r w:rsidRPr="003272B4">
        <w:rPr>
          <w:rFonts w:ascii="Calibri" w:eastAsia="Georgia" w:hAnsi="Calibri" w:cs="Calibri"/>
          <w:color w:val="000000"/>
          <w:sz w:val="24"/>
          <w:szCs w:val="24"/>
          <w:rtl/>
          <w:lang w:bidi="he-IL"/>
        </w:rPr>
        <w:t xml:space="preserve">הסבר מרכזי לממצא הוא שהבנקים מפנים חלק מהאשראי הצרכני שלהם לטובת מתן אשראי לגופים פיננסיים </w:t>
      </w:r>
      <w:proofErr w:type="spellStart"/>
      <w:r w:rsidRPr="003272B4">
        <w:rPr>
          <w:rFonts w:ascii="Calibri" w:eastAsia="Georgia" w:hAnsi="Calibri" w:cs="Calibri"/>
          <w:color w:val="000000"/>
          <w:sz w:val="24"/>
          <w:szCs w:val="24"/>
          <w:rtl/>
          <w:lang w:bidi="he-IL"/>
        </w:rPr>
        <w:t>לא־בנקאיים</w:t>
      </w:r>
      <w:proofErr w:type="spellEnd"/>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גופים אלה משתמשים במימון שקיבלו כדי להרחיב את היקף האשראי הצרכני שהם מעניקים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וכך גדל חלקם בשוק זה.</w:t>
      </w:r>
    </w:p>
    <w:p w:rsidR="00291436" w:rsidRPr="003272B4" w:rsidRDefault="000B0A76" w:rsidP="00906706">
      <w:pPr>
        <w:numPr>
          <w:ilvl w:val="0"/>
          <w:numId w:val="1"/>
        </w:numPr>
        <w:spacing w:before="105" w:after="105" w:line="360" w:lineRule="auto"/>
        <w:ind w:right="426"/>
        <w:jc w:val="both"/>
        <w:rPr>
          <w:rFonts w:ascii="Calibri" w:eastAsia="Georgia" w:hAnsi="Calibri" w:cs="Calibri"/>
          <w:color w:val="000000"/>
          <w:sz w:val="24"/>
          <w:szCs w:val="24"/>
          <w:rtl/>
          <w:lang w:bidi="he-IL"/>
        </w:rPr>
      </w:pPr>
      <w:r w:rsidRPr="003272B4">
        <w:rPr>
          <w:rFonts w:ascii="Calibri" w:eastAsia="Georgia" w:hAnsi="Calibri" w:cs="Calibri"/>
          <w:color w:val="000000"/>
          <w:sz w:val="24"/>
          <w:szCs w:val="24"/>
          <w:rtl/>
          <w:lang w:bidi="he-IL"/>
        </w:rPr>
        <w:t>ממצאי המחקר ת</w:t>
      </w:r>
      <w:r w:rsidR="009C12EB" w:rsidRPr="003272B4">
        <w:rPr>
          <w:rFonts w:ascii="Calibri" w:eastAsia="Georgia" w:hAnsi="Calibri" w:cs="Calibri"/>
          <w:color w:val="000000"/>
          <w:sz w:val="24"/>
          <w:szCs w:val="24"/>
          <w:rtl/>
          <w:lang w:bidi="he-IL"/>
        </w:rPr>
        <w:t>ורמים לה</w:t>
      </w:r>
      <w:r w:rsidRPr="003272B4">
        <w:rPr>
          <w:rFonts w:ascii="Calibri" w:eastAsia="Georgia" w:hAnsi="Calibri" w:cs="Calibri"/>
          <w:color w:val="000000"/>
          <w:sz w:val="24"/>
          <w:szCs w:val="24"/>
          <w:rtl/>
          <w:lang w:bidi="he-IL"/>
        </w:rPr>
        <w:t xml:space="preserve">בנת השפעות ריבית </w:t>
      </w:r>
      <w:r w:rsidR="00096505" w:rsidRPr="003272B4">
        <w:rPr>
          <w:rFonts w:ascii="Calibri" w:eastAsia="Georgia" w:hAnsi="Calibri" w:cs="Calibri"/>
          <w:color w:val="000000"/>
          <w:sz w:val="24"/>
          <w:szCs w:val="24"/>
          <w:rtl/>
          <w:lang w:bidi="he-IL"/>
        </w:rPr>
        <w:t>ה</w:t>
      </w:r>
      <w:r w:rsidR="009C12EB" w:rsidRPr="003272B4">
        <w:rPr>
          <w:rFonts w:ascii="Calibri" w:eastAsia="Georgia" w:hAnsi="Calibri" w:cs="Calibri"/>
          <w:color w:val="000000"/>
          <w:sz w:val="24"/>
          <w:szCs w:val="24"/>
          <w:rtl/>
          <w:lang w:bidi="he-IL"/>
        </w:rPr>
        <w:t xml:space="preserve">בנק </w:t>
      </w:r>
      <w:r w:rsidR="00096505" w:rsidRPr="003272B4">
        <w:rPr>
          <w:rFonts w:ascii="Calibri" w:eastAsia="Georgia" w:hAnsi="Calibri" w:cs="Calibri"/>
          <w:color w:val="000000"/>
          <w:sz w:val="24"/>
          <w:szCs w:val="24"/>
          <w:rtl/>
          <w:lang w:bidi="he-IL"/>
        </w:rPr>
        <w:t>המרכזי</w:t>
      </w:r>
      <w:r w:rsidR="009C12EB" w:rsidRPr="003272B4">
        <w:rPr>
          <w:rFonts w:ascii="Calibri" w:eastAsia="Georgia" w:hAnsi="Calibri" w:cs="Calibri"/>
          <w:color w:val="000000"/>
          <w:sz w:val="24"/>
          <w:szCs w:val="24"/>
          <w:rtl/>
          <w:lang w:bidi="he-IL"/>
        </w:rPr>
        <w:t xml:space="preserve"> </w:t>
      </w:r>
      <w:r w:rsidRPr="003272B4">
        <w:rPr>
          <w:rFonts w:ascii="Calibri" w:eastAsia="Georgia" w:hAnsi="Calibri" w:cs="Calibri"/>
          <w:color w:val="000000"/>
          <w:sz w:val="24"/>
          <w:szCs w:val="24"/>
          <w:rtl/>
          <w:lang w:bidi="he-IL"/>
        </w:rPr>
        <w:t>במערכת פיננסית שבה לצד הבנקים פועלים גם גופי אשראי לא-בנקאיים</w:t>
      </w:r>
      <w:r w:rsidR="00906706" w:rsidRPr="003272B4">
        <w:rPr>
          <w:rFonts w:ascii="Calibri" w:eastAsia="Georgia" w:hAnsi="Calibri" w:cs="Calibri"/>
          <w:color w:val="000000"/>
          <w:sz w:val="24"/>
          <w:szCs w:val="24"/>
          <w:rtl/>
          <w:lang w:bidi="he-IL"/>
        </w:rPr>
        <w:t xml:space="preserve"> ובכך גם להבנת התפתחות שוק האשראי הצרכני בשנים האחרונות</w:t>
      </w:r>
      <w:r w:rsidRPr="003272B4">
        <w:rPr>
          <w:rFonts w:ascii="Calibri" w:eastAsia="Georgia" w:hAnsi="Calibri" w:cs="Calibri"/>
          <w:color w:val="000000"/>
          <w:sz w:val="24"/>
          <w:szCs w:val="24"/>
          <w:rtl/>
          <w:lang w:bidi="he-IL"/>
        </w:rPr>
        <w:t>.</w:t>
      </w:r>
    </w:p>
    <w:p w:rsidR="00C96C25" w:rsidRPr="003272B4" w:rsidRDefault="000B0A76" w:rsidP="005D29F0">
      <w:pPr>
        <w:spacing w:after="210" w:line="360" w:lineRule="auto"/>
        <w:ind w:right="426"/>
        <w:jc w:val="both"/>
        <w:rPr>
          <w:rFonts w:ascii="Calibri" w:hAnsi="Calibri" w:cs="Calibri"/>
          <w:sz w:val="24"/>
          <w:szCs w:val="24"/>
          <w:rtl/>
          <w:lang w:bidi="he-IL"/>
        </w:rPr>
      </w:pPr>
      <w:r w:rsidRPr="003272B4">
        <w:rPr>
          <w:rFonts w:ascii="Calibri" w:eastAsia="Georgia" w:hAnsi="Calibri" w:cs="Calibri"/>
          <w:color w:val="000000"/>
          <w:sz w:val="24"/>
          <w:szCs w:val="24"/>
          <w:rtl/>
          <w:lang w:bidi="he-IL"/>
        </w:rPr>
        <w:t>התובנה המקובלת בספרות האקדמית היא שכאשר בנק מרכזי מעלה את הריבית, הבנקים מעלים גם הם את הריבית על האשראי לצרכנים ולעסקים, היקפי האשראי קטנים, והפעילות הכלכלית מתמתנת. מחקר חדש שנכתב ב</w:t>
      </w:r>
      <w:r w:rsidR="00096505" w:rsidRPr="003272B4">
        <w:rPr>
          <w:rFonts w:ascii="Calibri" w:eastAsia="Georgia" w:hAnsi="Calibri" w:cs="Calibri"/>
          <w:color w:val="000000"/>
          <w:sz w:val="24"/>
          <w:szCs w:val="24"/>
          <w:rtl/>
          <w:lang w:bidi="he-IL"/>
        </w:rPr>
        <w:t xml:space="preserve">חטיבת המחקר של </w:t>
      </w:r>
      <w:r w:rsidRPr="003272B4">
        <w:rPr>
          <w:rFonts w:ascii="Calibri" w:eastAsia="Georgia" w:hAnsi="Calibri" w:cs="Calibri"/>
          <w:color w:val="000000"/>
          <w:sz w:val="24"/>
          <w:szCs w:val="24"/>
          <w:rtl/>
          <w:lang w:bidi="he-IL"/>
        </w:rPr>
        <w:t>בנק ישראל על ידי ד"ר טניה סוחוי וד"ר נועם מיכלסון מראה כי התמונה מורכבת יותר כאשר לצד הבנקים פועלים גם גופים פיננסיים לא-בנקאיים, ובהם חברות כרטיסי אשראי וחברות אשראי חוץ-בנקאי</w:t>
      </w:r>
      <w:r w:rsidR="00A47635" w:rsidRPr="003272B4">
        <w:rPr>
          <w:rFonts w:ascii="Calibri" w:eastAsia="Georgia" w:hAnsi="Calibri" w:cs="Calibri"/>
          <w:color w:val="000000"/>
          <w:sz w:val="24"/>
          <w:szCs w:val="24"/>
          <w:rtl/>
          <w:lang w:bidi="he-IL"/>
        </w:rPr>
        <w:t>.</w:t>
      </w:r>
    </w:p>
    <w:p w:rsidR="00C96C25" w:rsidRPr="003272B4" w:rsidRDefault="000B0A76" w:rsidP="008B7861">
      <w:pPr>
        <w:spacing w:after="210" w:line="360" w:lineRule="auto"/>
        <w:ind w:right="426"/>
        <w:jc w:val="both"/>
        <w:rPr>
          <w:rFonts w:ascii="Calibri" w:eastAsia="Georgia" w:hAnsi="Calibri" w:cs="Calibri"/>
          <w:color w:val="000000"/>
          <w:sz w:val="24"/>
          <w:szCs w:val="24"/>
          <w:rtl/>
          <w:lang w:bidi="he-IL"/>
        </w:rPr>
      </w:pPr>
      <w:r w:rsidRPr="003272B4">
        <w:rPr>
          <w:rFonts w:ascii="Calibri" w:eastAsia="Georgia" w:hAnsi="Calibri" w:cs="Calibri"/>
          <w:color w:val="000000"/>
          <w:sz w:val="24"/>
          <w:szCs w:val="24"/>
          <w:rtl/>
          <w:lang w:bidi="he-IL"/>
        </w:rPr>
        <w:t>המחקר בחן את השפעת המדיניות המוניטרית בשנים 2021–2023 על מבנה שוק האשראי הצרכני בישראל</w:t>
      </w:r>
      <w:r w:rsidR="004D45BE" w:rsidRPr="003272B4">
        <w:rPr>
          <w:rFonts w:ascii="Calibri" w:eastAsia="Georgia" w:hAnsi="Calibri" w:cs="Calibri"/>
          <w:color w:val="000000"/>
          <w:sz w:val="24"/>
          <w:szCs w:val="24"/>
          <w:rtl/>
          <w:lang w:bidi="he-IL"/>
        </w:rPr>
        <w:t xml:space="preserve">. </w:t>
      </w:r>
      <w:r w:rsidRPr="003272B4">
        <w:rPr>
          <w:rFonts w:ascii="Calibri" w:eastAsia="Georgia" w:hAnsi="Calibri" w:cs="Calibri"/>
          <w:color w:val="000000"/>
          <w:sz w:val="24"/>
          <w:szCs w:val="24"/>
          <w:rtl/>
          <w:lang w:bidi="he-IL"/>
        </w:rPr>
        <w:t>בשנים אלה, ובפרט מאפריל 2022, בנק ישראל העלה את הריבית מספר פעמים. ואולם, בשונה מתקופות קודמות של העלאות ריבית, בתקופה זו כבר פעלו בשוק האשראי הצרכני גם גופים פיננסיים לא-בנקאיים בהיקף משמעותי</w:t>
      </w:r>
      <w:r w:rsidR="00D41B13" w:rsidRPr="003272B4">
        <w:rPr>
          <w:rFonts w:ascii="Calibri" w:eastAsia="Georgia" w:hAnsi="Calibri" w:cs="Calibri"/>
          <w:color w:val="000000"/>
          <w:sz w:val="24"/>
          <w:szCs w:val="24"/>
          <w:rtl/>
          <w:lang w:bidi="he-IL"/>
        </w:rPr>
        <w:t xml:space="preserve"> שהלך וגדל</w:t>
      </w:r>
      <w:r w:rsidR="00291436" w:rsidRPr="003272B4">
        <w:rPr>
          <w:rFonts w:ascii="Calibri" w:eastAsia="Georgia" w:hAnsi="Calibri" w:cs="Calibri"/>
          <w:color w:val="000000"/>
          <w:sz w:val="24"/>
          <w:szCs w:val="24"/>
          <w:rtl/>
          <w:lang w:bidi="he-IL"/>
        </w:rPr>
        <w:t>.</w:t>
      </w:r>
      <w:r w:rsidR="00E91216" w:rsidRPr="003272B4">
        <w:rPr>
          <w:rFonts w:ascii="Calibri" w:eastAsia="Georgia" w:hAnsi="Calibri" w:cs="Calibri"/>
          <w:color w:val="000000"/>
          <w:sz w:val="24"/>
          <w:szCs w:val="24"/>
          <w:rtl/>
          <w:lang w:bidi="he-IL"/>
        </w:rPr>
        <w:t xml:space="preserve"> </w:t>
      </w:r>
      <w:r w:rsidRPr="003272B4">
        <w:rPr>
          <w:rFonts w:ascii="Calibri" w:eastAsia="Georgia" w:hAnsi="Calibri" w:cs="Calibri"/>
          <w:color w:val="000000"/>
          <w:sz w:val="24"/>
          <w:szCs w:val="24"/>
          <w:rtl/>
          <w:lang w:bidi="he-IL"/>
        </w:rPr>
        <w:t xml:space="preserve">ממצאי המחקר מצביעים על כך שבעוד שהבנקים צמצמו את היקף האשראי </w:t>
      </w:r>
      <w:r w:rsidRPr="003272B4">
        <w:rPr>
          <w:rFonts w:ascii="Calibri" w:eastAsia="Georgia" w:hAnsi="Calibri" w:cs="Calibri"/>
          <w:color w:val="000000"/>
          <w:sz w:val="24"/>
          <w:szCs w:val="24"/>
          <w:rtl/>
          <w:lang w:bidi="he-IL"/>
        </w:rPr>
        <w:lastRenderedPageBreak/>
        <w:t>הצרכני</w:t>
      </w:r>
      <w:r w:rsidR="000D24BB" w:rsidRPr="003272B4">
        <w:rPr>
          <w:rFonts w:ascii="Calibri" w:eastAsia="Georgia" w:hAnsi="Calibri" w:cs="Calibri"/>
          <w:color w:val="000000"/>
          <w:sz w:val="24"/>
          <w:szCs w:val="24"/>
          <w:rtl/>
          <w:lang w:bidi="he-IL"/>
        </w:rPr>
        <w:t xml:space="preserve"> (ללא הלוואות רכב)</w:t>
      </w:r>
      <w:r w:rsidRPr="003272B4">
        <w:rPr>
          <w:rFonts w:ascii="Calibri" w:eastAsia="Georgia" w:hAnsi="Calibri" w:cs="Calibri"/>
          <w:color w:val="000000"/>
          <w:sz w:val="24"/>
          <w:szCs w:val="24"/>
          <w:rtl/>
          <w:lang w:bidi="he-IL"/>
        </w:rPr>
        <w:t xml:space="preserve">, האשראי שהעמידו גופים אלה המשיך </w:t>
      </w:r>
      <w:r w:rsidR="0012335D" w:rsidRPr="003272B4">
        <w:rPr>
          <w:rFonts w:ascii="Calibri" w:eastAsia="Georgia" w:hAnsi="Calibri" w:cs="Calibri"/>
          <w:color w:val="000000"/>
          <w:sz w:val="24"/>
          <w:szCs w:val="24"/>
          <w:rtl/>
          <w:lang w:bidi="he-IL"/>
        </w:rPr>
        <w:t>להתרחב</w:t>
      </w:r>
      <w:r w:rsidR="005D29F0" w:rsidRPr="003272B4">
        <w:rPr>
          <w:rFonts w:ascii="Calibri" w:eastAsia="Georgia" w:hAnsi="Calibri" w:cs="Calibri"/>
          <w:color w:val="000000"/>
          <w:sz w:val="24"/>
          <w:szCs w:val="24"/>
          <w:rtl/>
          <w:lang w:bidi="he-IL"/>
        </w:rPr>
        <w:t xml:space="preserve">. בסיכומו של דבר, מאפריל 2022 ועד סוף התקופה הנסקרת (ספטמבר 2023) </w:t>
      </w:r>
      <w:r w:rsidR="0012335D" w:rsidRPr="003272B4">
        <w:rPr>
          <w:rFonts w:ascii="Calibri" w:eastAsia="Georgia" w:hAnsi="Calibri" w:cs="Calibri"/>
          <w:color w:val="000000"/>
          <w:sz w:val="24"/>
          <w:szCs w:val="24"/>
          <w:rtl/>
          <w:lang w:bidi="he-IL"/>
        </w:rPr>
        <w:t xml:space="preserve">סך </w:t>
      </w:r>
      <w:r w:rsidR="005D29F0" w:rsidRPr="003272B4">
        <w:rPr>
          <w:rFonts w:ascii="Calibri" w:eastAsia="Georgia" w:hAnsi="Calibri" w:cs="Calibri"/>
          <w:color w:val="000000"/>
          <w:sz w:val="24"/>
          <w:szCs w:val="24"/>
          <w:rtl/>
          <w:lang w:bidi="he-IL"/>
        </w:rPr>
        <w:t xml:space="preserve">האשראי הצרכני </w:t>
      </w:r>
      <w:r w:rsidR="0012335D" w:rsidRPr="003272B4">
        <w:rPr>
          <w:rFonts w:ascii="Calibri" w:eastAsia="Georgia" w:hAnsi="Calibri" w:cs="Calibri"/>
          <w:color w:val="000000"/>
          <w:sz w:val="24"/>
          <w:szCs w:val="24"/>
          <w:rtl/>
          <w:lang w:bidi="he-IL"/>
        </w:rPr>
        <w:t xml:space="preserve">במשק </w:t>
      </w:r>
      <w:r w:rsidR="005D29F0" w:rsidRPr="003272B4">
        <w:rPr>
          <w:rFonts w:ascii="Calibri" w:eastAsia="Georgia" w:hAnsi="Calibri" w:cs="Calibri"/>
          <w:color w:val="000000"/>
          <w:sz w:val="24"/>
          <w:szCs w:val="24"/>
          <w:rtl/>
          <w:lang w:bidi="he-IL"/>
        </w:rPr>
        <w:t xml:space="preserve">אמנם </w:t>
      </w:r>
      <w:r w:rsidR="005D29F0" w:rsidRPr="003272B4">
        <w:rPr>
          <w:rFonts w:ascii="Calibri" w:eastAsia="Georgia" w:hAnsi="Calibri" w:cs="Calibri"/>
          <w:color w:val="000000"/>
          <w:sz w:val="24"/>
          <w:szCs w:val="24"/>
          <w:rtl/>
          <w:lang w:val="en-US" w:bidi="he-IL"/>
        </w:rPr>
        <w:t xml:space="preserve">הצטמצם ב-2.3 אחוזים, אולם האשראי הצרכני הניתן מגופים פיננסיים לא-בנקאיים </w:t>
      </w:r>
      <w:r w:rsidR="0012335D" w:rsidRPr="003272B4">
        <w:rPr>
          <w:rFonts w:ascii="Calibri" w:eastAsia="Georgia" w:hAnsi="Calibri" w:cs="Calibri"/>
          <w:color w:val="000000"/>
          <w:sz w:val="24"/>
          <w:szCs w:val="24"/>
          <w:rtl/>
          <w:lang w:bidi="he-IL"/>
        </w:rPr>
        <w:t xml:space="preserve">התרחב </w:t>
      </w:r>
      <w:r w:rsidR="008B7861" w:rsidRPr="003272B4">
        <w:rPr>
          <w:rFonts w:ascii="Calibri" w:eastAsia="Georgia" w:hAnsi="Calibri" w:cs="Calibri"/>
          <w:color w:val="000000"/>
          <w:sz w:val="24"/>
          <w:szCs w:val="24"/>
          <w:rtl/>
          <w:lang w:val="en-US" w:bidi="he-IL"/>
        </w:rPr>
        <w:t>ו</w:t>
      </w:r>
      <w:r w:rsidR="0012335D" w:rsidRPr="003272B4">
        <w:rPr>
          <w:rFonts w:ascii="Calibri" w:eastAsia="Georgia" w:hAnsi="Calibri" w:cs="Calibri"/>
          <w:color w:val="000000"/>
          <w:sz w:val="24"/>
          <w:szCs w:val="24"/>
          <w:rtl/>
          <w:lang w:val="en-US" w:bidi="he-IL"/>
        </w:rPr>
        <w:t xml:space="preserve">חלקו </w:t>
      </w:r>
      <w:r w:rsidR="008B7861" w:rsidRPr="003272B4">
        <w:rPr>
          <w:rFonts w:ascii="Calibri" w:eastAsia="Georgia" w:hAnsi="Calibri" w:cs="Calibri"/>
          <w:color w:val="000000"/>
          <w:sz w:val="24"/>
          <w:szCs w:val="24"/>
          <w:rtl/>
          <w:lang w:val="en-US" w:bidi="he-IL"/>
        </w:rPr>
        <w:t>מסך האשראי הצרכני גדל</w:t>
      </w:r>
      <w:r w:rsidR="0012335D" w:rsidRPr="003272B4">
        <w:rPr>
          <w:rFonts w:ascii="Calibri" w:eastAsia="Georgia" w:hAnsi="Calibri" w:cs="Calibri"/>
          <w:color w:val="000000"/>
          <w:sz w:val="24"/>
          <w:szCs w:val="24"/>
          <w:rtl/>
          <w:lang w:val="en-US" w:bidi="he-IL"/>
        </w:rPr>
        <w:t xml:space="preserve"> </w:t>
      </w:r>
      <w:r w:rsidRPr="003272B4">
        <w:rPr>
          <w:rFonts w:ascii="Calibri" w:eastAsia="Georgia" w:hAnsi="Calibri" w:cs="Calibri"/>
          <w:color w:val="000000"/>
          <w:sz w:val="24"/>
          <w:szCs w:val="24"/>
          <w:rtl/>
          <w:lang w:bidi="he-IL"/>
        </w:rPr>
        <w:t>מ-14 אחוז</w:t>
      </w:r>
      <w:r w:rsidR="008B7861" w:rsidRPr="003272B4">
        <w:rPr>
          <w:rFonts w:ascii="Calibri" w:eastAsia="Georgia" w:hAnsi="Calibri" w:cs="Calibri"/>
          <w:color w:val="000000"/>
          <w:sz w:val="24"/>
          <w:szCs w:val="24"/>
          <w:rtl/>
          <w:lang w:bidi="he-IL"/>
        </w:rPr>
        <w:t>ים</w:t>
      </w:r>
      <w:r w:rsidRPr="003272B4">
        <w:rPr>
          <w:rFonts w:ascii="Calibri" w:eastAsia="Georgia" w:hAnsi="Calibri" w:cs="Calibri"/>
          <w:color w:val="000000"/>
          <w:sz w:val="24"/>
          <w:szCs w:val="24"/>
          <w:rtl/>
          <w:lang w:bidi="he-IL"/>
        </w:rPr>
        <w:t xml:space="preserve"> </w:t>
      </w:r>
      <w:r w:rsidR="005D29F0" w:rsidRPr="003272B4">
        <w:rPr>
          <w:rFonts w:ascii="Calibri" w:eastAsia="Georgia" w:hAnsi="Calibri" w:cs="Calibri"/>
          <w:color w:val="000000"/>
          <w:sz w:val="24"/>
          <w:szCs w:val="24"/>
          <w:rtl/>
          <w:lang w:bidi="he-IL"/>
        </w:rPr>
        <w:t xml:space="preserve">באפריל 2022 </w:t>
      </w:r>
      <w:r w:rsidRPr="003272B4">
        <w:rPr>
          <w:rFonts w:ascii="Calibri" w:eastAsia="Georgia" w:hAnsi="Calibri" w:cs="Calibri"/>
          <w:color w:val="000000"/>
          <w:sz w:val="24"/>
          <w:szCs w:val="24"/>
          <w:rtl/>
          <w:lang w:bidi="he-IL"/>
        </w:rPr>
        <w:t>ל-</w:t>
      </w:r>
      <w:r w:rsidR="005D29F0" w:rsidRPr="003272B4">
        <w:rPr>
          <w:rFonts w:ascii="Calibri" w:eastAsia="Georgia" w:hAnsi="Calibri" w:cs="Calibri"/>
          <w:color w:val="000000"/>
          <w:sz w:val="24"/>
          <w:szCs w:val="24"/>
          <w:rtl/>
          <w:lang w:bidi="he-IL"/>
        </w:rPr>
        <w:t>18.8 אחוז</w:t>
      </w:r>
      <w:r w:rsidR="008B7861" w:rsidRPr="003272B4">
        <w:rPr>
          <w:rFonts w:ascii="Calibri" w:eastAsia="Georgia" w:hAnsi="Calibri" w:cs="Calibri"/>
          <w:color w:val="000000"/>
          <w:sz w:val="24"/>
          <w:szCs w:val="24"/>
          <w:rtl/>
          <w:lang w:bidi="he-IL"/>
        </w:rPr>
        <w:t>ים</w:t>
      </w:r>
      <w:r w:rsidRPr="003272B4">
        <w:rPr>
          <w:rFonts w:ascii="Calibri" w:eastAsia="Georgia" w:hAnsi="Calibri" w:cs="Calibri"/>
          <w:color w:val="000000"/>
          <w:sz w:val="24"/>
          <w:szCs w:val="24"/>
          <w:rtl/>
          <w:lang w:bidi="he-IL"/>
        </w:rPr>
        <w:t xml:space="preserve"> בספטמבר 2023</w:t>
      </w:r>
      <w:r w:rsidR="00A47635" w:rsidRPr="003272B4">
        <w:rPr>
          <w:rFonts w:ascii="Calibri" w:eastAsia="Georgia" w:hAnsi="Calibri" w:cs="Calibri"/>
          <w:color w:val="000000"/>
          <w:sz w:val="24"/>
          <w:szCs w:val="24"/>
          <w:rtl/>
          <w:lang w:bidi="he-IL"/>
        </w:rPr>
        <w:t>.</w:t>
      </w:r>
    </w:p>
    <w:p w:rsidR="00C96C25" w:rsidRPr="003272B4" w:rsidRDefault="000B0A76" w:rsidP="00291436">
      <w:pPr>
        <w:spacing w:after="0" w:line="240" w:lineRule="auto"/>
        <w:jc w:val="center"/>
        <w:rPr>
          <w:rFonts w:ascii="Calibri" w:eastAsia="Georgia" w:hAnsi="Calibri" w:cs="Calibri"/>
          <w:color w:val="000000"/>
          <w:sz w:val="24"/>
          <w:szCs w:val="24"/>
          <w:rtl/>
          <w:lang w:bidi="he-IL"/>
        </w:rPr>
      </w:pPr>
      <w:r w:rsidRPr="003272B4">
        <w:rPr>
          <w:rFonts w:ascii="Calibri" w:eastAsia="Georgia" w:hAnsi="Calibri" w:cs="Calibri"/>
          <w:b/>
          <w:bCs/>
          <w:color w:val="000000"/>
          <w:sz w:val="24"/>
          <w:szCs w:val="24"/>
          <w:rtl/>
          <w:lang w:bidi="he-IL"/>
        </w:rPr>
        <w:t xml:space="preserve">איור 1: היקף האשראי הצרכני </w:t>
      </w:r>
      <w:r w:rsidR="000C7A1F" w:rsidRPr="003272B4">
        <w:rPr>
          <w:rFonts w:ascii="Calibri" w:eastAsia="Georgia" w:hAnsi="Calibri" w:cs="Calibri"/>
          <w:b/>
          <w:bCs/>
          <w:color w:val="000000"/>
          <w:sz w:val="24"/>
          <w:szCs w:val="24"/>
          <w:rtl/>
          <w:lang w:bidi="he-IL"/>
        </w:rPr>
        <w:t xml:space="preserve">(ללא הלוואות רכב) </w:t>
      </w:r>
      <w:r w:rsidRPr="003272B4">
        <w:rPr>
          <w:rFonts w:ascii="Calibri" w:eastAsia="Georgia" w:hAnsi="Calibri" w:cs="Calibri"/>
          <w:b/>
          <w:bCs/>
          <w:color w:val="000000"/>
          <w:sz w:val="24"/>
          <w:szCs w:val="24"/>
          <w:rtl/>
          <w:lang w:bidi="he-IL"/>
        </w:rPr>
        <w:t>מבנקים ומגופים פיננסיים לא-בנקאיים</w:t>
      </w:r>
    </w:p>
    <w:p w:rsidR="00291436" w:rsidRPr="003272B4" w:rsidRDefault="000B0A76" w:rsidP="00291436">
      <w:pPr>
        <w:spacing w:after="0" w:line="240" w:lineRule="auto"/>
        <w:jc w:val="center"/>
        <w:rPr>
          <w:rFonts w:ascii="Calibri" w:hAnsi="Calibri" w:cs="Calibri"/>
          <w:sz w:val="24"/>
          <w:szCs w:val="24"/>
          <w:rtl/>
          <w:lang w:bidi="he-IL"/>
        </w:rPr>
      </w:pPr>
      <w:r w:rsidRPr="003272B4">
        <w:rPr>
          <w:rFonts w:ascii="Calibri" w:eastAsia="Georgia" w:hAnsi="Calibri" w:cs="Calibri"/>
          <w:b/>
          <w:bCs/>
          <w:color w:val="000000"/>
          <w:sz w:val="24"/>
          <w:szCs w:val="24"/>
          <w:rtl/>
          <w:lang w:bidi="he-IL"/>
        </w:rPr>
        <w:t>מיליארדי ש"ח, ינואר 2021 – ספטמבר 2023</w:t>
      </w:r>
    </w:p>
    <w:p w:rsidR="00291436" w:rsidRPr="003272B4" w:rsidRDefault="000B0A76" w:rsidP="00291436">
      <w:pPr>
        <w:pStyle w:val="NormalWeb"/>
        <w:bidi/>
        <w:spacing w:before="0" w:beforeAutospacing="0" w:after="0" w:afterAutospacing="0"/>
        <w:jc w:val="center"/>
        <w:rPr>
          <w:rFonts w:ascii="Calibri" w:hAnsi="Calibri" w:cs="Calibri"/>
          <w:rtl/>
        </w:rPr>
      </w:pPr>
      <w:r w:rsidRPr="003272B4">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column">
                  <wp:posOffset>2973705</wp:posOffset>
                </wp:positionH>
                <wp:positionV relativeFrom="paragraph">
                  <wp:posOffset>255905</wp:posOffset>
                </wp:positionV>
                <wp:extent cx="0" cy="1565453"/>
                <wp:effectExtent l="19050" t="19050" r="19050" b="15875"/>
                <wp:wrapNone/>
                <wp:docPr id="2" name="מחבר ישר 2"/>
                <wp:cNvGraphicFramePr/>
                <a:graphic xmlns:a="http://schemas.openxmlformats.org/drawingml/2006/main">
                  <a:graphicData uri="http://schemas.microsoft.com/office/word/2010/wordprocessingShape">
                    <wps:wsp>
                      <wps:cNvCnPr/>
                      <wps:spPr>
                        <a:xfrm flipH="1" flipV="1">
                          <a:off x="0" y="0"/>
                          <a:ext cx="0" cy="1565453"/>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w:pict>
              <v:line id="מחבר ישר 2" o:spid="_x0000_s1025" style="flip:x y;mso-height-percent:0;mso-height-relative:margin;mso-width-percent:0;mso-width-relative:margin;mso-wrap-distance-bottom:0;mso-wrap-distance-left:9pt;mso-wrap-distance-right:9pt;mso-wrap-distance-top:0;mso-wrap-style:square;position:absolute;visibility:visible;z-index:251659264" from="234.15pt,20.15pt" to="234.15pt,143.4pt" strokecolor="black" strokeweight="2.25pt">
                <v:stroke joinstyle="miter"/>
              </v:line>
            </w:pict>
          </mc:Fallback>
        </mc:AlternateContent>
      </w:r>
      <w:r w:rsidRPr="003272B4">
        <w:rPr>
          <w:rFonts w:ascii="Calibri" w:hAnsi="Calibri" w:cs="Calibri"/>
          <w:noProof/>
        </w:rPr>
        <w:drawing>
          <wp:inline distT="0" distB="0" distL="0" distR="0">
            <wp:extent cx="4527937" cy="2560320"/>
            <wp:effectExtent l="0" t="0" r="6350" b="11430"/>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91436" w:rsidRPr="003272B4" w:rsidRDefault="00291436" w:rsidP="00291436">
      <w:pPr>
        <w:pStyle w:val="NormalWeb"/>
        <w:bidi/>
        <w:spacing w:before="0" w:beforeAutospacing="0" w:after="0" w:afterAutospacing="0"/>
        <w:jc w:val="both"/>
        <w:rPr>
          <w:rFonts w:ascii="Calibri" w:hAnsi="Calibri" w:cs="Calibri"/>
          <w:sz w:val="20"/>
          <w:szCs w:val="20"/>
          <w:rtl/>
        </w:rPr>
      </w:pPr>
    </w:p>
    <w:p w:rsidR="00C96C25" w:rsidRPr="003272B4" w:rsidRDefault="000B0A76" w:rsidP="00A47635">
      <w:pPr>
        <w:spacing w:after="210" w:line="360" w:lineRule="auto"/>
        <w:jc w:val="both"/>
        <w:rPr>
          <w:rFonts w:ascii="Calibri" w:hAnsi="Calibri" w:cs="Calibri"/>
          <w:sz w:val="20"/>
          <w:szCs w:val="20"/>
          <w:rtl/>
          <w:lang w:bidi="he-IL"/>
        </w:rPr>
      </w:pPr>
      <w:r w:rsidRPr="003272B4">
        <w:rPr>
          <w:rFonts w:ascii="Calibri" w:eastAsia="Georgia" w:hAnsi="Calibri" w:cs="Calibri"/>
          <w:color w:val="000000"/>
          <w:sz w:val="20"/>
          <w:szCs w:val="20"/>
          <w:rtl/>
          <w:lang w:bidi="he-IL"/>
        </w:rPr>
        <w:t>הערות: "אשראי" כולל הלוואות צרכניות, משיכת יתר ואשראי נושא ריבית</w:t>
      </w:r>
      <w:r w:rsidR="000D24BB" w:rsidRPr="003272B4">
        <w:rPr>
          <w:rFonts w:ascii="Calibri" w:eastAsia="Georgia" w:hAnsi="Calibri" w:cs="Calibri"/>
          <w:color w:val="000000"/>
          <w:sz w:val="20"/>
          <w:szCs w:val="20"/>
          <w:rtl/>
          <w:lang w:bidi="he-IL"/>
        </w:rPr>
        <w:t>, ואינו כולל הלוואות לרכישת רכב</w:t>
      </w:r>
      <w:r w:rsidRPr="003272B4">
        <w:rPr>
          <w:rFonts w:ascii="Calibri" w:eastAsia="Georgia" w:hAnsi="Calibri" w:cs="Calibri"/>
          <w:color w:val="000000"/>
          <w:sz w:val="20"/>
          <w:szCs w:val="20"/>
          <w:rtl/>
          <w:lang w:bidi="he-IL"/>
        </w:rPr>
        <w:t>. הקו האנכי מציין את מועד תחילת העלאות הריבית</w:t>
      </w:r>
      <w:r w:rsidR="00291436" w:rsidRPr="003272B4">
        <w:rPr>
          <w:rFonts w:ascii="Calibri" w:eastAsia="Georgia" w:hAnsi="Calibri" w:cs="Calibri"/>
          <w:color w:val="000000"/>
          <w:sz w:val="20"/>
          <w:szCs w:val="20"/>
          <w:rtl/>
          <w:lang w:bidi="he-IL"/>
        </w:rPr>
        <w:t>.</w:t>
      </w:r>
      <w:r w:rsidRPr="003272B4">
        <w:rPr>
          <w:rFonts w:ascii="Calibri" w:eastAsia="Georgia" w:hAnsi="Calibri" w:cs="Calibri"/>
          <w:color w:val="000000"/>
          <w:sz w:val="20"/>
          <w:szCs w:val="20"/>
          <w:rtl/>
          <w:lang w:bidi="he-IL"/>
        </w:rPr>
        <w:t xml:space="preserve"> </w:t>
      </w:r>
    </w:p>
    <w:p w:rsidR="00C96C25" w:rsidRPr="003272B4" w:rsidRDefault="000B0A76" w:rsidP="0053602C">
      <w:pPr>
        <w:spacing w:after="210" w:line="360" w:lineRule="auto"/>
        <w:ind w:right="426"/>
        <w:jc w:val="both"/>
        <w:rPr>
          <w:rFonts w:ascii="Calibri" w:hAnsi="Calibri" w:cs="Calibri"/>
          <w:sz w:val="24"/>
          <w:szCs w:val="24"/>
          <w:rtl/>
          <w:lang w:bidi="he-IL"/>
        </w:rPr>
      </w:pPr>
      <w:r w:rsidRPr="003272B4">
        <w:rPr>
          <w:rFonts w:ascii="Calibri" w:eastAsia="Georgia" w:hAnsi="Calibri" w:cs="Calibri"/>
          <w:color w:val="000000"/>
          <w:sz w:val="24"/>
          <w:szCs w:val="24"/>
          <w:rtl/>
          <w:lang w:bidi="he-IL"/>
        </w:rPr>
        <w:t>בעזרת נתונים ממאגר האשראי הקמעונאי ושיטות ניתוח אמפיריות מתקדמות, המחקר מאשש את הקשר בין העלאות הריבית לבין השינוי במבנה השוק. בתגובה להעלאות הריבית, הבנקים צמצמו את היקפי האשראי הצרכני, אך חלק מן האשראי שצומצם על ידם הוחלף באשראי שהעמידו גופים פיננסיים לא-בנקאיים. כתוצאה מכך חלקם של גופים אלה בשוק</w:t>
      </w:r>
      <w:r w:rsidR="005D29F0" w:rsidRPr="003272B4">
        <w:rPr>
          <w:rFonts w:ascii="Calibri" w:eastAsia="Georgia" w:hAnsi="Calibri" w:cs="Calibri"/>
          <w:color w:val="000000"/>
          <w:sz w:val="24"/>
          <w:szCs w:val="24"/>
          <w:rtl/>
          <w:lang w:bidi="he-IL"/>
        </w:rPr>
        <w:t xml:space="preserve"> המשיך לגדול</w:t>
      </w:r>
      <w:r w:rsidR="000C7A1F" w:rsidRPr="003272B4">
        <w:rPr>
          <w:rFonts w:ascii="Calibri" w:eastAsia="Georgia" w:hAnsi="Calibri" w:cs="Calibri"/>
          <w:color w:val="000000"/>
          <w:sz w:val="24"/>
          <w:szCs w:val="24"/>
          <w:rtl/>
          <w:lang w:bidi="he-IL"/>
        </w:rPr>
        <w:t>, בהמשך למגמה שנצפתה עוד קודם להעלאות הריבית</w:t>
      </w:r>
      <w:r w:rsidRPr="003272B4">
        <w:rPr>
          <w:rFonts w:ascii="Calibri" w:eastAsia="Georgia" w:hAnsi="Calibri" w:cs="Calibri"/>
          <w:color w:val="000000"/>
          <w:sz w:val="24"/>
          <w:szCs w:val="24"/>
          <w:rtl/>
          <w:lang w:bidi="he-IL"/>
        </w:rPr>
        <w:t xml:space="preserve">. אומדן להשפעה זו מוצג באיור 2, המתאר את עוצמת ההשפעה של הפתעה מוניטרית </w:t>
      </w:r>
      <w:r w:rsidR="00A47635" w:rsidRPr="003272B4">
        <w:rPr>
          <w:rFonts w:ascii="Calibri" w:eastAsia="Georgia" w:hAnsi="Calibri" w:cs="Calibri"/>
          <w:color w:val="000000"/>
          <w:sz w:val="24"/>
          <w:szCs w:val="24"/>
          <w:rtl/>
          <w:lang w:bidi="he-IL"/>
        </w:rPr>
        <w:t>-</w:t>
      </w:r>
      <w:r w:rsidRPr="003272B4">
        <w:rPr>
          <w:rFonts w:ascii="Calibri" w:eastAsia="Georgia" w:hAnsi="Calibri" w:cs="Calibri"/>
          <w:color w:val="000000"/>
          <w:sz w:val="24"/>
          <w:szCs w:val="24"/>
          <w:rtl/>
          <w:lang w:bidi="he-IL"/>
        </w:rPr>
        <w:t xml:space="preserve"> כלומר, העלאת ריבית שלא נצפתה מראש על ידי השוק </w:t>
      </w:r>
      <w:r w:rsidR="00A47635" w:rsidRPr="003272B4">
        <w:rPr>
          <w:rFonts w:ascii="Calibri" w:eastAsia="Georgia" w:hAnsi="Calibri" w:cs="Calibri"/>
          <w:color w:val="000000"/>
          <w:sz w:val="24"/>
          <w:szCs w:val="24"/>
          <w:rtl/>
          <w:lang w:bidi="he-IL"/>
        </w:rPr>
        <w:t>-</w:t>
      </w:r>
      <w:r w:rsidRPr="003272B4">
        <w:rPr>
          <w:rFonts w:ascii="Calibri" w:eastAsia="Georgia" w:hAnsi="Calibri" w:cs="Calibri"/>
          <w:color w:val="000000"/>
          <w:sz w:val="24"/>
          <w:szCs w:val="24"/>
          <w:rtl/>
          <w:lang w:bidi="he-IL"/>
        </w:rPr>
        <w:t xml:space="preserve"> על חלקו של האשראי שמעמידים הגופים הפיננסיים הלא-בנקאיים</w:t>
      </w:r>
      <w:r w:rsidR="00A47635" w:rsidRPr="003272B4">
        <w:rPr>
          <w:rFonts w:ascii="Calibri" w:eastAsia="Georgia" w:hAnsi="Calibri" w:cs="Calibri"/>
          <w:color w:val="000000"/>
          <w:sz w:val="24"/>
          <w:szCs w:val="24"/>
          <w:rtl/>
          <w:lang w:bidi="he-IL"/>
        </w:rPr>
        <w:t xml:space="preserve"> (</w:t>
      </w:r>
      <w:r w:rsidRPr="003272B4">
        <w:rPr>
          <w:rFonts w:ascii="Calibri" w:eastAsia="Georgia" w:hAnsi="Calibri" w:cs="Calibri"/>
          <w:color w:val="000000"/>
          <w:sz w:val="24"/>
          <w:szCs w:val="24"/>
          <w:rtl/>
          <w:lang w:bidi="he-IL"/>
        </w:rPr>
        <w:t>לאחר חודש, חודשיים וכן הלאה</w:t>
      </w:r>
      <w:r w:rsidR="00A47635" w:rsidRPr="003272B4">
        <w:rPr>
          <w:rFonts w:ascii="Calibri" w:eastAsia="Georgia" w:hAnsi="Calibri" w:cs="Calibri"/>
          <w:color w:val="000000"/>
          <w:sz w:val="24"/>
          <w:szCs w:val="24"/>
          <w:rtl/>
          <w:lang w:bidi="he-IL"/>
        </w:rPr>
        <w:t>)</w:t>
      </w:r>
      <w:r w:rsidR="00A47635" w:rsidRPr="003272B4">
        <w:rPr>
          <w:rFonts w:ascii="Calibri" w:eastAsia="Georgia" w:hAnsi="Calibri" w:cs="Calibri"/>
          <w:color w:val="000000"/>
          <w:sz w:val="24"/>
          <w:szCs w:val="24"/>
          <w:rtl/>
          <w:lang w:val="en-US" w:bidi="he-IL"/>
        </w:rPr>
        <w:t xml:space="preserve">. </w:t>
      </w:r>
      <w:r w:rsidRPr="003272B4">
        <w:rPr>
          <w:rFonts w:ascii="Calibri" w:eastAsia="Georgia" w:hAnsi="Calibri" w:cs="Calibri"/>
          <w:color w:val="000000"/>
          <w:sz w:val="24"/>
          <w:szCs w:val="24"/>
          <w:rtl/>
          <w:lang w:bidi="he-IL"/>
        </w:rPr>
        <w:t>מן האיור עולה כי השפעה זו מגיעה לשיאה לאחר</w:t>
      </w:r>
      <w:r w:rsidR="00A47635" w:rsidRPr="003272B4">
        <w:rPr>
          <w:rFonts w:ascii="Calibri" w:eastAsia="Georgia" w:hAnsi="Calibri" w:cs="Calibri"/>
          <w:color w:val="000000"/>
          <w:sz w:val="24"/>
          <w:szCs w:val="24"/>
          <w:rtl/>
          <w:lang w:bidi="he-IL"/>
        </w:rPr>
        <w:t xml:space="preserve"> </w:t>
      </w:r>
      <w:r w:rsidRPr="003272B4">
        <w:rPr>
          <w:rFonts w:ascii="Calibri" w:eastAsia="Georgia" w:hAnsi="Calibri" w:cs="Calibri"/>
          <w:color w:val="000000"/>
          <w:sz w:val="24"/>
          <w:szCs w:val="24"/>
          <w:rtl/>
          <w:lang w:bidi="he-IL"/>
        </w:rPr>
        <w:t>כשנה ממועד העלאת הריבית. במצטבר, המחקר מוצא כי הפתעות המדיניות המוניטרית של בנק ישראל בשנים מסבירות למעלה מ-58 אחוז מהגידול בנתח השוק של הגופים הפיננסיים הלא-בנקאיים בתקופה זו</w:t>
      </w:r>
      <w:r w:rsidR="00A47635" w:rsidRPr="003272B4">
        <w:rPr>
          <w:rFonts w:ascii="Calibri" w:eastAsia="Georgia" w:hAnsi="Calibri" w:cs="Calibri"/>
          <w:color w:val="000000"/>
          <w:sz w:val="24"/>
          <w:szCs w:val="24"/>
          <w:rtl/>
          <w:lang w:bidi="he-IL"/>
        </w:rPr>
        <w:t>.</w:t>
      </w:r>
    </w:p>
    <w:p w:rsidR="002877B9" w:rsidRPr="003272B4" w:rsidRDefault="002877B9" w:rsidP="00291436">
      <w:pPr>
        <w:spacing w:after="210" w:line="360" w:lineRule="auto"/>
        <w:jc w:val="center"/>
        <w:rPr>
          <w:rFonts w:ascii="Calibri" w:eastAsia="Georgia" w:hAnsi="Calibri" w:cs="Calibri"/>
          <w:b/>
          <w:bCs/>
          <w:color w:val="000000"/>
          <w:sz w:val="24"/>
          <w:szCs w:val="24"/>
          <w:rtl/>
          <w:lang w:bidi="he-IL"/>
        </w:rPr>
      </w:pPr>
    </w:p>
    <w:p w:rsidR="002877B9" w:rsidRPr="003272B4" w:rsidRDefault="002877B9" w:rsidP="00291436">
      <w:pPr>
        <w:spacing w:after="210" w:line="360" w:lineRule="auto"/>
        <w:jc w:val="center"/>
        <w:rPr>
          <w:rFonts w:ascii="Calibri" w:eastAsia="Georgia" w:hAnsi="Calibri" w:cs="Calibri"/>
          <w:b/>
          <w:bCs/>
          <w:color w:val="000000"/>
          <w:sz w:val="24"/>
          <w:szCs w:val="24"/>
          <w:rtl/>
          <w:lang w:bidi="he-IL"/>
        </w:rPr>
      </w:pPr>
    </w:p>
    <w:p w:rsidR="002877B9" w:rsidRPr="003272B4" w:rsidRDefault="002877B9" w:rsidP="00291436">
      <w:pPr>
        <w:spacing w:after="210" w:line="360" w:lineRule="auto"/>
        <w:jc w:val="center"/>
        <w:rPr>
          <w:rFonts w:ascii="Calibri" w:eastAsia="Georgia" w:hAnsi="Calibri" w:cs="Calibri"/>
          <w:b/>
          <w:bCs/>
          <w:color w:val="000000"/>
          <w:sz w:val="24"/>
          <w:szCs w:val="24"/>
          <w:rtl/>
          <w:lang w:bidi="he-IL"/>
        </w:rPr>
      </w:pPr>
    </w:p>
    <w:p w:rsidR="00C96C25" w:rsidRPr="003272B4" w:rsidRDefault="000B0A76" w:rsidP="00291436">
      <w:pPr>
        <w:spacing w:after="210" w:line="360" w:lineRule="auto"/>
        <w:jc w:val="center"/>
        <w:rPr>
          <w:rFonts w:ascii="Calibri" w:eastAsia="Georgia" w:hAnsi="Calibri" w:cs="Calibri"/>
          <w:color w:val="000000"/>
          <w:sz w:val="24"/>
          <w:szCs w:val="24"/>
          <w:rtl/>
          <w:lang w:bidi="he-IL"/>
        </w:rPr>
      </w:pPr>
      <w:r w:rsidRPr="003272B4">
        <w:rPr>
          <w:rFonts w:ascii="Calibri" w:eastAsia="Georgia" w:hAnsi="Calibri" w:cs="Calibri"/>
          <w:b/>
          <w:bCs/>
          <w:color w:val="000000"/>
          <w:sz w:val="24"/>
          <w:szCs w:val="24"/>
          <w:rtl/>
          <w:lang w:bidi="he-IL"/>
        </w:rPr>
        <w:t>איור 2: אומדן להשפעת הפתעה מוניטרית על חלק האשראי הצרכני מגופים פיננסיים לא-בנקאיים, לפי מספר החודשים שחלפו ממועד ההפתעה</w:t>
      </w:r>
    </w:p>
    <w:p w:rsidR="00291436" w:rsidRPr="003272B4" w:rsidRDefault="000B0A76" w:rsidP="00291436">
      <w:pPr>
        <w:spacing w:after="210" w:line="360" w:lineRule="auto"/>
        <w:jc w:val="center"/>
        <w:rPr>
          <w:rFonts w:ascii="Calibri" w:hAnsi="Calibri" w:cs="Calibri"/>
          <w:sz w:val="24"/>
          <w:szCs w:val="24"/>
          <w:rtl/>
          <w:lang w:bidi="he-IL"/>
        </w:rPr>
      </w:pPr>
      <w:r w:rsidRPr="003272B4">
        <w:rPr>
          <w:rFonts w:ascii="Calibri" w:hAnsi="Calibri" w:cs="Calibri"/>
          <w:noProof/>
          <w:lang w:val="en-US" w:bidi="he-IL"/>
        </w:rPr>
        <w:drawing>
          <wp:inline distT="0" distB="0" distL="0" distR="0">
            <wp:extent cx="4740729" cy="2388870"/>
            <wp:effectExtent l="0" t="0" r="3175" b="11430"/>
            <wp:docPr id="3" name="תרשים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96C25" w:rsidRPr="003272B4" w:rsidRDefault="000B0A76" w:rsidP="00A47635">
      <w:pPr>
        <w:spacing w:after="210" w:line="360" w:lineRule="auto"/>
        <w:jc w:val="both"/>
        <w:rPr>
          <w:rFonts w:ascii="Calibri" w:hAnsi="Calibri" w:cs="Calibri"/>
          <w:sz w:val="20"/>
          <w:szCs w:val="20"/>
          <w:rtl/>
          <w:lang w:bidi="he-IL"/>
        </w:rPr>
      </w:pPr>
      <w:r w:rsidRPr="003272B4">
        <w:rPr>
          <w:rFonts w:ascii="Calibri" w:eastAsia="Georgia" w:hAnsi="Calibri" w:cs="Calibri"/>
          <w:color w:val="000000"/>
          <w:sz w:val="20"/>
          <w:szCs w:val="20"/>
          <w:rtl/>
          <w:lang w:bidi="he-IL"/>
        </w:rPr>
        <w:t>הערות: השטח המוצלל מציג את רווח בר-הסמך ברמת 95 אחוז</w:t>
      </w:r>
      <w:r w:rsidR="00291436" w:rsidRPr="003272B4">
        <w:rPr>
          <w:rFonts w:ascii="Calibri" w:eastAsia="Georgia" w:hAnsi="Calibri" w:cs="Calibri"/>
          <w:color w:val="000000"/>
          <w:sz w:val="20"/>
          <w:szCs w:val="20"/>
          <w:rtl/>
          <w:lang w:bidi="he-IL"/>
        </w:rPr>
        <w:t>.</w:t>
      </w:r>
      <w:r w:rsidRPr="003272B4">
        <w:rPr>
          <w:rFonts w:ascii="Calibri" w:eastAsia="Georgia" w:hAnsi="Calibri" w:cs="Calibri"/>
          <w:color w:val="000000"/>
          <w:sz w:val="20"/>
          <w:szCs w:val="20"/>
          <w:rtl/>
          <w:lang w:bidi="he-IL"/>
        </w:rPr>
        <w:t xml:space="preserve"> </w:t>
      </w:r>
    </w:p>
    <w:p w:rsidR="005D5473" w:rsidRPr="003272B4" w:rsidRDefault="000B0A76" w:rsidP="000B0A76">
      <w:pPr>
        <w:spacing w:after="210" w:line="360" w:lineRule="auto"/>
        <w:ind w:right="426"/>
        <w:jc w:val="both"/>
        <w:rPr>
          <w:rFonts w:ascii="Calibri" w:eastAsia="Georgia" w:hAnsi="Calibri" w:cs="Calibri"/>
          <w:color w:val="000000"/>
          <w:sz w:val="24"/>
          <w:szCs w:val="24"/>
          <w:rtl/>
        </w:rPr>
      </w:pPr>
      <w:bookmarkStart w:id="2" w:name="_Hlk228785267"/>
      <w:r w:rsidRPr="003272B4">
        <w:rPr>
          <w:rFonts w:ascii="Calibri" w:eastAsia="Georgia" w:hAnsi="Calibri" w:cs="Calibri"/>
          <w:color w:val="000000"/>
          <w:sz w:val="24"/>
          <w:szCs w:val="24"/>
          <w:rtl/>
          <w:lang w:bidi="he-IL"/>
        </w:rPr>
        <w:t>ההסבר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המרכזי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לתופעה</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נעוץ</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בהבדלים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בין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מקורות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המימון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של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הבנקים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לבין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אלה</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של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הגופים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הפיננסיים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הלא</w:t>
      </w:r>
      <w:r w:rsidRPr="003272B4">
        <w:rPr>
          <w:rFonts w:ascii="Calibri" w:eastAsia="Georgia" w:hAnsi="Calibri" w:cs="Calibri"/>
          <w:color w:val="000000"/>
          <w:sz w:val="24"/>
          <w:szCs w:val="24"/>
          <w:rtl/>
        </w:rPr>
        <w:t>-</w:t>
      </w:r>
      <w:r w:rsidRPr="003272B4">
        <w:rPr>
          <w:rFonts w:ascii="Calibri" w:eastAsia="Georgia" w:hAnsi="Calibri" w:cs="Calibri"/>
          <w:color w:val="000000"/>
          <w:sz w:val="24"/>
          <w:szCs w:val="24"/>
          <w:rtl/>
          <w:lang w:bidi="he-IL"/>
        </w:rPr>
        <w:t>בנקאיים</w:t>
      </w:r>
      <w:r w:rsidRPr="003272B4">
        <w:rPr>
          <w:rFonts w:ascii="Calibri" w:eastAsia="Georgia" w:hAnsi="Calibri" w:cs="Calibri"/>
          <w:color w:val="000000"/>
          <w:sz w:val="24"/>
          <w:szCs w:val="24"/>
          <w:rtl/>
        </w:rPr>
        <w:t xml:space="preserve">: </w:t>
      </w:r>
      <w:r w:rsidR="00693AFC" w:rsidRPr="003272B4">
        <w:rPr>
          <w:rFonts w:ascii="Calibri" w:eastAsia="Georgia" w:hAnsi="Calibri" w:cs="Calibri"/>
          <w:color w:val="000000"/>
          <w:sz w:val="24"/>
          <w:szCs w:val="24"/>
          <w:rtl/>
          <w:lang w:bidi="he-IL"/>
        </w:rPr>
        <w:t>בניגוד לבנקים</w:t>
      </w:r>
      <w:r w:rsidR="00A12631" w:rsidRPr="003272B4">
        <w:rPr>
          <w:rFonts w:ascii="Calibri" w:eastAsia="Georgia" w:hAnsi="Calibri" w:cs="Calibri"/>
          <w:color w:val="000000"/>
          <w:sz w:val="24"/>
          <w:szCs w:val="24"/>
          <w:rtl/>
          <w:lang w:bidi="he-IL"/>
        </w:rPr>
        <w:t>,</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הנשענים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בעיקר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על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פיקדונות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קצרי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טווח</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של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הציבור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כמקור לפעילותם, הגופים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הפיננסיים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הלא</w:t>
      </w:r>
      <w:r w:rsidRPr="003272B4">
        <w:rPr>
          <w:rFonts w:ascii="Calibri" w:eastAsia="Georgia" w:hAnsi="Calibri" w:cs="Calibri"/>
          <w:color w:val="000000"/>
          <w:sz w:val="24"/>
          <w:szCs w:val="24"/>
          <w:rtl/>
        </w:rPr>
        <w:t>-</w:t>
      </w:r>
      <w:r w:rsidRPr="003272B4">
        <w:rPr>
          <w:rFonts w:ascii="Calibri" w:eastAsia="Georgia" w:hAnsi="Calibri" w:cs="Calibri"/>
          <w:color w:val="000000"/>
          <w:sz w:val="24"/>
          <w:szCs w:val="24"/>
          <w:rtl/>
          <w:lang w:bidi="he-IL"/>
        </w:rPr>
        <w:t>בנקאיים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מסתמכים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יותר על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מימון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לטווח</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ארוך</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מאחר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שהריבית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לטווח</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ארוך</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מגיבה</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באופן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חלקי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בלבד</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לשינויים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בריבית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בנק</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ישראל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חשיפתם</w:t>
      </w:r>
      <w:r w:rsidRPr="003272B4">
        <w:rPr>
          <w:rFonts w:ascii="Calibri" w:eastAsia="Georgia" w:hAnsi="Calibri" w:cs="Calibri"/>
          <w:color w:val="000000"/>
          <w:sz w:val="24"/>
          <w:szCs w:val="24"/>
          <w:rtl/>
        </w:rPr>
        <w:t xml:space="preserve"> </w:t>
      </w:r>
      <w:r w:rsidR="00A12631" w:rsidRPr="003272B4">
        <w:rPr>
          <w:rFonts w:ascii="Calibri" w:eastAsia="Georgia" w:hAnsi="Calibri" w:cs="Calibri"/>
          <w:color w:val="000000"/>
          <w:sz w:val="24"/>
          <w:szCs w:val="24"/>
          <w:rtl/>
          <w:lang w:bidi="he-IL"/>
        </w:rPr>
        <w:t xml:space="preserve">של גופים אלה </w:t>
      </w:r>
      <w:r w:rsidRPr="003272B4">
        <w:rPr>
          <w:rFonts w:ascii="Calibri" w:eastAsia="Georgia" w:hAnsi="Calibri" w:cs="Calibri"/>
          <w:color w:val="000000"/>
          <w:sz w:val="24"/>
          <w:szCs w:val="24"/>
          <w:rtl/>
          <w:lang w:bidi="he-IL"/>
        </w:rPr>
        <w:t>לעליית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הריבית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נמוכה</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יותר מזו של הבנקים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המחקר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מראה</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כי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לאחר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העלאות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הריבית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גופים</w:t>
      </w:r>
      <w:r w:rsidRPr="003272B4">
        <w:rPr>
          <w:rFonts w:ascii="Calibri" w:eastAsia="Georgia" w:hAnsi="Calibri" w:cs="Calibri"/>
          <w:color w:val="000000"/>
          <w:sz w:val="24"/>
          <w:szCs w:val="24"/>
          <w:rtl/>
        </w:rPr>
        <w:t xml:space="preserve"> </w:t>
      </w:r>
      <w:r w:rsidR="00A12631" w:rsidRPr="003272B4">
        <w:rPr>
          <w:rFonts w:ascii="Calibri" w:eastAsia="Georgia" w:hAnsi="Calibri" w:cs="Calibri"/>
          <w:color w:val="000000"/>
          <w:sz w:val="24"/>
          <w:szCs w:val="24"/>
          <w:rtl/>
          <w:lang w:bidi="he-IL"/>
        </w:rPr>
        <w:t>פיננסיים הלא-בנקאיים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אף</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מגדילים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היקף</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המימון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לטווח</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ארוך</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במאזניהם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בעוד</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הבנקים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אינם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עושים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זאת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הרחבת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מקורות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המימון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מאפשרת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לגופים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הלא</w:t>
      </w:r>
      <w:r w:rsidRPr="003272B4">
        <w:rPr>
          <w:rFonts w:ascii="Calibri" w:eastAsia="Georgia" w:hAnsi="Calibri" w:cs="Calibri"/>
          <w:color w:val="000000"/>
          <w:sz w:val="24"/>
          <w:szCs w:val="24"/>
          <w:rtl/>
        </w:rPr>
        <w:t>-</w:t>
      </w:r>
      <w:r w:rsidRPr="003272B4">
        <w:rPr>
          <w:rFonts w:ascii="Calibri" w:eastAsia="Georgia" w:hAnsi="Calibri" w:cs="Calibri"/>
          <w:color w:val="000000"/>
          <w:sz w:val="24"/>
          <w:szCs w:val="24"/>
          <w:rtl/>
          <w:lang w:bidi="he-IL"/>
        </w:rPr>
        <w:t>בנקאיים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להגדיל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פעילות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האשראי</w:t>
      </w:r>
      <w:r w:rsidRPr="003272B4">
        <w:rPr>
          <w:rFonts w:ascii="Calibri" w:eastAsia="Georgia" w:hAnsi="Calibri" w:cs="Calibri"/>
          <w:color w:val="000000"/>
          <w:sz w:val="24"/>
          <w:szCs w:val="24"/>
          <w:rtl/>
        </w:rPr>
        <w:t xml:space="preserve"> </w:t>
      </w:r>
      <w:r w:rsidR="005A7E03" w:rsidRPr="003272B4">
        <w:rPr>
          <w:rFonts w:ascii="Calibri" w:eastAsia="Georgia" w:hAnsi="Calibri" w:cs="Calibri"/>
          <w:color w:val="000000"/>
          <w:sz w:val="24"/>
          <w:szCs w:val="24"/>
          <w:rtl/>
          <w:lang w:bidi="he-IL"/>
        </w:rPr>
        <w:t xml:space="preserve">הצרכני </w:t>
      </w:r>
      <w:r w:rsidRPr="003272B4">
        <w:rPr>
          <w:rFonts w:ascii="Calibri" w:eastAsia="Georgia" w:hAnsi="Calibri" w:cs="Calibri"/>
          <w:color w:val="000000"/>
          <w:sz w:val="24"/>
          <w:szCs w:val="24"/>
          <w:rtl/>
          <w:lang w:bidi="he-IL"/>
        </w:rPr>
        <w:t>שלהם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ובכך</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לחזק</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מעמדם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בשוק.</w:t>
      </w:r>
    </w:p>
    <w:p w:rsidR="005D5473" w:rsidRPr="003272B4" w:rsidRDefault="000B0A76" w:rsidP="005A7933">
      <w:pPr>
        <w:spacing w:after="210" w:line="360" w:lineRule="auto"/>
        <w:ind w:right="426"/>
        <w:jc w:val="both"/>
        <w:rPr>
          <w:rFonts w:ascii="Calibri" w:eastAsia="Georgia" w:hAnsi="Calibri" w:cs="Calibri"/>
          <w:color w:val="000000"/>
          <w:sz w:val="24"/>
          <w:szCs w:val="24"/>
          <w:rtl/>
          <w:lang w:val="en-US" w:bidi="he-IL"/>
        </w:rPr>
      </w:pPr>
      <w:r w:rsidRPr="003272B4">
        <w:rPr>
          <w:rFonts w:ascii="Calibri" w:eastAsia="Georgia" w:hAnsi="Calibri" w:cs="Calibri"/>
          <w:color w:val="000000"/>
          <w:sz w:val="24"/>
          <w:szCs w:val="24"/>
          <w:rtl/>
          <w:lang w:bidi="he-IL"/>
        </w:rPr>
        <w:t>המחקר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מצביע</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גם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על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כך</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שהמקור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המרכזי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לגידול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במימון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לטווח</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ארוך</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של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הגופים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הפיננסיים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הלא</w:t>
      </w:r>
      <w:r w:rsidRPr="003272B4">
        <w:rPr>
          <w:rFonts w:ascii="Calibri" w:eastAsia="Georgia" w:hAnsi="Calibri" w:cs="Calibri"/>
          <w:color w:val="000000"/>
          <w:sz w:val="24"/>
          <w:szCs w:val="24"/>
          <w:rtl/>
        </w:rPr>
        <w:t>-</w:t>
      </w:r>
      <w:r w:rsidRPr="003272B4">
        <w:rPr>
          <w:rFonts w:ascii="Calibri" w:eastAsia="Georgia" w:hAnsi="Calibri" w:cs="Calibri"/>
          <w:color w:val="000000"/>
          <w:sz w:val="24"/>
          <w:szCs w:val="24"/>
          <w:rtl/>
          <w:lang w:bidi="he-IL"/>
        </w:rPr>
        <w:t>בנקאיים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הוא</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הסטה</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של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חלק</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מהאשראי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הבנקאי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לטובתם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במילים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אחרות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כאשר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בנק</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מצמצם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היקף</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האשראי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הישיר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לצרכנים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הוא</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עשוי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להפנות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חלק</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מהמקורות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הפנויים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למתן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אשראי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לטווח</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ארוך</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לגופים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פיננסיים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לא</w:t>
      </w:r>
      <w:r w:rsidRPr="003272B4">
        <w:rPr>
          <w:rFonts w:ascii="Calibri" w:eastAsia="Georgia" w:hAnsi="Calibri" w:cs="Calibri"/>
          <w:color w:val="000000"/>
          <w:sz w:val="24"/>
          <w:szCs w:val="24"/>
          <w:rtl/>
        </w:rPr>
        <w:t>-</w:t>
      </w:r>
      <w:r w:rsidRPr="003272B4">
        <w:rPr>
          <w:rFonts w:ascii="Calibri" w:eastAsia="Georgia" w:hAnsi="Calibri" w:cs="Calibri"/>
          <w:color w:val="000000"/>
          <w:sz w:val="24"/>
          <w:szCs w:val="24"/>
          <w:rtl/>
          <w:lang w:bidi="he-IL"/>
        </w:rPr>
        <w:t>בנקאיים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גופים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אלה</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משתמשים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בחלק</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מהמימון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שקיבלו</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כדי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להרחיב</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האשראי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הצרכני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שהם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מעניקים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ובכך</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להגדיל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חלקם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בשוק</w:t>
      </w:r>
      <w:r w:rsidR="005A7933" w:rsidRPr="003272B4">
        <w:rPr>
          <w:rFonts w:ascii="Calibri" w:eastAsia="Georgia" w:hAnsi="Calibri" w:cs="Calibri"/>
          <w:color w:val="000000"/>
          <w:sz w:val="24"/>
          <w:szCs w:val="24"/>
          <w:rtl/>
          <w:lang w:val="en-US" w:bidi="he-IL"/>
        </w:rPr>
        <w:t xml:space="preserve"> זה.</w:t>
      </w:r>
      <w:r w:rsidR="005A7933" w:rsidRPr="003272B4">
        <w:rPr>
          <w:rFonts w:ascii="Calibri" w:eastAsia="Georgia" w:hAnsi="Calibri" w:cs="Calibri"/>
          <w:color w:val="000000"/>
          <w:sz w:val="24"/>
          <w:szCs w:val="24"/>
          <w:lang w:val="en-US"/>
        </w:rPr>
        <w:t xml:space="preserve"> </w:t>
      </w:r>
    </w:p>
    <w:p w:rsidR="005D5473" w:rsidRPr="003272B4" w:rsidRDefault="000B0A76" w:rsidP="005D5473">
      <w:pPr>
        <w:spacing w:after="210" w:line="360" w:lineRule="auto"/>
        <w:ind w:right="426"/>
        <w:jc w:val="both"/>
        <w:rPr>
          <w:rFonts w:ascii="Calibri" w:eastAsia="Georgia" w:hAnsi="Calibri" w:cs="Calibri"/>
          <w:color w:val="000000"/>
          <w:sz w:val="24"/>
          <w:szCs w:val="24"/>
          <w:lang w:val="en-US"/>
        </w:rPr>
      </w:pPr>
      <w:r w:rsidRPr="003272B4">
        <w:rPr>
          <w:rFonts w:ascii="Calibri" w:eastAsia="Georgia" w:hAnsi="Calibri" w:cs="Calibri"/>
          <w:color w:val="000000"/>
          <w:sz w:val="24"/>
          <w:szCs w:val="24"/>
          <w:rtl/>
          <w:lang w:bidi="he-IL"/>
        </w:rPr>
        <w:lastRenderedPageBreak/>
        <w:t>המחקר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בחן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גם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האם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הגידול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באשראי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הצרכני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מצד</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הגופים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הלא</w:t>
      </w:r>
      <w:r w:rsidRPr="003272B4">
        <w:rPr>
          <w:rFonts w:ascii="Calibri" w:eastAsia="Georgia" w:hAnsi="Calibri" w:cs="Calibri"/>
          <w:color w:val="000000"/>
          <w:sz w:val="24"/>
          <w:szCs w:val="24"/>
          <w:rtl/>
        </w:rPr>
        <w:t>-</w:t>
      </w:r>
      <w:r w:rsidRPr="003272B4">
        <w:rPr>
          <w:rFonts w:ascii="Calibri" w:eastAsia="Georgia" w:hAnsi="Calibri" w:cs="Calibri"/>
          <w:color w:val="000000"/>
          <w:sz w:val="24"/>
          <w:szCs w:val="24"/>
          <w:rtl/>
          <w:lang w:bidi="he-IL"/>
        </w:rPr>
        <w:t>בנקאיים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נובע</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מהרחבת</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האשראי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ללווים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בעלי</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פרופיל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סיכון</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גבוה</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יותר</w:t>
      </w:r>
      <w:r w:rsidRPr="003272B4">
        <w:rPr>
          <w:rFonts w:ascii="Calibri" w:eastAsia="Georgia" w:hAnsi="Calibri" w:cs="Calibri"/>
          <w:color w:val="000000"/>
          <w:sz w:val="24"/>
          <w:szCs w:val="24"/>
          <w:rtl/>
        </w:rPr>
        <w:t xml:space="preserve"> – </w:t>
      </w:r>
      <w:r w:rsidRPr="003272B4">
        <w:rPr>
          <w:rFonts w:ascii="Calibri" w:eastAsia="Georgia" w:hAnsi="Calibri" w:cs="Calibri"/>
          <w:color w:val="000000"/>
          <w:sz w:val="24"/>
          <w:szCs w:val="24"/>
          <w:rtl/>
          <w:lang w:bidi="he-IL"/>
        </w:rPr>
        <w:t>למשל</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לווים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שהבנקים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נוטים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שלא</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לאשר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להם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אשראי</w:t>
      </w:r>
      <w:r w:rsidRPr="003272B4">
        <w:rPr>
          <w:rFonts w:ascii="Calibri" w:eastAsia="Georgia" w:hAnsi="Calibri" w:cs="Calibri"/>
          <w:color w:val="000000"/>
          <w:sz w:val="24"/>
          <w:szCs w:val="24"/>
          <w:rtl/>
        </w:rPr>
        <w:t xml:space="preserve"> – </w:t>
      </w:r>
      <w:r w:rsidRPr="003272B4">
        <w:rPr>
          <w:rFonts w:ascii="Calibri" w:eastAsia="Georgia" w:hAnsi="Calibri" w:cs="Calibri"/>
          <w:color w:val="000000"/>
          <w:sz w:val="24"/>
          <w:szCs w:val="24"/>
          <w:rtl/>
          <w:lang w:bidi="he-IL"/>
        </w:rPr>
        <w:t>אך</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הממצאים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אינם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תומכים</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בהסבר</w:t>
      </w:r>
      <w:r w:rsidRPr="003272B4">
        <w:rPr>
          <w:rFonts w:ascii="Calibri" w:eastAsia="Georgia" w:hAnsi="Calibri" w:cs="Calibri"/>
          <w:color w:val="000000"/>
          <w:sz w:val="24"/>
          <w:szCs w:val="24"/>
          <w:rtl/>
        </w:rPr>
        <w:t xml:space="preserve"> </w:t>
      </w:r>
      <w:r w:rsidRPr="003272B4">
        <w:rPr>
          <w:rFonts w:ascii="Calibri" w:eastAsia="Georgia" w:hAnsi="Calibri" w:cs="Calibri"/>
          <w:color w:val="000000"/>
          <w:sz w:val="24"/>
          <w:szCs w:val="24"/>
          <w:rtl/>
          <w:lang w:bidi="he-IL"/>
        </w:rPr>
        <w:t>זה</w:t>
      </w:r>
      <w:r w:rsidRPr="003272B4">
        <w:rPr>
          <w:rFonts w:ascii="Calibri" w:eastAsia="Georgia" w:hAnsi="Calibri" w:cs="Calibri"/>
          <w:color w:val="000000"/>
          <w:sz w:val="24"/>
          <w:szCs w:val="24"/>
          <w:lang w:val="en-US"/>
        </w:rPr>
        <w:t>.</w:t>
      </w:r>
    </w:p>
    <w:bookmarkEnd w:id="2"/>
    <w:p w:rsidR="00C96C25" w:rsidRPr="003272B4" w:rsidRDefault="000B0A76" w:rsidP="00D41B13">
      <w:pPr>
        <w:spacing w:after="210" w:line="360" w:lineRule="auto"/>
        <w:ind w:right="426"/>
        <w:jc w:val="both"/>
        <w:rPr>
          <w:rFonts w:ascii="Calibri" w:hAnsi="Calibri" w:cs="Calibri"/>
          <w:sz w:val="24"/>
          <w:szCs w:val="24"/>
          <w:rtl/>
          <w:lang w:bidi="he-IL"/>
        </w:rPr>
      </w:pPr>
      <w:r w:rsidRPr="003272B4">
        <w:rPr>
          <w:rFonts w:ascii="Calibri" w:eastAsia="Georgia" w:hAnsi="Calibri" w:cs="Calibri"/>
          <w:color w:val="000000"/>
          <w:sz w:val="24"/>
          <w:szCs w:val="24"/>
          <w:rtl/>
          <w:lang w:bidi="he-IL"/>
        </w:rPr>
        <w:t xml:space="preserve">ממצאי המחקר עשויים לתרום להבנת השפעות ריבית </w:t>
      </w:r>
      <w:r w:rsidR="002877B9" w:rsidRPr="003272B4">
        <w:rPr>
          <w:rFonts w:ascii="Calibri" w:eastAsia="Georgia" w:hAnsi="Calibri" w:cs="Calibri"/>
          <w:color w:val="000000"/>
          <w:sz w:val="24"/>
          <w:szCs w:val="24"/>
          <w:rtl/>
          <w:lang w:bidi="he-IL"/>
        </w:rPr>
        <w:t xml:space="preserve">הבנק המרכזי בסביבה </w:t>
      </w:r>
      <w:r w:rsidRPr="003272B4">
        <w:rPr>
          <w:rFonts w:ascii="Calibri" w:eastAsia="Georgia" w:hAnsi="Calibri" w:cs="Calibri"/>
          <w:color w:val="000000"/>
          <w:sz w:val="24"/>
          <w:szCs w:val="24"/>
          <w:rtl/>
          <w:lang w:bidi="he-IL"/>
        </w:rPr>
        <w:t>שב</w:t>
      </w:r>
      <w:r w:rsidR="002877B9" w:rsidRPr="003272B4">
        <w:rPr>
          <w:rFonts w:ascii="Calibri" w:eastAsia="Georgia" w:hAnsi="Calibri" w:cs="Calibri"/>
          <w:color w:val="000000"/>
          <w:sz w:val="24"/>
          <w:szCs w:val="24"/>
          <w:rtl/>
          <w:lang w:bidi="he-IL"/>
        </w:rPr>
        <w:t>ה</w:t>
      </w:r>
      <w:r w:rsidRPr="003272B4">
        <w:rPr>
          <w:rFonts w:ascii="Calibri" w:eastAsia="Georgia" w:hAnsi="Calibri" w:cs="Calibri"/>
          <w:color w:val="000000"/>
          <w:sz w:val="24"/>
          <w:szCs w:val="24"/>
          <w:rtl/>
          <w:lang w:bidi="he-IL"/>
        </w:rPr>
        <w:t xml:space="preserve"> לצד הבנקים פועלים שחקנים נוספים בשוק האשראי. נוסף על כך, העובדה שגופים פיננסיים לא-בנקאיים נשענים במידה רבה על מימון מן המערכת הבנקאית כדי להרחיב את פעילותם מחדדת את הצורך במסגרת רגולטורית אינטגרטיבית, שתבחן את הבנקים ואת הגופים הפיננסיים הלא-בנקאיים כמכלול אחד ותאפשר פיקוח על הקשרים הפיננסיים ביניהם</w:t>
      </w:r>
      <w:r w:rsidR="00A47635" w:rsidRPr="003272B4">
        <w:rPr>
          <w:rFonts w:ascii="Calibri" w:eastAsia="Georgia" w:hAnsi="Calibri" w:cs="Calibri"/>
          <w:color w:val="000000"/>
          <w:sz w:val="24"/>
          <w:szCs w:val="24"/>
          <w:rtl/>
          <w:lang w:bidi="he-IL"/>
        </w:rPr>
        <w:t>.</w:t>
      </w:r>
    </w:p>
    <w:sectPr w:rsidR="00C96C25" w:rsidRPr="003272B4">
      <w:pgSz w:w="12240" w:h="15840"/>
      <w:pgMar w:top="1365" w:right="1365" w:bottom="1365" w:left="1365"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778847CC" w16cid:durableId="7B57AF5F"/>
  <w16cid:commentId w16cid:paraId="423745B6" w16cid:durableId="412A2EB7"/>
  <w16cid:commentId w16cid:paraId="5D7A2078" w16cid:durableId="1164FCEA"/>
  <w16cid:commentId w16cid:paraId="313C9521" w16cid:durableId="7758F254"/>
  <w16cid:commentId w16cid:paraId="7C31DE4A" w16cid:durableId="4D966775"/>
  <w16cid:commentId w16cid:paraId="2029ABC7" w16cid:durableId="7E6284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54FB8"/>
    <w:multiLevelType w:val="hybridMultilevel"/>
    <w:tmpl w:val="197AA768"/>
    <w:lvl w:ilvl="0" w:tplc="E320D2BE">
      <w:start w:val="1"/>
      <w:numFmt w:val="bullet"/>
      <w:lvlText w:val=""/>
      <w:lvlJc w:val="left"/>
      <w:pPr>
        <w:ind w:left="720" w:hanging="360"/>
      </w:pPr>
      <w:rPr>
        <w:rFonts w:ascii="Symbol" w:hAnsi="Symbol" w:hint="default"/>
      </w:rPr>
    </w:lvl>
    <w:lvl w:ilvl="1" w:tplc="4C0A9B02" w:tentative="1">
      <w:start w:val="1"/>
      <w:numFmt w:val="bullet"/>
      <w:lvlText w:val="o"/>
      <w:lvlJc w:val="left"/>
      <w:pPr>
        <w:ind w:left="1440" w:hanging="360"/>
      </w:pPr>
      <w:rPr>
        <w:rFonts w:ascii="Courier New" w:hAnsi="Courier New" w:cs="Courier New" w:hint="default"/>
      </w:rPr>
    </w:lvl>
    <w:lvl w:ilvl="2" w:tplc="1CB816F0" w:tentative="1">
      <w:start w:val="1"/>
      <w:numFmt w:val="bullet"/>
      <w:lvlText w:val=""/>
      <w:lvlJc w:val="left"/>
      <w:pPr>
        <w:ind w:left="2160" w:hanging="360"/>
      </w:pPr>
      <w:rPr>
        <w:rFonts w:ascii="Wingdings" w:hAnsi="Wingdings" w:hint="default"/>
      </w:rPr>
    </w:lvl>
    <w:lvl w:ilvl="3" w:tplc="3B2C7C5E" w:tentative="1">
      <w:start w:val="1"/>
      <w:numFmt w:val="bullet"/>
      <w:lvlText w:val=""/>
      <w:lvlJc w:val="left"/>
      <w:pPr>
        <w:ind w:left="2880" w:hanging="360"/>
      </w:pPr>
      <w:rPr>
        <w:rFonts w:ascii="Symbol" w:hAnsi="Symbol" w:hint="default"/>
      </w:rPr>
    </w:lvl>
    <w:lvl w:ilvl="4" w:tplc="91142736" w:tentative="1">
      <w:start w:val="1"/>
      <w:numFmt w:val="bullet"/>
      <w:lvlText w:val="o"/>
      <w:lvlJc w:val="left"/>
      <w:pPr>
        <w:ind w:left="3600" w:hanging="360"/>
      </w:pPr>
      <w:rPr>
        <w:rFonts w:ascii="Courier New" w:hAnsi="Courier New" w:cs="Courier New" w:hint="default"/>
      </w:rPr>
    </w:lvl>
    <w:lvl w:ilvl="5" w:tplc="994211AA" w:tentative="1">
      <w:start w:val="1"/>
      <w:numFmt w:val="bullet"/>
      <w:lvlText w:val=""/>
      <w:lvlJc w:val="left"/>
      <w:pPr>
        <w:ind w:left="4320" w:hanging="360"/>
      </w:pPr>
      <w:rPr>
        <w:rFonts w:ascii="Wingdings" w:hAnsi="Wingdings" w:hint="default"/>
      </w:rPr>
    </w:lvl>
    <w:lvl w:ilvl="6" w:tplc="0CC67D52" w:tentative="1">
      <w:start w:val="1"/>
      <w:numFmt w:val="bullet"/>
      <w:lvlText w:val=""/>
      <w:lvlJc w:val="left"/>
      <w:pPr>
        <w:ind w:left="5040" w:hanging="360"/>
      </w:pPr>
      <w:rPr>
        <w:rFonts w:ascii="Symbol" w:hAnsi="Symbol" w:hint="default"/>
      </w:rPr>
    </w:lvl>
    <w:lvl w:ilvl="7" w:tplc="550AF7EC" w:tentative="1">
      <w:start w:val="1"/>
      <w:numFmt w:val="bullet"/>
      <w:lvlText w:val="o"/>
      <w:lvlJc w:val="left"/>
      <w:pPr>
        <w:ind w:left="5760" w:hanging="360"/>
      </w:pPr>
      <w:rPr>
        <w:rFonts w:ascii="Courier New" w:hAnsi="Courier New" w:cs="Courier New" w:hint="default"/>
      </w:rPr>
    </w:lvl>
    <w:lvl w:ilvl="8" w:tplc="99827A36" w:tentative="1">
      <w:start w:val="1"/>
      <w:numFmt w:val="bullet"/>
      <w:lvlText w:val=""/>
      <w:lvlJc w:val="left"/>
      <w:pPr>
        <w:ind w:left="6480" w:hanging="360"/>
      </w:pPr>
      <w:rPr>
        <w:rFonts w:ascii="Wingdings" w:hAnsi="Wingdings" w:hint="default"/>
      </w:rPr>
    </w:lvl>
  </w:abstractNum>
  <w:abstractNum w:abstractNumId="1" w15:restartNumberingAfterBreak="0">
    <w:nsid w:val="5A390BC8"/>
    <w:multiLevelType w:val="hybridMultilevel"/>
    <w:tmpl w:val="35DA609E"/>
    <w:lvl w:ilvl="0" w:tplc="DBC817AE">
      <w:start w:val="1"/>
      <w:numFmt w:val="bullet"/>
      <w:lvlText w:val=""/>
      <w:lvlJc w:val="left"/>
      <w:pPr>
        <w:tabs>
          <w:tab w:val="num" w:pos="900"/>
        </w:tabs>
        <w:ind w:left="540" w:hanging="360"/>
      </w:pPr>
      <w:rPr>
        <w:rFonts w:ascii="Symbol" w:hAnsi="Symbol" w:hint="default"/>
      </w:rPr>
    </w:lvl>
    <w:lvl w:ilvl="1" w:tplc="B3DC8622">
      <w:numFmt w:val="decimal"/>
      <w:lvlText w:val=""/>
      <w:lvlJc w:val="left"/>
    </w:lvl>
    <w:lvl w:ilvl="2" w:tplc="273A37EE">
      <w:numFmt w:val="decimal"/>
      <w:lvlText w:val=""/>
      <w:lvlJc w:val="left"/>
    </w:lvl>
    <w:lvl w:ilvl="3" w:tplc="36C8027E">
      <w:numFmt w:val="decimal"/>
      <w:lvlText w:val=""/>
      <w:lvlJc w:val="left"/>
    </w:lvl>
    <w:lvl w:ilvl="4" w:tplc="06402E46">
      <w:numFmt w:val="decimal"/>
      <w:lvlText w:val=""/>
      <w:lvlJc w:val="left"/>
    </w:lvl>
    <w:lvl w:ilvl="5" w:tplc="C158D14E">
      <w:numFmt w:val="decimal"/>
      <w:lvlText w:val=""/>
      <w:lvlJc w:val="left"/>
    </w:lvl>
    <w:lvl w:ilvl="6" w:tplc="3DEE3C68">
      <w:numFmt w:val="decimal"/>
      <w:lvlText w:val=""/>
      <w:lvlJc w:val="left"/>
    </w:lvl>
    <w:lvl w:ilvl="7" w:tplc="D5662926">
      <w:numFmt w:val="decimal"/>
      <w:lvlText w:val=""/>
      <w:lvlJc w:val="left"/>
    </w:lvl>
    <w:lvl w:ilvl="8" w:tplc="FB98B95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activeWritingStyle w:appName="MSWord" w:lang="ar-SA"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25"/>
    <w:rsid w:val="000300EC"/>
    <w:rsid w:val="00056D73"/>
    <w:rsid w:val="000758D0"/>
    <w:rsid w:val="00096505"/>
    <w:rsid w:val="000B0A76"/>
    <w:rsid w:val="000C7A1F"/>
    <w:rsid w:val="000D24BB"/>
    <w:rsid w:val="0012335D"/>
    <w:rsid w:val="001528DC"/>
    <w:rsid w:val="001B70A8"/>
    <w:rsid w:val="00273C6F"/>
    <w:rsid w:val="002877B9"/>
    <w:rsid w:val="00291436"/>
    <w:rsid w:val="003272B4"/>
    <w:rsid w:val="00365C81"/>
    <w:rsid w:val="003C3E08"/>
    <w:rsid w:val="003F20C6"/>
    <w:rsid w:val="00474B88"/>
    <w:rsid w:val="004D45BE"/>
    <w:rsid w:val="0053602C"/>
    <w:rsid w:val="005A7933"/>
    <w:rsid w:val="005A7E03"/>
    <w:rsid w:val="005D29F0"/>
    <w:rsid w:val="005D5473"/>
    <w:rsid w:val="00693AFC"/>
    <w:rsid w:val="007306E0"/>
    <w:rsid w:val="008820CD"/>
    <w:rsid w:val="008B7861"/>
    <w:rsid w:val="00906706"/>
    <w:rsid w:val="00996A85"/>
    <w:rsid w:val="009C12EB"/>
    <w:rsid w:val="009D715E"/>
    <w:rsid w:val="00A12631"/>
    <w:rsid w:val="00A26506"/>
    <w:rsid w:val="00A47635"/>
    <w:rsid w:val="00A700BD"/>
    <w:rsid w:val="00B54A25"/>
    <w:rsid w:val="00C5418C"/>
    <w:rsid w:val="00C96C25"/>
    <w:rsid w:val="00D129CA"/>
    <w:rsid w:val="00D41B13"/>
    <w:rsid w:val="00D76A22"/>
    <w:rsid w:val="00E91216"/>
    <w:rsid w:val="00F5051B"/>
    <w:rsid w:val="00F872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ADDE"/>
  <w15:docId w15:val="{A5AA3295-5775-4736-A487-3679A29D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he-IL" w:eastAsia="en-US" w:bidi="ar-SA"/>
      </w:rPr>
    </w:rPrDefault>
    <w:pPrDefault>
      <w:pPr>
        <w:bidi/>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paragraph" w:styleId="NormalWeb">
    <w:name w:val="Normal (Web)"/>
    <w:basedOn w:val="a"/>
    <w:uiPriority w:val="99"/>
    <w:unhideWhenUsed/>
    <w:rsid w:val="00291436"/>
    <w:pPr>
      <w:bidi w:val="0"/>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styleId="a3">
    <w:name w:val="annotation reference"/>
    <w:basedOn w:val="a0"/>
    <w:uiPriority w:val="99"/>
    <w:semiHidden/>
    <w:unhideWhenUsed/>
    <w:rsid w:val="001B70A8"/>
    <w:rPr>
      <w:sz w:val="16"/>
      <w:szCs w:val="16"/>
    </w:rPr>
  </w:style>
  <w:style w:type="paragraph" w:styleId="a4">
    <w:name w:val="annotation text"/>
    <w:basedOn w:val="a"/>
    <w:link w:val="a5"/>
    <w:uiPriority w:val="99"/>
    <w:semiHidden/>
    <w:unhideWhenUsed/>
    <w:rsid w:val="001B70A8"/>
    <w:pPr>
      <w:spacing w:line="240" w:lineRule="auto"/>
    </w:pPr>
    <w:rPr>
      <w:sz w:val="20"/>
      <w:szCs w:val="20"/>
    </w:rPr>
  </w:style>
  <w:style w:type="character" w:customStyle="1" w:styleId="a5">
    <w:name w:val="טקסט הערה תו"/>
    <w:basedOn w:val="a0"/>
    <w:link w:val="a4"/>
    <w:uiPriority w:val="99"/>
    <w:semiHidden/>
    <w:rsid w:val="001B70A8"/>
    <w:rPr>
      <w:sz w:val="20"/>
      <w:szCs w:val="20"/>
    </w:rPr>
  </w:style>
  <w:style w:type="paragraph" w:styleId="a6">
    <w:name w:val="annotation subject"/>
    <w:basedOn w:val="a4"/>
    <w:next w:val="a4"/>
    <w:link w:val="a7"/>
    <w:uiPriority w:val="99"/>
    <w:semiHidden/>
    <w:unhideWhenUsed/>
    <w:rsid w:val="001B70A8"/>
    <w:rPr>
      <w:b/>
      <w:bCs/>
    </w:rPr>
  </w:style>
  <w:style w:type="character" w:customStyle="1" w:styleId="a7">
    <w:name w:val="נושא הערה תו"/>
    <w:basedOn w:val="a5"/>
    <w:link w:val="a6"/>
    <w:uiPriority w:val="99"/>
    <w:semiHidden/>
    <w:rsid w:val="001B70A8"/>
    <w:rPr>
      <w:b/>
      <w:bCs/>
      <w:sz w:val="20"/>
      <w:szCs w:val="20"/>
    </w:rPr>
  </w:style>
  <w:style w:type="paragraph" w:styleId="a8">
    <w:name w:val="Balloon Text"/>
    <w:basedOn w:val="a"/>
    <w:link w:val="a9"/>
    <w:uiPriority w:val="99"/>
    <w:semiHidden/>
    <w:unhideWhenUsed/>
    <w:rsid w:val="001B70A8"/>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1B70A8"/>
    <w:rPr>
      <w:rFonts w:ascii="Tahoma" w:hAnsi="Tahoma" w:cs="Tahoma"/>
      <w:sz w:val="18"/>
      <w:szCs w:val="18"/>
    </w:rPr>
  </w:style>
  <w:style w:type="paragraph" w:styleId="aa">
    <w:name w:val="Revision"/>
    <w:hidden/>
    <w:uiPriority w:val="99"/>
    <w:semiHidden/>
    <w:rsid w:val="00B54A25"/>
    <w:pPr>
      <w:bidi w:val="0"/>
      <w:spacing w:after="0" w:line="240" w:lineRule="auto"/>
    </w:pPr>
  </w:style>
  <w:style w:type="character" w:styleId="ab">
    <w:name w:val="Strong"/>
    <w:basedOn w:val="a0"/>
    <w:uiPriority w:val="22"/>
    <w:qFormat/>
    <w:rsid w:val="00B54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ntfs-jr-01\sys\CCR_USERS\RES\michal_tanya_noam\aggregate%20quantiti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tfs-jr-01\sys\CCR_USERS\RES\michal_tanya_noam\reg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50334310400981"/>
          <c:y val="9.9124182570399039E-2"/>
          <c:w val="0.78740498084291188"/>
          <c:h val="0.60687921822272217"/>
        </c:manualLayout>
      </c:layout>
      <c:lineChart>
        <c:grouping val="standard"/>
        <c:varyColors val="0"/>
        <c:ser>
          <c:idx val="1"/>
          <c:order val="1"/>
          <c:tx>
            <c:v>מוסדות פיננסיים לא-בנקאיים</c:v>
          </c:tx>
          <c:spPr>
            <a:ln w="25400" cap="rnd">
              <a:solidFill>
                <a:srgbClr val="DA8F32"/>
              </a:solidFill>
              <a:prstDash val="solid"/>
              <a:round/>
            </a:ln>
            <a:effectLst>
              <a:outerShdw sx="0" sy="0" rotWithShape="0">
                <a:scrgbClr r="0" g="0" b="0">
                  <a:alpha val="0"/>
                </a:scrgbClr>
              </a:outerShdw>
            </a:effectLst>
          </c:spPr>
          <c:marker>
            <c:symbol val="none"/>
          </c:marker>
          <c:cat>
            <c:numRef>
              <c:f>גיליון1!$A$22:$A$54</c:f>
              <c:numCache>
                <c:formatCode>m/d/yyyy</c:formatCode>
                <c:ptCount val="33"/>
                <c:pt idx="0">
                  <c:v>44227</c:v>
                </c:pt>
                <c:pt idx="1">
                  <c:v>44255</c:v>
                </c:pt>
                <c:pt idx="2">
                  <c:v>44286</c:v>
                </c:pt>
                <c:pt idx="3">
                  <c:v>44316</c:v>
                </c:pt>
                <c:pt idx="4">
                  <c:v>44347</c:v>
                </c:pt>
                <c:pt idx="5">
                  <c:v>44377</c:v>
                </c:pt>
                <c:pt idx="6">
                  <c:v>44408</c:v>
                </c:pt>
                <c:pt idx="7">
                  <c:v>44439</c:v>
                </c:pt>
                <c:pt idx="8">
                  <c:v>44469</c:v>
                </c:pt>
                <c:pt idx="9">
                  <c:v>44500</c:v>
                </c:pt>
                <c:pt idx="10">
                  <c:v>44530</c:v>
                </c:pt>
                <c:pt idx="11">
                  <c:v>44561</c:v>
                </c:pt>
                <c:pt idx="12">
                  <c:v>44592</c:v>
                </c:pt>
                <c:pt idx="13">
                  <c:v>44620</c:v>
                </c:pt>
                <c:pt idx="14">
                  <c:v>44651</c:v>
                </c:pt>
                <c:pt idx="15">
                  <c:v>44681</c:v>
                </c:pt>
                <c:pt idx="16">
                  <c:v>44712</c:v>
                </c:pt>
                <c:pt idx="17">
                  <c:v>44742</c:v>
                </c:pt>
                <c:pt idx="18">
                  <c:v>44773</c:v>
                </c:pt>
                <c:pt idx="19">
                  <c:v>44804</c:v>
                </c:pt>
                <c:pt idx="20">
                  <c:v>44834</c:v>
                </c:pt>
                <c:pt idx="21">
                  <c:v>44865</c:v>
                </c:pt>
                <c:pt idx="22">
                  <c:v>44895</c:v>
                </c:pt>
                <c:pt idx="23">
                  <c:v>44926</c:v>
                </c:pt>
                <c:pt idx="24">
                  <c:v>44957</c:v>
                </c:pt>
                <c:pt idx="25">
                  <c:v>44985</c:v>
                </c:pt>
                <c:pt idx="26">
                  <c:v>45016</c:v>
                </c:pt>
                <c:pt idx="27">
                  <c:v>45046</c:v>
                </c:pt>
                <c:pt idx="28">
                  <c:v>45077</c:v>
                </c:pt>
                <c:pt idx="29">
                  <c:v>45107</c:v>
                </c:pt>
                <c:pt idx="30">
                  <c:v>45138</c:v>
                </c:pt>
                <c:pt idx="31">
                  <c:v>45169</c:v>
                </c:pt>
                <c:pt idx="32">
                  <c:v>45199</c:v>
                </c:pt>
              </c:numCache>
            </c:numRef>
          </c:cat>
          <c:val>
            <c:numRef>
              <c:f>גיליון1!$N$22:$N$54</c:f>
              <c:numCache>
                <c:formatCode>_(* #,##0.00_);_(* \(#,##0.00\);_(* "-"??_);_(@_)</c:formatCode>
                <c:ptCount val="33"/>
                <c:pt idx="0">
                  <c:v>10.574174125000001</c:v>
                </c:pt>
                <c:pt idx="1">
                  <c:v>10.638931845</c:v>
                </c:pt>
                <c:pt idx="2">
                  <c:v>10.992097515000001</c:v>
                </c:pt>
                <c:pt idx="3">
                  <c:v>11.354831170000001</c:v>
                </c:pt>
                <c:pt idx="4">
                  <c:v>11.458791850000001</c:v>
                </c:pt>
                <c:pt idx="5">
                  <c:v>11.26939877</c:v>
                </c:pt>
                <c:pt idx="6">
                  <c:v>11.426033905000001</c:v>
                </c:pt>
                <c:pt idx="7">
                  <c:v>12.211500600000001</c:v>
                </c:pt>
                <c:pt idx="8">
                  <c:v>12.39631198</c:v>
                </c:pt>
                <c:pt idx="9">
                  <c:v>12.716877139999999</c:v>
                </c:pt>
                <c:pt idx="10">
                  <c:v>13.21679359</c:v>
                </c:pt>
                <c:pt idx="11">
                  <c:v>13.60038583</c:v>
                </c:pt>
                <c:pt idx="12">
                  <c:v>13.41546857</c:v>
                </c:pt>
                <c:pt idx="13">
                  <c:v>13.814987105</c:v>
                </c:pt>
                <c:pt idx="14">
                  <c:v>14.06104489</c:v>
                </c:pt>
                <c:pt idx="15">
                  <c:v>14.518093585000001</c:v>
                </c:pt>
                <c:pt idx="16">
                  <c:v>14.790197965000001</c:v>
                </c:pt>
                <c:pt idx="17">
                  <c:v>14.92539075</c:v>
                </c:pt>
                <c:pt idx="18">
                  <c:v>15.629981990000001</c:v>
                </c:pt>
                <c:pt idx="19">
                  <c:v>15.974916945</c:v>
                </c:pt>
                <c:pt idx="20">
                  <c:v>16.504803715000001</c:v>
                </c:pt>
                <c:pt idx="21">
                  <c:v>16.803294260000001</c:v>
                </c:pt>
                <c:pt idx="22">
                  <c:v>16.550889725000001</c:v>
                </c:pt>
                <c:pt idx="23">
                  <c:v>17.13734144</c:v>
                </c:pt>
                <c:pt idx="24">
                  <c:v>17.441772539999999</c:v>
                </c:pt>
                <c:pt idx="25">
                  <c:v>17.33369588</c:v>
                </c:pt>
                <c:pt idx="26">
                  <c:v>17.410578000000001</c:v>
                </c:pt>
                <c:pt idx="27">
                  <c:v>18.064253004999998</c:v>
                </c:pt>
                <c:pt idx="28">
                  <c:v>18.039818635000003</c:v>
                </c:pt>
                <c:pt idx="29">
                  <c:v>18.086678689999999</c:v>
                </c:pt>
                <c:pt idx="30">
                  <c:v>17.998758124999998</c:v>
                </c:pt>
                <c:pt idx="31">
                  <c:v>18.0439051</c:v>
                </c:pt>
                <c:pt idx="32">
                  <c:v>18.19917796</c:v>
                </c:pt>
              </c:numCache>
            </c:numRef>
          </c:val>
          <c:smooth val="0"/>
          <c:extLst>
            <c:ext xmlns:c16="http://schemas.microsoft.com/office/drawing/2014/chart" uri="{C3380CC4-5D6E-409C-BE32-E72D297353CC}">
              <c16:uniqueId val="{00000000-077C-473C-B70D-D3FE3F185F8A}"/>
            </c:ext>
          </c:extLst>
        </c:ser>
        <c:dLbls>
          <c:showLegendKey val="0"/>
          <c:showVal val="0"/>
          <c:showCatName val="0"/>
          <c:showSerName val="0"/>
          <c:showPercent val="0"/>
          <c:showBubbleSize val="0"/>
        </c:dLbls>
        <c:marker val="1"/>
        <c:smooth val="0"/>
        <c:axId val="711204400"/>
        <c:axId val="711207680"/>
      </c:lineChart>
      <c:lineChart>
        <c:grouping val="standard"/>
        <c:varyColors val="0"/>
        <c:ser>
          <c:idx val="0"/>
          <c:order val="0"/>
          <c:tx>
            <c:v>בנקים (ציר ימין)</c:v>
          </c:tx>
          <c:spPr>
            <a:ln w="25400" cap="rnd">
              <a:solidFill>
                <a:srgbClr val="008DA3"/>
              </a:solidFill>
              <a:round/>
            </a:ln>
            <a:effectLst>
              <a:outerShdw sx="0" sy="0" rotWithShape="0">
                <a:scrgbClr r="0" g="0" b="0">
                  <a:alpha val="0"/>
                </a:scrgbClr>
              </a:outerShdw>
            </a:effectLst>
          </c:spPr>
          <c:marker>
            <c:symbol val="none"/>
          </c:marker>
          <c:cat>
            <c:numRef>
              <c:f>גיליון1!$A$22:$A$54</c:f>
              <c:numCache>
                <c:formatCode>m/d/yyyy</c:formatCode>
                <c:ptCount val="33"/>
                <c:pt idx="0">
                  <c:v>44227</c:v>
                </c:pt>
                <c:pt idx="1">
                  <c:v>44255</c:v>
                </c:pt>
                <c:pt idx="2">
                  <c:v>44286</c:v>
                </c:pt>
                <c:pt idx="3">
                  <c:v>44316</c:v>
                </c:pt>
                <c:pt idx="4">
                  <c:v>44347</c:v>
                </c:pt>
                <c:pt idx="5">
                  <c:v>44377</c:v>
                </c:pt>
                <c:pt idx="6">
                  <c:v>44408</c:v>
                </c:pt>
                <c:pt idx="7">
                  <c:v>44439</c:v>
                </c:pt>
                <c:pt idx="8">
                  <c:v>44469</c:v>
                </c:pt>
                <c:pt idx="9">
                  <c:v>44500</c:v>
                </c:pt>
                <c:pt idx="10">
                  <c:v>44530</c:v>
                </c:pt>
                <c:pt idx="11">
                  <c:v>44561</c:v>
                </c:pt>
                <c:pt idx="12">
                  <c:v>44592</c:v>
                </c:pt>
                <c:pt idx="13">
                  <c:v>44620</c:v>
                </c:pt>
                <c:pt idx="14">
                  <c:v>44651</c:v>
                </c:pt>
                <c:pt idx="15">
                  <c:v>44681</c:v>
                </c:pt>
                <c:pt idx="16">
                  <c:v>44712</c:v>
                </c:pt>
                <c:pt idx="17">
                  <c:v>44742</c:v>
                </c:pt>
                <c:pt idx="18">
                  <c:v>44773</c:v>
                </c:pt>
                <c:pt idx="19">
                  <c:v>44804</c:v>
                </c:pt>
                <c:pt idx="20">
                  <c:v>44834</c:v>
                </c:pt>
                <c:pt idx="21">
                  <c:v>44865</c:v>
                </c:pt>
                <c:pt idx="22">
                  <c:v>44895</c:v>
                </c:pt>
                <c:pt idx="23">
                  <c:v>44926</c:v>
                </c:pt>
                <c:pt idx="24">
                  <c:v>44957</c:v>
                </c:pt>
                <c:pt idx="25">
                  <c:v>44985</c:v>
                </c:pt>
                <c:pt idx="26">
                  <c:v>45016</c:v>
                </c:pt>
                <c:pt idx="27">
                  <c:v>45046</c:v>
                </c:pt>
                <c:pt idx="28">
                  <c:v>45077</c:v>
                </c:pt>
                <c:pt idx="29">
                  <c:v>45107</c:v>
                </c:pt>
                <c:pt idx="30">
                  <c:v>45138</c:v>
                </c:pt>
                <c:pt idx="31">
                  <c:v>45169</c:v>
                </c:pt>
                <c:pt idx="32">
                  <c:v>45199</c:v>
                </c:pt>
              </c:numCache>
            </c:numRef>
          </c:cat>
          <c:val>
            <c:numRef>
              <c:f>גיליון1!$M$22:$M$54</c:f>
              <c:numCache>
                <c:formatCode>_(* #,##0.00_);_(* \(#,##0.00\);_(* "-"??_);_(@_)</c:formatCode>
                <c:ptCount val="33"/>
                <c:pt idx="0">
                  <c:v>79.619650649999997</c:v>
                </c:pt>
                <c:pt idx="1">
                  <c:v>79.583000130000002</c:v>
                </c:pt>
                <c:pt idx="2">
                  <c:v>79.703377965000001</c:v>
                </c:pt>
                <c:pt idx="3">
                  <c:v>79.749347750000013</c:v>
                </c:pt>
                <c:pt idx="4">
                  <c:v>80.275975755000005</c:v>
                </c:pt>
                <c:pt idx="5">
                  <c:v>80.938190210000016</c:v>
                </c:pt>
                <c:pt idx="6">
                  <c:v>81.152675459999998</c:v>
                </c:pt>
                <c:pt idx="7">
                  <c:v>81.423507070000014</c:v>
                </c:pt>
                <c:pt idx="8">
                  <c:v>82.127565500000003</c:v>
                </c:pt>
                <c:pt idx="9">
                  <c:v>82.761856439000013</c:v>
                </c:pt>
                <c:pt idx="10">
                  <c:v>83.331369119999991</c:v>
                </c:pt>
                <c:pt idx="11">
                  <c:v>83.463399769999995</c:v>
                </c:pt>
                <c:pt idx="12">
                  <c:v>84.503497003000007</c:v>
                </c:pt>
                <c:pt idx="13">
                  <c:v>84.810038344999995</c:v>
                </c:pt>
                <c:pt idx="14">
                  <c:v>85.293751763000003</c:v>
                </c:pt>
                <c:pt idx="15">
                  <c:v>85.009224305000004</c:v>
                </c:pt>
                <c:pt idx="16">
                  <c:v>85.428965165000008</c:v>
                </c:pt>
                <c:pt idx="17">
                  <c:v>85.529918639000002</c:v>
                </c:pt>
                <c:pt idx="18">
                  <c:v>85.037332868999997</c:v>
                </c:pt>
                <c:pt idx="19">
                  <c:v>84.109728238000002</c:v>
                </c:pt>
                <c:pt idx="20">
                  <c:v>84.054555253000004</c:v>
                </c:pt>
                <c:pt idx="21">
                  <c:v>83.626358542999995</c:v>
                </c:pt>
                <c:pt idx="22">
                  <c:v>83.505698078000009</c:v>
                </c:pt>
                <c:pt idx="23">
                  <c:v>83.138375459000002</c:v>
                </c:pt>
                <c:pt idx="24">
                  <c:v>82.199234977999993</c:v>
                </c:pt>
                <c:pt idx="25">
                  <c:v>81.702338433999998</c:v>
                </c:pt>
                <c:pt idx="26">
                  <c:v>80.74690475300001</c:v>
                </c:pt>
                <c:pt idx="27">
                  <c:v>80.419694974000009</c:v>
                </c:pt>
                <c:pt idx="28">
                  <c:v>80.178561338999998</c:v>
                </c:pt>
                <c:pt idx="29">
                  <c:v>79.566373893999994</c:v>
                </c:pt>
                <c:pt idx="30">
                  <c:v>79.401346223999994</c:v>
                </c:pt>
                <c:pt idx="31">
                  <c:v>79.058934453999996</c:v>
                </c:pt>
                <c:pt idx="32">
                  <c:v>78.964368473999997</c:v>
                </c:pt>
              </c:numCache>
            </c:numRef>
          </c:val>
          <c:smooth val="0"/>
          <c:extLst>
            <c:ext xmlns:c16="http://schemas.microsoft.com/office/drawing/2014/chart" uri="{C3380CC4-5D6E-409C-BE32-E72D297353CC}">
              <c16:uniqueId val="{00000001-077C-473C-B70D-D3FE3F185F8A}"/>
            </c:ext>
          </c:extLst>
        </c:ser>
        <c:dLbls>
          <c:showLegendKey val="0"/>
          <c:showVal val="0"/>
          <c:showCatName val="0"/>
          <c:showSerName val="0"/>
          <c:showPercent val="0"/>
          <c:showBubbleSize val="0"/>
        </c:dLbls>
        <c:marker val="1"/>
        <c:smooth val="0"/>
        <c:axId val="696471104"/>
        <c:axId val="696464872"/>
      </c:lineChart>
      <c:dateAx>
        <c:axId val="711204400"/>
        <c:scaling>
          <c:orientation val="minMax"/>
        </c:scaling>
        <c:delete val="0"/>
        <c:axPos val="b"/>
        <c:numFmt formatCode="mm/yyyy" sourceLinked="0"/>
        <c:majorTickMark val="none"/>
        <c:minorTickMark val="none"/>
        <c:tickLblPos val="low"/>
        <c:spPr>
          <a:noFill/>
          <a:ln w="6350">
            <a:solidFill>
              <a:srgbClr val="000000"/>
            </a:solidFill>
            <a:prstDash val="solid"/>
            <a:round/>
          </a:ln>
          <a:effectLst/>
        </c:spPr>
        <c:txPr>
          <a:bodyPr rot="-2700000" spcFirstLastPara="1" vertOverflow="ellipsis"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711207680"/>
        <c:crosses val="autoZero"/>
        <c:auto val="1"/>
        <c:lblOffset val="100"/>
        <c:baseTimeUnit val="months"/>
      </c:dateAx>
      <c:valAx>
        <c:axId val="711207680"/>
        <c:scaling>
          <c:orientation val="minMax"/>
        </c:scaling>
        <c:delete val="0"/>
        <c:axPos val="l"/>
        <c:majorGridlines>
          <c:spPr>
            <a:ln w="6350">
              <a:solidFill>
                <a:srgbClr val="D9D9D9"/>
              </a:solidFill>
              <a:prstDash val="solid"/>
              <a:round/>
            </a:ln>
            <a:effectLst/>
          </c:spPr>
        </c:majorGridlines>
        <c:title>
          <c:tx>
            <c:rich>
              <a:bodyPr rot="0" spcFirstLastPara="1" vertOverflow="ellipsis"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r>
                  <a:rPr lang="he-IL"/>
                  <a:t>מיליארדי ש"ח</a:t>
                </a:r>
              </a:p>
            </c:rich>
          </c:tx>
          <c:layout>
            <c:manualLayout>
              <c:xMode val="edge"/>
              <c:yMode val="edge"/>
              <c:x val="2.6762457612506473E-2"/>
              <c:y val="2.1186440677966101E-2"/>
            </c:manualLayout>
          </c:layout>
          <c:overlay val="0"/>
          <c:spPr>
            <a:noFill/>
            <a:ln>
              <a:noFill/>
            </a:ln>
            <a:effectLst/>
          </c:spPr>
          <c:txPr>
            <a:bodyPr rot="0" spcFirstLastPara="1" vertOverflow="ellipsis"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title>
        <c:numFmt formatCode="_(* #,##0_);_(* \(#,##0\);_(* &quot;-&quot;_);_(@_)" sourceLinked="0"/>
        <c:majorTickMark val="none"/>
        <c:minorTickMark val="none"/>
        <c:tickLblPos val="low"/>
        <c:spPr>
          <a:noFill/>
          <a:ln w="6350">
            <a:solidFill>
              <a:srgbClr val="000000"/>
            </a:solidFill>
            <a:prstDash val="solid"/>
          </a:ln>
          <a:effectLst/>
        </c:spPr>
        <c:txPr>
          <a:bodyPr rot="0" spcFirstLastPara="1" vertOverflow="ellipsis"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711204400"/>
        <c:crosses val="autoZero"/>
        <c:crossBetween val="between"/>
      </c:valAx>
      <c:valAx>
        <c:axId val="696464872"/>
        <c:scaling>
          <c:orientation val="minMax"/>
        </c:scaling>
        <c:delete val="0"/>
        <c:axPos val="r"/>
        <c:title>
          <c:tx>
            <c:rich>
              <a:bodyPr rot="0" spcFirstLastPara="1" vertOverflow="ellipsis"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r>
                  <a:rPr lang="he-IL"/>
                  <a:t>מיליארדי ש"ח</a:t>
                </a:r>
              </a:p>
            </c:rich>
          </c:tx>
          <c:layout>
            <c:manualLayout>
              <c:xMode val="edge"/>
              <c:yMode val="edge"/>
              <c:x val="0.85686131386861308"/>
              <c:y val="2.1186440677966101E-2"/>
            </c:manualLayout>
          </c:layout>
          <c:overlay val="0"/>
          <c:spPr>
            <a:noFill/>
            <a:ln>
              <a:noFill/>
            </a:ln>
            <a:effectLst/>
          </c:spPr>
          <c:txPr>
            <a:bodyPr rot="0" spcFirstLastPara="1" vertOverflow="ellipsis"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title>
        <c:numFmt formatCode="_(* #,##0_);_(* \(#,##0\);_(* &quot;-&quot;_);_(@_)" sourceLinked="0"/>
        <c:majorTickMark val="none"/>
        <c:minorTickMark val="none"/>
        <c:tickLblPos val="high"/>
        <c:spPr>
          <a:noFill/>
          <a:ln w="6350">
            <a:solidFill>
              <a:srgbClr val="000000"/>
            </a:solidFill>
            <a:prstDash val="solid"/>
          </a:ln>
          <a:effectLst/>
        </c:spPr>
        <c:txPr>
          <a:bodyPr rot="0" spcFirstLastPara="1" vertOverflow="ellipsis"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696471104"/>
        <c:crosses val="max"/>
        <c:crossBetween val="between"/>
      </c:valAx>
      <c:dateAx>
        <c:axId val="696471104"/>
        <c:scaling>
          <c:orientation val="minMax"/>
        </c:scaling>
        <c:delete val="1"/>
        <c:axPos val="b"/>
        <c:numFmt formatCode="m/d/yyyy" sourceLinked="1"/>
        <c:majorTickMark val="out"/>
        <c:minorTickMark val="none"/>
        <c:tickLblPos val="nextTo"/>
        <c:crossAx val="696464872"/>
        <c:crosses val="autoZero"/>
        <c:auto val="1"/>
        <c:lblOffset val="100"/>
        <c:baseTimeUnit val="months"/>
      </c:dateAx>
      <c:spPr>
        <a:noFill/>
        <a:ln>
          <a:solidFill>
            <a:sysClr val="windowText" lastClr="000000"/>
          </a:solidFill>
        </a:ln>
        <a:effectLst/>
      </c:spPr>
    </c:plotArea>
    <c:legend>
      <c:legendPos val="b"/>
      <c:layout>
        <c:manualLayout>
          <c:xMode val="edge"/>
          <c:yMode val="edge"/>
          <c:x val="2.1335517366898479E-2"/>
          <c:y val="0.91540070732683843"/>
          <c:w val="0.95732854406130263"/>
          <c:h val="7.1286786786786793E-2"/>
        </c:manualLayout>
      </c:layout>
      <c:overlay val="0"/>
      <c:spPr>
        <a:noFill/>
        <a:ln w="25400">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legend>
    <c:plotVisOnly val="1"/>
    <c:dispBlanksAs val="gap"/>
    <c:showDLblsOverMax val="0"/>
  </c:chart>
  <c:spPr>
    <a:solidFill>
      <a:srgbClr val="FFFFFF"/>
    </a:solidFill>
    <a:ln w="9525">
      <a:solidFill>
        <a:srgbClr val="000000"/>
      </a:solidFill>
      <a:prstDash val="solid"/>
      <a:round/>
    </a:ln>
    <a:effectLst/>
  </c:spPr>
  <c:txPr>
    <a:bodyPr/>
    <a:lstStyle/>
    <a:p>
      <a:pPr>
        <a:defRPr sz="1200">
          <a:solidFill>
            <a:sysClr val="windowText" lastClr="000000"/>
          </a:solidFill>
          <a:latin typeface="David" panose="020E0502060401010101" pitchFamily="34" charset="-79"/>
          <a:cs typeface="David" panose="020E0502060401010101" pitchFamily="34" charset="-79"/>
        </a:defRPr>
      </a:pPr>
      <a:endParaRPr lang="he-I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2"/>
          <c:order val="1"/>
          <c:tx>
            <c:v>1 month lower bound</c:v>
          </c:tx>
          <c:spPr>
            <a:noFill/>
            <a:ln w="25400">
              <a:noFill/>
            </a:ln>
            <a:effectLst/>
          </c:spPr>
          <c:val>
            <c:numRef>
              <c:f>cluster!$AC$3:$AC$25</c:f>
              <c:numCache>
                <c:formatCode>0.000</c:formatCode>
                <c:ptCount val="23"/>
                <c:pt idx="0">
                  <c:v>-5.2999999999999999E-2</c:v>
                </c:pt>
                <c:pt idx="1">
                  <c:v>0.04</c:v>
                </c:pt>
                <c:pt idx="2">
                  <c:v>0.27100000000000002</c:v>
                </c:pt>
                <c:pt idx="3">
                  <c:v>0.312</c:v>
                </c:pt>
                <c:pt idx="4">
                  <c:v>0.20599999999999999</c:v>
                </c:pt>
                <c:pt idx="5">
                  <c:v>0.19</c:v>
                </c:pt>
                <c:pt idx="6">
                  <c:v>0.16400000000000001</c:v>
                </c:pt>
                <c:pt idx="7">
                  <c:v>0.49199999999999999</c:v>
                </c:pt>
                <c:pt idx="8">
                  <c:v>0.28799999999999998</c:v>
                </c:pt>
                <c:pt idx="9">
                  <c:v>0.33900000000000002</c:v>
                </c:pt>
                <c:pt idx="10">
                  <c:v>0.495</c:v>
                </c:pt>
                <c:pt idx="11">
                  <c:v>0.26800000000000002</c:v>
                </c:pt>
                <c:pt idx="12">
                  <c:v>0.161</c:v>
                </c:pt>
                <c:pt idx="13">
                  <c:v>0.35499999999999998</c:v>
                </c:pt>
                <c:pt idx="14">
                  <c:v>8.1000000000000003E-2</c:v>
                </c:pt>
                <c:pt idx="15">
                  <c:v>0.24399999999999999</c:v>
                </c:pt>
                <c:pt idx="16">
                  <c:v>0.14099999999999999</c:v>
                </c:pt>
                <c:pt idx="17">
                  <c:v>-6.0999999999999999E-2</c:v>
                </c:pt>
                <c:pt idx="18">
                  <c:v>-0.29599999999999999</c:v>
                </c:pt>
                <c:pt idx="19">
                  <c:v>-0.34200000000000003</c:v>
                </c:pt>
                <c:pt idx="20">
                  <c:v>-0.27200000000000002</c:v>
                </c:pt>
                <c:pt idx="21">
                  <c:v>-0.18</c:v>
                </c:pt>
                <c:pt idx="22">
                  <c:v>-0.128</c:v>
                </c:pt>
              </c:numCache>
            </c:numRef>
          </c:val>
          <c:extLst>
            <c:ext xmlns:c16="http://schemas.microsoft.com/office/drawing/2014/chart" uri="{C3380CC4-5D6E-409C-BE32-E72D297353CC}">
              <c16:uniqueId val="{00000000-C9F0-4755-BF47-B8249FE9C932}"/>
            </c:ext>
          </c:extLst>
        </c:ser>
        <c:ser>
          <c:idx val="3"/>
          <c:order val="2"/>
          <c:tx>
            <c:strRef>
              <c:f>cluster!$AD$1</c:f>
              <c:strCache>
                <c:ptCount val="1"/>
                <c:pt idx="0">
                  <c:v>1-month 95% CI range</c:v>
                </c:pt>
              </c:strCache>
            </c:strRef>
          </c:tx>
          <c:spPr>
            <a:solidFill>
              <a:schemeClr val="accent1">
                <a:lumMod val="40000"/>
                <a:lumOff val="60000"/>
                <a:alpha val="50000"/>
              </a:schemeClr>
            </a:solidFill>
            <a:ln w="25400">
              <a:noFill/>
            </a:ln>
            <a:effectLst/>
          </c:spPr>
          <c:val>
            <c:numRef>
              <c:f>cluster!$AD$3:$AD$25</c:f>
              <c:numCache>
                <c:formatCode>0.000</c:formatCode>
                <c:ptCount val="23"/>
                <c:pt idx="0">
                  <c:v>0.22800000000000001</c:v>
                </c:pt>
                <c:pt idx="1">
                  <c:v>0.21199999999999999</c:v>
                </c:pt>
                <c:pt idx="2">
                  <c:v>0.216</c:v>
                </c:pt>
                <c:pt idx="3">
                  <c:v>0.26800000000000002</c:v>
                </c:pt>
                <c:pt idx="4">
                  <c:v>0.26600000000000001</c:v>
                </c:pt>
                <c:pt idx="5">
                  <c:v>0.31</c:v>
                </c:pt>
                <c:pt idx="6">
                  <c:v>0.31</c:v>
                </c:pt>
                <c:pt idx="7">
                  <c:v>0.26200000000000001</c:v>
                </c:pt>
                <c:pt idx="8">
                  <c:v>0.19600000000000001</c:v>
                </c:pt>
                <c:pt idx="9">
                  <c:v>0.376</c:v>
                </c:pt>
                <c:pt idx="10">
                  <c:v>0.26400000000000001</c:v>
                </c:pt>
                <c:pt idx="11">
                  <c:v>0.374</c:v>
                </c:pt>
                <c:pt idx="12">
                  <c:v>0.48199999999999998</c:v>
                </c:pt>
                <c:pt idx="13">
                  <c:v>0.33400000000000002</c:v>
                </c:pt>
                <c:pt idx="14">
                  <c:v>0.35199999999999998</c:v>
                </c:pt>
                <c:pt idx="15">
                  <c:v>0.184</c:v>
                </c:pt>
                <c:pt idx="16">
                  <c:v>0.128</c:v>
                </c:pt>
                <c:pt idx="17">
                  <c:v>0.152</c:v>
                </c:pt>
                <c:pt idx="18">
                  <c:v>0.26600000000000001</c:v>
                </c:pt>
                <c:pt idx="19">
                  <c:v>0.34399999999999997</c:v>
                </c:pt>
                <c:pt idx="20">
                  <c:v>0.35399999999999998</c:v>
                </c:pt>
                <c:pt idx="21">
                  <c:v>0.39800000000000002</c:v>
                </c:pt>
                <c:pt idx="22">
                  <c:v>0.224</c:v>
                </c:pt>
              </c:numCache>
            </c:numRef>
          </c:val>
          <c:extLst>
            <c:ext xmlns:c16="http://schemas.microsoft.com/office/drawing/2014/chart" uri="{C3380CC4-5D6E-409C-BE32-E72D297353CC}">
              <c16:uniqueId val="{00000001-C9F0-4755-BF47-B8249FE9C932}"/>
            </c:ext>
          </c:extLst>
        </c:ser>
        <c:dLbls>
          <c:showLegendKey val="0"/>
          <c:showVal val="0"/>
          <c:showCatName val="0"/>
          <c:showSerName val="0"/>
          <c:showPercent val="0"/>
          <c:showBubbleSize val="0"/>
        </c:dLbls>
        <c:axId val="1030141288"/>
        <c:axId val="1005099392"/>
      </c:areaChart>
      <c:areaChart>
        <c:grouping val="stacked"/>
        <c:varyColors val="0"/>
        <c:ser>
          <c:idx val="4"/>
          <c:order val="3"/>
          <c:tx>
            <c:v>3 month lower bound</c:v>
          </c:tx>
          <c:spPr>
            <a:noFill/>
            <a:ln w="25400">
              <a:noFill/>
            </a:ln>
            <a:effectLst/>
          </c:spPr>
          <c:val>
            <c:numRef>
              <c:f>cluster!$AC$29:$AC$51</c:f>
              <c:numCache>
                <c:formatCode>0.000</c:formatCode>
                <c:ptCount val="23"/>
                <c:pt idx="0">
                  <c:v>1.6E-2</c:v>
                </c:pt>
                <c:pt idx="1">
                  <c:v>2.1999999999999999E-2</c:v>
                </c:pt>
                <c:pt idx="2">
                  <c:v>0.20799999999999999</c:v>
                </c:pt>
                <c:pt idx="3">
                  <c:v>0.32700000000000001</c:v>
                </c:pt>
                <c:pt idx="4">
                  <c:v>0.16900000000000001</c:v>
                </c:pt>
                <c:pt idx="5">
                  <c:v>0.23400000000000001</c:v>
                </c:pt>
                <c:pt idx="6">
                  <c:v>0.123</c:v>
                </c:pt>
                <c:pt idx="7">
                  <c:v>0.29299999999999998</c:v>
                </c:pt>
                <c:pt idx="8">
                  <c:v>0.28399999999999997</c:v>
                </c:pt>
                <c:pt idx="9">
                  <c:v>0.34399999999999997</c:v>
                </c:pt>
                <c:pt idx="10">
                  <c:v>0.436</c:v>
                </c:pt>
                <c:pt idx="11">
                  <c:v>0.27400000000000002</c:v>
                </c:pt>
                <c:pt idx="12">
                  <c:v>0.191</c:v>
                </c:pt>
                <c:pt idx="13">
                  <c:v>0.36299999999999999</c:v>
                </c:pt>
                <c:pt idx="14">
                  <c:v>2.8000000000000001E-2</c:v>
                </c:pt>
                <c:pt idx="15">
                  <c:v>6.6000000000000003E-2</c:v>
                </c:pt>
                <c:pt idx="16">
                  <c:v>-2E-3</c:v>
                </c:pt>
                <c:pt idx="17">
                  <c:v>5.8000000000000003E-2</c:v>
                </c:pt>
                <c:pt idx="18">
                  <c:v>-0.152</c:v>
                </c:pt>
                <c:pt idx="19">
                  <c:v>-0.32200000000000001</c:v>
                </c:pt>
                <c:pt idx="20">
                  <c:v>-0.25</c:v>
                </c:pt>
                <c:pt idx="21">
                  <c:v>-0.30399999999999999</c:v>
                </c:pt>
                <c:pt idx="22">
                  <c:v>-0.161</c:v>
                </c:pt>
              </c:numCache>
            </c:numRef>
          </c:val>
          <c:extLst>
            <c:ext xmlns:c16="http://schemas.microsoft.com/office/drawing/2014/chart" uri="{C3380CC4-5D6E-409C-BE32-E72D297353CC}">
              <c16:uniqueId val="{00000002-C9F0-4755-BF47-B8249FE9C932}"/>
            </c:ext>
          </c:extLst>
        </c:ser>
        <c:dLbls>
          <c:showLegendKey val="0"/>
          <c:showVal val="0"/>
          <c:showCatName val="0"/>
          <c:showSerName val="0"/>
          <c:showPercent val="0"/>
          <c:showBubbleSize val="0"/>
        </c:dLbls>
        <c:axId val="693066160"/>
        <c:axId val="693065832"/>
      </c:areaChart>
      <c:lineChart>
        <c:grouping val="standard"/>
        <c:varyColors val="0"/>
        <c:ser>
          <c:idx val="0"/>
          <c:order val="0"/>
          <c:tx>
            <c:strRef>
              <c:f>cluster!$AA$1</c:f>
              <c:strCache>
                <c:ptCount val="1"/>
                <c:pt idx="0">
                  <c:v>1-month surprise</c:v>
                </c:pt>
              </c:strCache>
            </c:strRef>
          </c:tx>
          <c:spPr>
            <a:ln w="28575" cap="rnd">
              <a:solidFill>
                <a:schemeClr val="accent1"/>
              </a:solidFill>
              <a:round/>
            </a:ln>
            <a:effectLst/>
          </c:spPr>
          <c:marker>
            <c:symbol val="none"/>
          </c:marker>
          <c:cat>
            <c:numRef>
              <c:f>cluster!$Z$3:$Z$25</c:f>
              <c:numCache>
                <c:formatCode>General</c:formatCode>
                <c:ptCount val="23"/>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numCache>
            </c:numRef>
          </c:cat>
          <c:val>
            <c:numRef>
              <c:f>cluster!$AA$3:$AA$25</c:f>
              <c:numCache>
                <c:formatCode>General</c:formatCode>
                <c:ptCount val="23"/>
                <c:pt idx="0">
                  <c:v>6.0999999999999999E-2</c:v>
                </c:pt>
                <c:pt idx="1">
                  <c:v>0.14599999999999999</c:v>
                </c:pt>
                <c:pt idx="2">
                  <c:v>0.379</c:v>
                </c:pt>
                <c:pt idx="3">
                  <c:v>0.44600000000000001</c:v>
                </c:pt>
                <c:pt idx="4">
                  <c:v>0.33900000000000002</c:v>
                </c:pt>
                <c:pt idx="5">
                  <c:v>0.34499999999999997</c:v>
                </c:pt>
                <c:pt idx="6">
                  <c:v>0.31900000000000001</c:v>
                </c:pt>
                <c:pt idx="7">
                  <c:v>0.623</c:v>
                </c:pt>
                <c:pt idx="8">
                  <c:v>0.38600000000000001</c:v>
                </c:pt>
                <c:pt idx="9">
                  <c:v>0.52700000000000002</c:v>
                </c:pt>
                <c:pt idx="10">
                  <c:v>0.627</c:v>
                </c:pt>
                <c:pt idx="11">
                  <c:v>0.45500000000000002</c:v>
                </c:pt>
                <c:pt idx="12">
                  <c:v>0.40200000000000002</c:v>
                </c:pt>
                <c:pt idx="13">
                  <c:v>0.52200000000000002</c:v>
                </c:pt>
                <c:pt idx="14">
                  <c:v>0.25700000000000001</c:v>
                </c:pt>
                <c:pt idx="15">
                  <c:v>0.33600000000000002</c:v>
                </c:pt>
                <c:pt idx="16">
                  <c:v>0.20499999999999999</c:v>
                </c:pt>
                <c:pt idx="17">
                  <c:v>1.4999999999999999E-2</c:v>
                </c:pt>
                <c:pt idx="18">
                  <c:v>-0.16300000000000001</c:v>
                </c:pt>
                <c:pt idx="19">
                  <c:v>-0.17</c:v>
                </c:pt>
                <c:pt idx="20">
                  <c:v>-9.5000000000000001E-2</c:v>
                </c:pt>
                <c:pt idx="21">
                  <c:v>1.9E-2</c:v>
                </c:pt>
                <c:pt idx="22">
                  <c:v>-1.6E-2</c:v>
                </c:pt>
              </c:numCache>
            </c:numRef>
          </c:val>
          <c:smooth val="0"/>
          <c:extLst>
            <c:ext xmlns:c16="http://schemas.microsoft.com/office/drawing/2014/chart" uri="{C3380CC4-5D6E-409C-BE32-E72D297353CC}">
              <c16:uniqueId val="{00000003-C9F0-4755-BF47-B8249FE9C932}"/>
            </c:ext>
          </c:extLst>
        </c:ser>
        <c:dLbls>
          <c:showLegendKey val="0"/>
          <c:showVal val="0"/>
          <c:showCatName val="0"/>
          <c:showSerName val="0"/>
          <c:showPercent val="0"/>
          <c:showBubbleSize val="0"/>
        </c:dLbls>
        <c:marker val="1"/>
        <c:smooth val="0"/>
        <c:axId val="1030141288"/>
        <c:axId val="1005099392"/>
      </c:lineChart>
      <c:catAx>
        <c:axId val="1030141288"/>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r>
                  <a:rPr lang="he-IL"/>
                  <a:t>מספר חודשים</a:t>
                </a:r>
              </a:p>
            </c:rich>
          </c:tx>
          <c:layout>
            <c:manualLayout>
              <c:xMode val="edge"/>
              <c:yMode val="edge"/>
              <c:x val="0.46301165460505733"/>
              <c:y val="0.9225225427145391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title>
        <c:numFmt formatCode="General" sourceLinked="1"/>
        <c:majorTickMark val="none"/>
        <c:minorTickMark val="none"/>
        <c:tickLblPos val="low"/>
        <c:spPr>
          <a:noFill/>
          <a:ln w="9525">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1005099392"/>
        <c:crossesAt val="-0.2"/>
        <c:auto val="1"/>
        <c:lblAlgn val="ctr"/>
        <c:lblOffset val="100"/>
        <c:noMultiLvlLbl val="0"/>
      </c:catAx>
      <c:valAx>
        <c:axId val="1005099392"/>
        <c:scaling>
          <c:orientation val="minMax"/>
          <c:max val="1"/>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r>
                  <a:rPr lang="he-IL"/>
                  <a:t>אומדן להשפעה</a:t>
                </a:r>
              </a:p>
              <a:p>
                <a:pPr>
                  <a:defRPr/>
                </a:pPr>
                <a:r>
                  <a:rPr lang="he-IL" baseline="0"/>
                  <a:t>(אחוז משוק האשראי הצרכני)</a:t>
                </a:r>
                <a:endParaRPr lang="he-IL"/>
              </a:p>
            </c:rich>
          </c:tx>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title>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David" panose="020E0502060401010101" pitchFamily="34" charset="-79"/>
                <a:ea typeface="+mn-ea"/>
                <a:cs typeface="David" panose="020E0502060401010101" pitchFamily="34" charset="-79"/>
              </a:defRPr>
            </a:pPr>
            <a:endParaRPr lang="he-IL"/>
          </a:p>
        </c:txPr>
        <c:crossAx val="1030141288"/>
        <c:crosses val="autoZero"/>
        <c:crossBetween val="between"/>
      </c:valAx>
      <c:valAx>
        <c:axId val="693065832"/>
        <c:scaling>
          <c:orientation val="minMax"/>
        </c:scaling>
        <c:delete val="1"/>
        <c:axPos val="r"/>
        <c:numFmt formatCode="0.000" sourceLinked="1"/>
        <c:majorTickMark val="out"/>
        <c:minorTickMark val="none"/>
        <c:tickLblPos val="nextTo"/>
        <c:crossAx val="693066160"/>
        <c:crosses val="max"/>
        <c:crossBetween val="between"/>
      </c:valAx>
      <c:catAx>
        <c:axId val="693066160"/>
        <c:scaling>
          <c:orientation val="minMax"/>
        </c:scaling>
        <c:delete val="1"/>
        <c:axPos val="b"/>
        <c:majorTickMark val="out"/>
        <c:minorTickMark val="none"/>
        <c:tickLblPos val="nextTo"/>
        <c:crossAx val="693065832"/>
        <c:crosses val="autoZero"/>
        <c:auto val="1"/>
        <c:lblAlgn val="ctr"/>
        <c:lblOffset val="100"/>
        <c:noMultiLvlLbl val="0"/>
      </c:catAx>
      <c:spPr>
        <a:noFill/>
        <a:ln>
          <a:solidFill>
            <a:sysClr val="windowText" lastClr="000000"/>
          </a:solidFill>
        </a:ln>
        <a:effectLst/>
      </c:spPr>
    </c:plotArea>
    <c:plotVisOnly val="1"/>
    <c:dispBlanksAs val="gap"/>
    <c:showDLblsOverMax val="0"/>
  </c:chart>
  <c:spPr>
    <a:solidFill>
      <a:schemeClr val="bg1"/>
    </a:solidFill>
    <a:ln w="9525">
      <a:solidFill>
        <a:schemeClr val="tx1"/>
      </a:solidFill>
      <a:round/>
    </a:ln>
    <a:effectLst/>
  </c:spPr>
  <c:txPr>
    <a:bodyPr/>
    <a:lstStyle/>
    <a:p>
      <a:pPr>
        <a:defRPr sz="1200">
          <a:solidFill>
            <a:sysClr val="windowText" lastClr="000000"/>
          </a:solidFill>
          <a:latin typeface="David" panose="020E0502060401010101" pitchFamily="34" charset="-79"/>
          <a:cs typeface="David" panose="020E0502060401010101" pitchFamily="34" charset="-79"/>
        </a:defRPr>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804</Words>
  <Characters>4025</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html-to-docx</cp:keywords>
  <cp:lastModifiedBy>לירון בן עמוס</cp:lastModifiedBy>
  <cp:revision>3</cp:revision>
  <dcterms:created xsi:type="dcterms:W3CDTF">2026-06-10T11:22:00Z</dcterms:created>
  <dcterms:modified xsi:type="dcterms:W3CDTF">2026-06-10T11:23:00Z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66340366-b579-4839-b59c-4864ac90322e</vt:lpwstr>
  </property>
</Properties>
</file>