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0C" w:rsidRPr="0001229F" w:rsidP="00A8350C">
      <w:pPr>
        <w:bidi/>
        <w:rPr>
          <w:rFonts w:ascii="Calibri" w:hAnsi="Calibri" w:cs="Calibri" w:hint="default"/>
        </w:rPr>
      </w:pPr>
      <w:r w:rsidRPr="0001229F">
        <w:rPr>
          <w:rFonts w:ascii="Calibri" w:hAnsi="Calibri" w:cs="Calibri" w:hint="default"/>
          <w:rtl/>
        </w:rPr>
        <w:t xml:space="preserve"> </w:t>
      </w:r>
    </w:p>
    <w:tbl>
      <w:tblPr>
        <w:tblStyle w:val="TableNormal"/>
        <w:bidiVisual/>
        <w:tblW w:w="8520" w:type="dxa"/>
        <w:jc w:val="center"/>
        <w:tblInd w:w="0" w:type="dxa"/>
        <w:tblLayout w:type="fixed"/>
        <w:tblCellMar>
          <w:top w:w="0" w:type="dxa"/>
          <w:left w:w="108" w:type="dxa"/>
          <w:bottom w:w="0" w:type="dxa"/>
          <w:right w:w="108" w:type="dxa"/>
        </w:tblCellMar>
        <w:tblLook w:val="0000"/>
      </w:tblPr>
      <w:tblGrid>
        <w:gridCol w:w="2840"/>
        <w:gridCol w:w="2596"/>
        <w:gridCol w:w="3084"/>
      </w:tblGrid>
      <w:tr w:rsidTr="00C0702C">
        <w:tblPrEx>
          <w:tblW w:w="8520" w:type="dxa"/>
          <w:jc w:val="center"/>
          <w:tblInd w:w="0" w:type="dxa"/>
          <w:tblLayout w:type="fixed"/>
          <w:tblCellMar>
            <w:top w:w="0" w:type="dxa"/>
            <w:left w:w="108" w:type="dxa"/>
            <w:bottom w:w="0" w:type="dxa"/>
            <w:right w:w="108" w:type="dxa"/>
          </w:tblCellMar>
          <w:tblLook w:val="0000"/>
        </w:tblPrEx>
        <w:trPr>
          <w:tblHeader/>
          <w:jc w:val="center"/>
        </w:trPr>
        <w:tc>
          <w:tcPr>
            <w:tcW w:w="2840" w:type="dxa"/>
            <w:tcBorders>
              <w:top w:val="nil"/>
              <w:left w:val="nil"/>
              <w:bottom w:val="nil"/>
              <w:right w:val="nil"/>
            </w:tcBorders>
            <w:vAlign w:val="center"/>
          </w:tcPr>
          <w:p w:rsidR="00317000" w:rsidRPr="0001229F" w:rsidP="00A71B81">
            <w:pPr>
              <w:bidi/>
              <w:spacing w:line="360" w:lineRule="auto"/>
              <w:jc w:val="center"/>
              <w:rPr>
                <w:rFonts w:ascii="Calibri" w:hAnsi="Calibri" w:cs="Calibri" w:hint="default"/>
                <w:b/>
                <w:bCs/>
                <w:sz w:val="28"/>
                <w:szCs w:val="28"/>
                <w:lang w:val="en-US" w:eastAsia="he-IL" w:bidi="he-IL"/>
              </w:rPr>
            </w:pPr>
            <w:r w:rsidRPr="0001229F">
              <w:rPr>
                <w:rFonts w:ascii="Calibri" w:hAnsi="Calibri" w:hint="default"/>
                <w:b/>
                <w:bCs/>
                <w:sz w:val="28"/>
                <w:szCs w:val="28"/>
                <w:rtl/>
                <w:lang w:val="en-US" w:eastAsia="he-IL" w:bidi="he-IL"/>
              </w:rPr>
              <w:t>בנק ישראל</w:t>
            </w:r>
          </w:p>
          <w:p w:rsidR="00317000" w:rsidRPr="0001229F" w:rsidP="00A71B81">
            <w:pPr>
              <w:bidi/>
              <w:spacing w:line="360" w:lineRule="auto"/>
              <w:ind w:right="-101"/>
              <w:jc w:val="center"/>
              <w:rPr>
                <w:rFonts w:ascii="Calibri" w:hAnsi="Calibri" w:cs="Calibri" w:hint="default"/>
                <w:sz w:val="24"/>
                <w:szCs w:val="24"/>
                <w:lang w:val="en-US" w:eastAsia="he-IL" w:bidi="he-IL"/>
              </w:rPr>
            </w:pPr>
            <w:r w:rsidRPr="0001229F">
              <w:rPr>
                <w:rFonts w:ascii="Calibri" w:hAnsi="Calibri" w:hint="default"/>
                <w:sz w:val="24"/>
                <w:szCs w:val="24"/>
                <w:rtl/>
                <w:lang w:val="en-US" w:eastAsia="he-IL" w:bidi="he-IL"/>
              </w:rPr>
              <w:t>דוברות והסברה כלכלית</w:t>
            </w:r>
          </w:p>
        </w:tc>
        <w:tc>
          <w:tcPr>
            <w:tcW w:w="2596" w:type="dxa"/>
            <w:tcBorders>
              <w:top w:val="nil"/>
              <w:left w:val="nil"/>
              <w:bottom w:val="nil"/>
              <w:right w:val="nil"/>
            </w:tcBorders>
          </w:tcPr>
          <w:p w:rsidR="00317000" w:rsidRPr="0001229F" w:rsidP="00A71B81">
            <w:pPr>
              <w:bidi/>
              <w:jc w:val="center"/>
              <w:rPr>
                <w:rFonts w:ascii="Calibri" w:hAnsi="Calibri" w:cs="Calibri" w:hint="default"/>
                <w:sz w:val="24"/>
                <w:szCs w:val="24"/>
                <w:lang w:val="en-US" w:eastAsia="he-IL" w:bidi="he-IL"/>
              </w:rPr>
            </w:pPr>
            <w:r>
              <w:rPr>
                <w:rFonts w:ascii="Calibri" w:hAnsi="Calibri" w:cs="Calibri" w:hint="default"/>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in;height:1in;mso-wrap-distance-bottom:0;mso-wrap-distance-left:0;mso-wrap-distance-right:0;mso-wrap-distance-top:0" filled="f">
                  <v:imagedata r:id="rId10" o:title=""/>
                  <o:lock v:ext="edit" aspectratio="t"/>
                </v:shape>
              </w:pict>
            </w:r>
          </w:p>
        </w:tc>
        <w:tc>
          <w:tcPr>
            <w:tcW w:w="3084" w:type="dxa"/>
            <w:tcBorders>
              <w:top w:val="nil"/>
              <w:left w:val="nil"/>
              <w:bottom w:val="nil"/>
              <w:right w:val="nil"/>
            </w:tcBorders>
            <w:vAlign w:val="center"/>
          </w:tcPr>
          <w:p w:rsidR="00317000" w:rsidRPr="0001229F" w:rsidP="007E6B27">
            <w:pPr>
              <w:bidi/>
              <w:spacing w:line="480" w:lineRule="auto"/>
              <w:jc w:val="right"/>
              <w:rPr>
                <w:rFonts w:ascii="Calibri" w:hAnsi="Calibri" w:cs="Calibri" w:hint="default"/>
                <w:sz w:val="24"/>
                <w:szCs w:val="24"/>
                <w:lang w:val="en-US" w:eastAsia="he-IL" w:bidi="he-IL"/>
              </w:rPr>
            </w:pPr>
            <w:r w:rsidRPr="0001229F">
              <w:rPr>
                <w:rFonts w:ascii="Calibri" w:hAnsi="Calibri" w:cs="Calibri" w:hint="default"/>
                <w:sz w:val="24"/>
                <w:szCs w:val="24"/>
                <w:rtl/>
                <w:lang w:val="en-US" w:eastAsia="he-IL" w:bidi="he-IL"/>
              </w:rPr>
              <w:t>‏</w:t>
            </w:r>
            <w:r w:rsidRPr="0001229F" w:rsidR="002342DD">
              <w:rPr>
                <w:rFonts w:ascii="Calibri" w:hAnsi="Calibri" w:hint="default"/>
                <w:sz w:val="24"/>
                <w:szCs w:val="24"/>
                <w:rtl/>
                <w:lang w:val="en-US" w:eastAsia="he-IL" w:bidi="he-IL"/>
              </w:rPr>
              <w:t>ירושלים</w:t>
            </w:r>
            <w:r w:rsidRPr="0001229F" w:rsidR="002342DD">
              <w:rPr>
                <w:rFonts w:ascii="Calibri" w:hAnsi="Calibri" w:cs="Calibri" w:hint="default"/>
                <w:sz w:val="24"/>
                <w:szCs w:val="24"/>
                <w:rtl/>
                <w:lang w:val="en-US" w:eastAsia="he-IL" w:bidi="he-IL"/>
              </w:rPr>
              <w:t xml:space="preserve">, </w:t>
            </w:r>
            <w:r w:rsidRPr="0001229F" w:rsidR="007E6B27">
              <w:rPr>
                <w:rFonts w:ascii="Calibri" w:hAnsi="Calibri" w:hint="default"/>
                <w:sz w:val="24"/>
                <w:szCs w:val="24"/>
                <w:rtl/>
                <w:lang w:val="en-US" w:eastAsia="he-IL" w:bidi="he-IL"/>
              </w:rPr>
              <w:t>יח</w:t>
            </w:r>
            <w:r w:rsidRPr="0001229F" w:rsidR="007E6B27">
              <w:rPr>
                <w:rFonts w:ascii="Calibri" w:hAnsi="Calibri" w:cs="Calibri" w:hint="default"/>
                <w:sz w:val="24"/>
                <w:szCs w:val="24"/>
                <w:rtl/>
                <w:lang w:val="en-US" w:eastAsia="he-IL" w:bidi="he-IL"/>
              </w:rPr>
              <w:t xml:space="preserve">' </w:t>
            </w:r>
            <w:r w:rsidRPr="0001229F" w:rsidR="007E6B27">
              <w:rPr>
                <w:rFonts w:ascii="Calibri" w:hAnsi="Calibri" w:hint="default"/>
                <w:sz w:val="24"/>
                <w:szCs w:val="24"/>
                <w:rtl/>
                <w:lang w:val="en-US" w:eastAsia="he-IL" w:bidi="he-IL"/>
              </w:rPr>
              <w:t>אב</w:t>
            </w:r>
            <w:r w:rsidRPr="0001229F" w:rsidR="002342DD">
              <w:rPr>
                <w:rFonts w:ascii="Calibri" w:hAnsi="Calibri" w:cs="Calibri" w:hint="default"/>
                <w:sz w:val="24"/>
                <w:szCs w:val="24"/>
                <w:rtl/>
                <w:lang w:val="en-US" w:eastAsia="he-IL" w:bidi="he-IL"/>
              </w:rPr>
              <w:t xml:space="preserve">, </w:t>
            </w:r>
            <w:r w:rsidRPr="0001229F" w:rsidR="002342DD">
              <w:rPr>
                <w:rFonts w:ascii="Calibri" w:hAnsi="Calibri" w:hint="default"/>
                <w:sz w:val="24"/>
                <w:szCs w:val="24"/>
                <w:rtl/>
                <w:lang w:val="en-US" w:eastAsia="he-IL" w:bidi="he-IL"/>
              </w:rPr>
              <w:t>התש</w:t>
            </w:r>
            <w:r w:rsidRPr="0001229F" w:rsidR="00ED0604">
              <w:rPr>
                <w:rFonts w:ascii="Calibri" w:hAnsi="Calibri" w:hint="default"/>
                <w:sz w:val="24"/>
                <w:szCs w:val="24"/>
                <w:rtl/>
                <w:lang w:val="en-US" w:eastAsia="he-IL" w:bidi="he-IL"/>
              </w:rPr>
              <w:t>פ</w:t>
            </w:r>
            <w:r w:rsidRPr="0001229F" w:rsidR="00DA2018">
              <w:rPr>
                <w:rFonts w:ascii="Calibri" w:hAnsi="Calibri" w:cs="Calibri" w:hint="default"/>
                <w:sz w:val="24"/>
                <w:szCs w:val="24"/>
                <w:rtl/>
                <w:lang w:val="en-US" w:eastAsia="he-IL" w:bidi="he-IL"/>
              </w:rPr>
              <w:t>"</w:t>
            </w:r>
            <w:r w:rsidRPr="0001229F" w:rsidR="00C13028">
              <w:rPr>
                <w:rFonts w:ascii="Calibri" w:hAnsi="Calibri" w:hint="default"/>
                <w:sz w:val="24"/>
                <w:szCs w:val="24"/>
                <w:rtl/>
                <w:lang w:val="en-US" w:eastAsia="he-IL" w:bidi="he-IL"/>
              </w:rPr>
              <w:t>ד</w:t>
            </w:r>
          </w:p>
          <w:p w:rsidR="00317000" w:rsidRPr="0001229F" w:rsidP="007E6B27">
            <w:pPr>
              <w:bidi/>
              <w:spacing w:line="480" w:lineRule="auto"/>
              <w:jc w:val="right"/>
              <w:rPr>
                <w:rFonts w:ascii="Calibri" w:hAnsi="Calibri" w:cs="Calibri" w:hint="default"/>
                <w:sz w:val="24"/>
                <w:szCs w:val="24"/>
                <w:lang w:val="en-US" w:eastAsia="he-IL" w:bidi="he-IL"/>
              </w:rPr>
            </w:pPr>
            <w:r w:rsidRPr="0001229F">
              <w:rPr>
                <w:rFonts w:ascii="Calibri" w:hAnsi="Calibri" w:cs="Calibri" w:hint="default"/>
                <w:sz w:val="24"/>
                <w:szCs w:val="24"/>
                <w:rtl/>
                <w:lang w:val="en-US" w:eastAsia="he-IL" w:bidi="he-IL"/>
              </w:rPr>
              <w:t>‏‏</w:t>
            </w:r>
            <w:r w:rsidRPr="0001229F" w:rsidR="007E6B27">
              <w:rPr>
                <w:rFonts w:ascii="Calibri" w:hAnsi="Calibri" w:cs="Calibri" w:hint="default"/>
                <w:sz w:val="24"/>
                <w:szCs w:val="24"/>
                <w:rtl/>
                <w:lang w:val="en-US" w:eastAsia="he-IL" w:bidi="he-IL"/>
              </w:rPr>
              <w:t xml:space="preserve">22 </w:t>
            </w:r>
            <w:r w:rsidRPr="0001229F" w:rsidR="007E6B27">
              <w:rPr>
                <w:rFonts w:ascii="Calibri" w:hAnsi="Calibri" w:hint="default"/>
                <w:sz w:val="24"/>
                <w:szCs w:val="24"/>
                <w:rtl/>
                <w:lang w:val="en-US" w:eastAsia="he-IL" w:bidi="he-IL"/>
              </w:rPr>
              <w:t xml:space="preserve">באוגוסט </w:t>
            </w:r>
            <w:r w:rsidRPr="0001229F" w:rsidR="00F30A02">
              <w:rPr>
                <w:rFonts w:ascii="Calibri" w:hAnsi="Calibri" w:cs="Calibri" w:hint="default"/>
                <w:sz w:val="24"/>
                <w:szCs w:val="24"/>
                <w:rtl/>
                <w:lang w:val="en-US" w:eastAsia="he-IL" w:bidi="he-IL"/>
              </w:rPr>
              <w:t>202</w:t>
            </w:r>
            <w:r w:rsidRPr="0001229F" w:rsidR="00423E3E">
              <w:rPr>
                <w:rFonts w:ascii="Calibri" w:hAnsi="Calibri" w:cs="Calibri" w:hint="default"/>
                <w:sz w:val="24"/>
                <w:szCs w:val="24"/>
                <w:rtl/>
                <w:lang w:val="en-US" w:eastAsia="he-IL" w:bidi="he-IL"/>
              </w:rPr>
              <w:t>4</w:t>
            </w:r>
          </w:p>
        </w:tc>
      </w:tr>
    </w:tbl>
    <w:p w:rsidR="00317000" w:rsidRPr="0001229F" w:rsidP="00E84169">
      <w:pPr>
        <w:bidi/>
        <w:spacing w:before="240" w:line="360" w:lineRule="auto"/>
        <w:ind w:right="-102"/>
        <w:rPr>
          <w:rFonts w:ascii="Calibri" w:hAnsi="Calibri" w:cs="Calibri" w:hint="default"/>
          <w:rtl/>
        </w:rPr>
      </w:pPr>
      <w:r w:rsidRPr="00D36FCB">
        <w:rPr>
          <w:rFonts w:ascii="Arial" w:hAnsi="Arial" w:cs="Arial" w:hint="default"/>
          <w:rtl/>
          <w:lang w:bidi="ar-SA"/>
        </w:rPr>
        <w:t>إعلان للصحافة</w:t>
      </w:r>
      <w:r w:rsidRPr="0001229F">
        <w:rPr>
          <w:rFonts w:ascii="Calibri" w:hAnsi="Calibri" w:cs="Calibri" w:hint="default"/>
          <w:rtl/>
        </w:rPr>
        <w:t>:</w:t>
      </w:r>
    </w:p>
    <w:p w:rsidR="00335B8A" w:rsidRPr="00335B8A" w:rsidP="00335B8A">
      <w:pPr>
        <w:bidi/>
        <w:jc w:val="center"/>
        <w:rPr>
          <w:rFonts w:ascii="Arial" w:hAnsi="Arial" w:cs="Arial" w:hint="default"/>
          <w:b/>
          <w:bCs/>
          <w:sz w:val="28"/>
          <w:szCs w:val="28"/>
          <w:rtl/>
          <w:lang w:bidi="ar-SA"/>
        </w:rPr>
      </w:pPr>
      <w:r w:rsidRPr="00335B8A">
        <w:rPr>
          <w:rFonts w:ascii="Arial" w:hAnsi="Arial" w:cs="Arial" w:hint="default"/>
          <w:b/>
          <w:bCs/>
          <w:sz w:val="28"/>
          <w:szCs w:val="28"/>
          <w:rtl/>
          <w:lang w:bidi="ar-SA"/>
        </w:rPr>
        <w:t xml:space="preserve">المؤشر المدمج لشهر </w:t>
      </w:r>
      <w:r w:rsidRPr="00335B8A">
        <w:rPr>
          <w:rFonts w:ascii="Arial" w:hAnsi="Arial" w:cs="Arial"/>
          <w:b/>
          <w:bCs/>
          <w:sz w:val="28"/>
          <w:szCs w:val="28"/>
          <w:rtl/>
          <w:lang w:bidi="ar-SA"/>
        </w:rPr>
        <w:t>تموز</w:t>
      </w:r>
      <w:r w:rsidRPr="00335B8A">
        <w:rPr>
          <w:rFonts w:ascii="Arial" w:hAnsi="Arial" w:cs="Arial" w:hint="default"/>
          <w:b/>
          <w:bCs/>
          <w:sz w:val="28"/>
          <w:szCs w:val="28"/>
          <w:rtl/>
          <w:lang w:bidi="ar-SA"/>
        </w:rPr>
        <w:t xml:space="preserve"> بق</w:t>
      </w:r>
      <w:r w:rsidRPr="00335B8A">
        <w:rPr>
          <w:rFonts w:ascii="Arial" w:hAnsi="Arial" w:cs="Arial"/>
          <w:b/>
          <w:bCs/>
          <w:sz w:val="28"/>
          <w:szCs w:val="28"/>
          <w:rtl/>
          <w:lang w:bidi="ar-SA"/>
        </w:rPr>
        <w:t>ي</w:t>
      </w:r>
      <w:r w:rsidRPr="00335B8A">
        <w:rPr>
          <w:rFonts w:ascii="Arial" w:hAnsi="Arial" w:cs="Arial" w:hint="default"/>
          <w:b/>
          <w:bCs/>
          <w:sz w:val="28"/>
          <w:szCs w:val="28"/>
          <w:rtl/>
          <w:lang w:bidi="ar-SA"/>
        </w:rPr>
        <w:t xml:space="preserve"> دون تغيير</w:t>
      </w:r>
    </w:p>
    <w:p w:rsidR="00335B8A" w:rsidRPr="00335B8A" w:rsidP="00335B8A">
      <w:pPr>
        <w:bidi/>
        <w:rPr>
          <w:rFonts w:hint="default"/>
          <w:rtl/>
          <w:lang w:bidi="ar-SA"/>
        </w:rPr>
      </w:pPr>
    </w:p>
    <w:p w:rsidR="003E5BD0" w:rsidRPr="0001229F" w:rsidP="00EB6B6C">
      <w:pPr>
        <w:bidi/>
        <w:spacing w:after="120" w:line="360" w:lineRule="auto"/>
        <w:ind w:right="-57"/>
        <w:jc w:val="both"/>
        <w:rPr>
          <w:rFonts w:ascii="Calibri" w:hAnsi="Calibri" w:cs="Calibri" w:hint="default"/>
          <w:rtl/>
        </w:rPr>
      </w:pPr>
    </w:p>
    <w:p w:rsidR="00335B8A" w:rsidRPr="00335B8A" w:rsidP="00335B8A">
      <w:pPr>
        <w:bidi/>
        <w:spacing w:after="120" w:line="360" w:lineRule="auto"/>
        <w:ind w:right="-57"/>
        <w:jc w:val="both"/>
        <w:rPr>
          <w:rFonts w:ascii="Calibri" w:hAnsi="Calibri" w:cs="Arial" w:hint="default"/>
          <w:lang w:bidi="ar-SA"/>
        </w:rPr>
      </w:pPr>
      <w:r w:rsidRPr="00335B8A">
        <w:rPr>
          <w:rFonts w:ascii="Calibri" w:hAnsi="Calibri" w:cs="Arial" w:hint="default"/>
          <w:rtl/>
          <w:lang w:bidi="ar-SA"/>
        </w:rPr>
        <w:t xml:space="preserve">بقي المؤشر </w:t>
      </w:r>
      <w:r>
        <w:rPr>
          <w:rFonts w:ascii="Calibri" w:hAnsi="Calibri" w:cs="Arial"/>
          <w:rtl/>
          <w:lang w:bidi="ar-SA"/>
        </w:rPr>
        <w:t>المدمج</w:t>
      </w:r>
      <w:r w:rsidRPr="00335B8A">
        <w:rPr>
          <w:rFonts w:ascii="Calibri" w:hAnsi="Calibri" w:cs="Arial" w:hint="default"/>
          <w:rtl/>
          <w:lang w:bidi="ar-SA"/>
        </w:rPr>
        <w:t xml:space="preserve"> لشهر </w:t>
      </w:r>
      <w:r>
        <w:rPr>
          <w:rFonts w:ascii="Calibri" w:hAnsi="Calibri" w:cs="Arial"/>
          <w:rtl/>
          <w:lang w:bidi="ar-SA"/>
        </w:rPr>
        <w:t>تموز</w:t>
      </w:r>
      <w:r w:rsidRPr="00335B8A">
        <w:rPr>
          <w:rFonts w:ascii="Calibri" w:hAnsi="Calibri" w:cs="Arial" w:hint="default"/>
          <w:rtl/>
          <w:lang w:bidi="ar-SA"/>
        </w:rPr>
        <w:t xml:space="preserve"> دون تغيير تقريبا</w:t>
      </w:r>
      <w:r>
        <w:rPr>
          <w:rFonts w:ascii="Calibri" w:hAnsi="Calibri" w:cs="Arial"/>
          <w:rtl/>
          <w:lang w:bidi="ar-SA"/>
        </w:rPr>
        <w:t>ً</w:t>
      </w:r>
      <w:r>
        <w:rPr>
          <w:rFonts w:ascii="Calibri" w:hAnsi="Calibri" w:cs="Arial" w:hint="default"/>
          <w:rtl/>
          <w:lang w:bidi="ar-SA"/>
        </w:rPr>
        <w:t xml:space="preserve"> (انخفض</w:t>
      </w:r>
      <w:r w:rsidRPr="00335B8A">
        <w:rPr>
          <w:rFonts w:ascii="Calibri" w:hAnsi="Calibri" w:cs="Arial" w:hint="default"/>
          <w:rtl/>
          <w:lang w:bidi="ar-SA"/>
        </w:rPr>
        <w:t xml:space="preserve"> بنسبة 0.03 بالمئة)، وذلك بعد انخفاضه في الربع الثاني من عام 2024 </w:t>
      </w:r>
      <w:r>
        <w:rPr>
          <w:rFonts w:ascii="Calibri" w:hAnsi="Calibri" w:cs="Arial"/>
          <w:rtl/>
          <w:lang w:bidi="ar-SA"/>
        </w:rPr>
        <w:t>واعتدال</w:t>
      </w:r>
      <w:r w:rsidRPr="00335B8A">
        <w:rPr>
          <w:rFonts w:ascii="Calibri" w:hAnsi="Calibri" w:cs="Arial" w:hint="default"/>
          <w:rtl/>
          <w:lang w:bidi="ar-SA"/>
        </w:rPr>
        <w:t xml:space="preserve"> النشاط الاقتصادي. يعكس هذا التطور في المؤشر استمرار تأثير الحرب على مستوى النشاط الاقتصادي.</w:t>
      </w:r>
    </w:p>
    <w:p w:rsidR="00335B8A" w:rsidRPr="00335B8A" w:rsidP="00335B8A">
      <w:pPr>
        <w:bidi/>
        <w:spacing w:after="120" w:line="360" w:lineRule="auto"/>
        <w:ind w:right="-57"/>
        <w:jc w:val="both"/>
        <w:rPr>
          <w:rFonts w:ascii="Calibri" w:hAnsi="Calibri" w:cs="Arial" w:hint="default"/>
          <w:lang w:bidi="ar-SA"/>
        </w:rPr>
      </w:pPr>
      <w:r w:rsidRPr="00756098">
        <w:rPr>
          <w:rFonts w:ascii="Calibri" w:hAnsi="Calibri" w:cs="Arial" w:hint="default"/>
          <w:rtl/>
          <w:lang w:bidi="ar-SA"/>
        </w:rPr>
        <w:t xml:space="preserve">تأثر المؤشر </w:t>
      </w:r>
      <w:r>
        <w:rPr>
          <w:rFonts w:ascii="Calibri" w:hAnsi="Calibri" w:cs="Arial"/>
          <w:rtl/>
          <w:lang w:bidi="ar-SA"/>
        </w:rPr>
        <w:t>المدمج</w:t>
      </w:r>
      <w:r w:rsidRPr="00756098">
        <w:rPr>
          <w:rFonts w:ascii="Calibri" w:hAnsi="Calibri" w:cs="Arial" w:hint="default"/>
          <w:rtl/>
          <w:lang w:bidi="ar-SA"/>
        </w:rPr>
        <w:t xml:space="preserve"> إيجابيا</w:t>
      </w:r>
      <w:r>
        <w:rPr>
          <w:rFonts w:ascii="Calibri" w:hAnsi="Calibri" w:cs="Arial"/>
          <w:rtl/>
          <w:lang w:bidi="ar-SA"/>
        </w:rPr>
        <w:t>ً</w:t>
      </w:r>
      <w:r w:rsidRPr="00756098">
        <w:rPr>
          <w:rFonts w:ascii="Calibri" w:hAnsi="Calibri" w:cs="Arial" w:hint="default"/>
          <w:rtl/>
          <w:lang w:bidi="ar-SA"/>
        </w:rPr>
        <w:t xml:space="preserve"> بارتفاع استيراد السلع الا</w:t>
      </w:r>
      <w:r>
        <w:rPr>
          <w:rFonts w:ascii="Calibri" w:hAnsi="Calibri" w:cs="Arial" w:hint="default"/>
          <w:rtl/>
          <w:lang w:bidi="ar-SA"/>
        </w:rPr>
        <w:t>ستهلاكية وواردات مدخلات الإنتاج</w:t>
      </w:r>
      <w:r w:rsidRPr="00335B8A">
        <w:rPr>
          <w:rFonts w:ascii="Calibri" w:hAnsi="Calibri" w:cs="Arial" w:hint="default"/>
          <w:rtl/>
          <w:lang w:bidi="ar-SA"/>
        </w:rPr>
        <w:t xml:space="preserve"> وتصدير السلع ومعدل </w:t>
      </w:r>
      <w:r>
        <w:rPr>
          <w:rFonts w:ascii="Calibri" w:hAnsi="Calibri" w:cs="Arial"/>
          <w:rtl/>
          <w:lang w:bidi="ar-SA"/>
        </w:rPr>
        <w:t>الوظائف الشاغرة</w:t>
      </w:r>
      <w:r w:rsidRPr="00335B8A">
        <w:rPr>
          <w:rFonts w:ascii="Calibri" w:hAnsi="Calibri" w:cs="Arial" w:hint="default"/>
          <w:rtl/>
          <w:lang w:bidi="ar-SA"/>
        </w:rPr>
        <w:t xml:space="preserve"> (</w:t>
      </w:r>
      <w:r>
        <w:rPr>
          <w:rFonts w:ascii="Calibri" w:hAnsi="Calibri" w:cs="Arial"/>
          <w:rtl/>
          <w:lang w:bidi="ar-SA"/>
        </w:rPr>
        <w:t>تموز</w:t>
      </w:r>
      <w:r w:rsidRPr="00335B8A">
        <w:rPr>
          <w:rFonts w:ascii="Calibri" w:hAnsi="Calibri" w:cs="Arial" w:hint="default"/>
          <w:rtl/>
          <w:lang w:bidi="ar-SA"/>
        </w:rPr>
        <w:t xml:space="preserve">). </w:t>
      </w:r>
      <w:r>
        <w:rPr>
          <w:rFonts w:ascii="Calibri" w:hAnsi="Calibri" w:cs="Arial"/>
          <w:rtl/>
          <w:lang w:bidi="ar-SA"/>
        </w:rPr>
        <w:t>في المقابل</w:t>
      </w:r>
      <w:r w:rsidRPr="00335B8A">
        <w:rPr>
          <w:rFonts w:ascii="Calibri" w:hAnsi="Calibri" w:cs="Arial" w:hint="default"/>
          <w:rtl/>
          <w:lang w:bidi="ar-SA"/>
        </w:rPr>
        <w:t xml:space="preserve">، انخفضت </w:t>
      </w:r>
      <w:r>
        <w:rPr>
          <w:rFonts w:ascii="Calibri" w:hAnsi="Calibri" w:cs="Arial"/>
          <w:rtl/>
          <w:lang w:bidi="ar-SA"/>
        </w:rPr>
        <w:t>ال</w:t>
      </w:r>
      <w:r w:rsidRPr="00335B8A">
        <w:rPr>
          <w:rFonts w:ascii="Calibri" w:hAnsi="Calibri" w:cs="Arial" w:hint="default"/>
          <w:rtl/>
          <w:lang w:bidi="ar-SA"/>
        </w:rPr>
        <w:t xml:space="preserve">مشتريات </w:t>
      </w:r>
      <w:r>
        <w:rPr>
          <w:rFonts w:ascii="Calibri" w:hAnsi="Calibri" w:cs="Arial"/>
          <w:rtl/>
          <w:lang w:bidi="ar-SA"/>
        </w:rPr>
        <w:t>ب</w:t>
      </w:r>
      <w:r w:rsidRPr="00335B8A">
        <w:rPr>
          <w:rFonts w:ascii="Calibri" w:hAnsi="Calibri" w:cs="Arial" w:hint="default"/>
          <w:rtl/>
          <w:lang w:bidi="ar-SA"/>
        </w:rPr>
        <w:t>بطاقات الائتمان (</w:t>
      </w:r>
      <w:r>
        <w:rPr>
          <w:rFonts w:ascii="Calibri" w:hAnsi="Calibri" w:cs="Arial"/>
          <w:rtl/>
          <w:lang w:bidi="ar-SA"/>
        </w:rPr>
        <w:t>تموز</w:t>
      </w:r>
      <w:r w:rsidRPr="00335B8A">
        <w:rPr>
          <w:rFonts w:ascii="Calibri" w:hAnsi="Calibri" w:cs="Arial" w:hint="default"/>
          <w:rtl/>
          <w:lang w:bidi="ar-SA"/>
        </w:rPr>
        <w:t>)، ومؤشر الإنتاج الصناعي، ومؤشر الإيرادات في تجارة التجزئة ومؤشر الإيرادات في الخدمات (</w:t>
      </w:r>
      <w:r>
        <w:rPr>
          <w:rFonts w:ascii="Calibri" w:hAnsi="Calibri" w:cs="Arial"/>
          <w:rtl/>
          <w:lang w:bidi="ar-SA"/>
        </w:rPr>
        <w:t>حزيران</w:t>
      </w:r>
      <w:r w:rsidRPr="00335B8A">
        <w:rPr>
          <w:rFonts w:ascii="Calibri" w:hAnsi="Calibri" w:cs="Arial" w:hint="default"/>
          <w:rtl/>
          <w:lang w:bidi="ar-SA"/>
        </w:rPr>
        <w:t xml:space="preserve">)، والوظائف </w:t>
      </w:r>
      <w:r>
        <w:rPr>
          <w:rFonts w:ascii="Calibri" w:hAnsi="Calibri" w:cs="Arial"/>
          <w:rtl/>
          <w:lang w:bidi="ar-SA"/>
        </w:rPr>
        <w:t>مدفوعة ال</w:t>
      </w:r>
      <w:r w:rsidRPr="00335B8A">
        <w:rPr>
          <w:rFonts w:ascii="Calibri" w:hAnsi="Calibri" w:cs="Arial" w:hint="default"/>
          <w:rtl/>
          <w:lang w:bidi="ar-SA"/>
        </w:rPr>
        <w:t>أجر (</w:t>
      </w:r>
      <w:r>
        <w:rPr>
          <w:rFonts w:ascii="Calibri" w:hAnsi="Calibri" w:cs="Arial"/>
          <w:rtl/>
          <w:lang w:bidi="ar-SA"/>
        </w:rPr>
        <w:t>أيار</w:t>
      </w:r>
      <w:r w:rsidRPr="00335B8A">
        <w:rPr>
          <w:rFonts w:ascii="Calibri" w:hAnsi="Calibri" w:cs="Arial" w:hint="default"/>
          <w:rtl/>
          <w:lang w:bidi="ar-SA"/>
        </w:rPr>
        <w:t>) وكان ل</w:t>
      </w:r>
      <w:r>
        <w:rPr>
          <w:rFonts w:ascii="Calibri" w:hAnsi="Calibri" w:cs="Arial"/>
          <w:rtl/>
          <w:lang w:bidi="ar-SA"/>
        </w:rPr>
        <w:t>ذلك</w:t>
      </w:r>
      <w:r w:rsidRPr="00335B8A">
        <w:rPr>
          <w:rFonts w:ascii="Calibri" w:hAnsi="Calibri" w:cs="Arial" w:hint="default"/>
          <w:rtl/>
          <w:lang w:bidi="ar-SA"/>
        </w:rPr>
        <w:t xml:space="preserve"> تأثير سلبي على المؤشر.</w:t>
      </w:r>
    </w:p>
    <w:p w:rsidR="00335B8A" w:rsidRPr="00335B8A" w:rsidP="00B519D1">
      <w:pPr>
        <w:bidi/>
        <w:spacing w:after="120" w:line="360" w:lineRule="auto"/>
        <w:ind w:right="-57"/>
        <w:jc w:val="both"/>
        <w:rPr>
          <w:rFonts w:ascii="Calibri" w:hAnsi="Calibri" w:cs="Arial" w:hint="default"/>
          <w:lang w:bidi="ar-SA"/>
        </w:rPr>
      </w:pPr>
      <w:r w:rsidRPr="00335B8A">
        <w:rPr>
          <w:rFonts w:ascii="Calibri" w:hAnsi="Calibri" w:cs="Arial" w:hint="default"/>
          <w:rtl/>
          <w:lang w:bidi="ar-SA"/>
        </w:rPr>
        <w:t xml:space="preserve">تم </w:t>
      </w:r>
      <w:r w:rsidR="00B519D1">
        <w:rPr>
          <w:rFonts w:ascii="Calibri" w:hAnsi="Calibri" w:cs="Arial"/>
          <w:rtl/>
          <w:lang w:bidi="ar-SA"/>
        </w:rPr>
        <w:t>تعديل</w:t>
      </w:r>
      <w:r w:rsidRPr="00335B8A">
        <w:rPr>
          <w:rFonts w:ascii="Calibri" w:hAnsi="Calibri" w:cs="Arial" w:hint="default"/>
          <w:rtl/>
          <w:lang w:bidi="ar-SA"/>
        </w:rPr>
        <w:t xml:space="preserve"> بيانات المؤشر للربع الثاني (</w:t>
      </w:r>
      <w:r>
        <w:rPr>
          <w:rFonts w:ascii="Calibri" w:hAnsi="Calibri" w:cs="Arial"/>
          <w:rtl/>
          <w:lang w:bidi="ar-SA"/>
        </w:rPr>
        <w:t>نيسان حتى حزيران</w:t>
      </w:r>
      <w:r w:rsidRPr="00335B8A">
        <w:rPr>
          <w:rFonts w:ascii="Calibri" w:hAnsi="Calibri" w:cs="Arial" w:hint="default"/>
          <w:rtl/>
          <w:lang w:bidi="ar-SA"/>
        </w:rPr>
        <w:t xml:space="preserve">) </w:t>
      </w:r>
      <w:r>
        <w:rPr>
          <w:rFonts w:ascii="Calibri" w:hAnsi="Calibri" w:cs="Arial"/>
          <w:rtl/>
          <w:lang w:bidi="ar-SA"/>
        </w:rPr>
        <w:t>نحو الأسفل</w:t>
      </w:r>
      <w:r w:rsidRPr="00335B8A">
        <w:rPr>
          <w:rFonts w:ascii="Calibri" w:hAnsi="Calibri" w:cs="Arial" w:hint="default"/>
          <w:rtl/>
          <w:lang w:bidi="ar-SA"/>
        </w:rPr>
        <w:t>. و</w:t>
      </w:r>
      <w:r>
        <w:rPr>
          <w:rFonts w:ascii="Calibri" w:hAnsi="Calibri" w:cs="Arial"/>
          <w:rtl/>
          <w:lang w:bidi="ar-SA"/>
        </w:rPr>
        <w:t>ي</w:t>
      </w:r>
      <w:r>
        <w:rPr>
          <w:rFonts w:ascii="Calibri" w:hAnsi="Calibri" w:cs="Arial" w:hint="default"/>
          <w:rtl/>
          <w:lang w:bidi="ar-SA"/>
        </w:rPr>
        <w:t xml:space="preserve">رجع هذه </w:t>
      </w:r>
      <w:r w:rsidR="00B519D1">
        <w:rPr>
          <w:rFonts w:ascii="Calibri" w:hAnsi="Calibri" w:cs="Arial"/>
          <w:rtl/>
          <w:lang w:bidi="ar-SA"/>
        </w:rPr>
        <w:t>التعديل</w:t>
      </w:r>
      <w:r w:rsidRPr="00335B8A">
        <w:rPr>
          <w:rFonts w:ascii="Calibri" w:hAnsi="Calibri" w:cs="Arial" w:hint="default"/>
          <w:rtl/>
          <w:lang w:bidi="ar-SA"/>
        </w:rPr>
        <w:t xml:space="preserve"> </w:t>
      </w:r>
      <w:r>
        <w:rPr>
          <w:rFonts w:ascii="Calibri" w:hAnsi="Calibri" w:cs="Arial"/>
          <w:rtl/>
          <w:lang w:bidi="ar-SA"/>
        </w:rPr>
        <w:t>في الأساس</w:t>
      </w:r>
      <w:r w:rsidRPr="00335B8A">
        <w:rPr>
          <w:rFonts w:ascii="Calibri" w:hAnsi="Calibri" w:cs="Arial" w:hint="default"/>
          <w:rtl/>
          <w:lang w:bidi="ar-SA"/>
        </w:rPr>
        <w:t xml:space="preserve"> إلى استلام بيانات المحاسبة الوطنية للربع الثاني من عام 2024 والتي أشارت إلى انخفاض النمو في </w:t>
      </w:r>
      <w:r>
        <w:rPr>
          <w:rFonts w:ascii="Calibri" w:hAnsi="Calibri" w:cs="Arial"/>
          <w:rtl/>
          <w:lang w:bidi="ar-SA"/>
        </w:rPr>
        <w:t>هذا</w:t>
      </w:r>
      <w:r w:rsidRPr="00335B8A">
        <w:rPr>
          <w:rFonts w:ascii="Calibri" w:hAnsi="Calibri" w:cs="Arial" w:hint="default"/>
          <w:rtl/>
          <w:lang w:bidi="ar-SA"/>
        </w:rPr>
        <w:t xml:space="preserve"> الربع.</w:t>
      </w:r>
    </w:p>
    <w:p w:rsidR="00335B8A" w:rsidRPr="0001229F" w:rsidP="00335B8A">
      <w:pPr>
        <w:bidi/>
        <w:spacing w:after="120" w:line="360" w:lineRule="auto"/>
        <w:ind w:right="-57"/>
        <w:jc w:val="both"/>
        <w:rPr>
          <w:rFonts w:ascii="Calibri" w:hAnsi="Calibri" w:cs="Calibri" w:hint="default"/>
          <w:rtl/>
        </w:rPr>
      </w:pPr>
      <w:r w:rsidRPr="00756098">
        <w:rPr>
          <w:rFonts w:ascii="Calibri" w:hAnsi="Calibri" w:hint="default"/>
          <w:rtl/>
          <w:lang w:bidi="ar-SA"/>
        </w:rPr>
        <w:t xml:space="preserve">يبين الجدول 1 التحديثات </w:t>
      </w:r>
      <w:r>
        <w:rPr>
          <w:rFonts w:ascii="Calibri" w:hAnsi="Calibri"/>
          <w:rtl/>
          <w:lang w:bidi="ar-SA"/>
        </w:rPr>
        <w:t>بأثر رجعي على المؤشر</w:t>
      </w:r>
      <w:r w:rsidRPr="00756098">
        <w:rPr>
          <w:rFonts w:ascii="Calibri" w:hAnsi="Calibri" w:hint="default"/>
          <w:rtl/>
          <w:lang w:bidi="ar-SA"/>
        </w:rPr>
        <w:t>. ويبين الجدول 2 تطور مكونات المؤشر خلال الأشهر الأخيرة</w:t>
      </w:r>
      <w:r>
        <w:rPr>
          <w:rFonts w:ascii="Calibri" w:hAnsi="Calibri"/>
          <w:rtl/>
          <w:lang w:bidi="ar-SA"/>
        </w:rPr>
        <w:t>.</w:t>
      </w:r>
    </w:p>
    <w:p w:rsidR="00D31011" w:rsidRPr="0001229F" w:rsidP="0047442F">
      <w:pPr>
        <w:bidi/>
        <w:spacing w:after="120" w:line="360" w:lineRule="auto"/>
        <w:ind w:right="-57"/>
        <w:jc w:val="both"/>
        <w:rPr>
          <w:rFonts w:ascii="Calibri" w:hAnsi="Calibri" w:cs="Calibri" w:hint="default"/>
          <w:rtl/>
        </w:rPr>
      </w:pPr>
      <w:r w:rsidRPr="00756098">
        <w:rPr>
          <w:rFonts w:ascii="Calibri" w:hAnsi="Calibri" w:hint="default"/>
          <w:rtl/>
          <w:lang w:bidi="ar-SA"/>
        </w:rPr>
        <w:t>يمكن الاطلاع على شرح تفصيلي لكيفية حس</w:t>
      </w:r>
      <w:r>
        <w:rPr>
          <w:rFonts w:ascii="Calibri" w:hAnsi="Calibri" w:hint="default"/>
          <w:rtl/>
          <w:lang w:bidi="ar-SA"/>
        </w:rPr>
        <w:t xml:space="preserve">اب المؤشر المدمج بالإضافة إلى </w:t>
      </w:r>
      <w:r w:rsidRPr="00756098">
        <w:rPr>
          <w:rFonts w:ascii="Calibri" w:hAnsi="Calibri" w:hint="default"/>
          <w:rtl/>
          <w:lang w:bidi="ar-SA"/>
        </w:rPr>
        <w:t xml:space="preserve">جداول التفصيلية طويلة المدى </w:t>
      </w:r>
      <w:r>
        <w:rPr>
          <w:rFonts w:ascii="Calibri" w:hAnsi="Calibri"/>
          <w:rtl/>
          <w:lang w:bidi="ar-SA"/>
        </w:rPr>
        <w:t>على</w:t>
      </w:r>
      <w:r w:rsidRPr="00756098">
        <w:rPr>
          <w:rFonts w:ascii="Calibri" w:hAnsi="Calibri" w:hint="default"/>
          <w:rtl/>
          <w:lang w:bidi="ar-SA"/>
        </w:rPr>
        <w:t xml:space="preserve"> الرابط</w:t>
      </w:r>
      <w:r w:rsidRPr="0001229F" w:rsidR="0004247A">
        <w:rPr>
          <w:rFonts w:ascii="Calibri" w:hAnsi="Calibri" w:cs="Calibri" w:hint="default"/>
          <w:rtl/>
        </w:rPr>
        <w:t>:</w:t>
      </w:r>
      <w:hyperlink r:id="rId11" w:history="1">
        <w:r w:rsidRPr="0001229F" w:rsidR="0004247A">
          <w:rPr>
            <w:rStyle w:val="Hyperlink"/>
            <w:rFonts w:ascii="Calibri" w:hAnsi="Calibri" w:cs="Calibri" w:hint="default"/>
          </w:rPr>
          <w:t>https://www.boi.org.il/roles/statistics/compositeindex/</w:t>
        </w:r>
      </w:hyperlink>
    </w:p>
    <w:p w:rsidR="00841F1A" w:rsidRPr="0001229F" w:rsidP="00E0201D">
      <w:pPr>
        <w:pStyle w:val="Heading1"/>
        <w:bidi/>
        <w:rPr>
          <w:rFonts w:ascii="Calibri" w:hAnsi="Calibri" w:cs="Calibri" w:hint="default"/>
          <w:rtl/>
        </w:rPr>
      </w:pPr>
      <w:r w:rsidRPr="00756098">
        <w:rPr>
          <w:rFonts w:ascii="Arial" w:hAnsi="Arial" w:cs="Arial" w:hint="default"/>
          <w:rtl/>
          <w:lang w:bidi="ar-SA"/>
        </w:rPr>
        <w:t>جدول</w:t>
      </w:r>
      <w:r w:rsidRPr="00756098">
        <w:rPr>
          <w:rFonts w:ascii="Arial" w:hAnsi="Arial" w:cs="Arial" w:hint="default"/>
          <w:rtl/>
        </w:rPr>
        <w:t xml:space="preserve"> 1: </w:t>
      </w:r>
      <w:r w:rsidRPr="00756098">
        <w:rPr>
          <w:rFonts w:ascii="Arial" w:hAnsi="Arial" w:cs="Arial" w:hint="default"/>
          <w:rtl/>
          <w:lang w:bidi="ar-SA"/>
        </w:rPr>
        <w:t>التحديثات بأثر رجعي على المؤشر المدمج</w:t>
      </w:r>
    </w:p>
    <w:tbl>
      <w:tblPr>
        <w:tblStyle w:val="TableNormal"/>
        <w:tblpPr w:leftFromText="180" w:rightFromText="180" w:vertAnchor="text" w:tblpXSpec="right" w:tblpY="1"/>
        <w:tblOverlap w:val="never"/>
        <w:bidiVisu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949"/>
        <w:gridCol w:w="1364"/>
        <w:gridCol w:w="1300"/>
      </w:tblGrid>
      <w:tr w:rsidTr="00E74D5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hRule="exact" w:val="479"/>
          <w:tblHeader/>
        </w:trPr>
        <w:tc>
          <w:tcPr>
            <w:tcW w:w="0" w:type="auto"/>
            <w:vAlign w:val="bottom"/>
          </w:tcPr>
          <w:p w:rsidR="00335B8A" w:rsidRPr="00756098" w:rsidP="00335B8A">
            <w:pPr>
              <w:pStyle w:val="BlockText"/>
              <w:bidi/>
              <w:spacing w:after="120" w:line="240" w:lineRule="auto"/>
              <w:ind w:left="0" w:firstLine="0"/>
              <w:jc w:val="left"/>
              <w:rPr>
                <w:rFonts w:ascii="Arial" w:hAnsi="Arial" w:cs="Arial"/>
                <w:sz w:val="22"/>
                <w:szCs w:val="24"/>
                <w:lang w:val="en-US" w:eastAsia="he-IL" w:bidi="he-IL"/>
              </w:rPr>
            </w:pPr>
            <w:r w:rsidRPr="00756098">
              <w:rPr>
                <w:rFonts w:ascii="Arial" w:hAnsi="Arial" w:cs="Arial"/>
                <w:b/>
                <w:bCs/>
                <w:sz w:val="22"/>
                <w:szCs w:val="24"/>
                <w:rtl/>
                <w:lang w:val="en-US" w:eastAsia="he-IL" w:bidi="ar-SA"/>
              </w:rPr>
              <w:t>التغير في المؤشر</w:t>
            </w:r>
            <w:r w:rsidRPr="00756098">
              <w:rPr>
                <w:rFonts w:ascii="Arial" w:hAnsi="Arial" w:cs="Arial"/>
                <w:b/>
                <w:bCs/>
                <w:sz w:val="22"/>
                <w:szCs w:val="24"/>
                <w:rtl/>
                <w:lang w:val="en-US" w:eastAsia="he-IL" w:bidi="he-IL"/>
              </w:rPr>
              <w:t xml:space="preserve"> (</w:t>
            </w:r>
            <w:r w:rsidRPr="00756098">
              <w:rPr>
                <w:rFonts w:ascii="Arial" w:hAnsi="Arial" w:cs="Arial"/>
                <w:b/>
                <w:bCs/>
                <w:sz w:val="22"/>
                <w:szCs w:val="24"/>
                <w:rtl/>
                <w:lang w:val="en-US" w:eastAsia="he-IL" w:bidi="ar-SA"/>
              </w:rPr>
              <w:t>بالنسبة المئوية</w:t>
            </w:r>
            <w:r w:rsidRPr="00756098">
              <w:rPr>
                <w:rFonts w:ascii="Arial" w:hAnsi="Arial" w:cs="Arial"/>
                <w:b/>
                <w:bCs/>
                <w:sz w:val="22"/>
                <w:szCs w:val="24"/>
                <w:rtl/>
                <w:lang w:val="en-US" w:eastAsia="he-IL" w:bidi="he-IL"/>
              </w:rPr>
              <w:t>)</w:t>
            </w:r>
          </w:p>
        </w:tc>
        <w:tc>
          <w:tcPr>
            <w:tcW w:w="0" w:type="auto"/>
            <w:vAlign w:val="bottom"/>
          </w:tcPr>
          <w:p w:rsidR="00335B8A" w:rsidRPr="00756098" w:rsidP="00335B8A">
            <w:pPr>
              <w:pStyle w:val="BlockText"/>
              <w:bidi/>
              <w:spacing w:after="120" w:line="240" w:lineRule="auto"/>
              <w:ind w:left="0" w:firstLine="0"/>
              <w:jc w:val="left"/>
              <w:rPr>
                <w:rFonts w:ascii="Arial" w:hAnsi="Arial" w:cs="Arial"/>
                <w:b/>
                <w:bCs/>
                <w:sz w:val="22"/>
                <w:szCs w:val="24"/>
                <w:lang w:val="en-US" w:eastAsia="he-IL" w:bidi="he-IL"/>
              </w:rPr>
            </w:pPr>
            <w:r w:rsidRPr="00756098">
              <w:rPr>
                <w:rFonts w:ascii="Arial" w:hAnsi="Arial" w:cs="Arial"/>
                <w:b/>
                <w:bCs/>
                <w:sz w:val="22"/>
                <w:szCs w:val="24"/>
                <w:rtl/>
                <w:lang w:val="en-US" w:eastAsia="he-IL" w:bidi="ar-SA"/>
              </w:rPr>
              <w:t>المعطي السابق</w:t>
            </w:r>
          </w:p>
        </w:tc>
        <w:tc>
          <w:tcPr>
            <w:tcW w:w="0" w:type="auto"/>
            <w:vAlign w:val="bottom"/>
          </w:tcPr>
          <w:p w:rsidR="00335B8A" w:rsidRPr="00756098" w:rsidP="00335B8A">
            <w:pPr>
              <w:pStyle w:val="BlockText"/>
              <w:tabs>
                <w:tab w:val="center" w:pos="886"/>
              </w:tabs>
              <w:bidi w:val="0"/>
              <w:spacing w:after="120" w:line="240" w:lineRule="auto"/>
              <w:ind w:left="0" w:firstLine="0"/>
              <w:jc w:val="left"/>
              <w:rPr>
                <w:rFonts w:ascii="Arial" w:hAnsi="Arial" w:cs="Arial"/>
                <w:b/>
                <w:bCs/>
                <w:sz w:val="22"/>
                <w:szCs w:val="24"/>
                <w:lang w:val="en-US" w:eastAsia="he-IL" w:bidi="he-IL"/>
              </w:rPr>
            </w:pPr>
            <w:r w:rsidRPr="00756098">
              <w:rPr>
                <w:rFonts w:ascii="Arial" w:hAnsi="Arial" w:cs="Arial"/>
                <w:b/>
                <w:bCs/>
                <w:sz w:val="22"/>
                <w:szCs w:val="24"/>
                <w:rtl/>
                <w:lang w:val="en-US" w:eastAsia="he-IL" w:bidi="ar-SA"/>
              </w:rPr>
              <w:t>المعطى الجديد</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7E6B27" w:rsidRPr="00335B8A" w:rsidP="007E6B27">
            <w:pPr>
              <w:bidi/>
              <w:rPr>
                <w:rFonts w:ascii="Arial" w:hAnsi="Arial" w:cs="Arial" w:hint="default"/>
                <w:sz w:val="24"/>
                <w:szCs w:val="24"/>
                <w:rtl/>
                <w:lang w:val="en-US" w:eastAsia="he-IL" w:bidi="ar-SA"/>
              </w:rPr>
            </w:pPr>
            <w:r w:rsidRPr="00335B8A">
              <w:rPr>
                <w:rFonts w:ascii="Arial" w:hAnsi="Arial" w:cs="Arial" w:hint="default"/>
                <w:sz w:val="24"/>
                <w:szCs w:val="24"/>
                <w:rtl/>
                <w:lang w:val="en-US" w:eastAsia="he-IL" w:bidi="ar-SA"/>
              </w:rPr>
              <w:t>تموز</w:t>
            </w:r>
          </w:p>
        </w:tc>
        <w:tc>
          <w:tcPr>
            <w:tcW w:w="0" w:type="auto"/>
            <w:vAlign w:val="bottom"/>
          </w:tcPr>
          <w:p w:rsidR="007E6B27" w:rsidRPr="0001229F" w:rsidP="007E6B27">
            <w:pPr>
              <w:pStyle w:val="BlockText"/>
              <w:bidi/>
              <w:spacing w:after="0" w:line="240" w:lineRule="auto"/>
              <w:ind w:left="0" w:firstLine="0"/>
              <w:jc w:val="center"/>
              <w:rPr>
                <w:rFonts w:ascii="Calibri" w:hAnsi="Calibri" w:cs="Calibri"/>
                <w:sz w:val="24"/>
                <w:szCs w:val="24"/>
                <w:rtl/>
                <w:lang w:val="en-US" w:eastAsia="he-IL" w:bidi="he-IL"/>
              </w:rPr>
            </w:pPr>
          </w:p>
        </w:tc>
        <w:tc>
          <w:tcPr>
            <w:tcW w:w="0" w:type="auto"/>
            <w:vAlign w:val="bottom"/>
          </w:tcPr>
          <w:p w:rsidR="007E6B27" w:rsidRPr="0001229F" w:rsidP="00B273D2">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0.03-</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7E6B27" w:rsidRPr="00335B8A" w:rsidP="007E6B27">
            <w:pPr>
              <w:bidi/>
              <w:rPr>
                <w:rFonts w:ascii="Arial" w:hAnsi="Arial" w:cs="Arial" w:hint="default"/>
                <w:sz w:val="24"/>
                <w:szCs w:val="24"/>
                <w:rtl/>
                <w:lang w:val="en-US" w:eastAsia="he-IL" w:bidi="ar-SA"/>
              </w:rPr>
            </w:pPr>
            <w:r w:rsidRPr="00335B8A">
              <w:rPr>
                <w:rFonts w:ascii="Arial" w:hAnsi="Arial" w:cs="Arial" w:hint="default"/>
                <w:sz w:val="24"/>
                <w:szCs w:val="24"/>
                <w:rtl/>
                <w:lang w:val="en-US" w:eastAsia="he-IL" w:bidi="ar-SA"/>
              </w:rPr>
              <w:t>حزيران</w:t>
            </w:r>
          </w:p>
        </w:tc>
        <w:tc>
          <w:tcPr>
            <w:tcW w:w="0" w:type="auto"/>
            <w:vAlign w:val="bottom"/>
          </w:tcPr>
          <w:p w:rsidR="007E6B27" w:rsidRPr="0001229F" w:rsidP="007E6B27">
            <w:pPr>
              <w:pStyle w:val="BlockText"/>
              <w:bidi/>
              <w:spacing w:after="0" w:line="240" w:lineRule="auto"/>
              <w:ind w:left="0" w:firstLine="0"/>
              <w:jc w:val="center"/>
              <w:rPr>
                <w:rFonts w:ascii="Calibri" w:hAnsi="Calibri" w:cs="Calibri"/>
                <w:sz w:val="24"/>
                <w:szCs w:val="24"/>
                <w:lang w:val="en-US" w:eastAsia="he-IL" w:bidi="he-IL"/>
              </w:rPr>
            </w:pPr>
            <w:r w:rsidRPr="0001229F">
              <w:rPr>
                <w:rFonts w:ascii="Calibri" w:hAnsi="Calibri" w:cs="Calibri"/>
                <w:sz w:val="24"/>
                <w:szCs w:val="24"/>
                <w:rtl/>
                <w:lang w:val="en-US" w:eastAsia="he-IL" w:bidi="he-IL"/>
              </w:rPr>
              <w:t>0.12</w:t>
            </w:r>
          </w:p>
        </w:tc>
        <w:tc>
          <w:tcPr>
            <w:tcW w:w="0" w:type="auto"/>
            <w:vAlign w:val="bottom"/>
          </w:tcPr>
          <w:p w:rsidR="007E6B27" w:rsidRPr="0001229F" w:rsidP="00B273D2">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0.29-</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335B8A" w:rsidRPr="00335B8A" w:rsidP="00335B8A">
            <w:pPr>
              <w:bidi/>
              <w:rPr>
                <w:rFonts w:ascii="Arial" w:hAnsi="Arial" w:cs="Arial" w:hint="default"/>
                <w:sz w:val="24"/>
                <w:szCs w:val="24"/>
                <w:rtl/>
                <w:lang w:val="en-US" w:eastAsia="he-IL" w:bidi="ar-SA"/>
              </w:rPr>
            </w:pPr>
            <w:r w:rsidRPr="00335B8A">
              <w:rPr>
                <w:rFonts w:ascii="Arial" w:hAnsi="Arial" w:cs="Arial" w:hint="default"/>
                <w:sz w:val="24"/>
                <w:szCs w:val="24"/>
                <w:rtl/>
                <w:lang w:val="en-US" w:eastAsia="he-IL" w:bidi="ar-SA"/>
              </w:rPr>
              <w:t>أيار</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0.06</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lang w:val="en-US" w:eastAsia="he-IL" w:bidi="he-IL"/>
              </w:rPr>
            </w:pPr>
            <w:r w:rsidRPr="0001229F">
              <w:rPr>
                <w:rFonts w:ascii="Calibri" w:hAnsi="Calibri" w:cs="Calibri"/>
                <w:sz w:val="24"/>
                <w:szCs w:val="24"/>
                <w:rtl/>
                <w:lang w:val="en-US" w:eastAsia="he-IL" w:bidi="he-IL"/>
              </w:rPr>
              <w:t>0.20</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335B8A" w:rsidRPr="00335B8A" w:rsidP="00335B8A">
            <w:pPr>
              <w:bidi/>
              <w:rPr>
                <w:rFonts w:ascii="Arial" w:hAnsi="Arial" w:cs="Arial" w:hint="default"/>
                <w:sz w:val="24"/>
                <w:szCs w:val="24"/>
                <w:rtl/>
                <w:lang w:val="en-US" w:eastAsia="he-IL" w:bidi="ar-SA"/>
              </w:rPr>
            </w:pPr>
            <w:r w:rsidRPr="00335B8A">
              <w:rPr>
                <w:rFonts w:ascii="Arial" w:hAnsi="Arial" w:cs="Arial" w:hint="default"/>
                <w:sz w:val="24"/>
                <w:szCs w:val="24"/>
                <w:rtl/>
                <w:lang w:val="en-US" w:eastAsia="he-IL" w:bidi="ar-SA"/>
              </w:rPr>
              <w:t>نيسان</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lang w:val="en-US" w:eastAsia="he-IL" w:bidi="he-IL"/>
              </w:rPr>
            </w:pPr>
            <w:r w:rsidRPr="0001229F">
              <w:rPr>
                <w:rFonts w:ascii="Calibri" w:hAnsi="Calibri" w:cs="Calibri"/>
                <w:sz w:val="24"/>
                <w:szCs w:val="24"/>
                <w:rtl/>
                <w:lang w:val="en-US" w:eastAsia="he-IL" w:bidi="he-IL"/>
              </w:rPr>
              <w:t>0.03-</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0.21-</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335B8A" w:rsidRPr="00335B8A" w:rsidP="00335B8A">
            <w:pPr>
              <w:bidi/>
              <w:rPr>
                <w:rFonts w:ascii="Arial" w:hAnsi="Arial" w:cs="Arial" w:hint="default"/>
                <w:sz w:val="24"/>
                <w:szCs w:val="24"/>
                <w:lang w:val="en-US" w:eastAsia="he-IL" w:bidi="ar-SA"/>
              </w:rPr>
            </w:pPr>
            <w:r w:rsidRPr="00335B8A">
              <w:rPr>
                <w:rFonts w:ascii="Arial" w:hAnsi="Arial" w:cs="Arial" w:hint="default"/>
                <w:sz w:val="24"/>
                <w:szCs w:val="24"/>
                <w:rtl/>
                <w:lang w:val="en-US" w:eastAsia="he-IL" w:bidi="ar-SA"/>
              </w:rPr>
              <w:t>آذار</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0.35</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rtl/>
                <w:lang w:val="en-US" w:eastAsia="he-IL" w:bidi="he-IL"/>
              </w:rPr>
            </w:pPr>
            <w:r w:rsidRPr="0001229F">
              <w:rPr>
                <w:rFonts w:ascii="Calibri" w:hAnsi="Calibri" w:cs="Calibri"/>
                <w:sz w:val="24"/>
                <w:szCs w:val="24"/>
                <w:rtl/>
                <w:lang w:val="en-US" w:eastAsia="he-IL" w:bidi="he-IL"/>
              </w:rPr>
              <w:t>0.31</w:t>
            </w:r>
          </w:p>
        </w:tc>
      </w:tr>
      <w:tr w:rsidTr="00E74D54">
        <w:tblPrEx>
          <w:tblW w:w="0" w:type="auto"/>
          <w:tblInd w:w="0" w:type="dxa"/>
          <w:tblCellMar>
            <w:top w:w="0" w:type="dxa"/>
            <w:left w:w="108" w:type="dxa"/>
            <w:bottom w:w="0" w:type="dxa"/>
            <w:right w:w="108" w:type="dxa"/>
          </w:tblCellMar>
          <w:tblLook w:val="0000"/>
        </w:tblPrEx>
        <w:trPr>
          <w:trHeight w:hRule="exact" w:val="397"/>
        </w:trPr>
        <w:tc>
          <w:tcPr>
            <w:tcW w:w="0" w:type="auto"/>
            <w:vAlign w:val="bottom"/>
          </w:tcPr>
          <w:p w:rsidR="00335B8A" w:rsidRPr="00335B8A" w:rsidP="00335B8A">
            <w:pPr>
              <w:bidi/>
              <w:rPr>
                <w:rFonts w:ascii="Arial" w:hAnsi="Arial" w:cs="Arial" w:hint="default"/>
                <w:sz w:val="24"/>
                <w:szCs w:val="24"/>
                <w:rtl/>
                <w:lang w:val="en-US" w:eastAsia="he-IL" w:bidi="ar-SA"/>
              </w:rPr>
            </w:pPr>
            <w:r w:rsidRPr="00335B8A">
              <w:rPr>
                <w:rFonts w:ascii="Arial" w:hAnsi="Arial" w:cs="Arial" w:hint="default"/>
                <w:sz w:val="24"/>
                <w:szCs w:val="24"/>
                <w:rtl/>
                <w:lang w:val="en-US" w:eastAsia="he-IL" w:bidi="ar-SA"/>
              </w:rPr>
              <w:t>شباط</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lang w:val="en-US" w:eastAsia="he-IL" w:bidi="he-IL"/>
              </w:rPr>
            </w:pPr>
            <w:r w:rsidRPr="0001229F">
              <w:rPr>
                <w:rFonts w:ascii="Calibri" w:hAnsi="Calibri" w:cs="Calibri"/>
                <w:sz w:val="24"/>
                <w:szCs w:val="24"/>
                <w:rtl/>
                <w:lang w:val="en-US" w:eastAsia="he-IL" w:bidi="he-IL"/>
              </w:rPr>
              <w:t>0.16</w:t>
            </w:r>
          </w:p>
        </w:tc>
        <w:tc>
          <w:tcPr>
            <w:tcW w:w="0" w:type="auto"/>
            <w:vAlign w:val="bottom"/>
          </w:tcPr>
          <w:p w:rsidR="00335B8A" w:rsidRPr="0001229F" w:rsidP="00335B8A">
            <w:pPr>
              <w:pStyle w:val="BlockText"/>
              <w:bidi/>
              <w:spacing w:after="0" w:line="240" w:lineRule="auto"/>
              <w:ind w:left="0" w:firstLine="0"/>
              <w:jc w:val="center"/>
              <w:rPr>
                <w:rFonts w:ascii="Calibri" w:hAnsi="Calibri" w:cs="Calibri"/>
                <w:sz w:val="24"/>
                <w:szCs w:val="24"/>
                <w:lang w:val="en-US" w:eastAsia="he-IL" w:bidi="he-IL"/>
              </w:rPr>
            </w:pPr>
            <w:r w:rsidRPr="0001229F">
              <w:rPr>
                <w:rFonts w:ascii="Calibri" w:hAnsi="Calibri" w:cs="Calibri"/>
                <w:sz w:val="24"/>
                <w:szCs w:val="24"/>
                <w:rtl/>
                <w:lang w:val="en-US" w:eastAsia="he-IL" w:bidi="he-IL"/>
              </w:rPr>
              <w:t>0.30</w:t>
            </w:r>
          </w:p>
        </w:tc>
      </w:tr>
    </w:tbl>
    <w:p w:rsidR="00966305" w:rsidRPr="0001229F" w:rsidP="00335B8A">
      <w:pPr>
        <w:pStyle w:val="Heading1"/>
        <w:bidi/>
        <w:rPr>
          <w:rFonts w:ascii="Calibri" w:hAnsi="Calibri" w:cs="Calibri" w:hint="default"/>
          <w:rtl/>
        </w:rPr>
      </w:pPr>
      <w:r w:rsidRPr="0001229F">
        <w:rPr>
          <w:rFonts w:ascii="Calibri" w:hAnsi="Calibri" w:cs="Calibri" w:hint="default"/>
        </w:rPr>
        <w:br w:type="textWrapping" w:clear="all"/>
      </w:r>
      <w:r w:rsidRPr="0001229F" w:rsidR="00E972AE">
        <w:rPr>
          <w:rFonts w:ascii="Calibri" w:hAnsi="Calibri" w:cs="Calibri" w:hint="default"/>
        </w:rPr>
        <w:br w:type="page"/>
      </w:r>
      <w:r w:rsidRPr="00756098" w:rsidR="00335B8A">
        <w:rPr>
          <w:rFonts w:cs="Arial"/>
          <w:rtl/>
          <w:lang w:bidi="ar-SA"/>
        </w:rPr>
        <w:t>جدول</w:t>
      </w:r>
      <w:r w:rsidRPr="00756098" w:rsidR="00335B8A">
        <w:rPr>
          <w:rtl/>
        </w:rPr>
        <w:t xml:space="preserve"> 2: </w:t>
      </w:r>
      <w:r w:rsidRPr="00756098" w:rsidR="00335B8A">
        <w:rPr>
          <w:rFonts w:cs="Arial"/>
          <w:rtl/>
          <w:lang w:bidi="ar-SA"/>
        </w:rPr>
        <w:t>التغييرات على مكونات المؤشر في الأشهر الأخيرة</w:t>
      </w:r>
    </w:p>
    <w:p w:rsidR="00966305" w:rsidRPr="0001229F" w:rsidP="00DF7A25">
      <w:pPr>
        <w:autoSpaceDE w:val="0"/>
        <w:autoSpaceDN w:val="0"/>
        <w:bidi/>
        <w:adjustRightInd w:val="0"/>
        <w:rPr>
          <w:rFonts w:ascii="Calibri" w:hAnsi="Calibri" w:cs="Calibri" w:hint="default"/>
          <w:i/>
          <w:sz w:val="16"/>
          <w:szCs w:val="16"/>
          <w:rtl/>
        </w:rPr>
      </w:pPr>
      <w:r>
        <w:rPr>
          <w:rFonts w:cs="Arial"/>
          <w:i/>
          <w:rtl/>
          <w:lang w:bidi="ar-SA"/>
        </w:rPr>
        <w:t>(معدلات التغيير الشهرية بالنسب المئوية، ما لم يذكر غير ذلك)</w:t>
      </w:r>
    </w:p>
    <w:tbl>
      <w:tblPr>
        <w:tblStyle w:val="TableNormal"/>
        <w:bidiVisu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
      <w:tblGrid>
        <w:gridCol w:w="3613"/>
        <w:gridCol w:w="1146"/>
        <w:gridCol w:w="1276"/>
        <w:gridCol w:w="1134"/>
        <w:gridCol w:w="1133"/>
      </w:tblGrid>
      <w:tr w:rsidTr="00C52C8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tblHeader/>
        </w:trPr>
        <w:tc>
          <w:tcPr>
            <w:tcW w:w="3613" w:type="dxa"/>
            <w:shd w:val="clear" w:color="auto" w:fill="auto"/>
          </w:tcPr>
          <w:p w:rsidR="00963AAE" w:rsidRPr="0001229F" w:rsidP="00963AAE">
            <w:pPr>
              <w:autoSpaceDE w:val="0"/>
              <w:autoSpaceDN w:val="0"/>
              <w:bidi/>
              <w:adjustRightInd w:val="0"/>
              <w:spacing w:line="480" w:lineRule="auto"/>
              <w:rPr>
                <w:rFonts w:ascii="Calibri" w:hAnsi="Calibri" w:cs="Calibri" w:hint="default"/>
                <w:i/>
                <w:sz w:val="24"/>
                <w:szCs w:val="24"/>
                <w:rtl/>
                <w:lang w:val="en-US" w:eastAsia="he-IL" w:bidi="he-IL"/>
              </w:rPr>
            </w:pPr>
          </w:p>
        </w:tc>
        <w:tc>
          <w:tcPr>
            <w:tcW w:w="1146" w:type="dxa"/>
            <w:shd w:val="clear" w:color="auto" w:fill="auto"/>
            <w:vAlign w:val="bottom"/>
          </w:tcPr>
          <w:p w:rsidR="00963AAE" w:rsidRPr="00335B8A" w:rsidP="00963AAE">
            <w:pPr>
              <w:autoSpaceDE w:val="0"/>
              <w:autoSpaceDN w:val="0"/>
              <w:bidi/>
              <w:adjustRightInd w:val="0"/>
              <w:spacing w:line="276" w:lineRule="auto"/>
              <w:jc w:val="center"/>
              <w:rPr>
                <w:rFonts w:ascii="Arial" w:hAnsi="Arial" w:cs="Arial" w:hint="default"/>
                <w:b/>
                <w:bCs/>
                <w:i/>
                <w:sz w:val="24"/>
                <w:szCs w:val="24"/>
                <w:highlight w:val="yellow"/>
                <w:rtl/>
                <w:lang w:val="en-US" w:eastAsia="he-IL" w:bidi="ar-SA"/>
              </w:rPr>
            </w:pPr>
            <w:r w:rsidRPr="00335B8A">
              <w:rPr>
                <w:rFonts w:ascii="Arial" w:hAnsi="Arial" w:cs="Arial" w:hint="default"/>
                <w:b/>
                <w:bCs/>
                <w:i/>
                <w:sz w:val="24"/>
                <w:szCs w:val="24"/>
                <w:rtl/>
                <w:lang w:val="en-US" w:eastAsia="he-IL" w:bidi="ar-SA"/>
              </w:rPr>
              <w:t>تموز</w:t>
            </w:r>
          </w:p>
        </w:tc>
        <w:tc>
          <w:tcPr>
            <w:tcW w:w="1276" w:type="dxa"/>
            <w:shd w:val="clear" w:color="auto" w:fill="auto"/>
            <w:vAlign w:val="bottom"/>
          </w:tcPr>
          <w:p w:rsidR="00963AAE" w:rsidRPr="00335B8A" w:rsidP="00963AAE">
            <w:pPr>
              <w:autoSpaceDE w:val="0"/>
              <w:autoSpaceDN w:val="0"/>
              <w:bidi/>
              <w:adjustRightInd w:val="0"/>
              <w:spacing w:line="276" w:lineRule="auto"/>
              <w:jc w:val="center"/>
              <w:rPr>
                <w:rFonts w:ascii="Arial" w:hAnsi="Arial" w:cs="Arial" w:hint="default"/>
                <w:b/>
                <w:bCs/>
                <w:i/>
                <w:sz w:val="24"/>
                <w:szCs w:val="24"/>
                <w:highlight w:val="yellow"/>
                <w:rtl/>
                <w:lang w:val="en-US" w:eastAsia="he-IL" w:bidi="ar-SA"/>
              </w:rPr>
            </w:pPr>
            <w:r w:rsidRPr="00335B8A">
              <w:rPr>
                <w:rFonts w:ascii="Arial" w:hAnsi="Arial" w:cs="Arial" w:hint="default"/>
                <w:b/>
                <w:bCs/>
                <w:i/>
                <w:sz w:val="24"/>
                <w:szCs w:val="24"/>
                <w:rtl/>
                <w:lang w:val="en-US" w:eastAsia="he-IL" w:bidi="ar-SA"/>
              </w:rPr>
              <w:t>حزيران</w:t>
            </w:r>
          </w:p>
        </w:tc>
        <w:tc>
          <w:tcPr>
            <w:tcW w:w="1134" w:type="dxa"/>
            <w:shd w:val="clear" w:color="auto" w:fill="auto"/>
            <w:vAlign w:val="bottom"/>
          </w:tcPr>
          <w:p w:rsidR="00963AAE" w:rsidRPr="00335B8A" w:rsidP="00963AAE">
            <w:pPr>
              <w:autoSpaceDE w:val="0"/>
              <w:autoSpaceDN w:val="0"/>
              <w:bidi/>
              <w:adjustRightInd w:val="0"/>
              <w:spacing w:line="276" w:lineRule="auto"/>
              <w:jc w:val="center"/>
              <w:rPr>
                <w:rFonts w:ascii="Arial" w:hAnsi="Arial" w:cs="Arial" w:hint="default"/>
                <w:b/>
                <w:bCs/>
                <w:i/>
                <w:sz w:val="24"/>
                <w:szCs w:val="24"/>
                <w:highlight w:val="yellow"/>
                <w:rtl/>
                <w:lang w:val="en-US" w:eastAsia="he-IL" w:bidi="ar-SA"/>
              </w:rPr>
            </w:pPr>
            <w:r w:rsidRPr="00335B8A">
              <w:rPr>
                <w:rFonts w:ascii="Arial" w:hAnsi="Arial" w:cs="Arial" w:hint="default"/>
                <w:b/>
                <w:bCs/>
                <w:i/>
                <w:sz w:val="24"/>
                <w:szCs w:val="24"/>
                <w:rtl/>
                <w:lang w:val="en-US" w:eastAsia="he-IL" w:bidi="ar-SA"/>
              </w:rPr>
              <w:t>أيار</w:t>
            </w:r>
          </w:p>
        </w:tc>
        <w:tc>
          <w:tcPr>
            <w:tcW w:w="1133" w:type="dxa"/>
            <w:shd w:val="clear" w:color="auto" w:fill="auto"/>
            <w:vAlign w:val="bottom"/>
          </w:tcPr>
          <w:p w:rsidR="00963AAE" w:rsidRPr="00335B8A" w:rsidP="00963AAE">
            <w:pPr>
              <w:autoSpaceDE w:val="0"/>
              <w:autoSpaceDN w:val="0"/>
              <w:bidi/>
              <w:adjustRightInd w:val="0"/>
              <w:spacing w:line="276" w:lineRule="auto"/>
              <w:jc w:val="center"/>
              <w:rPr>
                <w:rFonts w:ascii="Arial" w:hAnsi="Arial" w:cs="Arial" w:hint="default"/>
                <w:b/>
                <w:bCs/>
                <w:i/>
                <w:sz w:val="24"/>
                <w:szCs w:val="24"/>
                <w:highlight w:val="yellow"/>
                <w:rtl/>
                <w:lang w:val="en-US" w:eastAsia="he-IL" w:bidi="ar-SA"/>
              </w:rPr>
            </w:pPr>
            <w:r w:rsidRPr="00335B8A">
              <w:rPr>
                <w:rFonts w:ascii="Arial" w:hAnsi="Arial" w:cs="Arial" w:hint="default"/>
                <w:b/>
                <w:bCs/>
                <w:i/>
                <w:sz w:val="24"/>
                <w:szCs w:val="24"/>
                <w:rtl/>
                <w:lang w:val="en-US" w:eastAsia="he-IL" w:bidi="ar-SA"/>
              </w:rPr>
              <w:t>نيسان</w:t>
            </w:r>
          </w:p>
        </w:tc>
      </w:tr>
      <w:tr w:rsidTr="00C87A44">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مؤشر الانتاج الصناعي (بدون التعدين والتحجير)</w:t>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-0.9</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1.5</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2.5</w:t>
            </w:r>
          </w:p>
        </w:tc>
      </w:tr>
      <w:tr w:rsidTr="00995DC0">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مؤشر الإيرادات في الخدمات (بدون التعليم والإدارة الجماهيرية)</w:t>
            </w:r>
          </w:p>
        </w:tc>
        <w:tc>
          <w:tcPr>
            <w:tcW w:w="1146" w:type="dxa"/>
            <w:shd w:val="clear" w:color="auto" w:fill="auto"/>
            <w:vAlign w:val="center"/>
          </w:tcPr>
          <w:p w:rsidR="00963AAE" w:rsidRPr="0001229F" w:rsidP="00963AAE">
            <w:pPr>
              <w:jc w:val="center"/>
              <w:rPr>
                <w:rFonts w:ascii="Calibri" w:hAnsi="Calibri" w:cs="Calibri" w:hint="default"/>
                <w:sz w:val="24"/>
                <w:szCs w:val="24"/>
                <w:rtl/>
                <w:lang w:val="en-US" w:eastAsia="he-IL" w:bidi="he-IL"/>
              </w:rPr>
            </w:pPr>
            <w:r w:rsidRPr="0001229F">
              <w:rPr>
                <w:rFonts w:ascii="Calibri" w:hAnsi="Calibri" w:cs="Calibri" w:hint="default"/>
                <w:sz w:val="24"/>
                <w:szCs w:val="24"/>
                <w:lang w:val="en-US" w:eastAsia="he-IL" w:bidi="he-IL"/>
              </w:rPr>
              <w:t> </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-0.4</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-0.1</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1.0</w:t>
            </w:r>
          </w:p>
        </w:tc>
      </w:tr>
      <w:tr w:rsidTr="00A81F82">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مؤشر الإيرادات في تجارة التجزئة</w:t>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-1.0</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2.3</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-1.7</w:t>
            </w:r>
          </w:p>
        </w:tc>
      </w:tr>
      <w:tr w:rsidTr="003401A8">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استيراد السلع الاستهلاكية</w:t>
            </w:r>
            <w:r w:rsidRPr="00756098">
              <w:rPr>
                <w:rFonts w:ascii="Arial" w:hAnsi="Arial" w:cs="Arial" w:hint="default"/>
                <w:sz w:val="24"/>
                <w:szCs w:val="24"/>
                <w:vertAlign w:val="superscript"/>
                <w:rtl/>
                <w:lang w:val="en-US" w:eastAsia="he-IL" w:bidi="he-IL"/>
              </w:rPr>
              <w:t xml:space="preserve"> </w:t>
            </w:r>
            <w:r w:rsidRPr="0001229F">
              <w:rPr>
                <w:rFonts w:ascii="Calibri" w:hAnsi="Calibri" w:cs="Calibri" w:hint="default"/>
                <w:sz w:val="24"/>
                <w:szCs w:val="24"/>
                <w:vertAlign w:val="superscript"/>
                <w:rtl/>
                <w:lang w:val="en-US" w:eastAsia="he-IL" w:bidi="he-IL"/>
              </w:rPr>
              <w:t>1</w:t>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4.4</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-4.5</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14.5</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-13.0</w:t>
            </w:r>
          </w:p>
        </w:tc>
      </w:tr>
      <w:tr w:rsidTr="003401A8">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استيراد مدخلات الإنتاج (بدون المحروقات)</w:t>
            </w:r>
            <w:r w:rsidRPr="0001229F">
              <w:rPr>
                <w:rFonts w:ascii="Calibri" w:hAnsi="Calibri" w:cs="Calibri" w:hint="default"/>
                <w:sz w:val="24"/>
                <w:szCs w:val="24"/>
                <w:vertAlign w:val="superscript"/>
                <w:rtl/>
                <w:lang w:val="en-US" w:eastAsia="he-IL" w:bidi="he-IL"/>
              </w:rPr>
              <w:t>1</w:t>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2.1</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-5.6</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6.7</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-3.8</w:t>
            </w:r>
          </w:p>
        </w:tc>
      </w:tr>
      <w:tr w:rsidTr="003401A8">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تصدير البضائع (باستثناء الزراعة</w:t>
            </w:r>
            <w:r w:rsidRPr="0001229F">
              <w:rPr>
                <w:rFonts w:ascii="Calibri" w:hAnsi="Calibri" w:cs="Calibri" w:hint="default"/>
                <w:i/>
                <w:sz w:val="24"/>
                <w:szCs w:val="24"/>
                <w:rtl/>
                <w:lang w:val="en-US" w:eastAsia="he-IL" w:bidi="he-IL"/>
              </w:rPr>
              <w:t>)</w:t>
            </w:r>
            <w:r>
              <w:rPr>
                <w:rStyle w:val="FootnoteReference"/>
                <w:rFonts w:ascii="Calibri" w:hAnsi="Calibri" w:cs="Calibri" w:hint="default"/>
                <w:i/>
                <w:rtl/>
              </w:rPr>
              <w:footnoteReference w:id="2"/>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8.0</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2.7</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-5.5</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0.3</w:t>
            </w:r>
          </w:p>
        </w:tc>
      </w:tr>
      <w:tr w:rsidTr="00A81F82">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خدمات التصدير (بدون النقل</w:t>
            </w:r>
            <w:r w:rsidRPr="0001229F">
              <w:rPr>
                <w:rFonts w:ascii="Calibri" w:hAnsi="Calibri" w:cs="Calibri" w:hint="default"/>
                <w:i/>
                <w:sz w:val="24"/>
                <w:szCs w:val="24"/>
                <w:rtl/>
                <w:lang w:val="en-US" w:eastAsia="he-IL" w:bidi="he-IL"/>
              </w:rPr>
              <w:t>)</w:t>
            </w:r>
            <w:r>
              <w:rPr>
                <w:rStyle w:val="FootnoteReference"/>
                <w:rFonts w:ascii="Calibri" w:hAnsi="Calibri" w:cs="Calibri" w:hint="default"/>
                <w:i/>
                <w:rtl/>
              </w:rPr>
              <w:footnoteReference w:id="3"/>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0.2</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0.5</w:t>
            </w:r>
          </w:p>
        </w:tc>
      </w:tr>
      <w:tr w:rsidTr="00A81F82">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وظائف مدفوعة الأجر - في القطاع الخاص</w:t>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 </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-0.1</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0.1</w:t>
            </w:r>
          </w:p>
        </w:tc>
      </w:tr>
      <w:tr w:rsidTr="007D7CD1">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i/>
                <w:sz w:val="24"/>
                <w:szCs w:val="24"/>
                <w:rtl/>
                <w:lang w:val="en-US" w:eastAsia="he-IL" w:bidi="he-IL"/>
              </w:rPr>
            </w:pPr>
            <w:r w:rsidRPr="00756098">
              <w:rPr>
                <w:rFonts w:ascii="Arial" w:hAnsi="Arial" w:cs="Arial" w:hint="default"/>
                <w:i/>
                <w:sz w:val="24"/>
                <w:szCs w:val="24"/>
                <w:rtl/>
                <w:lang w:val="en-US" w:eastAsia="he-IL" w:bidi="ar-SA"/>
              </w:rPr>
              <w:t>معدل الشواغر في قطاع الأعمال</w:t>
            </w:r>
            <w:r w:rsidRPr="00756098">
              <w:rPr>
                <w:rStyle w:val="FootnoteReference"/>
                <w:rFonts w:ascii="Arial" w:hAnsi="Arial" w:cs="Arial" w:hint="default"/>
                <w:sz w:val="24"/>
                <w:szCs w:val="24"/>
                <w:vertAlign w:val="superscript"/>
                <w:rtl/>
                <w:lang w:val="en-US" w:eastAsia="he-IL" w:bidi="he-IL"/>
              </w:rPr>
              <w:t xml:space="preserve"> </w:t>
            </w:r>
            <w:r>
              <w:rPr>
                <w:rStyle w:val="FootnoteReference"/>
                <w:rFonts w:ascii="Calibri" w:hAnsi="Calibri" w:cs="Calibri" w:hint="default"/>
                <w:rtl/>
              </w:rPr>
              <w:footnoteReference w:id="4"/>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4.6</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4.5</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4.5</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4.5</w:t>
            </w:r>
          </w:p>
        </w:tc>
      </w:tr>
      <w:tr w:rsidTr="007D7CD1">
        <w:tblPrEx>
          <w:tblW w:w="0" w:type="auto"/>
          <w:tblInd w:w="0" w:type="dxa"/>
          <w:tblLayout w:type="fixed"/>
          <w:tblCellMar>
            <w:top w:w="0" w:type="dxa"/>
            <w:left w:w="108" w:type="dxa"/>
            <w:bottom w:w="0" w:type="dxa"/>
            <w:right w:w="108" w:type="dxa"/>
          </w:tblCellMar>
          <w:tblLook w:val="01E0"/>
        </w:tblPrEx>
        <w:trPr>
          <w:trHeight w:val="340"/>
        </w:trPr>
        <w:tc>
          <w:tcPr>
            <w:tcW w:w="3613" w:type="dxa"/>
            <w:shd w:val="clear" w:color="auto" w:fill="auto"/>
            <w:vAlign w:val="center"/>
          </w:tcPr>
          <w:p w:rsidR="00963AAE" w:rsidRPr="0001229F" w:rsidP="00963AAE">
            <w:pPr>
              <w:autoSpaceDE w:val="0"/>
              <w:autoSpaceDN w:val="0"/>
              <w:bidi/>
              <w:adjustRightInd w:val="0"/>
              <w:rPr>
                <w:rFonts w:ascii="Calibri" w:hAnsi="Calibri" w:cs="Calibri" w:hint="default"/>
                <w:sz w:val="24"/>
                <w:szCs w:val="24"/>
                <w:rtl/>
                <w:lang w:val="en-US" w:eastAsia="he-IL" w:bidi="he-IL"/>
              </w:rPr>
            </w:pPr>
            <w:r w:rsidRPr="00756098">
              <w:rPr>
                <w:rFonts w:ascii="Arial" w:hAnsi="Arial" w:cs="Arial" w:hint="default"/>
                <w:i/>
                <w:sz w:val="24"/>
                <w:szCs w:val="24"/>
                <w:rtl/>
                <w:lang w:val="en-US" w:eastAsia="he-IL" w:bidi="ar-SA"/>
              </w:rPr>
              <w:t>المشتريات ببطاقات الائتمان</w:t>
            </w:r>
            <w:r w:rsidRPr="00756098">
              <w:rPr>
                <w:rStyle w:val="FootnoteReference"/>
                <w:rFonts w:ascii="Arial" w:hAnsi="Arial" w:cs="Arial" w:hint="default"/>
                <w:sz w:val="24"/>
                <w:szCs w:val="24"/>
                <w:vertAlign w:val="superscript"/>
                <w:rtl/>
                <w:lang w:val="en-US" w:eastAsia="he-IL" w:bidi="he-IL"/>
              </w:rPr>
              <w:t xml:space="preserve"> </w:t>
            </w:r>
            <w:r>
              <w:rPr>
                <w:rStyle w:val="FootnoteReference"/>
                <w:rFonts w:ascii="Calibri" w:hAnsi="Calibri" w:cs="Calibri" w:hint="default"/>
                <w:rtl/>
              </w:rPr>
              <w:footnoteReference w:id="5"/>
            </w:r>
          </w:p>
        </w:tc>
        <w:tc>
          <w:tcPr>
            <w:tcW w:w="114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-0.3</w:t>
            </w:r>
          </w:p>
        </w:tc>
        <w:tc>
          <w:tcPr>
            <w:tcW w:w="1276"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0.9</w:t>
            </w:r>
          </w:p>
        </w:tc>
        <w:tc>
          <w:tcPr>
            <w:tcW w:w="1134"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0.6</w:t>
            </w:r>
          </w:p>
        </w:tc>
        <w:tc>
          <w:tcPr>
            <w:tcW w:w="1133" w:type="dxa"/>
            <w:shd w:val="clear" w:color="auto" w:fill="auto"/>
            <w:vAlign w:val="center"/>
          </w:tcPr>
          <w:p w:rsidR="00963AAE" w:rsidRPr="0001229F" w:rsidP="00963AAE">
            <w:pPr>
              <w:jc w:val="center"/>
              <w:rPr>
                <w:rFonts w:ascii="Calibri" w:hAnsi="Calibri" w:cs="Calibri" w:hint="default"/>
                <w:sz w:val="24"/>
                <w:szCs w:val="24"/>
                <w:lang w:val="en-US" w:eastAsia="he-IL" w:bidi="he-IL"/>
              </w:rPr>
            </w:pPr>
            <w:r w:rsidRPr="0001229F">
              <w:rPr>
                <w:rFonts w:ascii="Calibri" w:hAnsi="Calibri" w:cs="Calibri" w:hint="default"/>
                <w:sz w:val="24"/>
                <w:szCs w:val="24"/>
                <w:lang w:val="en-US" w:eastAsia="he-IL" w:bidi="he-IL"/>
              </w:rPr>
              <w:t>-0.9</w:t>
            </w:r>
          </w:p>
        </w:tc>
      </w:tr>
    </w:tbl>
    <w:p w:rsidR="00ED29D4" w:rsidRPr="0001229F" w:rsidP="00E91339">
      <w:pPr>
        <w:bidi/>
        <w:rPr>
          <w:rFonts w:ascii="Calibri" w:hAnsi="Calibri" w:cs="Calibri" w:hint="default"/>
          <w:sz w:val="25"/>
          <w:szCs w:val="25"/>
        </w:rPr>
      </w:pPr>
    </w:p>
    <w:sectPr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98">
      <w:pPr>
        <w:rPr>
          <w:rFonts w:hint="default"/>
        </w:rPr>
      </w:pPr>
      <w:r>
        <w:separator/>
      </w:r>
    </w:p>
  </w:endnote>
  <w:endnote w:type="continuationSeparator" w:id="1">
    <w:p w:rsidR="00031E9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98" w:rsidP="003E369F">
      <w:pPr>
        <w:jc w:val="right"/>
        <w:rPr>
          <w:rFonts w:hint="default"/>
        </w:rPr>
      </w:pPr>
      <w:r>
        <w:separator/>
      </w:r>
    </w:p>
  </w:footnote>
  <w:footnote w:type="continuationSeparator" w:id="1">
    <w:p w:rsidR="00031E98">
      <w:pPr>
        <w:rPr>
          <w:rFonts w:hint="default"/>
        </w:rPr>
      </w:pPr>
      <w:r>
        <w:continuationSeparator/>
      </w:r>
    </w:p>
  </w:footnote>
  <w:footnote w:id="2">
    <w:p w:rsidR="00963AAE" w:rsidRPr="006E496D" w:rsidP="00335B8A">
      <w:pPr>
        <w:bidi/>
        <w:jc w:val="both"/>
        <w:rPr>
          <w:rFonts w:ascii="Calibri" w:hAnsi="Calibri" w:cs="Calibri" w:hint="default"/>
        </w:rPr>
      </w:pPr>
      <w:r w:rsidRPr="006E496D">
        <w:rPr>
          <w:rFonts w:ascii="Calibri" w:hAnsi="Calibri" w:cs="Calibri" w:hint="default"/>
          <w:vertAlign w:val="superscript"/>
        </w:rPr>
        <w:footnoteRef/>
      </w:r>
      <w:r w:rsidRPr="006E496D">
        <w:rPr>
          <w:rFonts w:ascii="Calibri" w:hAnsi="Calibri" w:hint="default"/>
          <w:rtl/>
        </w:rPr>
        <w:t xml:space="preserve"> </w:t>
      </w:r>
      <w:r w:rsidR="00335B8A">
        <w:rPr>
          <w:rFonts w:ascii="David" w:hAnsi="David" w:cs="Arial"/>
          <w:sz w:val="20"/>
          <w:szCs w:val="20"/>
          <w:rtl/>
          <w:lang w:bidi="ar-SA"/>
        </w:rPr>
        <w:t>يتم احتساب واردات وصادرات السلع بأسعار ثابتة (من خلال خصم التغيرات في مؤشر أسعار التجارة الخارجية).</w:t>
      </w:r>
    </w:p>
  </w:footnote>
  <w:footnote w:id="3">
    <w:p w:rsidR="00963AAE" w:rsidRPr="006E496D" w:rsidP="00335B8A">
      <w:pPr>
        <w:pStyle w:val="FootnoteText"/>
        <w:spacing w:after="0" w:line="240" w:lineRule="auto"/>
        <w:ind w:left="0" w:firstLine="0"/>
        <w:rPr>
          <w:rFonts w:ascii="Calibri" w:hAnsi="Calibri" w:cs="Calibri"/>
          <w:iCs w:val="0"/>
          <w:sz w:val="24"/>
          <w:szCs w:val="24"/>
        </w:rPr>
      </w:pPr>
      <w:r w:rsidRPr="006E496D">
        <w:rPr>
          <w:rStyle w:val="FootnoteReference"/>
          <w:rFonts w:ascii="Calibri" w:hAnsi="Calibri" w:cs="Calibri"/>
          <w:sz w:val="24"/>
          <w:szCs w:val="24"/>
        </w:rPr>
        <w:footnoteRef/>
      </w:r>
      <w:r w:rsidRPr="006E496D">
        <w:rPr>
          <w:rFonts w:ascii="Calibri" w:hAnsi="Calibri" w:cs="Calibri"/>
          <w:iCs w:val="0"/>
          <w:sz w:val="24"/>
          <w:szCs w:val="24"/>
        </w:rPr>
        <w:t xml:space="preserve"> </w:t>
      </w:r>
      <w:r w:rsidRPr="00756098" w:rsidR="00335B8A">
        <w:rPr>
          <w:rFonts w:ascii="David" w:hAnsi="David" w:cs="Arial"/>
          <w:i/>
          <w:iCs w:val="0"/>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Pr="00756098" w:rsidR="00335B8A">
        <w:rPr>
          <w:rFonts w:ascii="Calibri" w:hAnsi="Calibri"/>
          <w:i/>
          <w:iCs w:val="0"/>
          <w:rtl/>
        </w:rPr>
        <w:t xml:space="preserve">.  </w:t>
      </w:r>
    </w:p>
  </w:footnote>
  <w:footnote w:id="4">
    <w:p w:rsidR="00963AAE" w:rsidRPr="006E496D" w:rsidP="00335B8A">
      <w:pPr>
        <w:bidi/>
        <w:jc w:val="both"/>
        <w:rPr>
          <w:rFonts w:ascii="Calibri" w:hAnsi="Calibri" w:cs="Calibri" w:hint="default"/>
        </w:rPr>
      </w:pPr>
      <w:r w:rsidRPr="006E496D">
        <w:rPr>
          <w:rStyle w:val="FootnoteReference"/>
          <w:rFonts w:ascii="Calibri" w:hAnsi="Calibri" w:cs="Calibri" w:hint="default"/>
        </w:rPr>
        <w:footnoteRef/>
      </w:r>
      <w:r w:rsidRPr="006E496D">
        <w:rPr>
          <w:rFonts w:ascii="Calibri" w:hAnsi="Calibri" w:cs="Calibri" w:hint="default"/>
          <w:rtl/>
        </w:rPr>
        <w:t xml:space="preserve"> </w:t>
      </w:r>
      <w:r w:rsidR="00335B8A">
        <w:rPr>
          <w:rFonts w:ascii="David" w:hAnsi="David" w:cs="Arial"/>
          <w:i/>
          <w:sz w:val="20"/>
          <w:szCs w:val="20"/>
          <w:rtl/>
          <w:lang w:bidi="ar-SA"/>
        </w:rPr>
        <w:t>يتم احتساب معدل الشواغر من إجمالي العاملين ويتم إدراجه في المؤشر عند مستواه بعد تعديله موسمياً</w:t>
      </w:r>
      <w:r w:rsidRPr="00C25A81" w:rsidR="00335B8A">
        <w:rPr>
          <w:rFonts w:ascii="Calibri" w:hAnsi="Calibri" w:cs="Calibri" w:hint="default"/>
          <w:i/>
          <w:rtl/>
        </w:rPr>
        <w:t>.</w:t>
      </w:r>
    </w:p>
  </w:footnote>
  <w:footnote w:id="5">
    <w:p w:rsidR="00963AAE" w:rsidRPr="006E496D" w:rsidP="00335B8A">
      <w:pPr>
        <w:pStyle w:val="FootnoteText"/>
        <w:spacing w:after="0" w:line="240" w:lineRule="auto"/>
        <w:ind w:left="0" w:firstLine="0"/>
        <w:rPr>
          <w:rFonts w:ascii="Calibri" w:hAnsi="Calibri" w:cs="Calibri"/>
          <w:iCs w:val="0"/>
          <w:sz w:val="24"/>
          <w:szCs w:val="24"/>
        </w:rPr>
      </w:pPr>
      <w:r w:rsidRPr="006E496D">
        <w:rPr>
          <w:rStyle w:val="FootnoteReference"/>
          <w:rFonts w:ascii="Calibri" w:hAnsi="Calibri" w:cs="Calibri"/>
          <w:sz w:val="24"/>
          <w:szCs w:val="24"/>
        </w:rPr>
        <w:footnoteRef/>
      </w:r>
      <w:r w:rsidRPr="006E496D">
        <w:rPr>
          <w:rFonts w:ascii="Calibri" w:hAnsi="Calibri" w:cs="Calibri"/>
          <w:sz w:val="24"/>
          <w:szCs w:val="24"/>
          <w:rtl/>
        </w:rPr>
        <w:t xml:space="preserve"> </w:t>
      </w:r>
      <w:r w:rsidRPr="00756098" w:rsidR="00335B8A">
        <w:rPr>
          <w:rFonts w:cs="Arial"/>
          <w:iCs w:val="0"/>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sidRPr="006E496D">
        <w:rPr>
          <w:rFonts w:ascii="Calibri" w:hAnsi="Calibri" w:cs="Calibri"/>
          <w:iCs w:val="0"/>
          <w:sz w:val="24"/>
          <w:szCs w:val="24"/>
          <w:rtl/>
        </w:rPr>
        <w:t>.</w:t>
      </w:r>
    </w:p>
    <w:p w:rsidR="00963AAE" w:rsidRPr="00D95D04" w:rsidP="00391116">
      <w:pPr>
        <w:pStyle w:val="FootnoteText"/>
        <w:spacing w:after="0" w:line="240" w:lineRule="auto"/>
        <w:ind w:left="0"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72E1D"/>
    <w:multiLevelType w:val="hybridMultilevel"/>
    <w:tmpl w:val="D5F001F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E0C14AE"/>
    <w:multiLevelType w:val="hybridMultilevel"/>
    <w:tmpl w:val="9398C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3F01"/>
  <w:defaultTabStop w:val="720"/>
  <w:noPunctuationKerning/>
  <w:characterSpacingControl w:val="doNotCompress"/>
  <w:footnotePr>
    <w:pos w:val="beneathText"/>
    <w:footnote w:id="0"/>
    <w:footnote w:id="1"/>
  </w:footnotePr>
  <w:endnotePr>
    <w:endnote w:id="0"/>
    <w:endnote w:id="1"/>
  </w:endnotePr>
  <w:compat/>
  <w:rsids>
    <w:rsidRoot w:val="00930ABC"/>
    <w:rsid w:val="00000FA2"/>
    <w:rsid w:val="0000170D"/>
    <w:rsid w:val="00001E13"/>
    <w:rsid w:val="00003856"/>
    <w:rsid w:val="000045A0"/>
    <w:rsid w:val="00004E38"/>
    <w:rsid w:val="0000573F"/>
    <w:rsid w:val="000103C0"/>
    <w:rsid w:val="00010746"/>
    <w:rsid w:val="0001081A"/>
    <w:rsid w:val="000111EE"/>
    <w:rsid w:val="0001229F"/>
    <w:rsid w:val="00014DAC"/>
    <w:rsid w:val="000158AE"/>
    <w:rsid w:val="00016B25"/>
    <w:rsid w:val="00016FE2"/>
    <w:rsid w:val="000175FA"/>
    <w:rsid w:val="00021244"/>
    <w:rsid w:val="00021649"/>
    <w:rsid w:val="0002202B"/>
    <w:rsid w:val="00022096"/>
    <w:rsid w:val="000236C4"/>
    <w:rsid w:val="0002493E"/>
    <w:rsid w:val="00024C47"/>
    <w:rsid w:val="00024F28"/>
    <w:rsid w:val="0002590E"/>
    <w:rsid w:val="00025DF3"/>
    <w:rsid w:val="00026452"/>
    <w:rsid w:val="0002749B"/>
    <w:rsid w:val="00031468"/>
    <w:rsid w:val="00031E98"/>
    <w:rsid w:val="00032222"/>
    <w:rsid w:val="00032246"/>
    <w:rsid w:val="00032B5B"/>
    <w:rsid w:val="000358FB"/>
    <w:rsid w:val="00035DD4"/>
    <w:rsid w:val="00036E24"/>
    <w:rsid w:val="00037789"/>
    <w:rsid w:val="00040666"/>
    <w:rsid w:val="00040A25"/>
    <w:rsid w:val="00040FEE"/>
    <w:rsid w:val="0004247A"/>
    <w:rsid w:val="0004267F"/>
    <w:rsid w:val="00042D48"/>
    <w:rsid w:val="00044171"/>
    <w:rsid w:val="000441F2"/>
    <w:rsid w:val="00045277"/>
    <w:rsid w:val="0004674C"/>
    <w:rsid w:val="00046A4E"/>
    <w:rsid w:val="00046D6C"/>
    <w:rsid w:val="00047043"/>
    <w:rsid w:val="00047397"/>
    <w:rsid w:val="00050050"/>
    <w:rsid w:val="000500BD"/>
    <w:rsid w:val="00050A15"/>
    <w:rsid w:val="00052106"/>
    <w:rsid w:val="00052964"/>
    <w:rsid w:val="000533F0"/>
    <w:rsid w:val="000540D7"/>
    <w:rsid w:val="000544C3"/>
    <w:rsid w:val="00055509"/>
    <w:rsid w:val="00055715"/>
    <w:rsid w:val="0005596A"/>
    <w:rsid w:val="00057779"/>
    <w:rsid w:val="0005777D"/>
    <w:rsid w:val="0006000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68EC"/>
    <w:rsid w:val="00087CA9"/>
    <w:rsid w:val="00090EDF"/>
    <w:rsid w:val="00093736"/>
    <w:rsid w:val="0009469F"/>
    <w:rsid w:val="00094E1C"/>
    <w:rsid w:val="00095A4A"/>
    <w:rsid w:val="00096819"/>
    <w:rsid w:val="00096DF5"/>
    <w:rsid w:val="000971CA"/>
    <w:rsid w:val="000A023D"/>
    <w:rsid w:val="000A2340"/>
    <w:rsid w:val="000A24A6"/>
    <w:rsid w:val="000A258A"/>
    <w:rsid w:val="000A291B"/>
    <w:rsid w:val="000A409C"/>
    <w:rsid w:val="000A48F0"/>
    <w:rsid w:val="000A5359"/>
    <w:rsid w:val="000A5A86"/>
    <w:rsid w:val="000A7D18"/>
    <w:rsid w:val="000B0248"/>
    <w:rsid w:val="000B139A"/>
    <w:rsid w:val="000B1B01"/>
    <w:rsid w:val="000B2079"/>
    <w:rsid w:val="000B3BB4"/>
    <w:rsid w:val="000B3DF0"/>
    <w:rsid w:val="000B415B"/>
    <w:rsid w:val="000B41E5"/>
    <w:rsid w:val="000B441E"/>
    <w:rsid w:val="000B4AD7"/>
    <w:rsid w:val="000B4C78"/>
    <w:rsid w:val="000B629B"/>
    <w:rsid w:val="000B6553"/>
    <w:rsid w:val="000B76BE"/>
    <w:rsid w:val="000B7DAB"/>
    <w:rsid w:val="000C00DD"/>
    <w:rsid w:val="000C047D"/>
    <w:rsid w:val="000C0B94"/>
    <w:rsid w:val="000C0CC2"/>
    <w:rsid w:val="000C3689"/>
    <w:rsid w:val="000C4278"/>
    <w:rsid w:val="000C4ADF"/>
    <w:rsid w:val="000C5413"/>
    <w:rsid w:val="000C6CA9"/>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19"/>
    <w:rsid w:val="000E5F7F"/>
    <w:rsid w:val="000F022C"/>
    <w:rsid w:val="000F0302"/>
    <w:rsid w:val="000F16A4"/>
    <w:rsid w:val="000F2091"/>
    <w:rsid w:val="000F2903"/>
    <w:rsid w:val="000F398C"/>
    <w:rsid w:val="000F3D48"/>
    <w:rsid w:val="000F44D1"/>
    <w:rsid w:val="000F5CC1"/>
    <w:rsid w:val="000F614F"/>
    <w:rsid w:val="000F6D88"/>
    <w:rsid w:val="000F6F52"/>
    <w:rsid w:val="000F72CD"/>
    <w:rsid w:val="001007C1"/>
    <w:rsid w:val="00100A59"/>
    <w:rsid w:val="001018B1"/>
    <w:rsid w:val="00101B51"/>
    <w:rsid w:val="00101BE4"/>
    <w:rsid w:val="00103A67"/>
    <w:rsid w:val="00105E7C"/>
    <w:rsid w:val="00106467"/>
    <w:rsid w:val="0011117B"/>
    <w:rsid w:val="0011195C"/>
    <w:rsid w:val="001124C1"/>
    <w:rsid w:val="001125C2"/>
    <w:rsid w:val="00112DB5"/>
    <w:rsid w:val="00114229"/>
    <w:rsid w:val="0011439B"/>
    <w:rsid w:val="00114A91"/>
    <w:rsid w:val="00116577"/>
    <w:rsid w:val="0011689C"/>
    <w:rsid w:val="00117D8A"/>
    <w:rsid w:val="001201B9"/>
    <w:rsid w:val="001203F9"/>
    <w:rsid w:val="0012042E"/>
    <w:rsid w:val="00121AFE"/>
    <w:rsid w:val="00122027"/>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58C0"/>
    <w:rsid w:val="00136072"/>
    <w:rsid w:val="00136856"/>
    <w:rsid w:val="001370F1"/>
    <w:rsid w:val="00137B76"/>
    <w:rsid w:val="00137E1E"/>
    <w:rsid w:val="0014020D"/>
    <w:rsid w:val="00140234"/>
    <w:rsid w:val="001405B2"/>
    <w:rsid w:val="00141328"/>
    <w:rsid w:val="00142998"/>
    <w:rsid w:val="00142A73"/>
    <w:rsid w:val="00142D20"/>
    <w:rsid w:val="001437CB"/>
    <w:rsid w:val="001440F2"/>
    <w:rsid w:val="001451FC"/>
    <w:rsid w:val="00145665"/>
    <w:rsid w:val="001456B4"/>
    <w:rsid w:val="00145F71"/>
    <w:rsid w:val="001462FA"/>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D41"/>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1EDC"/>
    <w:rsid w:val="00172BBC"/>
    <w:rsid w:val="00172E77"/>
    <w:rsid w:val="0017360D"/>
    <w:rsid w:val="001736DE"/>
    <w:rsid w:val="00174599"/>
    <w:rsid w:val="00174957"/>
    <w:rsid w:val="00174962"/>
    <w:rsid w:val="00174E08"/>
    <w:rsid w:val="00174FEF"/>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1DA"/>
    <w:rsid w:val="001C2394"/>
    <w:rsid w:val="001C276F"/>
    <w:rsid w:val="001C2E66"/>
    <w:rsid w:val="001C4785"/>
    <w:rsid w:val="001C4C58"/>
    <w:rsid w:val="001C5EBF"/>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0CFB"/>
    <w:rsid w:val="00211975"/>
    <w:rsid w:val="00211BA4"/>
    <w:rsid w:val="00211F5C"/>
    <w:rsid w:val="002123B0"/>
    <w:rsid w:val="0021263D"/>
    <w:rsid w:val="00213692"/>
    <w:rsid w:val="00215650"/>
    <w:rsid w:val="0021585A"/>
    <w:rsid w:val="00215FC3"/>
    <w:rsid w:val="002161C3"/>
    <w:rsid w:val="00220CF0"/>
    <w:rsid w:val="002228C7"/>
    <w:rsid w:val="00222C27"/>
    <w:rsid w:val="00222C44"/>
    <w:rsid w:val="0022308C"/>
    <w:rsid w:val="002234D3"/>
    <w:rsid w:val="00223E6D"/>
    <w:rsid w:val="00223EF1"/>
    <w:rsid w:val="002308C1"/>
    <w:rsid w:val="00231073"/>
    <w:rsid w:val="0023176D"/>
    <w:rsid w:val="00231934"/>
    <w:rsid w:val="00232352"/>
    <w:rsid w:val="00232955"/>
    <w:rsid w:val="00233716"/>
    <w:rsid w:val="00234199"/>
    <w:rsid w:val="002342DD"/>
    <w:rsid w:val="00234899"/>
    <w:rsid w:val="00234966"/>
    <w:rsid w:val="00234D39"/>
    <w:rsid w:val="00235A17"/>
    <w:rsid w:val="00235A6E"/>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6386"/>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3BE2"/>
    <w:rsid w:val="002758EE"/>
    <w:rsid w:val="00275D02"/>
    <w:rsid w:val="00276391"/>
    <w:rsid w:val="00277606"/>
    <w:rsid w:val="00280278"/>
    <w:rsid w:val="002807AE"/>
    <w:rsid w:val="002814F7"/>
    <w:rsid w:val="00281566"/>
    <w:rsid w:val="00282330"/>
    <w:rsid w:val="002823A9"/>
    <w:rsid w:val="00282857"/>
    <w:rsid w:val="00283566"/>
    <w:rsid w:val="002839FF"/>
    <w:rsid w:val="00283E94"/>
    <w:rsid w:val="00284D59"/>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1AD0"/>
    <w:rsid w:val="002A23B2"/>
    <w:rsid w:val="002A3858"/>
    <w:rsid w:val="002A3C61"/>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B69"/>
    <w:rsid w:val="002D318B"/>
    <w:rsid w:val="002D319E"/>
    <w:rsid w:val="002D3A3D"/>
    <w:rsid w:val="002D4723"/>
    <w:rsid w:val="002D4FAA"/>
    <w:rsid w:val="002D7B53"/>
    <w:rsid w:val="002E01CF"/>
    <w:rsid w:val="002E0237"/>
    <w:rsid w:val="002E1E6D"/>
    <w:rsid w:val="002E2292"/>
    <w:rsid w:val="002E27AC"/>
    <w:rsid w:val="002E34BA"/>
    <w:rsid w:val="002E3B5A"/>
    <w:rsid w:val="002E3C0E"/>
    <w:rsid w:val="002E3F53"/>
    <w:rsid w:val="002E4508"/>
    <w:rsid w:val="002E45F7"/>
    <w:rsid w:val="002E4792"/>
    <w:rsid w:val="002E48CD"/>
    <w:rsid w:val="002E4A43"/>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0A9"/>
    <w:rsid w:val="002F7487"/>
    <w:rsid w:val="002F75EB"/>
    <w:rsid w:val="002F7B47"/>
    <w:rsid w:val="00301D5D"/>
    <w:rsid w:val="00302025"/>
    <w:rsid w:val="003020FF"/>
    <w:rsid w:val="00302302"/>
    <w:rsid w:val="003039BB"/>
    <w:rsid w:val="0030417A"/>
    <w:rsid w:val="003044D4"/>
    <w:rsid w:val="003051E6"/>
    <w:rsid w:val="00306CAC"/>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0C9A"/>
    <w:rsid w:val="00331314"/>
    <w:rsid w:val="00331573"/>
    <w:rsid w:val="00334202"/>
    <w:rsid w:val="0033484C"/>
    <w:rsid w:val="0033489E"/>
    <w:rsid w:val="00334B33"/>
    <w:rsid w:val="00335B8A"/>
    <w:rsid w:val="00337116"/>
    <w:rsid w:val="00340679"/>
    <w:rsid w:val="00342FD8"/>
    <w:rsid w:val="0034416D"/>
    <w:rsid w:val="0034474C"/>
    <w:rsid w:val="00344F34"/>
    <w:rsid w:val="003500A2"/>
    <w:rsid w:val="00351E38"/>
    <w:rsid w:val="00353953"/>
    <w:rsid w:val="003542E9"/>
    <w:rsid w:val="003547E3"/>
    <w:rsid w:val="00354C37"/>
    <w:rsid w:val="00354C89"/>
    <w:rsid w:val="00355A91"/>
    <w:rsid w:val="00361430"/>
    <w:rsid w:val="00362869"/>
    <w:rsid w:val="00362BFC"/>
    <w:rsid w:val="00363151"/>
    <w:rsid w:val="003639EF"/>
    <w:rsid w:val="00364075"/>
    <w:rsid w:val="003641D6"/>
    <w:rsid w:val="003653D5"/>
    <w:rsid w:val="00365A30"/>
    <w:rsid w:val="003662D2"/>
    <w:rsid w:val="00366ADA"/>
    <w:rsid w:val="003673EF"/>
    <w:rsid w:val="00367562"/>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1116"/>
    <w:rsid w:val="0039249A"/>
    <w:rsid w:val="00394783"/>
    <w:rsid w:val="00394BD2"/>
    <w:rsid w:val="00395100"/>
    <w:rsid w:val="00396409"/>
    <w:rsid w:val="003967FD"/>
    <w:rsid w:val="00396D0C"/>
    <w:rsid w:val="00396F70"/>
    <w:rsid w:val="003973CA"/>
    <w:rsid w:val="00397589"/>
    <w:rsid w:val="00397633"/>
    <w:rsid w:val="003A02EC"/>
    <w:rsid w:val="003A06C6"/>
    <w:rsid w:val="003A0B92"/>
    <w:rsid w:val="003A1356"/>
    <w:rsid w:val="003A2C0B"/>
    <w:rsid w:val="003A420F"/>
    <w:rsid w:val="003A47D8"/>
    <w:rsid w:val="003A5076"/>
    <w:rsid w:val="003A6D1D"/>
    <w:rsid w:val="003B019A"/>
    <w:rsid w:val="003B21DD"/>
    <w:rsid w:val="003B21E6"/>
    <w:rsid w:val="003B2809"/>
    <w:rsid w:val="003B358C"/>
    <w:rsid w:val="003B3BEB"/>
    <w:rsid w:val="003B6291"/>
    <w:rsid w:val="003B67DD"/>
    <w:rsid w:val="003B6FCB"/>
    <w:rsid w:val="003C02C2"/>
    <w:rsid w:val="003C041A"/>
    <w:rsid w:val="003C10EF"/>
    <w:rsid w:val="003C1496"/>
    <w:rsid w:val="003C14C4"/>
    <w:rsid w:val="003C1AAB"/>
    <w:rsid w:val="003C1AEC"/>
    <w:rsid w:val="003C255F"/>
    <w:rsid w:val="003C298E"/>
    <w:rsid w:val="003C4DA5"/>
    <w:rsid w:val="003C7CF2"/>
    <w:rsid w:val="003D004C"/>
    <w:rsid w:val="003D102D"/>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47A"/>
    <w:rsid w:val="003F1D8F"/>
    <w:rsid w:val="003F4556"/>
    <w:rsid w:val="003F4570"/>
    <w:rsid w:val="003F461E"/>
    <w:rsid w:val="003F4D63"/>
    <w:rsid w:val="003F6700"/>
    <w:rsid w:val="003F7298"/>
    <w:rsid w:val="003F72D4"/>
    <w:rsid w:val="003F7829"/>
    <w:rsid w:val="004000B3"/>
    <w:rsid w:val="00401178"/>
    <w:rsid w:val="00402501"/>
    <w:rsid w:val="00404123"/>
    <w:rsid w:val="0040599F"/>
    <w:rsid w:val="00406D35"/>
    <w:rsid w:val="00410367"/>
    <w:rsid w:val="0041095A"/>
    <w:rsid w:val="004110D4"/>
    <w:rsid w:val="004116C5"/>
    <w:rsid w:val="00411E83"/>
    <w:rsid w:val="0041236C"/>
    <w:rsid w:val="004126E0"/>
    <w:rsid w:val="00412821"/>
    <w:rsid w:val="00412E47"/>
    <w:rsid w:val="00413597"/>
    <w:rsid w:val="00414F66"/>
    <w:rsid w:val="004153F0"/>
    <w:rsid w:val="0041554E"/>
    <w:rsid w:val="00415EBF"/>
    <w:rsid w:val="0041618B"/>
    <w:rsid w:val="004175FE"/>
    <w:rsid w:val="0042056C"/>
    <w:rsid w:val="0042069B"/>
    <w:rsid w:val="00420E57"/>
    <w:rsid w:val="00420E99"/>
    <w:rsid w:val="004225E1"/>
    <w:rsid w:val="0042261E"/>
    <w:rsid w:val="00423E3E"/>
    <w:rsid w:val="00424519"/>
    <w:rsid w:val="004249BD"/>
    <w:rsid w:val="00424D73"/>
    <w:rsid w:val="00425AEE"/>
    <w:rsid w:val="004265A9"/>
    <w:rsid w:val="0042673F"/>
    <w:rsid w:val="004269B9"/>
    <w:rsid w:val="00432E22"/>
    <w:rsid w:val="00432E61"/>
    <w:rsid w:val="00433717"/>
    <w:rsid w:val="00433AA9"/>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2BFD"/>
    <w:rsid w:val="00454AB2"/>
    <w:rsid w:val="00454D9A"/>
    <w:rsid w:val="00455426"/>
    <w:rsid w:val="00457A03"/>
    <w:rsid w:val="004608DA"/>
    <w:rsid w:val="00461593"/>
    <w:rsid w:val="00461A03"/>
    <w:rsid w:val="004647A7"/>
    <w:rsid w:val="00464A47"/>
    <w:rsid w:val="00464AF9"/>
    <w:rsid w:val="00465809"/>
    <w:rsid w:val="00466AE8"/>
    <w:rsid w:val="00466D87"/>
    <w:rsid w:val="00467CD5"/>
    <w:rsid w:val="00467DB5"/>
    <w:rsid w:val="00470028"/>
    <w:rsid w:val="00470E7D"/>
    <w:rsid w:val="00471AE3"/>
    <w:rsid w:val="00472CC0"/>
    <w:rsid w:val="004733F0"/>
    <w:rsid w:val="00473F08"/>
    <w:rsid w:val="0047442F"/>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4154"/>
    <w:rsid w:val="004955C5"/>
    <w:rsid w:val="00495EF2"/>
    <w:rsid w:val="00496A12"/>
    <w:rsid w:val="00497D37"/>
    <w:rsid w:val="004A17F0"/>
    <w:rsid w:val="004A2187"/>
    <w:rsid w:val="004A22F6"/>
    <w:rsid w:val="004A3C18"/>
    <w:rsid w:val="004A4173"/>
    <w:rsid w:val="004A5157"/>
    <w:rsid w:val="004A5786"/>
    <w:rsid w:val="004A627F"/>
    <w:rsid w:val="004A7335"/>
    <w:rsid w:val="004A74C8"/>
    <w:rsid w:val="004A78C7"/>
    <w:rsid w:val="004B13BD"/>
    <w:rsid w:val="004B1E9D"/>
    <w:rsid w:val="004B2D30"/>
    <w:rsid w:val="004B348A"/>
    <w:rsid w:val="004B380E"/>
    <w:rsid w:val="004B40F8"/>
    <w:rsid w:val="004B49B0"/>
    <w:rsid w:val="004B4AC0"/>
    <w:rsid w:val="004B4DC6"/>
    <w:rsid w:val="004B550C"/>
    <w:rsid w:val="004B558C"/>
    <w:rsid w:val="004B5BA0"/>
    <w:rsid w:val="004B6ADA"/>
    <w:rsid w:val="004C153A"/>
    <w:rsid w:val="004C2108"/>
    <w:rsid w:val="004C24E9"/>
    <w:rsid w:val="004C45A5"/>
    <w:rsid w:val="004C4839"/>
    <w:rsid w:val="004C56B1"/>
    <w:rsid w:val="004C61D1"/>
    <w:rsid w:val="004C6819"/>
    <w:rsid w:val="004C6A3D"/>
    <w:rsid w:val="004C71DA"/>
    <w:rsid w:val="004D0940"/>
    <w:rsid w:val="004D0C78"/>
    <w:rsid w:val="004D215F"/>
    <w:rsid w:val="004D2CF7"/>
    <w:rsid w:val="004D2FEC"/>
    <w:rsid w:val="004D346D"/>
    <w:rsid w:val="004D44C1"/>
    <w:rsid w:val="004D4816"/>
    <w:rsid w:val="004D4817"/>
    <w:rsid w:val="004D555E"/>
    <w:rsid w:val="004D56EB"/>
    <w:rsid w:val="004D5F31"/>
    <w:rsid w:val="004D6171"/>
    <w:rsid w:val="004D6FA6"/>
    <w:rsid w:val="004D6FBF"/>
    <w:rsid w:val="004E0163"/>
    <w:rsid w:val="004E0701"/>
    <w:rsid w:val="004E0F4F"/>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A47"/>
    <w:rsid w:val="004F2E99"/>
    <w:rsid w:val="004F340E"/>
    <w:rsid w:val="004F44B7"/>
    <w:rsid w:val="004F5512"/>
    <w:rsid w:val="004F5B46"/>
    <w:rsid w:val="004F6DD3"/>
    <w:rsid w:val="004F6FE5"/>
    <w:rsid w:val="00502738"/>
    <w:rsid w:val="005045BB"/>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506"/>
    <w:rsid w:val="00543FC3"/>
    <w:rsid w:val="00544029"/>
    <w:rsid w:val="0054418F"/>
    <w:rsid w:val="00544584"/>
    <w:rsid w:val="00544809"/>
    <w:rsid w:val="00544986"/>
    <w:rsid w:val="00545D80"/>
    <w:rsid w:val="00546512"/>
    <w:rsid w:val="005475F8"/>
    <w:rsid w:val="00547A28"/>
    <w:rsid w:val="00547B0F"/>
    <w:rsid w:val="0055103B"/>
    <w:rsid w:val="00551079"/>
    <w:rsid w:val="00551A36"/>
    <w:rsid w:val="005531CA"/>
    <w:rsid w:val="00553442"/>
    <w:rsid w:val="00554B0E"/>
    <w:rsid w:val="00555302"/>
    <w:rsid w:val="0055530B"/>
    <w:rsid w:val="00556BBB"/>
    <w:rsid w:val="00556C6C"/>
    <w:rsid w:val="00557FEB"/>
    <w:rsid w:val="005604B4"/>
    <w:rsid w:val="00560900"/>
    <w:rsid w:val="0056157C"/>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2B0C"/>
    <w:rsid w:val="00592D24"/>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44B"/>
    <w:rsid w:val="005B6F0F"/>
    <w:rsid w:val="005B7C44"/>
    <w:rsid w:val="005C08B9"/>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A60"/>
    <w:rsid w:val="005D7B45"/>
    <w:rsid w:val="005E2115"/>
    <w:rsid w:val="005E3874"/>
    <w:rsid w:val="005E3F72"/>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AE3"/>
    <w:rsid w:val="00602B2F"/>
    <w:rsid w:val="0060337B"/>
    <w:rsid w:val="006038C9"/>
    <w:rsid w:val="00604AD7"/>
    <w:rsid w:val="00604B7D"/>
    <w:rsid w:val="00604D92"/>
    <w:rsid w:val="00605AE4"/>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1789C"/>
    <w:rsid w:val="00620223"/>
    <w:rsid w:val="006211DC"/>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1AF8"/>
    <w:rsid w:val="0063246B"/>
    <w:rsid w:val="0063280B"/>
    <w:rsid w:val="00633016"/>
    <w:rsid w:val="00633274"/>
    <w:rsid w:val="00633D65"/>
    <w:rsid w:val="00633F29"/>
    <w:rsid w:val="00633FE5"/>
    <w:rsid w:val="00634821"/>
    <w:rsid w:val="00634D40"/>
    <w:rsid w:val="0063501A"/>
    <w:rsid w:val="006358A6"/>
    <w:rsid w:val="00635CF0"/>
    <w:rsid w:val="006361E9"/>
    <w:rsid w:val="006368D1"/>
    <w:rsid w:val="00636F65"/>
    <w:rsid w:val="00637C2C"/>
    <w:rsid w:val="00637C3E"/>
    <w:rsid w:val="00642122"/>
    <w:rsid w:val="00642F9A"/>
    <w:rsid w:val="006431E1"/>
    <w:rsid w:val="0064343B"/>
    <w:rsid w:val="006441C3"/>
    <w:rsid w:val="00644F66"/>
    <w:rsid w:val="00646AB4"/>
    <w:rsid w:val="00646B91"/>
    <w:rsid w:val="00646F32"/>
    <w:rsid w:val="00647456"/>
    <w:rsid w:val="00647A57"/>
    <w:rsid w:val="00647D96"/>
    <w:rsid w:val="00650067"/>
    <w:rsid w:val="00650E12"/>
    <w:rsid w:val="006521DB"/>
    <w:rsid w:val="00652595"/>
    <w:rsid w:val="00652C4A"/>
    <w:rsid w:val="006532CC"/>
    <w:rsid w:val="0065446E"/>
    <w:rsid w:val="006568B6"/>
    <w:rsid w:val="0065737C"/>
    <w:rsid w:val="00657874"/>
    <w:rsid w:val="00657B42"/>
    <w:rsid w:val="00660538"/>
    <w:rsid w:val="00663F01"/>
    <w:rsid w:val="0066727D"/>
    <w:rsid w:val="00670EE2"/>
    <w:rsid w:val="0067262C"/>
    <w:rsid w:val="006731ED"/>
    <w:rsid w:val="00674E20"/>
    <w:rsid w:val="00677F1B"/>
    <w:rsid w:val="006807A0"/>
    <w:rsid w:val="00680A93"/>
    <w:rsid w:val="00680D73"/>
    <w:rsid w:val="00681001"/>
    <w:rsid w:val="00681461"/>
    <w:rsid w:val="006821F3"/>
    <w:rsid w:val="00682E7B"/>
    <w:rsid w:val="00683D85"/>
    <w:rsid w:val="00684FE6"/>
    <w:rsid w:val="0068529F"/>
    <w:rsid w:val="0068562A"/>
    <w:rsid w:val="00686D4C"/>
    <w:rsid w:val="00686DB4"/>
    <w:rsid w:val="00687312"/>
    <w:rsid w:val="00687808"/>
    <w:rsid w:val="00687937"/>
    <w:rsid w:val="00690D07"/>
    <w:rsid w:val="006929E6"/>
    <w:rsid w:val="00695152"/>
    <w:rsid w:val="00695C45"/>
    <w:rsid w:val="006963E9"/>
    <w:rsid w:val="00696B4C"/>
    <w:rsid w:val="006A0BD6"/>
    <w:rsid w:val="006A0DEE"/>
    <w:rsid w:val="006A24D3"/>
    <w:rsid w:val="006A5A9B"/>
    <w:rsid w:val="006A60A3"/>
    <w:rsid w:val="006A64CB"/>
    <w:rsid w:val="006A69E7"/>
    <w:rsid w:val="006A6D4F"/>
    <w:rsid w:val="006B2CFD"/>
    <w:rsid w:val="006B30FF"/>
    <w:rsid w:val="006B5231"/>
    <w:rsid w:val="006B7321"/>
    <w:rsid w:val="006B7483"/>
    <w:rsid w:val="006C1C80"/>
    <w:rsid w:val="006C1F84"/>
    <w:rsid w:val="006C4573"/>
    <w:rsid w:val="006C53E6"/>
    <w:rsid w:val="006C67FE"/>
    <w:rsid w:val="006C6F78"/>
    <w:rsid w:val="006C71C8"/>
    <w:rsid w:val="006C7E39"/>
    <w:rsid w:val="006D04E8"/>
    <w:rsid w:val="006D0A1E"/>
    <w:rsid w:val="006D0FCF"/>
    <w:rsid w:val="006D1B95"/>
    <w:rsid w:val="006D1D69"/>
    <w:rsid w:val="006D1F8A"/>
    <w:rsid w:val="006D31D3"/>
    <w:rsid w:val="006D5915"/>
    <w:rsid w:val="006D5D26"/>
    <w:rsid w:val="006D5EFF"/>
    <w:rsid w:val="006D6EAD"/>
    <w:rsid w:val="006D7657"/>
    <w:rsid w:val="006D78DB"/>
    <w:rsid w:val="006D7914"/>
    <w:rsid w:val="006E0B2F"/>
    <w:rsid w:val="006E0D43"/>
    <w:rsid w:val="006E3BF1"/>
    <w:rsid w:val="006E466D"/>
    <w:rsid w:val="006E475C"/>
    <w:rsid w:val="006E496D"/>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07967"/>
    <w:rsid w:val="0071005F"/>
    <w:rsid w:val="00711A43"/>
    <w:rsid w:val="007120D8"/>
    <w:rsid w:val="00712E63"/>
    <w:rsid w:val="0071468D"/>
    <w:rsid w:val="00715078"/>
    <w:rsid w:val="007154F7"/>
    <w:rsid w:val="00715D9D"/>
    <w:rsid w:val="00717612"/>
    <w:rsid w:val="007207D8"/>
    <w:rsid w:val="00721016"/>
    <w:rsid w:val="0072173F"/>
    <w:rsid w:val="00722DA2"/>
    <w:rsid w:val="00722FB7"/>
    <w:rsid w:val="00725D45"/>
    <w:rsid w:val="00727471"/>
    <w:rsid w:val="0072788A"/>
    <w:rsid w:val="007301F3"/>
    <w:rsid w:val="00730BD4"/>
    <w:rsid w:val="00731919"/>
    <w:rsid w:val="00733884"/>
    <w:rsid w:val="00733D10"/>
    <w:rsid w:val="007356E3"/>
    <w:rsid w:val="00735BA0"/>
    <w:rsid w:val="007419D6"/>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098"/>
    <w:rsid w:val="007563EE"/>
    <w:rsid w:val="00756558"/>
    <w:rsid w:val="00756F8B"/>
    <w:rsid w:val="00757085"/>
    <w:rsid w:val="00760588"/>
    <w:rsid w:val="0076191E"/>
    <w:rsid w:val="00762C7E"/>
    <w:rsid w:val="00762FBE"/>
    <w:rsid w:val="00764297"/>
    <w:rsid w:val="007658D5"/>
    <w:rsid w:val="00765D93"/>
    <w:rsid w:val="00766777"/>
    <w:rsid w:val="00766865"/>
    <w:rsid w:val="00767F43"/>
    <w:rsid w:val="00770541"/>
    <w:rsid w:val="007707FE"/>
    <w:rsid w:val="00774FBA"/>
    <w:rsid w:val="00775451"/>
    <w:rsid w:val="007759FF"/>
    <w:rsid w:val="00775AAA"/>
    <w:rsid w:val="007769C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82D"/>
    <w:rsid w:val="007A0A45"/>
    <w:rsid w:val="007A0FDF"/>
    <w:rsid w:val="007A1978"/>
    <w:rsid w:val="007A2ADB"/>
    <w:rsid w:val="007A3142"/>
    <w:rsid w:val="007A3E3C"/>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0F0A"/>
    <w:rsid w:val="007D3EBB"/>
    <w:rsid w:val="007D4291"/>
    <w:rsid w:val="007D4921"/>
    <w:rsid w:val="007D63E4"/>
    <w:rsid w:val="007D6B0E"/>
    <w:rsid w:val="007D7A1B"/>
    <w:rsid w:val="007D7BC2"/>
    <w:rsid w:val="007E0A1E"/>
    <w:rsid w:val="007E0C0A"/>
    <w:rsid w:val="007E2143"/>
    <w:rsid w:val="007E2AB7"/>
    <w:rsid w:val="007E2E70"/>
    <w:rsid w:val="007E3169"/>
    <w:rsid w:val="007E4CA5"/>
    <w:rsid w:val="007E4D0C"/>
    <w:rsid w:val="007E579B"/>
    <w:rsid w:val="007E689D"/>
    <w:rsid w:val="007E6B27"/>
    <w:rsid w:val="007E7984"/>
    <w:rsid w:val="007F0BDB"/>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8A9"/>
    <w:rsid w:val="00834FE7"/>
    <w:rsid w:val="00835062"/>
    <w:rsid w:val="0083567C"/>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CDC"/>
    <w:rsid w:val="00861E09"/>
    <w:rsid w:val="00862E8D"/>
    <w:rsid w:val="00863389"/>
    <w:rsid w:val="00863D8F"/>
    <w:rsid w:val="008641FC"/>
    <w:rsid w:val="00865038"/>
    <w:rsid w:val="008654C8"/>
    <w:rsid w:val="00866343"/>
    <w:rsid w:val="00871679"/>
    <w:rsid w:val="008716ED"/>
    <w:rsid w:val="00871A28"/>
    <w:rsid w:val="008724CD"/>
    <w:rsid w:val="008724DD"/>
    <w:rsid w:val="00873F3A"/>
    <w:rsid w:val="00874F26"/>
    <w:rsid w:val="008768B2"/>
    <w:rsid w:val="00880DC4"/>
    <w:rsid w:val="00880EEE"/>
    <w:rsid w:val="00882D0A"/>
    <w:rsid w:val="00882F11"/>
    <w:rsid w:val="00885465"/>
    <w:rsid w:val="00885A56"/>
    <w:rsid w:val="00886BC1"/>
    <w:rsid w:val="0088732A"/>
    <w:rsid w:val="0089002E"/>
    <w:rsid w:val="00890F55"/>
    <w:rsid w:val="008928FE"/>
    <w:rsid w:val="00892E19"/>
    <w:rsid w:val="008953CE"/>
    <w:rsid w:val="008967E1"/>
    <w:rsid w:val="008A02CE"/>
    <w:rsid w:val="008A07D4"/>
    <w:rsid w:val="008A0F3D"/>
    <w:rsid w:val="008A1F4D"/>
    <w:rsid w:val="008A23D5"/>
    <w:rsid w:val="008A2A16"/>
    <w:rsid w:val="008A2EB7"/>
    <w:rsid w:val="008A2ECC"/>
    <w:rsid w:val="008A39BE"/>
    <w:rsid w:val="008A525E"/>
    <w:rsid w:val="008B021B"/>
    <w:rsid w:val="008B0683"/>
    <w:rsid w:val="008B130A"/>
    <w:rsid w:val="008B142B"/>
    <w:rsid w:val="008B1EBB"/>
    <w:rsid w:val="008B2752"/>
    <w:rsid w:val="008B277E"/>
    <w:rsid w:val="008B311E"/>
    <w:rsid w:val="008B32CD"/>
    <w:rsid w:val="008B3F00"/>
    <w:rsid w:val="008B3FFC"/>
    <w:rsid w:val="008B440E"/>
    <w:rsid w:val="008B4B27"/>
    <w:rsid w:val="008B530E"/>
    <w:rsid w:val="008B63B8"/>
    <w:rsid w:val="008B6681"/>
    <w:rsid w:val="008B684B"/>
    <w:rsid w:val="008B6E7E"/>
    <w:rsid w:val="008B7DD2"/>
    <w:rsid w:val="008C0690"/>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E1B9D"/>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83E"/>
    <w:rsid w:val="008F3E7F"/>
    <w:rsid w:val="008F4D63"/>
    <w:rsid w:val="008F5C04"/>
    <w:rsid w:val="008F6723"/>
    <w:rsid w:val="008F69F0"/>
    <w:rsid w:val="008F76D3"/>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2702"/>
    <w:rsid w:val="009340CE"/>
    <w:rsid w:val="009347AE"/>
    <w:rsid w:val="00935854"/>
    <w:rsid w:val="00936160"/>
    <w:rsid w:val="009369EE"/>
    <w:rsid w:val="00936DB7"/>
    <w:rsid w:val="0093708D"/>
    <w:rsid w:val="00937EE7"/>
    <w:rsid w:val="00941C7D"/>
    <w:rsid w:val="00941F6A"/>
    <w:rsid w:val="009427EE"/>
    <w:rsid w:val="0094301D"/>
    <w:rsid w:val="00943319"/>
    <w:rsid w:val="0094394D"/>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4C1"/>
    <w:rsid w:val="00960ADC"/>
    <w:rsid w:val="009612B6"/>
    <w:rsid w:val="00961948"/>
    <w:rsid w:val="009619D0"/>
    <w:rsid w:val="00963044"/>
    <w:rsid w:val="00963AAE"/>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4"/>
    <w:rsid w:val="00996416"/>
    <w:rsid w:val="009977D3"/>
    <w:rsid w:val="009A0A9E"/>
    <w:rsid w:val="009A1354"/>
    <w:rsid w:val="009A15A4"/>
    <w:rsid w:val="009A3FB6"/>
    <w:rsid w:val="009A460F"/>
    <w:rsid w:val="009A5166"/>
    <w:rsid w:val="009A5EA4"/>
    <w:rsid w:val="009A6E5B"/>
    <w:rsid w:val="009A727C"/>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124"/>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D763A"/>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934"/>
    <w:rsid w:val="009F4F02"/>
    <w:rsid w:val="009F5789"/>
    <w:rsid w:val="009F5B2C"/>
    <w:rsid w:val="009F61C2"/>
    <w:rsid w:val="00A00434"/>
    <w:rsid w:val="00A007EF"/>
    <w:rsid w:val="00A02AE2"/>
    <w:rsid w:val="00A04336"/>
    <w:rsid w:val="00A04F00"/>
    <w:rsid w:val="00A06866"/>
    <w:rsid w:val="00A07256"/>
    <w:rsid w:val="00A07E09"/>
    <w:rsid w:val="00A11045"/>
    <w:rsid w:val="00A11346"/>
    <w:rsid w:val="00A1187D"/>
    <w:rsid w:val="00A118D7"/>
    <w:rsid w:val="00A1195E"/>
    <w:rsid w:val="00A11F7C"/>
    <w:rsid w:val="00A13CA8"/>
    <w:rsid w:val="00A146C8"/>
    <w:rsid w:val="00A1512B"/>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A1E"/>
    <w:rsid w:val="00A36EB3"/>
    <w:rsid w:val="00A3746E"/>
    <w:rsid w:val="00A40DAC"/>
    <w:rsid w:val="00A40F49"/>
    <w:rsid w:val="00A42A06"/>
    <w:rsid w:val="00A437B2"/>
    <w:rsid w:val="00A44923"/>
    <w:rsid w:val="00A44E44"/>
    <w:rsid w:val="00A45B02"/>
    <w:rsid w:val="00A4608C"/>
    <w:rsid w:val="00A473EA"/>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335D"/>
    <w:rsid w:val="00A64C82"/>
    <w:rsid w:val="00A64EF2"/>
    <w:rsid w:val="00A65029"/>
    <w:rsid w:val="00A650DB"/>
    <w:rsid w:val="00A659DC"/>
    <w:rsid w:val="00A65BB8"/>
    <w:rsid w:val="00A6777B"/>
    <w:rsid w:val="00A67785"/>
    <w:rsid w:val="00A67BE8"/>
    <w:rsid w:val="00A7051C"/>
    <w:rsid w:val="00A70BB3"/>
    <w:rsid w:val="00A70E94"/>
    <w:rsid w:val="00A716A0"/>
    <w:rsid w:val="00A71711"/>
    <w:rsid w:val="00A71B81"/>
    <w:rsid w:val="00A72A46"/>
    <w:rsid w:val="00A74568"/>
    <w:rsid w:val="00A77878"/>
    <w:rsid w:val="00A802C5"/>
    <w:rsid w:val="00A81F82"/>
    <w:rsid w:val="00A8350C"/>
    <w:rsid w:val="00A83D85"/>
    <w:rsid w:val="00A83DCC"/>
    <w:rsid w:val="00A84B99"/>
    <w:rsid w:val="00A854AD"/>
    <w:rsid w:val="00A858BA"/>
    <w:rsid w:val="00A85A58"/>
    <w:rsid w:val="00A85CD4"/>
    <w:rsid w:val="00A8615A"/>
    <w:rsid w:val="00A864E1"/>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2938"/>
    <w:rsid w:val="00AB3138"/>
    <w:rsid w:val="00AB39FD"/>
    <w:rsid w:val="00AB4441"/>
    <w:rsid w:val="00AB44DC"/>
    <w:rsid w:val="00AB4AC6"/>
    <w:rsid w:val="00AB526C"/>
    <w:rsid w:val="00AB5A31"/>
    <w:rsid w:val="00AB5AD9"/>
    <w:rsid w:val="00AB675C"/>
    <w:rsid w:val="00AB6A8C"/>
    <w:rsid w:val="00AB6A8D"/>
    <w:rsid w:val="00AB7A80"/>
    <w:rsid w:val="00AC003E"/>
    <w:rsid w:val="00AC0061"/>
    <w:rsid w:val="00AC03D9"/>
    <w:rsid w:val="00AC0671"/>
    <w:rsid w:val="00AC2647"/>
    <w:rsid w:val="00AC3058"/>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0CF6"/>
    <w:rsid w:val="00AE172D"/>
    <w:rsid w:val="00AE3023"/>
    <w:rsid w:val="00AE3711"/>
    <w:rsid w:val="00AE5151"/>
    <w:rsid w:val="00AE527B"/>
    <w:rsid w:val="00AE5DC8"/>
    <w:rsid w:val="00AE6461"/>
    <w:rsid w:val="00AE6575"/>
    <w:rsid w:val="00AE7BEE"/>
    <w:rsid w:val="00AE7E22"/>
    <w:rsid w:val="00AE7EF1"/>
    <w:rsid w:val="00AF125A"/>
    <w:rsid w:val="00AF266C"/>
    <w:rsid w:val="00AF4403"/>
    <w:rsid w:val="00AF4A75"/>
    <w:rsid w:val="00AF4D8C"/>
    <w:rsid w:val="00AF5A76"/>
    <w:rsid w:val="00AF65E5"/>
    <w:rsid w:val="00AF6CFE"/>
    <w:rsid w:val="00AF6DC1"/>
    <w:rsid w:val="00AF7983"/>
    <w:rsid w:val="00B0052C"/>
    <w:rsid w:val="00B008D0"/>
    <w:rsid w:val="00B02150"/>
    <w:rsid w:val="00B02998"/>
    <w:rsid w:val="00B030EA"/>
    <w:rsid w:val="00B033BE"/>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2676D"/>
    <w:rsid w:val="00B273D2"/>
    <w:rsid w:val="00B27A62"/>
    <w:rsid w:val="00B300D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330"/>
    <w:rsid w:val="00B444A3"/>
    <w:rsid w:val="00B44C89"/>
    <w:rsid w:val="00B45306"/>
    <w:rsid w:val="00B47427"/>
    <w:rsid w:val="00B4753F"/>
    <w:rsid w:val="00B50252"/>
    <w:rsid w:val="00B51454"/>
    <w:rsid w:val="00B519D1"/>
    <w:rsid w:val="00B52349"/>
    <w:rsid w:val="00B524C5"/>
    <w:rsid w:val="00B53921"/>
    <w:rsid w:val="00B55EF9"/>
    <w:rsid w:val="00B6247C"/>
    <w:rsid w:val="00B62779"/>
    <w:rsid w:val="00B629F9"/>
    <w:rsid w:val="00B63098"/>
    <w:rsid w:val="00B63466"/>
    <w:rsid w:val="00B635AD"/>
    <w:rsid w:val="00B63F4B"/>
    <w:rsid w:val="00B64604"/>
    <w:rsid w:val="00B648E3"/>
    <w:rsid w:val="00B66BDE"/>
    <w:rsid w:val="00B67F56"/>
    <w:rsid w:val="00B7359E"/>
    <w:rsid w:val="00B73BF7"/>
    <w:rsid w:val="00B74C33"/>
    <w:rsid w:val="00B7720F"/>
    <w:rsid w:val="00B77C09"/>
    <w:rsid w:val="00B77C8A"/>
    <w:rsid w:val="00B81FB5"/>
    <w:rsid w:val="00B820F7"/>
    <w:rsid w:val="00B82F98"/>
    <w:rsid w:val="00B83109"/>
    <w:rsid w:val="00B83C1C"/>
    <w:rsid w:val="00B84288"/>
    <w:rsid w:val="00B84C3B"/>
    <w:rsid w:val="00B84CB6"/>
    <w:rsid w:val="00B84E4A"/>
    <w:rsid w:val="00B8656A"/>
    <w:rsid w:val="00B86951"/>
    <w:rsid w:val="00B92A5D"/>
    <w:rsid w:val="00B92C99"/>
    <w:rsid w:val="00B9331A"/>
    <w:rsid w:val="00B93BB6"/>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9E8"/>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5EC"/>
    <w:rsid w:val="00BD0644"/>
    <w:rsid w:val="00BD284A"/>
    <w:rsid w:val="00BD36C8"/>
    <w:rsid w:val="00BD3C18"/>
    <w:rsid w:val="00BD4472"/>
    <w:rsid w:val="00BD5673"/>
    <w:rsid w:val="00BD5997"/>
    <w:rsid w:val="00BD5B12"/>
    <w:rsid w:val="00BD7A9F"/>
    <w:rsid w:val="00BE006E"/>
    <w:rsid w:val="00BE0145"/>
    <w:rsid w:val="00BE1EA7"/>
    <w:rsid w:val="00BE2D6C"/>
    <w:rsid w:val="00BE3064"/>
    <w:rsid w:val="00BE4DB5"/>
    <w:rsid w:val="00BE5B62"/>
    <w:rsid w:val="00BE5F92"/>
    <w:rsid w:val="00BE640D"/>
    <w:rsid w:val="00BF000C"/>
    <w:rsid w:val="00BF2400"/>
    <w:rsid w:val="00BF3493"/>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028"/>
    <w:rsid w:val="00C13ACE"/>
    <w:rsid w:val="00C13C62"/>
    <w:rsid w:val="00C14785"/>
    <w:rsid w:val="00C15906"/>
    <w:rsid w:val="00C15C0C"/>
    <w:rsid w:val="00C15CAF"/>
    <w:rsid w:val="00C165CB"/>
    <w:rsid w:val="00C16BA4"/>
    <w:rsid w:val="00C1737B"/>
    <w:rsid w:val="00C17DC2"/>
    <w:rsid w:val="00C20EAB"/>
    <w:rsid w:val="00C224AE"/>
    <w:rsid w:val="00C224C4"/>
    <w:rsid w:val="00C2319B"/>
    <w:rsid w:val="00C24073"/>
    <w:rsid w:val="00C25575"/>
    <w:rsid w:val="00C25A81"/>
    <w:rsid w:val="00C27871"/>
    <w:rsid w:val="00C27C48"/>
    <w:rsid w:val="00C303D0"/>
    <w:rsid w:val="00C30598"/>
    <w:rsid w:val="00C305AC"/>
    <w:rsid w:val="00C309E7"/>
    <w:rsid w:val="00C311EF"/>
    <w:rsid w:val="00C31E72"/>
    <w:rsid w:val="00C31FA7"/>
    <w:rsid w:val="00C32D88"/>
    <w:rsid w:val="00C332F1"/>
    <w:rsid w:val="00C336E6"/>
    <w:rsid w:val="00C33B20"/>
    <w:rsid w:val="00C34841"/>
    <w:rsid w:val="00C348EB"/>
    <w:rsid w:val="00C351B7"/>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3CB0"/>
    <w:rsid w:val="00C6551B"/>
    <w:rsid w:val="00C65670"/>
    <w:rsid w:val="00C66D6E"/>
    <w:rsid w:val="00C674C5"/>
    <w:rsid w:val="00C67644"/>
    <w:rsid w:val="00C703BC"/>
    <w:rsid w:val="00C7092C"/>
    <w:rsid w:val="00C70C9D"/>
    <w:rsid w:val="00C71FD7"/>
    <w:rsid w:val="00C72559"/>
    <w:rsid w:val="00C7312E"/>
    <w:rsid w:val="00C73805"/>
    <w:rsid w:val="00C740F2"/>
    <w:rsid w:val="00C74F5B"/>
    <w:rsid w:val="00C7533E"/>
    <w:rsid w:val="00C7563E"/>
    <w:rsid w:val="00C76B1B"/>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4FBC"/>
    <w:rsid w:val="00C9573F"/>
    <w:rsid w:val="00C95880"/>
    <w:rsid w:val="00C95C7F"/>
    <w:rsid w:val="00C960C4"/>
    <w:rsid w:val="00C97149"/>
    <w:rsid w:val="00C9720F"/>
    <w:rsid w:val="00CA1326"/>
    <w:rsid w:val="00CA1571"/>
    <w:rsid w:val="00CA1B0D"/>
    <w:rsid w:val="00CA1C12"/>
    <w:rsid w:val="00CA2193"/>
    <w:rsid w:val="00CA44BB"/>
    <w:rsid w:val="00CA467C"/>
    <w:rsid w:val="00CA5D71"/>
    <w:rsid w:val="00CA65E6"/>
    <w:rsid w:val="00CA6F3C"/>
    <w:rsid w:val="00CA712F"/>
    <w:rsid w:val="00CA76BA"/>
    <w:rsid w:val="00CA781E"/>
    <w:rsid w:val="00CB03D4"/>
    <w:rsid w:val="00CB0DEA"/>
    <w:rsid w:val="00CB1608"/>
    <w:rsid w:val="00CB2708"/>
    <w:rsid w:val="00CB2FF7"/>
    <w:rsid w:val="00CB31A8"/>
    <w:rsid w:val="00CB32A3"/>
    <w:rsid w:val="00CB3657"/>
    <w:rsid w:val="00CB37B1"/>
    <w:rsid w:val="00CB3A06"/>
    <w:rsid w:val="00CB42B6"/>
    <w:rsid w:val="00CB5600"/>
    <w:rsid w:val="00CB5AD1"/>
    <w:rsid w:val="00CB6DA3"/>
    <w:rsid w:val="00CB7603"/>
    <w:rsid w:val="00CB77D0"/>
    <w:rsid w:val="00CC11AF"/>
    <w:rsid w:val="00CC2D50"/>
    <w:rsid w:val="00CC37D5"/>
    <w:rsid w:val="00CC3CD6"/>
    <w:rsid w:val="00CC3ED5"/>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227E"/>
    <w:rsid w:val="00CF387A"/>
    <w:rsid w:val="00CF3EBB"/>
    <w:rsid w:val="00CF46A5"/>
    <w:rsid w:val="00CF4BFD"/>
    <w:rsid w:val="00CF5472"/>
    <w:rsid w:val="00CF6016"/>
    <w:rsid w:val="00CF62A5"/>
    <w:rsid w:val="00CF77C2"/>
    <w:rsid w:val="00D00B68"/>
    <w:rsid w:val="00D02A49"/>
    <w:rsid w:val="00D03252"/>
    <w:rsid w:val="00D04428"/>
    <w:rsid w:val="00D04C6F"/>
    <w:rsid w:val="00D0552A"/>
    <w:rsid w:val="00D05C7C"/>
    <w:rsid w:val="00D05DBC"/>
    <w:rsid w:val="00D0788A"/>
    <w:rsid w:val="00D07C77"/>
    <w:rsid w:val="00D07D62"/>
    <w:rsid w:val="00D1059D"/>
    <w:rsid w:val="00D10B46"/>
    <w:rsid w:val="00D11208"/>
    <w:rsid w:val="00D1135C"/>
    <w:rsid w:val="00D11930"/>
    <w:rsid w:val="00D11B80"/>
    <w:rsid w:val="00D11C81"/>
    <w:rsid w:val="00D13F11"/>
    <w:rsid w:val="00D15020"/>
    <w:rsid w:val="00D1578D"/>
    <w:rsid w:val="00D17708"/>
    <w:rsid w:val="00D178B1"/>
    <w:rsid w:val="00D22F14"/>
    <w:rsid w:val="00D24589"/>
    <w:rsid w:val="00D24C1F"/>
    <w:rsid w:val="00D25269"/>
    <w:rsid w:val="00D2584B"/>
    <w:rsid w:val="00D2705A"/>
    <w:rsid w:val="00D2761E"/>
    <w:rsid w:val="00D31011"/>
    <w:rsid w:val="00D31741"/>
    <w:rsid w:val="00D318FA"/>
    <w:rsid w:val="00D32174"/>
    <w:rsid w:val="00D3284E"/>
    <w:rsid w:val="00D32880"/>
    <w:rsid w:val="00D33569"/>
    <w:rsid w:val="00D35D97"/>
    <w:rsid w:val="00D363FA"/>
    <w:rsid w:val="00D36610"/>
    <w:rsid w:val="00D36FCB"/>
    <w:rsid w:val="00D371E4"/>
    <w:rsid w:val="00D372A7"/>
    <w:rsid w:val="00D37D7B"/>
    <w:rsid w:val="00D40BED"/>
    <w:rsid w:val="00D410E5"/>
    <w:rsid w:val="00D41B3D"/>
    <w:rsid w:val="00D41F78"/>
    <w:rsid w:val="00D42B4B"/>
    <w:rsid w:val="00D43E2B"/>
    <w:rsid w:val="00D4493F"/>
    <w:rsid w:val="00D45025"/>
    <w:rsid w:val="00D45715"/>
    <w:rsid w:val="00D45A2A"/>
    <w:rsid w:val="00D462C5"/>
    <w:rsid w:val="00D46AF8"/>
    <w:rsid w:val="00D51562"/>
    <w:rsid w:val="00D51D30"/>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1984"/>
    <w:rsid w:val="00D625CA"/>
    <w:rsid w:val="00D62A08"/>
    <w:rsid w:val="00D633C7"/>
    <w:rsid w:val="00D639FF"/>
    <w:rsid w:val="00D65D87"/>
    <w:rsid w:val="00D66257"/>
    <w:rsid w:val="00D66355"/>
    <w:rsid w:val="00D676E0"/>
    <w:rsid w:val="00D736D4"/>
    <w:rsid w:val="00D73921"/>
    <w:rsid w:val="00D74918"/>
    <w:rsid w:val="00D75CDB"/>
    <w:rsid w:val="00D7610D"/>
    <w:rsid w:val="00D76298"/>
    <w:rsid w:val="00D76BD1"/>
    <w:rsid w:val="00D7708B"/>
    <w:rsid w:val="00D773DF"/>
    <w:rsid w:val="00D8195D"/>
    <w:rsid w:val="00D81A06"/>
    <w:rsid w:val="00D8234C"/>
    <w:rsid w:val="00D8257F"/>
    <w:rsid w:val="00D827E4"/>
    <w:rsid w:val="00D840AB"/>
    <w:rsid w:val="00D84220"/>
    <w:rsid w:val="00D84996"/>
    <w:rsid w:val="00D859E2"/>
    <w:rsid w:val="00D85C66"/>
    <w:rsid w:val="00D863AE"/>
    <w:rsid w:val="00D86400"/>
    <w:rsid w:val="00D877EA"/>
    <w:rsid w:val="00D879C4"/>
    <w:rsid w:val="00D901D3"/>
    <w:rsid w:val="00D91A5C"/>
    <w:rsid w:val="00D92783"/>
    <w:rsid w:val="00D92F02"/>
    <w:rsid w:val="00D933B6"/>
    <w:rsid w:val="00D93B8E"/>
    <w:rsid w:val="00D93B8F"/>
    <w:rsid w:val="00D9463E"/>
    <w:rsid w:val="00D9490F"/>
    <w:rsid w:val="00D94EB2"/>
    <w:rsid w:val="00D95319"/>
    <w:rsid w:val="00D955C7"/>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3732"/>
    <w:rsid w:val="00DA4E7B"/>
    <w:rsid w:val="00DA4EFD"/>
    <w:rsid w:val="00DA659F"/>
    <w:rsid w:val="00DA6EBF"/>
    <w:rsid w:val="00DA707D"/>
    <w:rsid w:val="00DA71E5"/>
    <w:rsid w:val="00DA7689"/>
    <w:rsid w:val="00DB0108"/>
    <w:rsid w:val="00DB05D0"/>
    <w:rsid w:val="00DB2467"/>
    <w:rsid w:val="00DB2C5A"/>
    <w:rsid w:val="00DB39A9"/>
    <w:rsid w:val="00DB5993"/>
    <w:rsid w:val="00DB59A4"/>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3C54"/>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07F05"/>
    <w:rsid w:val="00E102A2"/>
    <w:rsid w:val="00E103E1"/>
    <w:rsid w:val="00E1098A"/>
    <w:rsid w:val="00E10F85"/>
    <w:rsid w:val="00E10F93"/>
    <w:rsid w:val="00E11C2B"/>
    <w:rsid w:val="00E1452D"/>
    <w:rsid w:val="00E14F74"/>
    <w:rsid w:val="00E15157"/>
    <w:rsid w:val="00E15684"/>
    <w:rsid w:val="00E16EBB"/>
    <w:rsid w:val="00E17439"/>
    <w:rsid w:val="00E17E7A"/>
    <w:rsid w:val="00E208AD"/>
    <w:rsid w:val="00E2382A"/>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566C"/>
    <w:rsid w:val="00E35B63"/>
    <w:rsid w:val="00E36855"/>
    <w:rsid w:val="00E36C62"/>
    <w:rsid w:val="00E3743C"/>
    <w:rsid w:val="00E37D91"/>
    <w:rsid w:val="00E40973"/>
    <w:rsid w:val="00E409FC"/>
    <w:rsid w:val="00E40F75"/>
    <w:rsid w:val="00E41A4E"/>
    <w:rsid w:val="00E42422"/>
    <w:rsid w:val="00E434EB"/>
    <w:rsid w:val="00E4399D"/>
    <w:rsid w:val="00E43F02"/>
    <w:rsid w:val="00E448BA"/>
    <w:rsid w:val="00E454D7"/>
    <w:rsid w:val="00E459E3"/>
    <w:rsid w:val="00E45E6C"/>
    <w:rsid w:val="00E4600F"/>
    <w:rsid w:val="00E461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154"/>
    <w:rsid w:val="00E64B87"/>
    <w:rsid w:val="00E6547C"/>
    <w:rsid w:val="00E65A3E"/>
    <w:rsid w:val="00E70167"/>
    <w:rsid w:val="00E703F7"/>
    <w:rsid w:val="00E71331"/>
    <w:rsid w:val="00E73743"/>
    <w:rsid w:val="00E74988"/>
    <w:rsid w:val="00E74CCC"/>
    <w:rsid w:val="00E74D54"/>
    <w:rsid w:val="00E75081"/>
    <w:rsid w:val="00E7551F"/>
    <w:rsid w:val="00E766FC"/>
    <w:rsid w:val="00E768E8"/>
    <w:rsid w:val="00E76EE0"/>
    <w:rsid w:val="00E775A0"/>
    <w:rsid w:val="00E77C00"/>
    <w:rsid w:val="00E77D7D"/>
    <w:rsid w:val="00E8004A"/>
    <w:rsid w:val="00E82A1E"/>
    <w:rsid w:val="00E84169"/>
    <w:rsid w:val="00E846BC"/>
    <w:rsid w:val="00E853C1"/>
    <w:rsid w:val="00E859F1"/>
    <w:rsid w:val="00E86053"/>
    <w:rsid w:val="00E86A2B"/>
    <w:rsid w:val="00E87849"/>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070"/>
    <w:rsid w:val="00E972AE"/>
    <w:rsid w:val="00EA08F7"/>
    <w:rsid w:val="00EA13AA"/>
    <w:rsid w:val="00EA1B2B"/>
    <w:rsid w:val="00EA5392"/>
    <w:rsid w:val="00EA571C"/>
    <w:rsid w:val="00EA5BC5"/>
    <w:rsid w:val="00EA6054"/>
    <w:rsid w:val="00EA652A"/>
    <w:rsid w:val="00EA72AB"/>
    <w:rsid w:val="00EA7784"/>
    <w:rsid w:val="00EB0192"/>
    <w:rsid w:val="00EB13FB"/>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659"/>
    <w:rsid w:val="00ED3980"/>
    <w:rsid w:val="00ED42E1"/>
    <w:rsid w:val="00ED4573"/>
    <w:rsid w:val="00ED4A1F"/>
    <w:rsid w:val="00ED4C46"/>
    <w:rsid w:val="00ED564C"/>
    <w:rsid w:val="00ED7986"/>
    <w:rsid w:val="00ED7DF9"/>
    <w:rsid w:val="00EE2460"/>
    <w:rsid w:val="00EE3E4A"/>
    <w:rsid w:val="00EE48F6"/>
    <w:rsid w:val="00EE5947"/>
    <w:rsid w:val="00EE6848"/>
    <w:rsid w:val="00EE6864"/>
    <w:rsid w:val="00EE6C4D"/>
    <w:rsid w:val="00EF0201"/>
    <w:rsid w:val="00EF05DA"/>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9FC"/>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05C0"/>
    <w:rsid w:val="00F211DA"/>
    <w:rsid w:val="00F217DD"/>
    <w:rsid w:val="00F22A80"/>
    <w:rsid w:val="00F22B64"/>
    <w:rsid w:val="00F23B25"/>
    <w:rsid w:val="00F24320"/>
    <w:rsid w:val="00F25874"/>
    <w:rsid w:val="00F269C2"/>
    <w:rsid w:val="00F275FF"/>
    <w:rsid w:val="00F276D7"/>
    <w:rsid w:val="00F2799E"/>
    <w:rsid w:val="00F3054F"/>
    <w:rsid w:val="00F30A02"/>
    <w:rsid w:val="00F31A47"/>
    <w:rsid w:val="00F3223B"/>
    <w:rsid w:val="00F33AA5"/>
    <w:rsid w:val="00F34178"/>
    <w:rsid w:val="00F35CA3"/>
    <w:rsid w:val="00F36084"/>
    <w:rsid w:val="00F36D55"/>
    <w:rsid w:val="00F37BDA"/>
    <w:rsid w:val="00F37C6B"/>
    <w:rsid w:val="00F40543"/>
    <w:rsid w:val="00F407DB"/>
    <w:rsid w:val="00F40E33"/>
    <w:rsid w:val="00F40E7E"/>
    <w:rsid w:val="00F42549"/>
    <w:rsid w:val="00F43457"/>
    <w:rsid w:val="00F434F2"/>
    <w:rsid w:val="00F45924"/>
    <w:rsid w:val="00F4661F"/>
    <w:rsid w:val="00F469A6"/>
    <w:rsid w:val="00F4746E"/>
    <w:rsid w:val="00F508F0"/>
    <w:rsid w:val="00F51EB0"/>
    <w:rsid w:val="00F5344E"/>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40A"/>
    <w:rsid w:val="00F666CF"/>
    <w:rsid w:val="00F668B2"/>
    <w:rsid w:val="00F6732E"/>
    <w:rsid w:val="00F7073B"/>
    <w:rsid w:val="00F72085"/>
    <w:rsid w:val="00F72106"/>
    <w:rsid w:val="00F74191"/>
    <w:rsid w:val="00F748BF"/>
    <w:rsid w:val="00F75CB0"/>
    <w:rsid w:val="00F7730F"/>
    <w:rsid w:val="00F77A4D"/>
    <w:rsid w:val="00F8105E"/>
    <w:rsid w:val="00F8138D"/>
    <w:rsid w:val="00F815B0"/>
    <w:rsid w:val="00F81B88"/>
    <w:rsid w:val="00F81E0E"/>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6A18"/>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1E6"/>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w:docVars>
    <w:docVar w:name="__Grammarly_42___1" w:val="H4sIAAAAAAAEAKtWcslP9kxRslIyNDayMLE0MjEwMzIzNTYxMDZT0lEKTi0uzszPAykwrAUA7FjsjiwAAAA="/>
    <w:docVar w:name="__Grammarly_42____i" w:val="H4sIAAAAAAAEAKtWckksSQxILCpxzi/NK1GyMqwFAAEhoTITAAAA"/>
  </w:docVar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09"/>
    <w:rPr>
      <w:rFonts w:hint="cs"/>
      <w:sz w:val="24"/>
      <w:szCs w:val="24"/>
      <w:lang w:eastAsia="he-IL"/>
    </w:rPr>
  </w:style>
  <w:style w:type="paragraph" w:styleId="Heading1">
    <w:name w:val="heading 1"/>
    <w:basedOn w:val="Normal"/>
    <w:next w:val="Normal"/>
    <w:link w:val="Heading1Char"/>
    <w:qFormat/>
    <w:rsid w:val="00E0201D"/>
    <w:pPr>
      <w:keepNext/>
      <w:keepLines/>
      <w:spacing w:before="480"/>
      <w:outlineLvl w:val="0"/>
    </w:pPr>
    <w:rPr>
      <w:rFonts w:ascii="Cambria" w:eastAsia="Times New Roman" w:hAnsi="Cambria" w:cs="David"/>
      <w:b/>
      <w:bCs/>
      <w:sz w:val="28"/>
      <w:szCs w:val="28"/>
    </w:rPr>
  </w:style>
  <w:style w:type="paragraph" w:styleId="Heading4">
    <w:name w:val="heading 4"/>
    <w:basedOn w:val="Normal"/>
    <w:next w:val="Normal"/>
    <w:qFormat/>
    <w:rsid w:val="002C5E09"/>
    <w:pPr>
      <w:keepNext/>
      <w:jc w:val="center"/>
      <w:outlineLvl w:val="3"/>
    </w:pPr>
    <w:rPr>
      <w:rFonts w:cs="David" w:hint="default"/>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5E09"/>
    <w:pPr>
      <w:bidi/>
      <w:spacing w:after="120" w:line="480" w:lineRule="auto"/>
      <w:ind w:left="-57" w:hanging="1"/>
      <w:jc w:val="both"/>
    </w:pPr>
    <w:rPr>
      <w:rFonts w:cs="David" w:hint="default"/>
      <w:sz w:val="22"/>
    </w:rPr>
  </w:style>
  <w:style w:type="paragraph" w:styleId="FootnoteText">
    <w:name w:val="footnote text"/>
    <w:basedOn w:val="Normal"/>
    <w:semiHidden/>
    <w:rsid w:val="002C5E09"/>
    <w:pPr>
      <w:bidi/>
      <w:spacing w:after="120" w:line="320" w:lineRule="exact"/>
      <w:ind w:left="-57" w:firstLine="283"/>
      <w:jc w:val="both"/>
    </w:pPr>
    <w:rPr>
      <w:rFonts w:cs="David" w:hint="default"/>
      <w:iCs/>
      <w:sz w:val="20"/>
      <w:szCs w:val="20"/>
    </w:rPr>
  </w:style>
  <w:style w:type="character" w:styleId="FootnoteReference">
    <w:name w:val="footnote reference"/>
    <w:semiHidden/>
    <w:rsid w:val="002C5E09"/>
    <w:rPr>
      <w:vertAlign w:val="superscript"/>
    </w:rPr>
  </w:style>
  <w:style w:type="table" w:styleId="TableGrid">
    <w:name w:val="Table Grid"/>
    <w:basedOn w:val="TableNormal"/>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15673"/>
    <w:rPr>
      <w:sz w:val="20"/>
      <w:szCs w:val="20"/>
    </w:rPr>
  </w:style>
  <w:style w:type="character" w:styleId="EndnoteReference">
    <w:name w:val="endnote reference"/>
    <w:semiHidden/>
    <w:rsid w:val="00915673"/>
    <w:rPr>
      <w:vertAlign w:val="superscript"/>
    </w:rPr>
  </w:style>
  <w:style w:type="paragraph" w:styleId="BalloonText">
    <w:name w:val="Balloon Text"/>
    <w:basedOn w:val="Normal"/>
    <w:semiHidden/>
    <w:rsid w:val="00F9140C"/>
    <w:rPr>
      <w:rFonts w:ascii="Tahoma" w:hAnsi="Tahoma" w:cs="Tahoma"/>
      <w:sz w:val="16"/>
      <w:szCs w:val="16"/>
    </w:rPr>
  </w:style>
  <w:style w:type="paragraph" w:styleId="Header">
    <w:name w:val="header"/>
    <w:basedOn w:val="Normal"/>
    <w:rsid w:val="00F9140C"/>
    <w:pPr>
      <w:tabs>
        <w:tab w:val="center" w:pos="4153"/>
        <w:tab w:val="right" w:pos="8306"/>
      </w:tabs>
    </w:pPr>
  </w:style>
  <w:style w:type="paragraph" w:styleId="Footer">
    <w:name w:val="footer"/>
    <w:basedOn w:val="Normal"/>
    <w:link w:val="FooterChar"/>
    <w:uiPriority w:val="99"/>
    <w:rsid w:val="00F9140C"/>
    <w:pPr>
      <w:tabs>
        <w:tab w:val="center" w:pos="4153"/>
        <w:tab w:val="right" w:pos="8306"/>
      </w:tabs>
    </w:pPr>
  </w:style>
  <w:style w:type="character" w:styleId="Hyperlink">
    <w:name w:val="Hyperlink"/>
    <w:rsid w:val="006D0FCF"/>
    <w:rPr>
      <w:color w:val="0000FF"/>
      <w:u w:val="single"/>
    </w:rPr>
  </w:style>
  <w:style w:type="character" w:styleId="CommentReference">
    <w:name w:val="annotation reference"/>
    <w:rsid w:val="003C1AEC"/>
    <w:rPr>
      <w:sz w:val="16"/>
      <w:szCs w:val="16"/>
    </w:rPr>
  </w:style>
  <w:style w:type="paragraph" w:styleId="CommentText">
    <w:name w:val="annotation text"/>
    <w:basedOn w:val="Normal"/>
    <w:link w:val="CommentTextChar"/>
    <w:rsid w:val="003C1AEC"/>
    <w:rPr>
      <w:sz w:val="20"/>
      <w:szCs w:val="20"/>
    </w:rPr>
  </w:style>
  <w:style w:type="character" w:customStyle="1" w:styleId="CommentTextChar">
    <w:name w:val="Comment Text Char"/>
    <w:link w:val="CommentText"/>
    <w:rsid w:val="003C1AEC"/>
    <w:rPr>
      <w:lang w:eastAsia="he-IL"/>
    </w:rPr>
  </w:style>
  <w:style w:type="paragraph" w:styleId="CommentSubject">
    <w:name w:val="annotation subject"/>
    <w:basedOn w:val="CommentText"/>
    <w:next w:val="CommentText"/>
    <w:link w:val="CommentSubjectChar"/>
    <w:rsid w:val="003C1AEC"/>
    <w:rPr>
      <w:b/>
      <w:bCs/>
    </w:rPr>
  </w:style>
  <w:style w:type="character" w:customStyle="1" w:styleId="CommentSubjectChar">
    <w:name w:val="Comment Subject Char"/>
    <w:link w:val="CommentSubject"/>
    <w:rsid w:val="003C1AEC"/>
    <w:rPr>
      <w:b/>
      <w:bCs/>
      <w:lang w:eastAsia="he-IL"/>
    </w:rPr>
  </w:style>
  <w:style w:type="character" w:styleId="FollowedHyperlink">
    <w:name w:val="FollowedHyperlink"/>
    <w:rsid w:val="007075D2"/>
    <w:rPr>
      <w:color w:val="606420"/>
      <w:u w:val="single"/>
    </w:rPr>
  </w:style>
  <w:style w:type="character" w:customStyle="1" w:styleId="FooterChar">
    <w:name w:val="Footer Char"/>
    <w:basedOn w:val="DefaultParagraphFont"/>
    <w:link w:val="Footer"/>
    <w:uiPriority w:val="99"/>
    <w:rsid w:val="00ED29D4"/>
    <w:rPr>
      <w:sz w:val="24"/>
      <w:szCs w:val="24"/>
      <w:lang w:eastAsia="he-IL"/>
    </w:rPr>
  </w:style>
  <w:style w:type="character" w:customStyle="1" w:styleId="Heading1Char">
    <w:name w:val="Heading 1 Char"/>
    <w:basedOn w:val="DefaultParagraphFont"/>
    <w:link w:val="Heading1"/>
    <w:rsid w:val="00E0201D"/>
    <w:rPr>
      <w:rFonts w:ascii="Cambria" w:eastAsia="Times New Roman" w:hAnsi="Cambria" w:cs="David"/>
      <w:b/>
      <w:bCs/>
      <w:sz w:val="28"/>
      <w:szCs w:val="28"/>
      <w:lang w:eastAsia="he-IL"/>
    </w:rPr>
  </w:style>
  <w:style w:type="character" w:customStyle="1" w:styleId="apple-converted-space">
    <w:name w:val="apple-converted-space"/>
    <w:basedOn w:val="DefaultParagraphFont"/>
    <w:rsid w:val="003C10EF"/>
  </w:style>
  <w:style w:type="paragraph" w:styleId="Revision">
    <w:name w:val="Revision"/>
    <w:hidden/>
    <w:uiPriority w:val="99"/>
    <w:semiHidden/>
    <w:rsid w:val="00AC0061"/>
    <w:rPr>
      <w:rFonts w:hint="cs"/>
      <w:sz w:val="24"/>
      <w:szCs w:val="24"/>
      <w:lang w:eastAsia="he-IL"/>
    </w:rPr>
  </w:style>
  <w:style w:type="paragraph" w:styleId="Title">
    <w:name w:val="Title"/>
    <w:basedOn w:val="Normal"/>
    <w:next w:val="Normal"/>
    <w:link w:val="TitleChar"/>
    <w:qFormat/>
    <w:rsid w:val="00177880"/>
    <w:pPr>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rsid w:val="00177880"/>
    <w:rPr>
      <w:rFonts w:ascii="Cambria" w:eastAsia="Times New Roman" w:hAnsi="Cambria" w:cs="Times New Roman"/>
      <w:spacing w:val="-10"/>
      <w:kern w:val="28"/>
      <w:sz w:val="56"/>
      <w:szCs w:val="56"/>
      <w:lang w:eastAsia="he-IL"/>
    </w:rPr>
  </w:style>
  <w:style w:type="character" w:customStyle="1" w:styleId="bumpedfont15">
    <w:name w:val="bumpedfont15"/>
    <w:basedOn w:val="DefaultParagraphFont"/>
    <w:rsid w:val="00C9714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s://www.boi.org.il/roles/statistics/compositeinde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2.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1C8C5-C9F3-40C9-9D9E-DA4B295B21A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B1965D69-B99B-47E7-89F6-3C40C5F9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Application</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2024-08-22T11:57:00Z</dcterms:created>
  <dcterms:modified xsi:type="dcterms:W3CDTF">2024-08-22T11:57:00Z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