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3255AC" w14:paraId="32420A0D" w14:textId="77777777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AB37" w14:textId="77777777" w:rsidR="00BB4D0D" w:rsidRPr="003255AC" w:rsidRDefault="00BB4D0D" w:rsidP="00E46B0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255A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14:paraId="705D0F68" w14:textId="77777777" w:rsidR="00BB4D0D" w:rsidRPr="003255AC" w:rsidRDefault="00BB4D0D" w:rsidP="00E46B07">
            <w:pPr>
              <w:bidi/>
              <w:spacing w:line="360" w:lineRule="auto"/>
              <w:ind w:right="-10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3D24EBFD" w14:textId="77777777" w:rsidR="00BB4D0D" w:rsidRPr="003255AC" w:rsidRDefault="00BB4D0D" w:rsidP="00E46B07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3255AC">
              <w:rPr>
                <w:rFonts w:asciiTheme="minorBidi" w:hAnsiTheme="minorBidi" w:cstheme="minorBidi"/>
                <w:noProof/>
                <w:sz w:val="24"/>
                <w:szCs w:val="24"/>
                <w:lang w:eastAsia="en-US" w:bidi="ar-SA"/>
              </w:rPr>
              <w:drawing>
                <wp:inline distT="0" distB="0" distL="0" distR="0" wp14:anchorId="43EDB11F" wp14:editId="10B0D5B2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0F44" w14:textId="77777777" w:rsidR="00BB4D0D" w:rsidRPr="003255AC" w:rsidRDefault="00BB4D0D" w:rsidP="00E46B07">
            <w:pPr>
              <w:bidi/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‏ירושלים, </w:t>
            </w:r>
            <w:r w:rsidR="001F0A9C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ט</w:t>
            </w:r>
            <w:r w:rsidR="00A26840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ז</w:t>
            </w:r>
            <w:r w:rsidR="00F55A2F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' </w:t>
            </w:r>
            <w:r w:rsidR="00A26840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אדר ב'</w:t>
            </w:r>
            <w:r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, התשפ"</w:t>
            </w:r>
            <w:r w:rsidR="00B761A8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ד</w:t>
            </w:r>
          </w:p>
          <w:p w14:paraId="1B1C930D" w14:textId="77777777" w:rsidR="00BB4D0D" w:rsidRPr="003255AC" w:rsidRDefault="00BB4D0D" w:rsidP="00E46B07">
            <w:pPr>
              <w:bidi/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‏‏</w:t>
            </w:r>
            <w:r w:rsidR="00A26840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26</w:t>
            </w:r>
            <w:r w:rsidR="00F55A2F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ב</w:t>
            </w:r>
            <w:r w:rsidR="00A26840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מ</w:t>
            </w:r>
            <w:r w:rsidR="00E46B07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רץ</w:t>
            </w:r>
            <w:r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A26840" w:rsidRPr="003255AC">
              <w:rPr>
                <w:rFonts w:asciiTheme="minorBidi" w:hAnsiTheme="minorBidi" w:cstheme="minorBidi"/>
                <w:sz w:val="24"/>
                <w:szCs w:val="24"/>
                <w:rtl/>
              </w:rPr>
              <w:t>2024</w:t>
            </w:r>
          </w:p>
        </w:tc>
      </w:tr>
    </w:tbl>
    <w:p w14:paraId="2A8874A2" w14:textId="77777777" w:rsidR="00BB4D0D" w:rsidRPr="003255AC" w:rsidRDefault="003255AC" w:rsidP="00BB4D0D">
      <w:pPr>
        <w:bidi/>
        <w:spacing w:before="240" w:line="360" w:lineRule="auto"/>
        <w:ind w:right="-102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>إعلان للصحافة</w:t>
      </w:r>
      <w:r w:rsidR="00BB4D0D" w:rsidRPr="003255AC">
        <w:rPr>
          <w:rFonts w:asciiTheme="minorBidi" w:hAnsiTheme="minorBidi" w:cstheme="minorBidi"/>
          <w:sz w:val="24"/>
          <w:szCs w:val="24"/>
          <w:rtl/>
        </w:rPr>
        <w:t>:</w:t>
      </w:r>
    </w:p>
    <w:p w14:paraId="4FEF3182" w14:textId="77777777" w:rsidR="009E07BE" w:rsidRPr="003255AC" w:rsidRDefault="009E07BE" w:rsidP="009E07BE">
      <w:pPr>
        <w:bidi/>
        <w:spacing w:line="360" w:lineRule="auto"/>
        <w:ind w:right="-101"/>
        <w:rPr>
          <w:rFonts w:asciiTheme="minorBidi" w:hAnsiTheme="minorBidi" w:cstheme="minorBidi"/>
          <w:sz w:val="24"/>
          <w:szCs w:val="24"/>
          <w:rtl/>
        </w:rPr>
      </w:pPr>
    </w:p>
    <w:p w14:paraId="2D0D44D7" w14:textId="77777777" w:rsidR="000A541F" w:rsidRDefault="000A541F" w:rsidP="000A541F">
      <w:pPr>
        <w:widowControl w:val="0"/>
        <w:autoSpaceDE w:val="0"/>
        <w:autoSpaceDN w:val="0"/>
        <w:bidi/>
        <w:adjustRightInd w:val="0"/>
        <w:spacing w:line="360" w:lineRule="auto"/>
        <w:ind w:right="-101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تطور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ديون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القطاع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الخاص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غير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المالي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في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الربع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الرابع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من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  <w:rtl/>
          <w:lang w:bidi="ar-SA"/>
        </w:rPr>
        <w:t>عام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2023</w:t>
      </w:r>
    </w:p>
    <w:p w14:paraId="093845DD" w14:textId="77777777" w:rsidR="00A92E0A" w:rsidRPr="003255AC" w:rsidRDefault="00A92E0A" w:rsidP="001F0A9C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highlight w:val="yellow"/>
          <w:rtl/>
        </w:rPr>
      </w:pPr>
    </w:p>
    <w:p w14:paraId="3C3DB38F" w14:textId="7B0B4692" w:rsidR="00A70461" w:rsidRPr="003255AC" w:rsidRDefault="00A70461" w:rsidP="00A70461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للاطلاع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على تحليل جميع تطورات الديون في عام 2023، راجع "دين القطاع الخاص غير المالي" في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القسم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أ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من 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نشرة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نظرة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إحصائية 2023".</w:t>
      </w:r>
    </w:p>
    <w:p w14:paraId="261E3E02" w14:textId="77777777" w:rsidR="00A70461" w:rsidRPr="003255AC" w:rsidRDefault="00A70461" w:rsidP="00A70461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91FBBC5" w14:textId="279A0FA6" w:rsidR="003255AC" w:rsidRPr="003255AC" w:rsidRDefault="00A70461" w:rsidP="00A70461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فيما يلي ملخص لتطورات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معطيات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ديون القطاع الخاص غير المالي</w:t>
      </w:r>
      <w:r w:rsidR="00A92E0A" w:rsidRPr="003255AC">
        <w:rPr>
          <w:rStyle w:val="FootnoteReference"/>
          <w:rFonts w:asciiTheme="minorBidi" w:hAnsiTheme="minorBidi" w:cstheme="minorBidi"/>
          <w:sz w:val="24"/>
          <w:szCs w:val="24"/>
          <w:rtl/>
        </w:rPr>
        <w:footnoteReference w:id="1"/>
      </w:r>
      <w:r w:rsidR="00DC2431" w:rsidRPr="003255A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>في الربع الرابع من العام:</w:t>
      </w:r>
    </w:p>
    <w:p w14:paraId="7DD9115E" w14:textId="4E593C21" w:rsidR="003255AC" w:rsidRPr="003255AC" w:rsidRDefault="003255AC" w:rsidP="003255AC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في الربع الأخير من العام، وعلى خلفية حرب "السيوف الحديدية"، 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سُجل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انخفاض معتدل في رصيد ديون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القطاع الخاص غير المالي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بنسبة 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0.3%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تقريباً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، وذلك للمرة الأولى منذ النصف الثاني من عام 2020. يأتي ذلك 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استمراراً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تباطؤ معدل نمو هذا الرصيد سواء في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قطاع الأعمال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أو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قطاع </w:t>
      </w:r>
      <w:r w:rsidR="00A70461" w:rsidRPr="00A7046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الأسر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، والذي بدأ في النصف الثاني من عام 2022.</w:t>
      </w:r>
    </w:p>
    <w:p w14:paraId="367EC47B" w14:textId="4800CB2C" w:rsidR="003255AC" w:rsidRPr="003255AC" w:rsidRDefault="00A70461" w:rsidP="003255AC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="003255AC" w:rsidRPr="003255AC">
        <w:rPr>
          <w:rFonts w:asciiTheme="minorBidi" w:hAnsiTheme="minorBidi" w:cs="Arial"/>
          <w:sz w:val="24"/>
          <w:szCs w:val="24"/>
          <w:rtl/>
        </w:rPr>
        <w:t xml:space="preserve"> 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رصيد دين </w:t>
      </w:r>
      <w:r w:rsidR="003255AC"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قطاع الأعمال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في هذا الربع بنسبة 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0.4%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تقريباً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(حوالي 5 مليار شيكل) إلى حوالي 1.3 تريليون،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الأساس 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نتيجة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>ارتفاع قيمة الشيكل مقابل الدولار وصافي سداد الديون في الخارج (القروض وسندات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الدين</w:t>
      </w:r>
      <w:r w:rsidR="003255AC" w:rsidRPr="003255AC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14:paraId="36221596" w14:textId="0CF59D32" w:rsidR="003255AC" w:rsidRPr="003255AC" w:rsidRDefault="003255AC" w:rsidP="00E12B2E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كما انخفض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رصيد ديون الأسر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في هذا الربع بحوالي 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0.2% (حوالي 2 مليار شيكل) إلى حوالي 792 مليار: مزيج من زيادة في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رصيد ديون الإسكان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تم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E12B2E">
        <w:rPr>
          <w:rFonts w:asciiTheme="minorBidi" w:hAnsiTheme="minorBidi" w:cs="Arial" w:hint="cs"/>
          <w:sz w:val="24"/>
          <w:szCs w:val="24"/>
          <w:rtl/>
          <w:lang w:bidi="ar-SA"/>
        </w:rPr>
        <w:t>تعويضها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بالكامل 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نتيجة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انخفاض في </w:t>
      </w:r>
      <w:r w:rsidR="00A7046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رصيد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الديون غير السكنية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؛ يعود الاعتدال في الزيادة في رصيد ديون الإسكان إلى التباطؤ في 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الحصول على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القروض العقارية الجديدة من البنوك، والذي استمر هذا العام على خلفية ارتفاع أسعار الفائدة في بنك إسرائيل 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وتعاظم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بعد اندلاع الحرب</w:t>
      </w:r>
      <w:r w:rsidR="00A70461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يعود انخفاض </w:t>
      </w:r>
      <w:r w:rsidRPr="00A7046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رصيد الديون غير السكنية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إلى انخفاض رصيد ديون المقرضين المركزيين - البنوك وشركات بطاقات الائتمان والهيئات المؤسس</w:t>
      </w:r>
      <w:r w:rsidR="000D7FE1"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ية.</w:t>
      </w:r>
    </w:p>
    <w:p w14:paraId="08CA8527" w14:textId="614828D2" w:rsidR="003255AC" w:rsidRPr="003255AC" w:rsidRDefault="003255AC" w:rsidP="003255AC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استمر تباطؤ معدلات التغير السنوية لأرصدة الدين، السكني وغير السكني، والذي بدأ في النصف الثاني من عام 2022 (حوالي 5% و-4% على التوالي في عام 2023).</w:t>
      </w:r>
    </w:p>
    <w:p w14:paraId="5C62D9DF" w14:textId="77777777" w:rsidR="00306DA1" w:rsidRDefault="00306DA1" w:rsidP="00306DA1">
      <w:pPr>
        <w:bidi/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574D1C66" w14:textId="0D927525" w:rsidR="009F574F" w:rsidRPr="003255AC" w:rsidRDefault="003255AC" w:rsidP="003255AC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3255AC">
        <w:rPr>
          <w:rStyle w:val="Heading1Char"/>
          <w:rFonts w:asciiTheme="minorBidi" w:hAnsiTheme="minorBidi"/>
          <w:rtl/>
          <w:lang w:bidi="ar-SA"/>
        </w:rPr>
        <w:t>ديون قطاع الأعمال غير المالي</w:t>
      </w:r>
      <w:r w:rsidR="00474B96" w:rsidRPr="003255AC">
        <w:rPr>
          <w:rStyle w:val="FootnoteReference"/>
          <w:rFonts w:asciiTheme="minorBidi" w:hAnsiTheme="minorBidi" w:cstheme="minorBidi"/>
          <w:b/>
          <w:bCs/>
          <w:sz w:val="24"/>
          <w:szCs w:val="24"/>
          <w:rtl/>
        </w:rPr>
        <w:footnoteReference w:id="2"/>
      </w:r>
      <w:r w:rsidR="0028327B" w:rsidRPr="003255A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14:paraId="7E73DB51" w14:textId="69E87967" w:rsidR="003255AC" w:rsidRPr="003255AC" w:rsidRDefault="003255AC" w:rsidP="003255AC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أفادت شعبة المعلومات والإحصاء أنه في الربع الرابع من عام 2023، وعلى خلفية حرب “السيوف الحديدية” ولأول مرة منذ النصف الثاني من عام 2020، حدث انخفاض معتدل بنحو 5 مليارات 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lastRenderedPageBreak/>
        <w:t xml:space="preserve">شيكل (- 0.4%) في </w:t>
      </w:r>
      <w:r w:rsidRPr="000D7FE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رصيد دين قطاع الأعمال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إلى مستوى نحو -1.3 تريليون، ويأتي ذلك عقب تباطؤ معدل نمو هذا الرصيد إلى نحو 5%، وهو </w:t>
      </w:r>
      <w:r w:rsidR="00E12B2E">
        <w:rPr>
          <w:rFonts w:asciiTheme="minorBidi" w:hAnsiTheme="minorBidi" w:cs="Arial" w:hint="cs"/>
          <w:sz w:val="24"/>
          <w:szCs w:val="24"/>
          <w:rtl/>
          <w:lang w:val="en-GB" w:bidi="ar-SA"/>
        </w:rPr>
        <w:t>ال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تطور </w:t>
      </w:r>
      <w:r w:rsidR="00E12B2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الذي 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بدأ في النصف الثاني من عام 2022.</w:t>
      </w:r>
    </w:p>
    <w:p w14:paraId="6549BA5E" w14:textId="3800BC40" w:rsidR="003255AC" w:rsidRPr="003255AC" w:rsidRDefault="003255AC" w:rsidP="00E12B2E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يعود انخفاض رصيد الدين في هذا الربع بشكل كبير إلى ارتفاع قيمة الشيكل مقابل الدولار بنحو 5.2%، مما أدى إلى انخفاض قيمة الدين المقوم بالعملة الأجنبية </w:t>
      </w:r>
      <w:r w:rsidR="000D7FE1">
        <w:rPr>
          <w:rFonts w:asciiTheme="minorBidi" w:hAnsiTheme="minorBidi" w:cs="Arial" w:hint="cs"/>
          <w:sz w:val="24"/>
          <w:szCs w:val="24"/>
          <w:rtl/>
          <w:lang w:bidi="ar-SA"/>
        </w:rPr>
        <w:t>وبالمرتبط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به</w:t>
      </w:r>
      <w:r w:rsidR="000D7FE1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، وكذلك من صافي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سداد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الديون المتراكم في الخارج (القروض والسندات) وال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ذ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ي تم تعويضه جزئيًا من خلال الزيادة الصافية في القروض المصرفية والسندات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القابلة للتداول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في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البلاد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0F40">
        <w:rPr>
          <w:rFonts w:asciiTheme="minorBidi" w:hAnsiTheme="minorBidi" w:cs="Arial"/>
          <w:sz w:val="24"/>
          <w:szCs w:val="24"/>
          <w:rtl/>
          <w:lang w:bidi="ar-SA"/>
        </w:rPr>
        <w:t>–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أدى 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كل ذلك إلى إجمالي صافي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من 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الديون لقطاع الأعمال </w:t>
      </w:r>
      <w:r w:rsidR="00E12B2E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صل إلى حوالي 9 مليار شيكل في هذا الربع،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وهذا 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أقل من المتوسط ​​الربع سنوي للزيادات في السنوات الثلاث الماضية (الشكل 1، 2).</w:t>
      </w:r>
    </w:p>
    <w:p w14:paraId="32EC0792" w14:textId="5026FF50" w:rsidR="003255AC" w:rsidRPr="003255AC" w:rsidRDefault="003255AC" w:rsidP="003255AC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أدت هذه التأثيرات إلى استمرار التباطؤ الذي بدأ في النصف الثاني من عام 2022 في هذا الربع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أيضاً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في معدل النمو السنوي لرصيد الديون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خاصة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للمقرضين غير المصرفيين،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الديون للبنوك ظل معدل النمو السنوي إيجابيا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ومرتفعا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(حوالي 10٪). في الديون المستحقة للمقرضين غير المصرفيين، س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جل معدل فائدة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صفري تقريباً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مقارنة بنحو 4% في الربع السابق. </w:t>
      </w:r>
      <w:r w:rsidR="00300F40">
        <w:rPr>
          <w:rFonts w:asciiTheme="minorBidi" w:hAnsiTheme="minorBidi" w:cs="Arial" w:hint="cs"/>
          <w:sz w:val="24"/>
          <w:szCs w:val="24"/>
          <w:rtl/>
          <w:lang w:bidi="ar-SA"/>
        </w:rPr>
        <w:t>نشير إلى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أنه خلال السنتين والنصف الأخيرتين، كان معدل النمو السنوي في رصيد الدين للبنوك أعلى من معدل النمو السنوي في رصيد الدين للمقرضين غير المصرفيين.</w:t>
      </w:r>
    </w:p>
    <w:p w14:paraId="0FBA2A65" w14:textId="7A7A3E86" w:rsidR="003255AC" w:rsidRPr="003255AC" w:rsidRDefault="003255AC" w:rsidP="003255AC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في الربع الرابع من العام، </w:t>
      </w:r>
      <w:r w:rsidRPr="007E553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أصدر قطاع الأعمال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سندات</w:t>
      </w:r>
      <w:r w:rsidR="007E553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دين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بقيمة </w:t>
      </w:r>
      <w:r w:rsidR="007E5530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13 مليار شيكل، تم جمع حوالي ثلثيها في شهر كانون الأول، و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أعلى قليلاً من المتوسط ​​الفصلي الذي تم جمعه 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>في ا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لأرباع الأربعة السابقة (حوالي 12 مليار في المتوسط ​​لكل ربع). وقد تم 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تنفيذ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حوالي 58% من الإصدارات في هذا الربع من قبل شركات من قطاع العقارات والبناء، وهو القطاع الذي لا يزال رائداً في جمع 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على غرار السنوات السابقة (الشكل 3).</w:t>
      </w:r>
    </w:p>
    <w:p w14:paraId="353825C5" w14:textId="6F25293E" w:rsidR="003255AC" w:rsidRPr="003255AC" w:rsidRDefault="003255AC" w:rsidP="003255AC">
      <w:pPr>
        <w:pStyle w:val="ListParagraph"/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highlight w:val="yellow"/>
          <w:lang w:bidi="ar-SA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في 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>كانون الثاني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 2024، أصدر قطاع الأعمال سندات بقيمة حوالي 10 مليار شيكل، 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وذلك 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>أعلى بكثير من متوسط ​​الزيادات الشهرية للربع الرابع من العام (حوالي 4 مليار متوسط ​​شهري)، وشكلت شركات قطاع العقارات والبناء حوالي 46% من الزيادات هذا الشهر</w:t>
      </w:r>
    </w:p>
    <w:p w14:paraId="193ACBE4" w14:textId="5ACB5C2F" w:rsidR="003255AC" w:rsidRPr="002C1FF6" w:rsidRDefault="002C1FF6" w:rsidP="002C1FF6">
      <w:pPr>
        <w:pStyle w:val="ListParagraph"/>
        <w:numPr>
          <w:ilvl w:val="0"/>
          <w:numId w:val="8"/>
        </w:numPr>
        <w:bidi/>
        <w:spacing w:before="24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في تشرين الأول 2023،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3255AC">
        <w:rPr>
          <w:rFonts w:asciiTheme="minorBidi" w:hAnsiTheme="minorBidi" w:cs="Arial"/>
          <w:sz w:val="24"/>
          <w:szCs w:val="24"/>
          <w:rtl/>
          <w:lang w:bidi="ar-SA"/>
        </w:rPr>
        <w:t xml:space="preserve">على خلفية الحرب، اتسع </w:t>
      </w:r>
      <w:r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الفارق </w:t>
      </w:r>
      <w:r w:rsidR="00884ED4" w:rsidRPr="003255AC">
        <w:rPr>
          <w:rStyle w:val="FootnoteReference"/>
          <w:rFonts w:asciiTheme="minorBidi" w:hAnsiTheme="minorBidi" w:cstheme="minorBidi"/>
          <w:b/>
          <w:bCs/>
          <w:sz w:val="24"/>
          <w:szCs w:val="24"/>
          <w:rtl/>
        </w:rPr>
        <w:footnoteReference w:id="3"/>
      </w:r>
      <w:r w:rsidR="00884ED4" w:rsidRPr="003255A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بين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عائد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سندات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الشركات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المدرجة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مؤشر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تل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بوند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60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بين 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عائد السندات الحكومية </w:t>
      </w:r>
      <w:r w:rsidRPr="002C1FF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المرتبطة بالمؤشر</w:t>
      </w:r>
      <w:r w:rsidR="003255AC" w:rsidRPr="002C1FF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255AC" w:rsidRPr="002C1FF6">
        <w:rPr>
          <w:rFonts w:asciiTheme="minorBidi" w:hAnsiTheme="minorBidi" w:cs="Arial"/>
          <w:sz w:val="24"/>
          <w:szCs w:val="24"/>
          <w:rtl/>
          <w:lang w:bidi="ar-SA"/>
        </w:rPr>
        <w:t xml:space="preserve">إلى نحو 1.7 نقطة مئوية، </w:t>
      </w:r>
      <w:r w:rsidRPr="002C1FF6">
        <w:rPr>
          <w:rFonts w:asciiTheme="minorBidi" w:hAnsiTheme="minorBidi" w:cs="Arial" w:hint="cs"/>
          <w:sz w:val="24"/>
          <w:szCs w:val="24"/>
          <w:rtl/>
          <w:lang w:bidi="ar-SA"/>
        </w:rPr>
        <w:t>وانكمش</w:t>
      </w:r>
      <w:r w:rsidR="003255AC" w:rsidRPr="002C1FF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E12B2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الفارق </w:t>
      </w:r>
      <w:r w:rsidR="003255AC" w:rsidRPr="002C1FF6">
        <w:rPr>
          <w:rFonts w:asciiTheme="minorBidi" w:hAnsiTheme="minorBidi" w:cs="Arial"/>
          <w:sz w:val="24"/>
          <w:szCs w:val="24"/>
          <w:rtl/>
          <w:lang w:bidi="ar-SA"/>
        </w:rPr>
        <w:t xml:space="preserve">مرة أخرى في الأشهر الأخيرة من عام 2023 بنحو 0.3 نقطة مئوية إلى نحو 1.44 نقطة. في الأشهر من </w:t>
      </w:r>
      <w:r w:rsidRPr="002C1FF6">
        <w:rPr>
          <w:rFonts w:asciiTheme="minorBidi" w:hAnsiTheme="minorBidi" w:cs="Arial" w:hint="cs"/>
          <w:sz w:val="24"/>
          <w:szCs w:val="24"/>
          <w:rtl/>
          <w:lang w:bidi="ar-SA"/>
        </w:rPr>
        <w:t>كانون ثاني إلى شباط</w:t>
      </w:r>
      <w:r w:rsidR="003255AC" w:rsidRPr="002C1FF6">
        <w:rPr>
          <w:rFonts w:asciiTheme="minorBidi" w:hAnsiTheme="minorBidi" w:cs="Arial"/>
          <w:sz w:val="24"/>
          <w:szCs w:val="24"/>
          <w:rtl/>
          <w:lang w:bidi="ar-SA"/>
        </w:rPr>
        <w:t xml:space="preserve"> 2024، استمر الهامش في الانكماش إلى حوالي 1.35 نقطة مئوية، ووصل إلى مستوى أقل مما كان عليه عشية اندلاع الحرب. (الشكل 4).</w:t>
      </w:r>
    </w:p>
    <w:p w14:paraId="7FAC9BCD" w14:textId="77777777" w:rsidR="00306DA1" w:rsidRPr="003255AC" w:rsidRDefault="00306DA1" w:rsidP="00DC2431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b/>
          <w:bCs/>
          <w:rtl/>
        </w:rPr>
      </w:pPr>
    </w:p>
    <w:p w14:paraId="1BE20D99" w14:textId="77777777" w:rsidR="00306DA1" w:rsidRDefault="00306DA1" w:rsidP="00306DA1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b/>
          <w:bCs/>
          <w:rtl/>
        </w:rPr>
      </w:pPr>
    </w:p>
    <w:p w14:paraId="32307F11" w14:textId="77777777" w:rsidR="007E069A" w:rsidRDefault="007E069A" w:rsidP="007E069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b/>
          <w:bCs/>
          <w:rtl/>
        </w:rPr>
      </w:pPr>
    </w:p>
    <w:p w14:paraId="2FEDCCA2" w14:textId="77777777" w:rsidR="007E069A" w:rsidRDefault="007E069A" w:rsidP="007E069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b/>
          <w:bCs/>
          <w:rtl/>
        </w:rPr>
      </w:pPr>
    </w:p>
    <w:p w14:paraId="60367E27" w14:textId="77777777" w:rsidR="007E069A" w:rsidRDefault="007E069A" w:rsidP="007E069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b/>
          <w:bCs/>
          <w:rtl/>
        </w:rPr>
      </w:pPr>
    </w:p>
    <w:p w14:paraId="7FF5CC2E" w14:textId="77777777" w:rsidR="007E069A" w:rsidRPr="003255AC" w:rsidRDefault="007E069A" w:rsidP="007E069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b/>
          <w:bCs/>
          <w:rtl/>
        </w:rPr>
      </w:pPr>
    </w:p>
    <w:p w14:paraId="4A305F74" w14:textId="616033EE" w:rsidR="00F21AEA" w:rsidRPr="003255AC" w:rsidRDefault="000A541F" w:rsidP="00306DA1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>
        <w:rPr>
          <w:rFonts w:ascii="Arial" w:hAnsi="Arial" w:cs="Arial"/>
          <w:b/>
          <w:bCs/>
          <w:rtl/>
          <w:lang w:bidi="ar-SA"/>
        </w:rPr>
        <w:lastRenderedPageBreak/>
        <w:t xml:space="preserve">جدول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rtl/>
        </w:rPr>
        <w:t xml:space="preserve">: </w:t>
      </w:r>
      <w:r>
        <w:rPr>
          <w:rFonts w:ascii="Arial" w:hAnsi="Arial" w:cs="Arial"/>
          <w:b/>
          <w:bCs/>
          <w:rtl/>
          <w:lang w:bidi="ar-SA"/>
        </w:rPr>
        <w:t>توزيع ديون قطاع الأعمال غير المالي</w:t>
      </w:r>
      <w:r w:rsidRPr="003255AC">
        <w:rPr>
          <w:rFonts w:asciiTheme="minorBidi" w:hAnsiTheme="minorBidi" w:cstheme="minorBidi"/>
          <w:vertAlign w:val="superscript"/>
          <w:rtl/>
        </w:rPr>
        <w:t xml:space="preserve"> </w:t>
      </w:r>
      <w:r w:rsidR="0012175B" w:rsidRPr="003255AC">
        <w:rPr>
          <w:rFonts w:asciiTheme="minorBidi" w:hAnsiTheme="minorBidi" w:cstheme="minorBidi"/>
          <w:vertAlign w:val="superscript"/>
          <w:rtl/>
        </w:rPr>
        <w:t>1</w:t>
      </w:r>
      <w:r w:rsidR="00303DA6" w:rsidRPr="003255AC">
        <w:rPr>
          <w:rFonts w:asciiTheme="minorBidi" w:hAnsiTheme="minorBidi" w:cstheme="minorBidi"/>
          <w:vertAlign w:val="superscript"/>
          <w:rtl/>
        </w:rPr>
        <w:t xml:space="preserve"> </w:t>
      </w:r>
    </w:p>
    <w:p w14:paraId="3CCAB9CF" w14:textId="44649B4A" w:rsidR="002A60C4" w:rsidRPr="003255AC" w:rsidRDefault="007E069A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7E069A">
        <w:rPr>
          <w:rFonts w:asciiTheme="minorBidi" w:hAnsiTheme="minorBidi" w:cs="Arial" w:hint="cs"/>
          <w:b/>
          <w:bCs/>
          <w:noProof/>
          <w:rtl/>
          <w:lang w:bidi="ar-SA"/>
        </w:rPr>
        <w:drawing>
          <wp:inline distT="0" distB="0" distL="0" distR="0" wp14:anchorId="25568BD0" wp14:editId="02798998">
            <wp:extent cx="5278120" cy="1923415"/>
            <wp:effectExtent l="0" t="0" r="0" b="635"/>
            <wp:docPr id="99229229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1DC7" w14:textId="77777777" w:rsidR="00061F4B" w:rsidRPr="003255AC" w:rsidRDefault="00061F4B" w:rsidP="000C1D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14:paraId="34A67083" w14:textId="77777777" w:rsidR="000A541F" w:rsidRPr="003255AC" w:rsidRDefault="000A541F" w:rsidP="000A541F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lang w:bidi="ar-SA"/>
        </w:rPr>
      </w:pPr>
      <w:r>
        <w:rPr>
          <w:rFonts w:ascii="Arial" w:hAnsi="Arial" w:cs="Arial"/>
          <w:b/>
          <w:bCs/>
          <w:rtl/>
          <w:lang w:bidi="ar-SA"/>
        </w:rPr>
        <w:t>الشكل</w:t>
      </w:r>
      <w:r>
        <w:rPr>
          <w:rFonts w:ascii="Arial" w:hAnsi="Arial" w:cs="Arial"/>
          <w:b/>
          <w:bCs/>
          <w:rtl/>
        </w:rPr>
        <w:t xml:space="preserve"> 1: </w:t>
      </w:r>
      <w:r>
        <w:rPr>
          <w:rFonts w:ascii="Arial" w:hAnsi="Arial" w:cs="Arial" w:hint="cs"/>
          <w:b/>
          <w:bCs/>
          <w:rtl/>
          <w:lang w:bidi="ar-SA"/>
        </w:rPr>
        <w:t>تقدير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تحركات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إجمالي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ديون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قطاع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الأعمال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غير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المالي</w:t>
      </w:r>
    </w:p>
    <w:p w14:paraId="70372A3A" w14:textId="0629067B" w:rsidR="002A60C4" w:rsidRPr="003255AC" w:rsidRDefault="00FA4F7D" w:rsidP="00AC3E61">
      <w:pPr>
        <w:pStyle w:val="ListParagraph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A4F7D">
        <w:rPr>
          <w:rFonts w:asciiTheme="minorBidi" w:hAnsiTheme="minorBidi" w:cstheme="minorBidi"/>
          <w:b/>
          <w:bCs/>
          <w:noProof/>
          <w:sz w:val="24"/>
          <w:szCs w:val="24"/>
          <w:lang w:eastAsia="en-US" w:bidi="ar-SA"/>
        </w:rPr>
        <w:drawing>
          <wp:inline distT="0" distB="0" distL="0" distR="0" wp14:anchorId="44CA57AE" wp14:editId="1FAFAF8A">
            <wp:extent cx="5278120" cy="2836545"/>
            <wp:effectExtent l="0" t="0" r="0" b="1905"/>
            <wp:docPr id="989161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D420" w14:textId="77777777" w:rsidR="007E069A" w:rsidRDefault="007E069A" w:rsidP="000A541F">
      <w:pPr>
        <w:widowControl w:val="0"/>
        <w:autoSpaceDE w:val="0"/>
        <w:autoSpaceDN w:val="0"/>
        <w:bidi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14:paraId="03E5EB98" w14:textId="4CCE3234" w:rsidR="000A541F" w:rsidRDefault="000A541F" w:rsidP="007E069A">
      <w:pPr>
        <w:widowControl w:val="0"/>
        <w:autoSpaceDE w:val="0"/>
        <w:autoSpaceDN w:val="0"/>
        <w:bidi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t>شكل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2: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معدلات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التغير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مقارنة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بالربع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المماثل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العام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السابق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في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الديون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المصرفية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5F95830A" w14:textId="6E62511A" w:rsidR="000A541F" w:rsidRPr="007E069A" w:rsidRDefault="000A541F" w:rsidP="007E069A">
      <w:pPr>
        <w:widowControl w:val="0"/>
        <w:autoSpaceDE w:val="0"/>
        <w:autoSpaceDN w:val="0"/>
        <w:bidi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t>وغير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المصرفية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لقطاع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الأعمال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غير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المالي</w:t>
      </w:r>
    </w:p>
    <w:p w14:paraId="05D101DC" w14:textId="0AA5A140" w:rsidR="00675551" w:rsidRPr="003255AC" w:rsidRDefault="00FA4F7D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A4F7D">
        <w:rPr>
          <w:rFonts w:asciiTheme="minorBidi" w:hAnsiTheme="minorBidi" w:cs="Arial" w:hint="cs"/>
          <w:b/>
          <w:bCs/>
          <w:noProof/>
          <w:sz w:val="24"/>
          <w:szCs w:val="24"/>
          <w:rtl/>
          <w:lang w:eastAsia="en-US" w:bidi="ar-SA"/>
        </w:rPr>
        <w:drawing>
          <wp:inline distT="0" distB="0" distL="0" distR="0" wp14:anchorId="0322BED3" wp14:editId="0F29EFEE">
            <wp:extent cx="5278120" cy="2439035"/>
            <wp:effectExtent l="0" t="0" r="0" b="0"/>
            <wp:docPr id="674554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42502" w14:textId="77777777" w:rsidR="000A541F" w:rsidRDefault="000A541F" w:rsidP="000A541F">
      <w:pPr>
        <w:widowControl w:val="0"/>
        <w:autoSpaceDE w:val="0"/>
        <w:autoSpaceDN w:val="0"/>
        <w:bidi/>
        <w:adjustRightInd w:val="0"/>
        <w:spacing w:line="360" w:lineRule="auto"/>
        <w:jc w:val="center"/>
        <w:rPr>
          <w:rFonts w:ascii="David" w:hAnsi="Arial" w:cs="David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lastRenderedPageBreak/>
        <w:t>الشكل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3: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إصدارات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السندات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لقطاع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الأعمال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غير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المالي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خلال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الربع،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ب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حسب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الفرع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4E1351" w14:textId="2155F623" w:rsidR="00F83505" w:rsidRPr="003255AC" w:rsidRDefault="00FA4F7D" w:rsidP="001F1E1B">
      <w:pPr>
        <w:pStyle w:val="ListParagraph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  <w:r w:rsidRPr="00FA4F7D">
        <w:rPr>
          <w:rFonts w:asciiTheme="minorBidi" w:hAnsiTheme="minorBidi" w:cstheme="minorBidi"/>
          <w:b/>
          <w:bCs/>
          <w:noProof/>
          <w:sz w:val="24"/>
          <w:szCs w:val="24"/>
          <w:lang w:eastAsia="en-US" w:bidi="ar-SA"/>
        </w:rPr>
        <w:drawing>
          <wp:inline distT="0" distB="0" distL="0" distR="0" wp14:anchorId="6577CEE4" wp14:editId="78CE6718">
            <wp:extent cx="5181600" cy="2966720"/>
            <wp:effectExtent l="0" t="0" r="0" b="5080"/>
            <wp:docPr id="2044489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5ACF" w14:textId="77777777" w:rsidR="000A541F" w:rsidRDefault="000A541F" w:rsidP="000A541F">
      <w:pPr>
        <w:widowControl w:val="0"/>
        <w:autoSpaceDE w:val="0"/>
        <w:autoSpaceDN w:val="0"/>
        <w:bidi/>
        <w:adjustRightInd w:val="0"/>
        <w:spacing w:line="360" w:lineRule="auto"/>
        <w:ind w:left="360" w:right="-101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eastAsia"/>
          <w:b/>
          <w:bCs/>
          <w:sz w:val="24"/>
          <w:szCs w:val="24"/>
          <w:rtl/>
          <w:lang w:bidi="ar-SA"/>
        </w:rPr>
        <w:t>الشكل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الفارق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بين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سندات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الشركات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المرتبطة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بالمؤشر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(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تل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بوند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60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) </w:t>
      </w:r>
    </w:p>
    <w:p w14:paraId="20C9AF50" w14:textId="77777777" w:rsidR="000A541F" w:rsidRDefault="000A541F" w:rsidP="000A541F">
      <w:pPr>
        <w:widowControl w:val="0"/>
        <w:autoSpaceDE w:val="0"/>
        <w:autoSpaceDN w:val="0"/>
        <w:bidi/>
        <w:adjustRightInd w:val="0"/>
        <w:spacing w:line="360" w:lineRule="auto"/>
        <w:ind w:left="360" w:right="-101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t>والسندات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الحكومية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المرتبطة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بالمؤشر</w:t>
      </w:r>
    </w:p>
    <w:p w14:paraId="74574A21" w14:textId="77777777" w:rsidR="000A541F" w:rsidRDefault="000A541F" w:rsidP="000A541F">
      <w:pPr>
        <w:widowControl w:val="0"/>
        <w:autoSpaceDE w:val="0"/>
        <w:autoSpaceDN w:val="0"/>
        <w:bidi/>
        <w:adjustRightInd w:val="0"/>
        <w:spacing w:line="360" w:lineRule="auto"/>
        <w:ind w:left="360" w:right="-101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David" w:hAnsi="Arial" w:cs="David"/>
          <w:b/>
          <w:bCs/>
          <w:sz w:val="24"/>
          <w:szCs w:val="24"/>
          <w:rtl/>
        </w:rPr>
        <w:t>(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معدل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شهري</w:t>
      </w:r>
      <w:r>
        <w:rPr>
          <w:rFonts w:ascii="Arial" w:hAnsi="Arial" w:cs="Arial"/>
          <w:b/>
          <w:bCs/>
          <w:sz w:val="24"/>
          <w:szCs w:val="24"/>
          <w:rtl/>
        </w:rPr>
        <w:t>)</w:t>
      </w:r>
    </w:p>
    <w:p w14:paraId="53C3CB6C" w14:textId="77777777" w:rsidR="000A541F" w:rsidRPr="003255AC" w:rsidRDefault="000A541F" w:rsidP="000A541F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195FDCC2" w14:textId="0A46AE9F" w:rsidR="00522BB0" w:rsidRPr="003255AC" w:rsidRDefault="00FA4F7D" w:rsidP="00522BB0">
      <w:pPr>
        <w:pStyle w:val="ListParagraph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A4F7D">
        <w:rPr>
          <w:rFonts w:asciiTheme="minorBidi" w:hAnsiTheme="minorBidi" w:cs="Arial"/>
          <w:b/>
          <w:bCs/>
          <w:noProof/>
          <w:sz w:val="24"/>
          <w:szCs w:val="24"/>
          <w:rtl/>
          <w:lang w:eastAsia="en-US" w:bidi="ar-SA"/>
        </w:rPr>
        <w:drawing>
          <wp:inline distT="0" distB="0" distL="0" distR="0" wp14:anchorId="54F47ADA" wp14:editId="74E606BE">
            <wp:extent cx="5278120" cy="3447415"/>
            <wp:effectExtent l="0" t="0" r="0" b="635"/>
            <wp:docPr id="20129069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AEE2" w14:textId="77777777" w:rsidR="00522BB0" w:rsidRDefault="00522BB0" w:rsidP="00522BB0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3611B4D4" w14:textId="77777777" w:rsidR="007E069A" w:rsidRDefault="007E069A" w:rsidP="007E069A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682EE4EE" w14:textId="77777777" w:rsidR="007E069A" w:rsidRDefault="007E069A" w:rsidP="007E069A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3C0433A1" w14:textId="77777777" w:rsidR="007E069A" w:rsidRDefault="007E069A" w:rsidP="007E069A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39863179" w14:textId="77777777" w:rsidR="007E069A" w:rsidRPr="003255AC" w:rsidRDefault="007E069A" w:rsidP="007E069A">
      <w:pPr>
        <w:pStyle w:val="ListParagraph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14:paraId="01D5D49E" w14:textId="62EB4545" w:rsidR="009F574F" w:rsidRPr="003255AC" w:rsidRDefault="000A541F" w:rsidP="007A3CCD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Style w:val="Heading1Char"/>
          <w:rFonts w:asciiTheme="minorBidi" w:hAnsiTheme="minorBidi" w:cstheme="minorBidi"/>
        </w:rPr>
      </w:pPr>
      <w:r>
        <w:rPr>
          <w:rFonts w:cs="Times New Roman"/>
          <w:b/>
          <w:bCs/>
          <w:sz w:val="24"/>
          <w:szCs w:val="24"/>
          <w:rtl/>
          <w:lang w:bidi="ar-SA"/>
        </w:rPr>
        <w:lastRenderedPageBreak/>
        <w:t xml:space="preserve">دين 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>الأسر</w:t>
      </w:r>
    </w:p>
    <w:p w14:paraId="5A4E7D0E" w14:textId="4FE4797B" w:rsidR="000A541F" w:rsidRPr="003255AC" w:rsidRDefault="000A541F" w:rsidP="00E12B2E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Bidi" w:hAnsiTheme="minorBidi" w:cstheme="minorBidi"/>
          <w:sz w:val="24"/>
          <w:szCs w:val="24"/>
        </w:rPr>
      </w:pP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في الربع الرابع من عام 2023، انخفض </w:t>
      </w:r>
      <w:r w:rsidRPr="00B2368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رصيد ديون الأسر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بنحو 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0.2%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وبلغ نحو 792 مليار شيكل - و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مزيج</w:t>
      </w:r>
      <w:r w:rsidR="007E069A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من زيادة في رصيد ديون الإسكان </w:t>
      </w:r>
      <w:r w:rsidR="00E12B2E">
        <w:rPr>
          <w:rFonts w:asciiTheme="minorBidi" w:hAnsiTheme="minorBidi" w:cs="Arial" w:hint="cs"/>
          <w:sz w:val="24"/>
          <w:szCs w:val="24"/>
          <w:rtl/>
          <w:lang w:bidi="ar-SA"/>
        </w:rPr>
        <w:t>عوضها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بالكامل انخفاض في رصيد الديون غير السكنية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وبذلك استمر تباطؤ معدل </w:t>
      </w:r>
      <w:r w:rsidR="002C1FF6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السنوي لإجمالي رصيد ديون الأسر (للسكن ول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لسكن)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الذي بدأ في النصف الثاني من عام 2022 إلى نحو 2%.</w:t>
      </w:r>
    </w:p>
    <w:p w14:paraId="446D7706" w14:textId="56B978C5" w:rsidR="000A541F" w:rsidRPr="003255AC" w:rsidRDefault="000A541F" w:rsidP="000A541F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B2368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استمر رصيد </w:t>
      </w:r>
      <w:r w:rsidR="00B2368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</w:t>
      </w:r>
      <w:r w:rsidRPr="00B2368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دين </w:t>
      </w:r>
      <w:r w:rsidR="00B2368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</w:t>
      </w:r>
      <w:r w:rsidRPr="00B2368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لسكن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في النمو خلال هذا الربع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معتدل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ب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لغت 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0.8%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تقريباً 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(حوالي 5 مليار شيكل)، معظمها للبنوك، إلى نحو 568 مليار، وهو انخفاض بدأ مع بداية العام في </w:t>
      </w:r>
      <w:r w:rsidR="00B2368F" w:rsidRPr="00B2368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رصيد </w:t>
      </w:r>
      <w:r w:rsidRPr="00B2368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الديون غير السكنية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(حوالي 7 مليار شيكل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2.9%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) 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إلى حوالي 224 مليار، نتيجة انخفاض رصيد الديون للبنوك وشركات بطاقات الائتمان والجهات المؤسس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ية.</w:t>
      </w:r>
    </w:p>
    <w:p w14:paraId="4B7C95F5" w14:textId="207F5E14" w:rsidR="000A541F" w:rsidRPr="003255AC" w:rsidRDefault="000A541F" w:rsidP="000A541F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Bidi" w:hAnsiTheme="minorBidi" w:cstheme="minorBidi"/>
          <w:sz w:val="24"/>
          <w:szCs w:val="24"/>
        </w:rPr>
      </w:pP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أدت هذه التأثيرات إلى استمرار تباطؤ معدلات النمو السنوي لأرصدة ديون الأسر سواء السكنية أو غير السكنية، حيث سجل رصيد ديون الإسكان معدل تغير سنوي يقارب 5%، كما سجل رصيد ديون الأسر غير السكنية معدل تغير سنوي سلبي يقارب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-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4%. (الشكل 5).</w:t>
      </w:r>
    </w:p>
    <w:p w14:paraId="4058090A" w14:textId="42265CC8" w:rsidR="000A541F" w:rsidRPr="003255AC" w:rsidRDefault="007E069A" w:rsidP="000A541F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جاء 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الاعتدال في ارتفاع ديون الإسكان نتيجة تباطؤ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الحصول على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القروض العقارية الجديدة من البنوك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وال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ذ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ي 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>تعاظم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بعد اندلاع الحرب </w:t>
      </w:r>
      <w:r w:rsidR="00967E57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الربع الأخير من العام </w:t>
      </w:r>
      <w:r w:rsidR="00967E57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إلى </w:t>
      </w:r>
      <w:r w:rsidR="000A541F" w:rsidRPr="000A541F">
        <w:rPr>
          <w:rFonts w:asciiTheme="minorBidi" w:hAnsiTheme="minorBidi" w:cs="Arial"/>
          <w:sz w:val="24"/>
          <w:szCs w:val="24"/>
          <w:rtl/>
          <w:lang w:bidi="ar-SA"/>
        </w:rPr>
        <w:t>حوالي 16 مليار شيكل، أي أقل بكثير مقارنة بالفترة المماثلة من العام الماضي (حوالي 21 ملياراً).</w:t>
      </w:r>
    </w:p>
    <w:p w14:paraId="4A91A22A" w14:textId="056E6A7A" w:rsidR="000A541F" w:rsidRPr="003255AC" w:rsidRDefault="000A541F" w:rsidP="000A541F">
      <w:pPr>
        <w:pStyle w:val="ListParagraph"/>
        <w:bidi/>
        <w:spacing w:before="240" w:after="120" w:line="36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>كما استمر التباطؤ في الحصول على قروض عقارية جديدة من البنوك في الأشهر كانون الثاني – شباط 2024، وبلغت بعد خصم</w:t>
      </w:r>
      <w:r w:rsidR="00B2368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التأثيرات</w:t>
      </w:r>
      <w:r w:rsidRPr="000A541F">
        <w:rPr>
          <w:rFonts w:asciiTheme="minorBidi" w:hAnsiTheme="minorBidi" w:cs="Arial"/>
          <w:sz w:val="24"/>
          <w:szCs w:val="24"/>
          <w:rtl/>
          <w:lang w:bidi="ar-SA"/>
        </w:rPr>
        <w:t xml:space="preserve"> الموسمية نحو 11 مليار شيكل (الشكل 6).</w:t>
      </w:r>
    </w:p>
    <w:p w14:paraId="50070218" w14:textId="77777777" w:rsidR="00FF4A03" w:rsidRPr="003255AC" w:rsidRDefault="00FF4A03" w:rsidP="00FF4A03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37E82E95" w14:textId="530AD37D" w:rsidR="00E149DD" w:rsidRPr="003255AC" w:rsidRDefault="000A541F" w:rsidP="00FF4A03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الجدول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أرصدة ديون الأسر</w:t>
      </w:r>
      <w:r w:rsidRPr="003255AC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 xml:space="preserve"> </w:t>
      </w:r>
      <w:r w:rsidR="00AC3E61" w:rsidRPr="003255AC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  <w:r w:rsidR="009653F5" w:rsidRPr="003255AC">
        <w:rPr>
          <w:rFonts w:asciiTheme="minorBidi" w:hAnsiTheme="minorBidi" w:cstheme="minorBidi"/>
          <w:sz w:val="24"/>
          <w:szCs w:val="24"/>
        </w:rPr>
        <w:t xml:space="preserve"> </w:t>
      </w:r>
    </w:p>
    <w:p w14:paraId="614FD821" w14:textId="2C686BF2" w:rsidR="00D46A28" w:rsidRPr="003255AC" w:rsidRDefault="00496B1A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496B1A">
        <w:rPr>
          <w:rFonts w:asciiTheme="minorBidi" w:hAnsiTheme="minorBidi" w:cs="Arial" w:hint="cs"/>
          <w:b/>
          <w:bCs/>
          <w:noProof/>
          <w:sz w:val="24"/>
          <w:szCs w:val="24"/>
          <w:rtl/>
          <w:lang w:eastAsia="en-US" w:bidi="ar-SA"/>
        </w:rPr>
        <w:drawing>
          <wp:inline distT="0" distB="0" distL="0" distR="0" wp14:anchorId="176F2965" wp14:editId="092FB549">
            <wp:extent cx="5278120" cy="2793365"/>
            <wp:effectExtent l="0" t="0" r="0" b="6985"/>
            <wp:docPr id="19921590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4733" w14:textId="77777777" w:rsidR="00D46A28" w:rsidRPr="003255AC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176F47DF" w14:textId="77777777" w:rsidR="00DC2431" w:rsidRPr="003255AC" w:rsidRDefault="00DC2431" w:rsidP="00DC243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5B549EFA" w14:textId="77777777" w:rsidR="007E069A" w:rsidRDefault="007E069A" w:rsidP="000A541F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14:paraId="066E6B88" w14:textId="77777777" w:rsidR="007E069A" w:rsidRDefault="007E069A" w:rsidP="007E069A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14:paraId="485FD9CE" w14:textId="77777777" w:rsidR="007E069A" w:rsidRDefault="007E069A" w:rsidP="007E069A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14:paraId="7461BC6E" w14:textId="77777777" w:rsidR="007E069A" w:rsidRDefault="007E069A" w:rsidP="007E069A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14:paraId="2221405A" w14:textId="77777777" w:rsidR="007E069A" w:rsidRDefault="007E069A" w:rsidP="007E069A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14:paraId="5B0147DD" w14:textId="6486CADC" w:rsidR="000A541F" w:rsidRPr="003255AC" w:rsidRDefault="000A541F" w:rsidP="007E069A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lastRenderedPageBreak/>
        <w:t>شكل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5: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معدلات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التغير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مقارنة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بالربع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المقابل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من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العام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السابق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في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ديون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الأسر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للسكن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وغير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السكن</w:t>
      </w:r>
    </w:p>
    <w:p w14:paraId="5B2ED661" w14:textId="77777777" w:rsidR="00F619D6" w:rsidRPr="003255AC" w:rsidRDefault="00F619D6" w:rsidP="00F619D6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2EE33310" w14:textId="630D7357" w:rsidR="00C10811" w:rsidRPr="003255AC" w:rsidRDefault="00FA4F7D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A4F7D">
        <w:rPr>
          <w:rFonts w:asciiTheme="minorBidi" w:hAnsiTheme="minorBidi" w:cs="Arial"/>
          <w:b/>
          <w:bCs/>
          <w:noProof/>
          <w:sz w:val="24"/>
          <w:szCs w:val="24"/>
          <w:rtl/>
          <w:lang w:eastAsia="en-US" w:bidi="ar-SA"/>
        </w:rPr>
        <w:drawing>
          <wp:inline distT="0" distB="0" distL="0" distR="0" wp14:anchorId="686C1111" wp14:editId="7B1D44FA">
            <wp:extent cx="5278120" cy="2439035"/>
            <wp:effectExtent l="0" t="0" r="0" b="0"/>
            <wp:docPr id="5961317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AEE6" w14:textId="77777777" w:rsidR="00C10811" w:rsidRPr="003255AC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D7BB1A7" w14:textId="77777777" w:rsidR="000A541F" w:rsidRPr="003255AC" w:rsidRDefault="000A541F" w:rsidP="000A541F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الشكل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حجم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القروض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الجديدة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التي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قدمتها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البنوك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للجمهور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لشراء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شق</w:t>
      </w: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ق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سكنية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الرهون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العقارية</w:t>
      </w:r>
      <w:r>
        <w:rPr>
          <w:rFonts w:ascii="Arial" w:hAnsi="Arial" w:cs="Arial"/>
          <w:b/>
          <w:bCs/>
          <w:sz w:val="24"/>
          <w:szCs w:val="24"/>
          <w:rtl/>
        </w:rPr>
        <w:t>)</w:t>
      </w:r>
    </w:p>
    <w:p w14:paraId="0D5B4497" w14:textId="77777777" w:rsidR="00005C41" w:rsidRPr="003255AC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0162FE25" w14:textId="12871CE9" w:rsidR="00324EF2" w:rsidRPr="003255AC" w:rsidRDefault="00496B1A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496B1A">
        <w:rPr>
          <w:rFonts w:asciiTheme="minorBidi" w:hAnsiTheme="minorBidi" w:cs="Arial"/>
          <w:noProof/>
          <w:sz w:val="24"/>
          <w:szCs w:val="24"/>
          <w:rtl/>
          <w:lang w:eastAsia="en-US" w:bidi="ar-SA"/>
        </w:rPr>
        <w:drawing>
          <wp:inline distT="0" distB="0" distL="0" distR="0" wp14:anchorId="5D41A65A" wp14:editId="646E02C3">
            <wp:extent cx="5278120" cy="2887980"/>
            <wp:effectExtent l="0" t="0" r="0" b="7620"/>
            <wp:docPr id="16364381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977B" w14:textId="77777777" w:rsidR="000A541F" w:rsidRDefault="000A541F" w:rsidP="000A541F">
      <w:pPr>
        <w:widowControl w:val="0"/>
        <w:autoSpaceDE w:val="0"/>
        <w:autoSpaceDN w:val="0"/>
        <w:bidi/>
        <w:adjustRightInd w:val="0"/>
        <w:spacing w:before="480"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eastAsia"/>
          <w:sz w:val="24"/>
          <w:szCs w:val="24"/>
          <w:rtl/>
          <w:lang w:bidi="ar-SA"/>
        </w:rPr>
        <w:t>لمزيد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من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المعلومات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حول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الموضوع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راجع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</w:t>
      </w:r>
      <w:r>
        <w:rPr>
          <w:rFonts w:ascii="Arial" w:hAnsi="Arial" w:cs="Arial" w:hint="eastAsia"/>
          <w:sz w:val="24"/>
          <w:szCs w:val="24"/>
          <w:rtl/>
          <w:lang w:bidi="ar-SA"/>
        </w:rPr>
        <w:t>رابط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الظاهر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على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موقع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البنك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في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صفحة</w:t>
      </w:r>
      <w:r>
        <w:rPr>
          <w:rFonts w:ascii="Arial" w:hAnsi="Arial" w:cs="Arial"/>
          <w:sz w:val="24"/>
          <w:szCs w:val="24"/>
          <w:rtl/>
        </w:rPr>
        <w:t xml:space="preserve"> </w:t>
      </w:r>
      <w:hyperlink r:id="rId17" w:history="1">
        <w:r w:rsidRPr="00BD5D28">
          <w:rPr>
            <w:rStyle w:val="Hyperlink"/>
            <w:rFonts w:ascii="Arial" w:hAnsi="Arial" w:cs="Arial" w:hint="eastAsia"/>
            <w:sz w:val="24"/>
            <w:szCs w:val="24"/>
            <w:rtl/>
            <w:lang w:bidi="ar-SA"/>
          </w:rPr>
          <w:t>أرصدة</w:t>
        </w:r>
        <w:r w:rsidRPr="00BD5D28">
          <w:rPr>
            <w:rStyle w:val="Hyperlink"/>
            <w:rFonts w:ascii="Arial" w:hAnsi="Arial" w:cs="Arial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الائتمان</w:t>
        </w:r>
        <w:r w:rsidRPr="00BD5D28">
          <w:rPr>
            <w:rStyle w:val="Hyperlink"/>
            <w:rFonts w:ascii="Arial" w:hAnsi="Arial" w:cs="Arial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eastAsia"/>
            <w:sz w:val="24"/>
            <w:szCs w:val="24"/>
            <w:rtl/>
            <w:lang w:bidi="ar-SA"/>
          </w:rPr>
          <w:t>في</w:t>
        </w:r>
        <w:r w:rsidRPr="00BD5D28">
          <w:rPr>
            <w:rStyle w:val="Hyperlink"/>
            <w:rFonts w:ascii="Arial" w:hAnsi="Arial" w:cs="Arial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النظام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eastAsia"/>
            <w:sz w:val="24"/>
            <w:szCs w:val="24"/>
            <w:rtl/>
            <w:lang w:bidi="ar-SA"/>
          </w:rPr>
          <w:t>الاقتصاد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ي</w:t>
        </w:r>
      </w:hyperlink>
      <w:r>
        <w:rPr>
          <w:rFonts w:ascii="Arial" w:hAnsi="Arial" w:cs="Arial" w:hint="eastAsia"/>
          <w:sz w:val="24"/>
          <w:szCs w:val="24"/>
          <w:rtl/>
          <w:lang w:bidi="ar-SA"/>
        </w:rPr>
        <w:t>،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رابط</w:t>
      </w:r>
      <w:r>
        <w:rPr>
          <w:rFonts w:ascii="Arial" w:hAnsi="Arial" w:cs="Arial"/>
          <w:sz w:val="24"/>
          <w:szCs w:val="24"/>
          <w:rtl/>
        </w:rPr>
        <w:t xml:space="preserve"> </w:t>
      </w:r>
      <w:hyperlink r:id="rId18" w:history="1"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لمعطيات</w:t>
        </w:r>
        <w:r w:rsidRPr="00BD5D28">
          <w:rPr>
            <w:rStyle w:val="Hyperlink"/>
            <w:rFonts w:ascii="Arial" w:hAnsi="Arial" w:cs="Arial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eastAsia"/>
            <w:sz w:val="24"/>
            <w:szCs w:val="24"/>
            <w:rtl/>
            <w:lang w:bidi="ar-SA"/>
          </w:rPr>
          <w:t>الره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و</w:t>
        </w:r>
        <w:r w:rsidRPr="00BD5D28">
          <w:rPr>
            <w:rStyle w:val="Hyperlink"/>
            <w:rFonts w:ascii="Arial" w:hAnsi="Arial" w:cs="Arial" w:hint="eastAsia"/>
            <w:sz w:val="24"/>
            <w:szCs w:val="24"/>
            <w:rtl/>
            <w:lang w:bidi="ar-SA"/>
          </w:rPr>
          <w:t>ن</w:t>
        </w:r>
        <w:r w:rsidRPr="00BD5D28">
          <w:rPr>
            <w:rStyle w:val="Hyperlink"/>
            <w:rFonts w:ascii="Arial" w:hAnsi="Arial" w:cs="Arial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eastAsia"/>
            <w:sz w:val="24"/>
            <w:szCs w:val="24"/>
            <w:rtl/>
            <w:lang w:bidi="ar-SA"/>
          </w:rPr>
          <w:t>العقاري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ة</w:t>
        </w:r>
      </w:hyperlink>
      <w:r>
        <w:rPr>
          <w:rFonts w:ascii="Arial" w:hAnsi="Arial" w:cs="Arial" w:hint="eastAsia"/>
          <w:sz w:val="24"/>
          <w:szCs w:val="24"/>
          <w:rtl/>
          <w:lang w:bidi="ar-SA"/>
        </w:rPr>
        <w:t>،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رابط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eastAsia"/>
          <w:sz w:val="24"/>
          <w:szCs w:val="24"/>
          <w:rtl/>
          <w:lang w:bidi="ar-SA"/>
        </w:rPr>
        <w:t>لبيانات</w:t>
      </w:r>
      <w:r>
        <w:rPr>
          <w:rFonts w:ascii="Arial" w:hAnsi="Arial" w:cs="Arial"/>
          <w:sz w:val="24"/>
          <w:szCs w:val="24"/>
          <w:rtl/>
        </w:rPr>
        <w:t xml:space="preserve"> </w:t>
      </w:r>
      <w:hyperlink r:id="rId19" w:history="1"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الأسعار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في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</w:rPr>
          <w:t xml:space="preserve"> </w:t>
        </w:r>
        <w:r w:rsidRPr="00BD5D28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البنوك</w:t>
        </w:r>
      </w:hyperlink>
      <w:r>
        <w:rPr>
          <w:rFonts w:ascii="Arial" w:hAnsi="Arial" w:cs="Arial"/>
          <w:sz w:val="24"/>
          <w:szCs w:val="24"/>
          <w:rtl/>
        </w:rPr>
        <w:t>.</w:t>
      </w:r>
    </w:p>
    <w:p w14:paraId="55233D26" w14:textId="77777777" w:rsidR="000A541F" w:rsidRPr="003255AC" w:rsidRDefault="000A541F" w:rsidP="000A541F">
      <w:pPr>
        <w:pStyle w:val="ListParagraph"/>
        <w:bidi/>
        <w:spacing w:before="480" w:line="360" w:lineRule="auto"/>
        <w:ind w:left="0"/>
        <w:rPr>
          <w:rFonts w:asciiTheme="minorBidi" w:hAnsiTheme="minorBidi" w:cstheme="minorBidi"/>
          <w:sz w:val="24"/>
          <w:szCs w:val="24"/>
          <w:rtl/>
        </w:rPr>
      </w:pPr>
    </w:p>
    <w:sectPr w:rsidR="000A541F" w:rsidRPr="003255AC" w:rsidSect="00E46B07">
      <w:footerReference w:type="default" r:id="rId20"/>
      <w:pgSz w:w="11906" w:h="16838"/>
      <w:pgMar w:top="1418" w:right="1797" w:bottom="907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C4F1" w14:textId="77777777" w:rsidR="008B3E70" w:rsidRDefault="008B3E70" w:rsidP="00C04A6B">
      <w:r>
        <w:separator/>
      </w:r>
    </w:p>
  </w:endnote>
  <w:endnote w:type="continuationSeparator" w:id="0">
    <w:p w14:paraId="5EA30A7C" w14:textId="77777777" w:rsidR="008B3E70" w:rsidRDefault="008B3E7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C653" w14:textId="77777777" w:rsidR="00E46B07" w:rsidRDefault="00E46B07" w:rsidP="00214C8F">
    <w:pPr>
      <w:pStyle w:val="Footer"/>
      <w:jc w:val="both"/>
      <w:rPr>
        <w:rtl/>
      </w:rPr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DF9832" wp14:editId="49DE7F82">
              <wp:simplePos x="0" y="0"/>
              <wp:positionH relativeFrom="column">
                <wp:posOffset>-186690</wp:posOffset>
              </wp:positionH>
              <wp:positionV relativeFrom="paragraph">
                <wp:posOffset>-175260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1582AA" id="מחבר ישר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-13.8pt" to="475.7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" strokecolor="black [3040]"/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E8882" wp14:editId="4957E97F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B2AC40" w14:textId="77777777" w:rsidR="00E46B07" w:rsidRPr="00B677DC" w:rsidRDefault="00E46B07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CE8882" id="_x0000_t202" coordsize="21600,21600" o:spt="202" path="m,l,21600r21600,l21600,xe">
              <v:stroke joinstyle="miter"/>
              <v:path gradientshapeok="t" o:connecttype="rect"/>
            </v:shapetype>
            <v:shape id="תיבת טקסט 7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FcFAIAACw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" filled="f" stroked="f" strokeweight=".5pt">
              <v:textbox>
                <w:txbxContent>
                  <w:p w14:paraId="40B2AC40" w14:textId="77777777" w:rsidR="00E46B07" w:rsidRPr="00B677DC" w:rsidRDefault="00E46B07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  <w:lang w:eastAsia="en-US" w:bidi="ar-SA"/>
      </w:rPr>
      <w:drawing>
        <wp:anchor distT="0" distB="0" distL="114300" distR="114300" simplePos="0" relativeHeight="251664384" behindDoc="0" locked="0" layoutInCell="1" allowOverlap="1" wp14:anchorId="4CA59A28" wp14:editId="0817D563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16" name="תמונה 1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1FD2D" wp14:editId="6B3A6264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8" name="תיבת טקסט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8633C" w14:textId="77777777" w:rsidR="00E46B07" w:rsidRPr="00B677DC" w:rsidRDefault="00E46B07" w:rsidP="00F20046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61FD2D" id="תיבת טקסט 8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vzFw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" filled="f" stroked="f" strokeweight=".5pt">
              <v:textbox>
                <w:txbxContent>
                  <w:p w14:paraId="4FB8633C" w14:textId="77777777" w:rsidR="00E46B07" w:rsidRPr="00B677DC" w:rsidRDefault="00E46B07" w:rsidP="00F20046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ar-SA"/>
      </w:rPr>
      <w:drawing>
        <wp:anchor distT="0" distB="0" distL="114300" distR="114300" simplePos="0" relativeHeight="251661312" behindDoc="0" locked="0" layoutInCell="1" allowOverlap="1" wp14:anchorId="39DD7543" wp14:editId="7FE86A92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4D5E13" wp14:editId="3D1EBC45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FCB51" w14:textId="77777777" w:rsidR="00E46B07" w:rsidRPr="00B677DC" w:rsidRDefault="00E46B07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D5E13" id="תיבת טקסט 9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" filled="f" stroked="f" strokeweight=".5pt">
              <v:textbox>
                <w:txbxContent>
                  <w:p w14:paraId="46AFCB51" w14:textId="77777777" w:rsidR="00E46B07" w:rsidRPr="00B677DC" w:rsidRDefault="00E46B07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eastAsia="en-US" w:bidi="ar-SA"/>
      </w:rPr>
      <w:drawing>
        <wp:anchor distT="0" distB="0" distL="114300" distR="114300" simplePos="0" relativeHeight="251665408" behindDoc="0" locked="0" layoutInCell="1" allowOverlap="1" wp14:anchorId="5F2973D6" wp14:editId="544DD19A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EDA42" wp14:editId="5FB80398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10" name="תיבת טקסט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D7CBC9" w14:textId="77777777" w:rsidR="00E46B07" w:rsidRPr="00F20046" w:rsidRDefault="00E46B07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EDA42" id="תיבת טקסט 10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" filled="f" stroked="f" strokeweight=".5pt">
              <v:textbox>
                <w:txbxContent>
                  <w:p w14:paraId="66D7CBC9" w14:textId="77777777" w:rsidR="00E46B07" w:rsidRPr="00F20046" w:rsidRDefault="00E46B07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eastAsia="en-US" w:bidi="ar-SA"/>
      </w:rPr>
      <w:drawing>
        <wp:anchor distT="0" distB="0" distL="114300" distR="114300" simplePos="0" relativeHeight="251666432" behindDoc="0" locked="0" layoutInCell="1" allowOverlap="1" wp14:anchorId="316ED475" wp14:editId="03D9581C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62734" w14:textId="77777777" w:rsidR="00E46B07" w:rsidRDefault="00E46B07" w:rsidP="00214C8F">
    <w:pPr>
      <w:pStyle w:val="Footer"/>
      <w:jc w:val="right"/>
    </w:pPr>
  </w:p>
  <w:p w14:paraId="3CFAF9EA" w14:textId="77777777" w:rsidR="002438E2" w:rsidRPr="00C84639" w:rsidRDefault="002438E2" w:rsidP="00A92E0A">
    <w:pPr>
      <w:pStyle w:val="Footer"/>
      <w:tabs>
        <w:tab w:val="clear" w:pos="8306"/>
        <w:tab w:val="right" w:pos="8873"/>
      </w:tabs>
      <w:bidi/>
      <w:ind w:left="-625"/>
      <w:jc w:val="right"/>
      <w:rPr>
        <w:rFonts w:ascii="David" w:hAnsi="David" w:cs="David"/>
        <w:sz w:val="24"/>
        <w:szCs w:val="24"/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753B" w14:textId="77777777" w:rsidR="008B3E70" w:rsidRDefault="008B3E70" w:rsidP="00C04A6B">
      <w:r>
        <w:separator/>
      </w:r>
    </w:p>
  </w:footnote>
  <w:footnote w:type="continuationSeparator" w:id="0">
    <w:p w14:paraId="4E6ABA65" w14:textId="77777777" w:rsidR="008B3E70" w:rsidRDefault="008B3E70" w:rsidP="00C04A6B">
      <w:r>
        <w:continuationSeparator/>
      </w:r>
    </w:p>
  </w:footnote>
  <w:footnote w:id="1">
    <w:p w14:paraId="4415E836" w14:textId="6DD4C0B3" w:rsidR="00A92E0A" w:rsidRPr="007E069A" w:rsidRDefault="00A92E0A" w:rsidP="00A92E0A">
      <w:pPr>
        <w:pStyle w:val="FootnoteText"/>
        <w:bidi/>
        <w:rPr>
          <w:sz w:val="18"/>
          <w:szCs w:val="18"/>
        </w:rPr>
      </w:pPr>
      <w:r w:rsidRPr="007E069A">
        <w:rPr>
          <w:rStyle w:val="FootnoteReference"/>
          <w:sz w:val="18"/>
          <w:szCs w:val="18"/>
        </w:rPr>
        <w:footnoteRef/>
      </w:r>
      <w:r w:rsidRPr="007E069A">
        <w:rPr>
          <w:sz w:val="18"/>
          <w:szCs w:val="18"/>
        </w:rPr>
        <w:t xml:space="preserve"> </w:t>
      </w:r>
      <w:r w:rsidR="000D7FE1" w:rsidRPr="007E069A">
        <w:rPr>
          <w:rFonts w:ascii="David" w:hAnsi="David" w:cs="Times New Roman" w:hint="cs"/>
          <w:sz w:val="18"/>
          <w:szCs w:val="18"/>
          <w:rtl/>
          <w:lang w:bidi="ar-SA"/>
        </w:rPr>
        <w:t xml:space="preserve">تعتمد </w:t>
      </w:r>
      <w:r w:rsidR="000D7FE1" w:rsidRPr="007E069A">
        <w:rPr>
          <w:rFonts w:ascii="David" w:hAnsi="David" w:cs="Times New Roman"/>
          <w:sz w:val="18"/>
          <w:szCs w:val="18"/>
          <w:rtl/>
          <w:lang w:bidi="ar-SA"/>
        </w:rPr>
        <w:t>البيانات الخاصة بالديون للبنوك على بيانات الميزانية الشهرية وليس على بيانات التقرير المالي السنوي، حيث أنه حتى تاريخ كتابة هذا الإعلان لم يتم نشر بيانات التق</w:t>
      </w:r>
      <w:r w:rsidR="000D7FE1" w:rsidRPr="007E069A">
        <w:rPr>
          <w:rFonts w:ascii="David" w:hAnsi="David" w:cs="Times New Roman" w:hint="cs"/>
          <w:sz w:val="18"/>
          <w:szCs w:val="18"/>
          <w:rtl/>
          <w:lang w:bidi="ar-SA"/>
        </w:rPr>
        <w:t>ا</w:t>
      </w:r>
      <w:r w:rsidR="000D7FE1" w:rsidRPr="007E069A">
        <w:rPr>
          <w:rFonts w:ascii="David" w:hAnsi="David" w:cs="Times New Roman"/>
          <w:sz w:val="18"/>
          <w:szCs w:val="18"/>
          <w:rtl/>
          <w:lang w:bidi="ar-SA"/>
        </w:rPr>
        <w:t>رير لعام 2023 للجمهور بعد</w:t>
      </w:r>
      <w:r w:rsidRPr="007E069A">
        <w:rPr>
          <w:rFonts w:ascii="David" w:hAnsi="David" w:cs="David" w:hint="cs"/>
          <w:sz w:val="18"/>
          <w:szCs w:val="18"/>
          <w:rtl/>
        </w:rPr>
        <w:t xml:space="preserve">   </w:t>
      </w:r>
    </w:p>
  </w:footnote>
  <w:footnote w:id="2">
    <w:p w14:paraId="177A48BF" w14:textId="7EFBC2A1" w:rsidR="00474B96" w:rsidRPr="00C84639" w:rsidRDefault="00474B96" w:rsidP="00474B96">
      <w:pPr>
        <w:pStyle w:val="FootnoteText"/>
        <w:bidi/>
        <w:rPr>
          <w:rFonts w:ascii="David" w:hAnsi="David" w:cs="David"/>
          <w:sz w:val="22"/>
          <w:szCs w:val="22"/>
          <w:rtl/>
        </w:rPr>
      </w:pPr>
      <w:r w:rsidRPr="007E069A">
        <w:rPr>
          <w:rStyle w:val="FootnoteReference"/>
          <w:rFonts w:ascii="David" w:hAnsi="David" w:cs="David"/>
          <w:sz w:val="18"/>
          <w:szCs w:val="18"/>
        </w:rPr>
        <w:footnoteRef/>
      </w:r>
      <w:r w:rsidRPr="007E069A">
        <w:rPr>
          <w:rFonts w:ascii="David" w:hAnsi="David" w:cs="David"/>
          <w:sz w:val="18"/>
          <w:szCs w:val="18"/>
        </w:rPr>
        <w:t xml:space="preserve"> </w:t>
      </w:r>
      <w:r w:rsidR="000D7FE1" w:rsidRPr="007E069A">
        <w:rPr>
          <w:rFonts w:ascii="David" w:hAnsi="David" w:cs="Times New Roman"/>
          <w:sz w:val="18"/>
          <w:szCs w:val="18"/>
          <w:rtl/>
          <w:lang w:bidi="ar-SA"/>
        </w:rPr>
        <w:t>الشركات التجارية الإسرائيلية، باستثناء البنوك وشركات بطاقات الائتمان وشركات التأمين.</w:t>
      </w:r>
    </w:p>
  </w:footnote>
  <w:footnote w:id="3">
    <w:p w14:paraId="494574CB" w14:textId="469C59E8" w:rsidR="00884ED4" w:rsidRPr="007E069A" w:rsidRDefault="00884ED4" w:rsidP="00886C7A">
      <w:pPr>
        <w:pStyle w:val="FootnoteText"/>
        <w:bidi/>
        <w:rPr>
          <w:rFonts w:ascii="David" w:hAnsi="David" w:cs="David"/>
          <w:sz w:val="18"/>
          <w:szCs w:val="18"/>
          <w:rtl/>
        </w:rPr>
      </w:pPr>
      <w:r w:rsidRPr="007E069A">
        <w:rPr>
          <w:rStyle w:val="FootnoteReference"/>
          <w:rFonts w:ascii="David" w:hAnsi="David" w:cs="David"/>
          <w:sz w:val="18"/>
          <w:szCs w:val="18"/>
        </w:rPr>
        <w:footnoteRef/>
      </w:r>
      <w:r w:rsidRPr="007E069A">
        <w:rPr>
          <w:rFonts w:ascii="David" w:hAnsi="David" w:cs="David"/>
          <w:sz w:val="18"/>
          <w:szCs w:val="18"/>
        </w:rPr>
        <w:t xml:space="preserve"> </w:t>
      </w:r>
      <w:r w:rsidR="00E12B2E">
        <w:rPr>
          <w:rFonts w:ascii="David" w:hAnsi="David" w:cstheme="minorBidi" w:hint="cs"/>
          <w:sz w:val="18"/>
          <w:szCs w:val="18"/>
          <w:rtl/>
          <w:lang w:bidi="ar-SA"/>
        </w:rPr>
        <w:t xml:space="preserve"> </w:t>
      </w:r>
      <w:r w:rsidR="002C1FF6" w:rsidRPr="007E069A">
        <w:rPr>
          <w:rFonts w:ascii="David" w:hAnsi="David" w:cs="Times New Roman"/>
          <w:sz w:val="18"/>
          <w:szCs w:val="18"/>
          <w:rtl/>
          <w:lang w:bidi="ar-SA"/>
        </w:rPr>
        <w:t xml:space="preserve">يتم حساب التغير في الهامش من ربع إلى ربع على أنه الفرق بين متوسط ​​الهامش في الشهر الأخير من الربع الذي شمله </w:t>
      </w:r>
      <w:r w:rsidR="002C1FF6" w:rsidRPr="007E069A">
        <w:rPr>
          <w:rFonts w:ascii="David" w:hAnsi="David" w:cs="Times New Roman" w:hint="cs"/>
          <w:sz w:val="18"/>
          <w:szCs w:val="18"/>
          <w:rtl/>
          <w:lang w:bidi="ar-SA"/>
        </w:rPr>
        <w:t>المسح</w:t>
      </w:r>
      <w:r w:rsidR="002C1FF6" w:rsidRPr="007E069A">
        <w:rPr>
          <w:rFonts w:ascii="David" w:hAnsi="David" w:cs="Times New Roman"/>
          <w:sz w:val="18"/>
          <w:szCs w:val="18"/>
          <w:rtl/>
          <w:lang w:bidi="ar-SA"/>
        </w:rPr>
        <w:t xml:space="preserve"> ومتوسط ​​الهامش في الشهر الأخير من الربع السابق.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11A"/>
    <w:multiLevelType w:val="hybridMultilevel"/>
    <w:tmpl w:val="F7C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1B6E9BD2"/>
    <w:lvl w:ilvl="0" w:tplc="A5E6F03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59058">
    <w:abstractNumId w:val="3"/>
  </w:num>
  <w:num w:numId="2" w16cid:durableId="1129783000">
    <w:abstractNumId w:val="5"/>
  </w:num>
  <w:num w:numId="3" w16cid:durableId="1296175901">
    <w:abstractNumId w:val="16"/>
  </w:num>
  <w:num w:numId="4" w16cid:durableId="1850217334">
    <w:abstractNumId w:val="6"/>
  </w:num>
  <w:num w:numId="5" w16cid:durableId="805246969">
    <w:abstractNumId w:val="7"/>
  </w:num>
  <w:num w:numId="6" w16cid:durableId="199828761">
    <w:abstractNumId w:val="13"/>
  </w:num>
  <w:num w:numId="7" w16cid:durableId="1874885333">
    <w:abstractNumId w:val="4"/>
  </w:num>
  <w:num w:numId="8" w16cid:durableId="26149703">
    <w:abstractNumId w:val="9"/>
  </w:num>
  <w:num w:numId="9" w16cid:durableId="1185286389">
    <w:abstractNumId w:val="0"/>
  </w:num>
  <w:num w:numId="10" w16cid:durableId="1594435396">
    <w:abstractNumId w:val="11"/>
  </w:num>
  <w:num w:numId="11" w16cid:durableId="1058020582">
    <w:abstractNumId w:val="1"/>
  </w:num>
  <w:num w:numId="12" w16cid:durableId="664626069">
    <w:abstractNumId w:val="8"/>
  </w:num>
  <w:num w:numId="13" w16cid:durableId="537276721">
    <w:abstractNumId w:val="2"/>
  </w:num>
  <w:num w:numId="14" w16cid:durableId="1754473867">
    <w:abstractNumId w:val="17"/>
  </w:num>
  <w:num w:numId="15" w16cid:durableId="972055354">
    <w:abstractNumId w:val="14"/>
  </w:num>
  <w:num w:numId="16" w16cid:durableId="912742477">
    <w:abstractNumId w:val="9"/>
  </w:num>
  <w:num w:numId="17" w16cid:durableId="1328053359">
    <w:abstractNumId w:val="12"/>
  </w:num>
  <w:num w:numId="18" w16cid:durableId="2131438079">
    <w:abstractNumId w:val="15"/>
  </w:num>
  <w:num w:numId="19" w16cid:durableId="94138221">
    <w:abstractNumId w:val="9"/>
  </w:num>
  <w:num w:numId="20" w16cid:durableId="55747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23"/>
    <w:rsid w:val="00000033"/>
    <w:rsid w:val="00001B6B"/>
    <w:rsid w:val="0000479D"/>
    <w:rsid w:val="00005682"/>
    <w:rsid w:val="00005C41"/>
    <w:rsid w:val="00006F5F"/>
    <w:rsid w:val="00007BB3"/>
    <w:rsid w:val="00011D14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5DCF"/>
    <w:rsid w:val="000265B2"/>
    <w:rsid w:val="00026A8C"/>
    <w:rsid w:val="00027743"/>
    <w:rsid w:val="0003169C"/>
    <w:rsid w:val="00031B67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2923"/>
    <w:rsid w:val="0005330D"/>
    <w:rsid w:val="000533F4"/>
    <w:rsid w:val="00053684"/>
    <w:rsid w:val="0005562A"/>
    <w:rsid w:val="00060B8A"/>
    <w:rsid w:val="00060D8E"/>
    <w:rsid w:val="00061B2A"/>
    <w:rsid w:val="00061F4B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3913"/>
    <w:rsid w:val="00083DA6"/>
    <w:rsid w:val="00084689"/>
    <w:rsid w:val="00084BA4"/>
    <w:rsid w:val="00085BE0"/>
    <w:rsid w:val="000868CC"/>
    <w:rsid w:val="000874C1"/>
    <w:rsid w:val="000911D7"/>
    <w:rsid w:val="000915A6"/>
    <w:rsid w:val="0009315D"/>
    <w:rsid w:val="00097E8B"/>
    <w:rsid w:val="000A0E51"/>
    <w:rsid w:val="000A4B97"/>
    <w:rsid w:val="000A4C37"/>
    <w:rsid w:val="000A541F"/>
    <w:rsid w:val="000A588A"/>
    <w:rsid w:val="000B083E"/>
    <w:rsid w:val="000B190F"/>
    <w:rsid w:val="000B2F20"/>
    <w:rsid w:val="000B43AC"/>
    <w:rsid w:val="000B6B82"/>
    <w:rsid w:val="000B7AE3"/>
    <w:rsid w:val="000B7D5E"/>
    <w:rsid w:val="000C02AD"/>
    <w:rsid w:val="000C1DB1"/>
    <w:rsid w:val="000C22E5"/>
    <w:rsid w:val="000C3065"/>
    <w:rsid w:val="000C62F4"/>
    <w:rsid w:val="000D04D7"/>
    <w:rsid w:val="000D2923"/>
    <w:rsid w:val="000D62CC"/>
    <w:rsid w:val="000D756E"/>
    <w:rsid w:val="000D7FE1"/>
    <w:rsid w:val="000E2E0B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0FBE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65EA"/>
    <w:rsid w:val="0011712D"/>
    <w:rsid w:val="001178ED"/>
    <w:rsid w:val="00117C7B"/>
    <w:rsid w:val="00120538"/>
    <w:rsid w:val="00121197"/>
    <w:rsid w:val="0012175B"/>
    <w:rsid w:val="00121FF7"/>
    <w:rsid w:val="00125E7E"/>
    <w:rsid w:val="00127335"/>
    <w:rsid w:val="00127A67"/>
    <w:rsid w:val="00127CE7"/>
    <w:rsid w:val="00130EF4"/>
    <w:rsid w:val="0013147B"/>
    <w:rsid w:val="001316A1"/>
    <w:rsid w:val="001329B0"/>
    <w:rsid w:val="00132A42"/>
    <w:rsid w:val="00137006"/>
    <w:rsid w:val="001371A8"/>
    <w:rsid w:val="0013752D"/>
    <w:rsid w:val="001400D2"/>
    <w:rsid w:val="001428C6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364B"/>
    <w:rsid w:val="001D3779"/>
    <w:rsid w:val="001D4219"/>
    <w:rsid w:val="001D5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E7FA8"/>
    <w:rsid w:val="001F0454"/>
    <w:rsid w:val="001F0A9C"/>
    <w:rsid w:val="001F1E1B"/>
    <w:rsid w:val="001F337A"/>
    <w:rsid w:val="001F436F"/>
    <w:rsid w:val="001F4B92"/>
    <w:rsid w:val="001F50C9"/>
    <w:rsid w:val="001F529C"/>
    <w:rsid w:val="00201C46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4CD6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7C01"/>
    <w:rsid w:val="002B0D33"/>
    <w:rsid w:val="002B0F7F"/>
    <w:rsid w:val="002B39A4"/>
    <w:rsid w:val="002B3FB0"/>
    <w:rsid w:val="002B447B"/>
    <w:rsid w:val="002B4634"/>
    <w:rsid w:val="002B51C5"/>
    <w:rsid w:val="002B74E5"/>
    <w:rsid w:val="002C1FF6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3C1F"/>
    <w:rsid w:val="002D5D55"/>
    <w:rsid w:val="002D690B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0F40"/>
    <w:rsid w:val="003018A7"/>
    <w:rsid w:val="003030A9"/>
    <w:rsid w:val="00303DA6"/>
    <w:rsid w:val="003054F9"/>
    <w:rsid w:val="003055E7"/>
    <w:rsid w:val="00306DA1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255AC"/>
    <w:rsid w:val="0033214F"/>
    <w:rsid w:val="0033261D"/>
    <w:rsid w:val="00333F8E"/>
    <w:rsid w:val="0033491E"/>
    <w:rsid w:val="00335B61"/>
    <w:rsid w:val="00340B38"/>
    <w:rsid w:val="0034285A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0E38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85D3E"/>
    <w:rsid w:val="003901E0"/>
    <w:rsid w:val="00390EEB"/>
    <w:rsid w:val="00391D6C"/>
    <w:rsid w:val="003928D7"/>
    <w:rsid w:val="003938AB"/>
    <w:rsid w:val="00393DF4"/>
    <w:rsid w:val="00393F9C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7A1D"/>
    <w:rsid w:val="003C51A6"/>
    <w:rsid w:val="003C751F"/>
    <w:rsid w:val="003D04A2"/>
    <w:rsid w:val="003D06D2"/>
    <w:rsid w:val="003D075F"/>
    <w:rsid w:val="003D54D0"/>
    <w:rsid w:val="003E05CD"/>
    <w:rsid w:val="003E0B37"/>
    <w:rsid w:val="003E0E1D"/>
    <w:rsid w:val="003E0F88"/>
    <w:rsid w:val="003E2965"/>
    <w:rsid w:val="003E3AEF"/>
    <w:rsid w:val="003E3E81"/>
    <w:rsid w:val="003E4002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618"/>
    <w:rsid w:val="00406F28"/>
    <w:rsid w:val="00410DE0"/>
    <w:rsid w:val="0041358A"/>
    <w:rsid w:val="004146D6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0BC4"/>
    <w:rsid w:val="00443C50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4208"/>
    <w:rsid w:val="00485E7B"/>
    <w:rsid w:val="00485FEA"/>
    <w:rsid w:val="00492D70"/>
    <w:rsid w:val="00493882"/>
    <w:rsid w:val="00496B1A"/>
    <w:rsid w:val="00497BD0"/>
    <w:rsid w:val="004A4D65"/>
    <w:rsid w:val="004A4D9B"/>
    <w:rsid w:val="004A56B9"/>
    <w:rsid w:val="004A5B22"/>
    <w:rsid w:val="004A6D8C"/>
    <w:rsid w:val="004B051B"/>
    <w:rsid w:val="004B0707"/>
    <w:rsid w:val="004B22E7"/>
    <w:rsid w:val="004B3ECC"/>
    <w:rsid w:val="004B4238"/>
    <w:rsid w:val="004B58B8"/>
    <w:rsid w:val="004B5D8D"/>
    <w:rsid w:val="004B6112"/>
    <w:rsid w:val="004B6281"/>
    <w:rsid w:val="004B6405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E5ED7"/>
    <w:rsid w:val="004E6C07"/>
    <w:rsid w:val="004F06E0"/>
    <w:rsid w:val="004F11E4"/>
    <w:rsid w:val="004F16EA"/>
    <w:rsid w:val="004F185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23"/>
    <w:rsid w:val="00503CF8"/>
    <w:rsid w:val="005042A9"/>
    <w:rsid w:val="0050443A"/>
    <w:rsid w:val="005059C7"/>
    <w:rsid w:val="00507193"/>
    <w:rsid w:val="00507235"/>
    <w:rsid w:val="00510ABA"/>
    <w:rsid w:val="00512F84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713"/>
    <w:rsid w:val="005328F1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184B"/>
    <w:rsid w:val="00584275"/>
    <w:rsid w:val="0058468A"/>
    <w:rsid w:val="00585612"/>
    <w:rsid w:val="005861E2"/>
    <w:rsid w:val="00586F2A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6B64"/>
    <w:rsid w:val="005D7985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3FBB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1F9"/>
    <w:rsid w:val="00652294"/>
    <w:rsid w:val="006545EB"/>
    <w:rsid w:val="00656E22"/>
    <w:rsid w:val="0065738D"/>
    <w:rsid w:val="00663A42"/>
    <w:rsid w:val="00664600"/>
    <w:rsid w:val="00664A0B"/>
    <w:rsid w:val="00665A1C"/>
    <w:rsid w:val="0066628A"/>
    <w:rsid w:val="0066738B"/>
    <w:rsid w:val="006677B2"/>
    <w:rsid w:val="00670D97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27D2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5ACA"/>
    <w:rsid w:val="006C76C4"/>
    <w:rsid w:val="006C7F16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6726"/>
    <w:rsid w:val="006E7116"/>
    <w:rsid w:val="006E7BF6"/>
    <w:rsid w:val="006F0620"/>
    <w:rsid w:val="006F3512"/>
    <w:rsid w:val="006F51DB"/>
    <w:rsid w:val="006F5E34"/>
    <w:rsid w:val="0070161A"/>
    <w:rsid w:val="007037CB"/>
    <w:rsid w:val="00704013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1AF4"/>
    <w:rsid w:val="007743BA"/>
    <w:rsid w:val="0077544B"/>
    <w:rsid w:val="0077670A"/>
    <w:rsid w:val="00777113"/>
    <w:rsid w:val="0077779F"/>
    <w:rsid w:val="00781240"/>
    <w:rsid w:val="00782BBF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4728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C7975"/>
    <w:rsid w:val="007D0D18"/>
    <w:rsid w:val="007D0EF4"/>
    <w:rsid w:val="007D218D"/>
    <w:rsid w:val="007D32BF"/>
    <w:rsid w:val="007D4AC3"/>
    <w:rsid w:val="007D7D86"/>
    <w:rsid w:val="007E00A1"/>
    <w:rsid w:val="007E069A"/>
    <w:rsid w:val="007E0E80"/>
    <w:rsid w:val="007E13A9"/>
    <w:rsid w:val="007E14D9"/>
    <w:rsid w:val="007E18EE"/>
    <w:rsid w:val="007E3786"/>
    <w:rsid w:val="007E3BC5"/>
    <w:rsid w:val="007E5070"/>
    <w:rsid w:val="007E5530"/>
    <w:rsid w:val="007E72DA"/>
    <w:rsid w:val="007E7A16"/>
    <w:rsid w:val="007F12DE"/>
    <w:rsid w:val="007F1C5D"/>
    <w:rsid w:val="007F1D05"/>
    <w:rsid w:val="007F21C2"/>
    <w:rsid w:val="007F2CEB"/>
    <w:rsid w:val="007F3842"/>
    <w:rsid w:val="007F4782"/>
    <w:rsid w:val="007F5009"/>
    <w:rsid w:val="007F5A16"/>
    <w:rsid w:val="007F6557"/>
    <w:rsid w:val="007F7A89"/>
    <w:rsid w:val="00800A7C"/>
    <w:rsid w:val="00802DD5"/>
    <w:rsid w:val="00802DF3"/>
    <w:rsid w:val="00804AEF"/>
    <w:rsid w:val="008065E2"/>
    <w:rsid w:val="00806850"/>
    <w:rsid w:val="00806A3F"/>
    <w:rsid w:val="00807054"/>
    <w:rsid w:val="00807B89"/>
    <w:rsid w:val="00807D1A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3CDA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3E70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0"/>
    <w:rsid w:val="008D204A"/>
    <w:rsid w:val="008D2477"/>
    <w:rsid w:val="008D2EA6"/>
    <w:rsid w:val="008D5AD7"/>
    <w:rsid w:val="008D68DB"/>
    <w:rsid w:val="008E02A8"/>
    <w:rsid w:val="008E0911"/>
    <w:rsid w:val="008E2AE6"/>
    <w:rsid w:val="008E43B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06D59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34D15"/>
    <w:rsid w:val="009377C5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75CC"/>
    <w:rsid w:val="00961EFC"/>
    <w:rsid w:val="00962CB1"/>
    <w:rsid w:val="009653F5"/>
    <w:rsid w:val="00966322"/>
    <w:rsid w:val="00967A2D"/>
    <w:rsid w:val="00967E57"/>
    <w:rsid w:val="00971841"/>
    <w:rsid w:val="0097338C"/>
    <w:rsid w:val="00973B12"/>
    <w:rsid w:val="00975122"/>
    <w:rsid w:val="0097674C"/>
    <w:rsid w:val="00977BED"/>
    <w:rsid w:val="009818C2"/>
    <w:rsid w:val="00981FA3"/>
    <w:rsid w:val="009831C6"/>
    <w:rsid w:val="00983A26"/>
    <w:rsid w:val="00984D63"/>
    <w:rsid w:val="00985045"/>
    <w:rsid w:val="00985640"/>
    <w:rsid w:val="00985B74"/>
    <w:rsid w:val="0099010D"/>
    <w:rsid w:val="00990157"/>
    <w:rsid w:val="009902A4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D50D9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69F5"/>
    <w:rsid w:val="00A17283"/>
    <w:rsid w:val="00A20385"/>
    <w:rsid w:val="00A23183"/>
    <w:rsid w:val="00A24398"/>
    <w:rsid w:val="00A2499F"/>
    <w:rsid w:val="00A24CC8"/>
    <w:rsid w:val="00A24D4A"/>
    <w:rsid w:val="00A2640A"/>
    <w:rsid w:val="00A26840"/>
    <w:rsid w:val="00A27BD1"/>
    <w:rsid w:val="00A30DCC"/>
    <w:rsid w:val="00A315D7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EF9"/>
    <w:rsid w:val="00A508CE"/>
    <w:rsid w:val="00A52883"/>
    <w:rsid w:val="00A54983"/>
    <w:rsid w:val="00A57161"/>
    <w:rsid w:val="00A60F5F"/>
    <w:rsid w:val="00A63525"/>
    <w:rsid w:val="00A65531"/>
    <w:rsid w:val="00A67178"/>
    <w:rsid w:val="00A677BF"/>
    <w:rsid w:val="00A70461"/>
    <w:rsid w:val="00A705F9"/>
    <w:rsid w:val="00A71BDB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8A6"/>
    <w:rsid w:val="00A90800"/>
    <w:rsid w:val="00A92676"/>
    <w:rsid w:val="00A92E0A"/>
    <w:rsid w:val="00A933C6"/>
    <w:rsid w:val="00A94B36"/>
    <w:rsid w:val="00A959BD"/>
    <w:rsid w:val="00A95DD8"/>
    <w:rsid w:val="00A96870"/>
    <w:rsid w:val="00A9693D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05BC"/>
    <w:rsid w:val="00B2368F"/>
    <w:rsid w:val="00B24F7C"/>
    <w:rsid w:val="00B24FBE"/>
    <w:rsid w:val="00B2503D"/>
    <w:rsid w:val="00B25AA5"/>
    <w:rsid w:val="00B266BE"/>
    <w:rsid w:val="00B27269"/>
    <w:rsid w:val="00B2798D"/>
    <w:rsid w:val="00B27A62"/>
    <w:rsid w:val="00B30AC8"/>
    <w:rsid w:val="00B31EFB"/>
    <w:rsid w:val="00B33FA0"/>
    <w:rsid w:val="00B34377"/>
    <w:rsid w:val="00B34583"/>
    <w:rsid w:val="00B3780E"/>
    <w:rsid w:val="00B37F02"/>
    <w:rsid w:val="00B41A01"/>
    <w:rsid w:val="00B42CE6"/>
    <w:rsid w:val="00B44740"/>
    <w:rsid w:val="00B47332"/>
    <w:rsid w:val="00B474E8"/>
    <w:rsid w:val="00B478D2"/>
    <w:rsid w:val="00B511D3"/>
    <w:rsid w:val="00B51372"/>
    <w:rsid w:val="00B52D63"/>
    <w:rsid w:val="00B53B37"/>
    <w:rsid w:val="00B55813"/>
    <w:rsid w:val="00B55FED"/>
    <w:rsid w:val="00B61BB1"/>
    <w:rsid w:val="00B62933"/>
    <w:rsid w:val="00B62D05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1A8"/>
    <w:rsid w:val="00B76814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F60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3582"/>
    <w:rsid w:val="00BB4550"/>
    <w:rsid w:val="00BB4D0D"/>
    <w:rsid w:val="00BB4F5C"/>
    <w:rsid w:val="00BB7F49"/>
    <w:rsid w:val="00BC578A"/>
    <w:rsid w:val="00BC6C56"/>
    <w:rsid w:val="00BD1037"/>
    <w:rsid w:val="00BD2EED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5947"/>
    <w:rsid w:val="00BE6F10"/>
    <w:rsid w:val="00BF054D"/>
    <w:rsid w:val="00BF0E66"/>
    <w:rsid w:val="00BF4C2E"/>
    <w:rsid w:val="00BF7482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003B"/>
    <w:rsid w:val="00C21539"/>
    <w:rsid w:val="00C22C1E"/>
    <w:rsid w:val="00C22E09"/>
    <w:rsid w:val="00C2375C"/>
    <w:rsid w:val="00C259B6"/>
    <w:rsid w:val="00C25C1C"/>
    <w:rsid w:val="00C274AB"/>
    <w:rsid w:val="00C3219B"/>
    <w:rsid w:val="00C323FF"/>
    <w:rsid w:val="00C33959"/>
    <w:rsid w:val="00C3740C"/>
    <w:rsid w:val="00C411E7"/>
    <w:rsid w:val="00C4129A"/>
    <w:rsid w:val="00C41560"/>
    <w:rsid w:val="00C42061"/>
    <w:rsid w:val="00C42A68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407D"/>
    <w:rsid w:val="00C656C3"/>
    <w:rsid w:val="00C7000A"/>
    <w:rsid w:val="00C71943"/>
    <w:rsid w:val="00C725A9"/>
    <w:rsid w:val="00C72743"/>
    <w:rsid w:val="00C73E91"/>
    <w:rsid w:val="00C75098"/>
    <w:rsid w:val="00C76953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50C"/>
    <w:rsid w:val="00CB7587"/>
    <w:rsid w:val="00CB7E9A"/>
    <w:rsid w:val="00CC0283"/>
    <w:rsid w:val="00CC1A24"/>
    <w:rsid w:val="00CC2676"/>
    <w:rsid w:val="00CC2AA3"/>
    <w:rsid w:val="00CC2B6E"/>
    <w:rsid w:val="00CC364C"/>
    <w:rsid w:val="00CC698B"/>
    <w:rsid w:val="00CC6D6D"/>
    <w:rsid w:val="00CD06A0"/>
    <w:rsid w:val="00CD1B35"/>
    <w:rsid w:val="00CD3AEE"/>
    <w:rsid w:val="00CD4BDD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3FC6"/>
    <w:rsid w:val="00D144E3"/>
    <w:rsid w:val="00D168B0"/>
    <w:rsid w:val="00D16F1D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6F72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13AB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DC1"/>
    <w:rsid w:val="00D90190"/>
    <w:rsid w:val="00D93C83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431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10836"/>
    <w:rsid w:val="00E108C6"/>
    <w:rsid w:val="00E11343"/>
    <w:rsid w:val="00E115E5"/>
    <w:rsid w:val="00E116A3"/>
    <w:rsid w:val="00E12333"/>
    <w:rsid w:val="00E12B2E"/>
    <w:rsid w:val="00E13412"/>
    <w:rsid w:val="00E149DD"/>
    <w:rsid w:val="00E15796"/>
    <w:rsid w:val="00E16719"/>
    <w:rsid w:val="00E20EC3"/>
    <w:rsid w:val="00E217B8"/>
    <w:rsid w:val="00E21C13"/>
    <w:rsid w:val="00E23336"/>
    <w:rsid w:val="00E3272D"/>
    <w:rsid w:val="00E333BA"/>
    <w:rsid w:val="00E3345A"/>
    <w:rsid w:val="00E335BB"/>
    <w:rsid w:val="00E33B1C"/>
    <w:rsid w:val="00E34121"/>
    <w:rsid w:val="00E34395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B07"/>
    <w:rsid w:val="00E46FD4"/>
    <w:rsid w:val="00E51F1E"/>
    <w:rsid w:val="00E577A9"/>
    <w:rsid w:val="00E6122C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46C1"/>
    <w:rsid w:val="00E750DB"/>
    <w:rsid w:val="00E7554A"/>
    <w:rsid w:val="00E763BE"/>
    <w:rsid w:val="00E76580"/>
    <w:rsid w:val="00E76607"/>
    <w:rsid w:val="00E80E85"/>
    <w:rsid w:val="00E813AF"/>
    <w:rsid w:val="00E81FF6"/>
    <w:rsid w:val="00E85E11"/>
    <w:rsid w:val="00E870DD"/>
    <w:rsid w:val="00E9054A"/>
    <w:rsid w:val="00E91E57"/>
    <w:rsid w:val="00E95335"/>
    <w:rsid w:val="00EA0460"/>
    <w:rsid w:val="00EA0C1C"/>
    <w:rsid w:val="00EA2D3B"/>
    <w:rsid w:val="00EA51C0"/>
    <w:rsid w:val="00EA5FBF"/>
    <w:rsid w:val="00EA6800"/>
    <w:rsid w:val="00EA7329"/>
    <w:rsid w:val="00EB5CD6"/>
    <w:rsid w:val="00EB61B0"/>
    <w:rsid w:val="00EC2F7C"/>
    <w:rsid w:val="00EC3D48"/>
    <w:rsid w:val="00EC5CD7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E6405"/>
    <w:rsid w:val="00EE74CA"/>
    <w:rsid w:val="00EF13BA"/>
    <w:rsid w:val="00EF467E"/>
    <w:rsid w:val="00F0238C"/>
    <w:rsid w:val="00F04E01"/>
    <w:rsid w:val="00F05721"/>
    <w:rsid w:val="00F067EF"/>
    <w:rsid w:val="00F078CA"/>
    <w:rsid w:val="00F116F2"/>
    <w:rsid w:val="00F12DEE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8D4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6734B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4F7D"/>
    <w:rsid w:val="00FA51CE"/>
    <w:rsid w:val="00FA6355"/>
    <w:rsid w:val="00FA6451"/>
    <w:rsid w:val="00FA7EB2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D2AE9"/>
    <w:rsid w:val="00FE034E"/>
    <w:rsid w:val="00FE1F75"/>
    <w:rsid w:val="00FE4F08"/>
    <w:rsid w:val="00FE6B0C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CC6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ListParagraph">
    <w:name w:val="List Paragraph"/>
    <w:basedOn w:val="Normal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semiHidden/>
    <w:unhideWhenUsed/>
    <w:rsid w:val="003179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semiHidden/>
    <w:unhideWhenUsed/>
    <w:rsid w:val="0031794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AE3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13" Type="http://schemas.openxmlformats.org/officeDocument/2006/relationships/image" Target="media/image6.emf" />
  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" TargetMode="External" />
  <Relationship Id="rId3" Type="http://schemas.openxmlformats.org/officeDocument/2006/relationships/styles" Target="styles.xml" />
  <Relationship Id="rId21" Type="http://schemas.openxmlformats.org/officeDocument/2006/relationships/fontTable" Target="fontTable.xml" />
  <Relationship Id="rId7" Type="http://schemas.openxmlformats.org/officeDocument/2006/relationships/endnotes" Target="endnotes.xml" />
  <Relationship Id="rId12" Type="http://schemas.openxmlformats.org/officeDocument/2006/relationships/image" Target="media/image5.emf" />
  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" TargetMode="External" />
  <Relationship Id="rId2" Type="http://schemas.openxmlformats.org/officeDocument/2006/relationships/numbering" Target="numbering.xml" />
  <Relationship Id="rId16" Type="http://schemas.openxmlformats.org/officeDocument/2006/relationships/image" Target="media/image9.emf" />
  <Relationship Id="rId20" Type="http://schemas.openxmlformats.org/officeDocument/2006/relationships/footer" Target="footer1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image" Target="media/image4.emf" />
  <Relationship Id="rId5" Type="http://schemas.openxmlformats.org/officeDocument/2006/relationships/webSettings" Target="webSettings.xml" />
  <Relationship Id="rId15" Type="http://schemas.openxmlformats.org/officeDocument/2006/relationships/image" Target="media/image8.emf" />
  <Relationship Id="rId10" Type="http://schemas.openxmlformats.org/officeDocument/2006/relationships/image" Target="media/image3.emf" />
  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" TargetMode="External" />
  <Relationship Id="rId4" Type="http://schemas.openxmlformats.org/officeDocument/2006/relationships/settings" Target="settings.xml" />
  <Relationship Id="rId9" Type="http://schemas.openxmlformats.org/officeDocument/2006/relationships/image" Target="media/image2.emf" />
  <Relationship Id="rId14" Type="http://schemas.openxmlformats.org/officeDocument/2006/relationships/image" Target="media/image7.emf" />
  <Relationship Id="rId22" Type="http://schemas.openxmlformats.org/officeDocument/2006/relationships/theme" Target="theme/theme1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image" Target="media/image13.png" />
  <Relationship Id="rId3" Type="http://schemas.openxmlformats.org/officeDocument/2006/relationships/image" Target="media/image10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youtube.com/user/thebankofisrael" TargetMode="External" />
  <Relationship Id="rId2" Type="http://schemas.openxmlformats.org/officeDocument/2006/relationships/hyperlink" Target="https://www.boi.org.il/" TargetMode="External" />
  <Relationship Id="rId1" Type="http://schemas.openxmlformats.org/officeDocument/2006/relationships/hyperlink" Target="https://www.boi.org.il/" TargetMode="External" />
  <Relationship Id="rId6" Type="http://schemas.openxmlformats.org/officeDocument/2006/relationships/image" Target="media/image11.png" />
  <Relationship Id="rId11" Type="http://schemas.openxmlformats.org/officeDocument/2006/relationships/hyperlink" Target="https://www.youtube.com/user/thebankofisrael" TargetMode="External" />
  <Relationship Id="rId5" Type="http://schemas.openxmlformats.org/officeDocument/2006/relationships/hyperlink" Target="https://www.facebook.com/bankisraelvc" TargetMode="External" />
  <Relationship Id="rId10" Type="http://schemas.microsoft.com/office/2007/relationships/hdphoto" Target="media/hdphoto1.wdp" />
  <Relationship Id="rId4" Type="http://schemas.openxmlformats.org/officeDocument/2006/relationships/hyperlink" Target="https://www.facebook.com/bankisraelvc" TargetMode="External" />
  <Relationship Id="rId9" Type="http://schemas.openxmlformats.org/officeDocument/2006/relationships/image" Target="media/image12.png" />
  <Relationship Id="rId14" Type="http://schemas.microsoft.com/office/2007/relationships/hdphoto" Target="media/hdphoto2.wdp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FD97-ADF8-430C-88AC-43FF091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2024-03-27T07:50:00Z</dcterms:created>
  <dcterms:modified xsi:type="dcterms:W3CDTF">2024-03-27T07:50:00Z</dcterms:modified>
</cp:coreProperties>
</file>