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37"/>
        <w:bidiVisual/>
        <w:tblW w:w="8946" w:type="dxa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510"/>
      </w:tblGrid>
      <w:tr w:rsidR="007428A9" w:rsidRPr="008A7F44" w14:paraId="7CB46E3C" w14:textId="77777777" w:rsidTr="00CC57F9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A70B2" w14:textId="77777777" w:rsidR="007428A9" w:rsidRPr="008A7F44" w:rsidRDefault="007428A9" w:rsidP="009C06E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A7F44">
              <w:rPr>
                <w:rFonts w:cstheme="minorHAnsi"/>
                <w:b/>
                <w:bCs/>
                <w:sz w:val="24"/>
                <w:szCs w:val="24"/>
                <w:rtl/>
              </w:rPr>
              <w:t>בנק י</w:t>
            </w:r>
            <w:bookmarkStart w:id="0" w:name="_GoBack"/>
            <w:bookmarkEnd w:id="0"/>
            <w:r w:rsidRPr="008A7F44">
              <w:rPr>
                <w:rFonts w:cstheme="minorHAnsi"/>
                <w:b/>
                <w:bCs/>
                <w:sz w:val="24"/>
                <w:szCs w:val="24"/>
                <w:rtl/>
              </w:rPr>
              <w:t>שראל</w:t>
            </w:r>
          </w:p>
          <w:p w14:paraId="5712160F" w14:textId="77777777" w:rsidR="007428A9" w:rsidRPr="008A7F44" w:rsidRDefault="007428A9" w:rsidP="009C06E6">
            <w:pPr>
              <w:spacing w:line="360" w:lineRule="auto"/>
              <w:ind w:right="-101"/>
              <w:rPr>
                <w:rFonts w:cstheme="minorHAnsi"/>
              </w:rPr>
            </w:pPr>
            <w:r w:rsidRPr="008A7F44">
              <w:rPr>
                <w:rFonts w:cstheme="minorHAns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6BE51C88" w14:textId="77777777" w:rsidR="007428A9" w:rsidRPr="008A7F44" w:rsidRDefault="007428A9" w:rsidP="009C06E6">
            <w:pPr>
              <w:spacing w:line="360" w:lineRule="auto"/>
              <w:jc w:val="center"/>
              <w:rPr>
                <w:rFonts w:cstheme="minorHAnsi"/>
              </w:rPr>
            </w:pPr>
            <w:r w:rsidRPr="008A7F44">
              <w:rPr>
                <w:rFonts w:cstheme="minorHAnsi"/>
                <w:noProof/>
              </w:rPr>
              <w:drawing>
                <wp:inline distT="0" distB="0" distL="0" distR="0" wp14:anchorId="6D57C460" wp14:editId="5B1587B7">
                  <wp:extent cx="1120346" cy="1120346"/>
                  <wp:effectExtent l="0" t="0" r="3810" b="3810"/>
                  <wp:docPr id="5" name="תמונה 5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34r\AppData\Local\Microsoft\Windows\Temporary Internet Files\Content.Word\תמונת לוגו חד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105" cy="113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47A80" w14:textId="08958B5D" w:rsidR="007428A9" w:rsidRPr="008A7F44" w:rsidRDefault="007428A9" w:rsidP="00CC57F9">
            <w:pPr>
              <w:spacing w:line="480" w:lineRule="auto"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8A7F44">
              <w:rPr>
                <w:rFonts w:cstheme="minorHAnsi"/>
                <w:sz w:val="24"/>
                <w:szCs w:val="24"/>
                <w:rtl/>
              </w:rPr>
              <w:t xml:space="preserve">‏‏ירושלים, </w:t>
            </w:r>
            <w:r w:rsidR="00CC57F9" w:rsidRPr="008A7F44">
              <w:rPr>
                <w:rFonts w:cstheme="minorHAnsi"/>
                <w:sz w:val="24"/>
                <w:szCs w:val="24"/>
                <w:rtl/>
              </w:rPr>
              <w:t>‏י"ג אלול תשפ"ד</w:t>
            </w:r>
          </w:p>
          <w:p w14:paraId="285C6C53" w14:textId="027CE38D" w:rsidR="007428A9" w:rsidRPr="008A7F44" w:rsidRDefault="00CC57F9" w:rsidP="001B693B">
            <w:pPr>
              <w:spacing w:line="480" w:lineRule="auto"/>
              <w:jc w:val="right"/>
              <w:rPr>
                <w:rFonts w:cstheme="minorHAnsi"/>
                <w:sz w:val="24"/>
                <w:szCs w:val="24"/>
              </w:rPr>
            </w:pPr>
            <w:r w:rsidRPr="008A7F44">
              <w:rPr>
                <w:rFonts w:cstheme="minorHAnsi"/>
                <w:sz w:val="24"/>
                <w:szCs w:val="24"/>
                <w:rtl/>
              </w:rPr>
              <w:t>‏16 ספטמבר 2024</w:t>
            </w:r>
          </w:p>
        </w:tc>
      </w:tr>
    </w:tbl>
    <w:p w14:paraId="30F5FBF1" w14:textId="77777777" w:rsidR="007428A9" w:rsidRPr="008A7F44" w:rsidRDefault="007428A9" w:rsidP="007428A9">
      <w:pPr>
        <w:spacing w:line="360" w:lineRule="auto"/>
        <w:rPr>
          <w:rFonts w:cstheme="minorHAnsi"/>
          <w:sz w:val="24"/>
          <w:szCs w:val="24"/>
          <w:rtl/>
        </w:rPr>
      </w:pPr>
    </w:p>
    <w:p w14:paraId="67CF2809" w14:textId="77777777" w:rsidR="007428A9" w:rsidRPr="008A7F44" w:rsidRDefault="007428A9" w:rsidP="007428A9">
      <w:pPr>
        <w:spacing w:line="360" w:lineRule="auto"/>
        <w:rPr>
          <w:rFonts w:cstheme="minorHAnsi"/>
          <w:sz w:val="24"/>
          <w:szCs w:val="24"/>
          <w:rtl/>
        </w:rPr>
      </w:pPr>
      <w:r w:rsidRPr="008A7F44">
        <w:rPr>
          <w:rFonts w:cstheme="minorHAnsi"/>
          <w:sz w:val="24"/>
          <w:szCs w:val="24"/>
          <w:rtl/>
        </w:rPr>
        <w:t>הודעה לעיתונות:</w:t>
      </w:r>
    </w:p>
    <w:p w14:paraId="113FD928" w14:textId="0E938535" w:rsidR="007428A9" w:rsidRPr="008A7F44" w:rsidRDefault="007428A9" w:rsidP="00907C57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8A7F44">
        <w:rPr>
          <w:rFonts w:cstheme="minorHAnsi"/>
          <w:b/>
          <w:bCs/>
          <w:sz w:val="28"/>
          <w:szCs w:val="28"/>
          <w:rtl/>
        </w:rPr>
        <w:t xml:space="preserve">מחקר חדש: </w:t>
      </w:r>
      <w:r w:rsidR="001834B5" w:rsidRPr="008A7F44">
        <w:rPr>
          <w:rFonts w:cstheme="minorHAnsi"/>
          <w:b/>
          <w:bCs/>
          <w:sz w:val="28"/>
          <w:szCs w:val="28"/>
          <w:rtl/>
        </w:rPr>
        <w:t>אינפלציית שכר ומחירים</w:t>
      </w:r>
      <w:r w:rsidR="003E1B2C" w:rsidRPr="008A7F44">
        <w:rPr>
          <w:rFonts w:cstheme="minorHAnsi"/>
          <w:b/>
          <w:bCs/>
          <w:sz w:val="28"/>
          <w:szCs w:val="28"/>
          <w:rtl/>
        </w:rPr>
        <w:t xml:space="preserve"> </w:t>
      </w:r>
      <w:r w:rsidR="001834B5" w:rsidRPr="008A7F44">
        <w:rPr>
          <w:rFonts w:cstheme="minorHAnsi"/>
          <w:b/>
          <w:bCs/>
          <w:sz w:val="28"/>
          <w:szCs w:val="28"/>
          <w:rtl/>
        </w:rPr>
        <w:t>- ניתוח ענפי</w:t>
      </w:r>
    </w:p>
    <w:p w14:paraId="1FBB3E75" w14:textId="04C4C8D3" w:rsidR="00AF57CA" w:rsidRPr="008A7F44" w:rsidRDefault="001834B5" w:rsidP="001834B5">
      <w:pPr>
        <w:pStyle w:val="a3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A7F44">
        <w:rPr>
          <w:rFonts w:cstheme="minorHAnsi"/>
          <w:sz w:val="24"/>
          <w:szCs w:val="24"/>
          <w:rtl/>
        </w:rPr>
        <w:t>מחקר זה בוחן את התמסורת מהשכר אל המחירים, ולהפך, תוך שימוש בנתונים ענפיים מישראל בשנים 2006-2022.</w:t>
      </w:r>
    </w:p>
    <w:p w14:paraId="0C590C57" w14:textId="0BE16A76" w:rsidR="001834B5" w:rsidRPr="008A7F44" w:rsidRDefault="001834B5" w:rsidP="001834B5">
      <w:pPr>
        <w:pStyle w:val="a3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A7F44">
        <w:rPr>
          <w:rFonts w:cstheme="minorHAnsi"/>
          <w:sz w:val="24"/>
          <w:szCs w:val="24"/>
          <w:rtl/>
        </w:rPr>
        <w:t>תוך שימוש במתודולוגיות שונות לזיהוי ההשפעה האינפלציונית של השכר, המחקר מזהה טווח אומדנים עקבי לתמסורת מהשכר אל המחירים: עליה של 10% בשכר, בהשוואה לחודש הקודם, תוביל לעליה מצטברת במחירים בהיקף מוגבל של 3%-1% בשנה שלאחר מכן.</w:t>
      </w:r>
    </w:p>
    <w:p w14:paraId="25D523B1" w14:textId="323FDE9F" w:rsidR="001834B5" w:rsidRPr="008A7F44" w:rsidRDefault="003E1B2C" w:rsidP="001B693B">
      <w:pPr>
        <w:pStyle w:val="a3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A7F44">
        <w:rPr>
          <w:rFonts w:cstheme="minorHAnsi"/>
          <w:sz w:val="24"/>
          <w:szCs w:val="24"/>
          <w:rtl/>
        </w:rPr>
        <w:t xml:space="preserve">בכיוון הנגדי, </w:t>
      </w:r>
      <w:r w:rsidR="001834B5" w:rsidRPr="008A7F44">
        <w:rPr>
          <w:rFonts w:cstheme="minorHAnsi"/>
          <w:sz w:val="24"/>
          <w:szCs w:val="24"/>
          <w:rtl/>
        </w:rPr>
        <w:t>בחינת התמסורת</w:t>
      </w:r>
      <w:r w:rsidR="00CC16BA" w:rsidRPr="008A7F44">
        <w:rPr>
          <w:rFonts w:cstheme="minorHAnsi"/>
          <w:sz w:val="24"/>
          <w:szCs w:val="24"/>
        </w:rPr>
        <w:t xml:space="preserve"> </w:t>
      </w:r>
      <w:r w:rsidR="001834B5" w:rsidRPr="008A7F44">
        <w:rPr>
          <w:rFonts w:cstheme="minorHAnsi"/>
          <w:sz w:val="24"/>
          <w:szCs w:val="24"/>
          <w:rtl/>
        </w:rPr>
        <w:t xml:space="preserve">מהאינפלציה אל השכר מעלה כי השכר </w:t>
      </w:r>
      <w:r w:rsidRPr="008A7F44">
        <w:rPr>
          <w:rFonts w:cstheme="minorHAnsi"/>
          <w:sz w:val="24"/>
          <w:szCs w:val="24"/>
          <w:rtl/>
        </w:rPr>
        <w:t xml:space="preserve">מגיב </w:t>
      </w:r>
      <w:r w:rsidR="00CC16BA" w:rsidRPr="008A7F44">
        <w:rPr>
          <w:rFonts w:cstheme="minorHAnsi"/>
          <w:sz w:val="24"/>
          <w:szCs w:val="24"/>
          <w:rtl/>
        </w:rPr>
        <w:t xml:space="preserve">באופן משמעותי </w:t>
      </w:r>
      <w:r w:rsidR="001834B5" w:rsidRPr="008A7F44">
        <w:rPr>
          <w:rFonts w:cstheme="minorHAnsi"/>
          <w:sz w:val="24"/>
          <w:szCs w:val="24"/>
          <w:rtl/>
        </w:rPr>
        <w:t>לעליות בלתי צפויות במחירים</w:t>
      </w:r>
      <w:r w:rsidR="00F06C06" w:rsidRPr="008A7F44">
        <w:rPr>
          <w:rFonts w:cstheme="minorHAnsi"/>
          <w:sz w:val="24"/>
          <w:szCs w:val="24"/>
          <w:rtl/>
        </w:rPr>
        <w:t>,</w:t>
      </w:r>
      <w:r w:rsidR="001834B5" w:rsidRPr="008A7F44">
        <w:rPr>
          <w:rFonts w:cstheme="minorHAnsi"/>
          <w:sz w:val="24"/>
          <w:szCs w:val="24"/>
          <w:rtl/>
        </w:rPr>
        <w:t xml:space="preserve"> </w:t>
      </w:r>
      <w:r w:rsidRPr="008A7F44">
        <w:rPr>
          <w:rFonts w:cstheme="minorHAnsi"/>
          <w:sz w:val="24"/>
          <w:szCs w:val="24"/>
          <w:rtl/>
        </w:rPr>
        <w:t xml:space="preserve">אך </w:t>
      </w:r>
      <w:r w:rsidR="001834B5" w:rsidRPr="008A7F44">
        <w:rPr>
          <w:rFonts w:cstheme="minorHAnsi"/>
          <w:sz w:val="24"/>
          <w:szCs w:val="24"/>
          <w:rtl/>
        </w:rPr>
        <w:t>בפיגור של שנה</w:t>
      </w:r>
      <w:r w:rsidRPr="008A7F44">
        <w:rPr>
          <w:rFonts w:cstheme="minorHAnsi"/>
          <w:sz w:val="24"/>
          <w:szCs w:val="24"/>
          <w:rtl/>
        </w:rPr>
        <w:t>.</w:t>
      </w:r>
      <w:r w:rsidR="00F06C06" w:rsidRPr="008A7F44">
        <w:rPr>
          <w:rFonts w:cstheme="minorHAnsi"/>
          <w:sz w:val="24"/>
          <w:szCs w:val="24"/>
          <w:rtl/>
        </w:rPr>
        <w:t xml:space="preserve"> </w:t>
      </w:r>
    </w:p>
    <w:p w14:paraId="4DFD6442" w14:textId="60E82C5E" w:rsidR="003E1B2C" w:rsidRPr="008A7F44" w:rsidRDefault="003E1B2C" w:rsidP="001C77A8">
      <w:pPr>
        <w:pStyle w:val="a3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A7F44">
        <w:rPr>
          <w:rFonts w:cstheme="minorHAnsi"/>
          <w:sz w:val="24"/>
          <w:szCs w:val="24"/>
          <w:rtl/>
        </w:rPr>
        <w:t xml:space="preserve">התקופה שלאחר ההתאוששות ממשבר הקורונה התאפיינה בסביבת אינפלציה גבוהה ושוק עבודה הדוק. המחקר מצביע על </w:t>
      </w:r>
      <w:r w:rsidR="008614CB" w:rsidRPr="008A7F44">
        <w:rPr>
          <w:rFonts w:cstheme="minorHAnsi"/>
          <w:sz w:val="24"/>
          <w:szCs w:val="24"/>
          <w:rtl/>
        </w:rPr>
        <w:t xml:space="preserve">עדויות </w:t>
      </w:r>
      <w:r w:rsidR="001C77A8" w:rsidRPr="008A7F44">
        <w:rPr>
          <w:rFonts w:cstheme="minorHAnsi"/>
          <w:sz w:val="24"/>
          <w:szCs w:val="24"/>
          <w:rtl/>
        </w:rPr>
        <w:t>ראשוניות</w:t>
      </w:r>
      <w:r w:rsidRPr="008A7F44">
        <w:rPr>
          <w:rFonts w:cstheme="minorHAnsi"/>
          <w:sz w:val="24"/>
          <w:szCs w:val="24"/>
          <w:rtl/>
        </w:rPr>
        <w:t xml:space="preserve"> לכך שהקשרים ההדדיים בין השכר והמחירים התחזקו בתקופה זו.  </w:t>
      </w:r>
    </w:p>
    <w:p w14:paraId="271B68FC" w14:textId="77777777" w:rsidR="00844E96" w:rsidRPr="008A7F44" w:rsidRDefault="003E1B2C" w:rsidP="006415F7">
      <w:pPr>
        <w:spacing w:line="360" w:lineRule="auto"/>
        <w:jc w:val="both"/>
        <w:rPr>
          <w:rFonts w:cstheme="minorHAnsi"/>
          <w:sz w:val="24"/>
          <w:szCs w:val="24"/>
          <w:rtl/>
        </w:rPr>
      </w:pPr>
      <w:r w:rsidRPr="008A7F44">
        <w:rPr>
          <w:rFonts w:cstheme="minorHAnsi"/>
          <w:sz w:val="24"/>
          <w:szCs w:val="24"/>
          <w:rtl/>
        </w:rPr>
        <w:t>העלייה המשמעותית בסביבת האינפלציה</w:t>
      </w:r>
      <w:r w:rsidR="006415F7" w:rsidRPr="008A7F44">
        <w:rPr>
          <w:rFonts w:cstheme="minorHAnsi"/>
          <w:sz w:val="24"/>
          <w:szCs w:val="24"/>
          <w:rtl/>
        </w:rPr>
        <w:t xml:space="preserve"> בשנים האחרונות</w:t>
      </w:r>
      <w:r w:rsidR="00A111FA" w:rsidRPr="008A7F44">
        <w:rPr>
          <w:rFonts w:cstheme="minorHAnsi"/>
          <w:sz w:val="24"/>
          <w:szCs w:val="24"/>
          <w:rtl/>
        </w:rPr>
        <w:t>,</w:t>
      </w:r>
      <w:r w:rsidRPr="008A7F44">
        <w:rPr>
          <w:rFonts w:cstheme="minorHAnsi"/>
          <w:sz w:val="24"/>
          <w:szCs w:val="24"/>
          <w:rtl/>
        </w:rPr>
        <w:t xml:space="preserve"> </w:t>
      </w:r>
      <w:r w:rsidR="00A111FA" w:rsidRPr="008A7F44">
        <w:rPr>
          <w:rFonts w:cstheme="minorHAnsi"/>
          <w:sz w:val="24"/>
          <w:szCs w:val="24"/>
          <w:rtl/>
        </w:rPr>
        <w:t>לצד שוק העבודה ההדוק</w:t>
      </w:r>
      <w:r w:rsidRPr="008A7F44">
        <w:rPr>
          <w:rFonts w:cstheme="minorHAnsi"/>
          <w:sz w:val="24"/>
          <w:szCs w:val="24"/>
          <w:rtl/>
        </w:rPr>
        <w:t>, בישראל ובמדינות נוספות,</w:t>
      </w:r>
      <w:r w:rsidR="00A111FA" w:rsidRPr="008A7F44">
        <w:rPr>
          <w:rFonts w:cstheme="minorHAnsi"/>
          <w:sz w:val="24"/>
          <w:szCs w:val="24"/>
          <w:rtl/>
        </w:rPr>
        <w:t xml:space="preserve"> מעוררת מחדש את הדיון בלחצים האינפלציוניים מכיוון שוק העבודה. </w:t>
      </w:r>
      <w:r w:rsidRPr="008A7F44">
        <w:rPr>
          <w:rFonts w:cstheme="minorHAnsi"/>
          <w:sz w:val="24"/>
          <w:szCs w:val="24"/>
          <w:rtl/>
        </w:rPr>
        <w:t xml:space="preserve">מחקר זה בוחן את שני הכיוונים </w:t>
      </w:r>
      <w:r w:rsidR="00A111FA" w:rsidRPr="008A7F44">
        <w:rPr>
          <w:rFonts w:cstheme="minorHAnsi"/>
          <w:sz w:val="24"/>
          <w:szCs w:val="24"/>
          <w:rtl/>
        </w:rPr>
        <w:t xml:space="preserve">האפשריים </w:t>
      </w:r>
      <w:r w:rsidRPr="008A7F44">
        <w:rPr>
          <w:rFonts w:cstheme="minorHAnsi"/>
          <w:sz w:val="24"/>
          <w:szCs w:val="24"/>
          <w:rtl/>
        </w:rPr>
        <w:t xml:space="preserve">של ספירלת שכר ומחירים- התמסורת מהשכר אל המחירים והתמסורת מהמחירים אל השכר.  </w:t>
      </w:r>
    </w:p>
    <w:p w14:paraId="6835EFFC" w14:textId="0D42B4C5" w:rsidR="00CC55D2" w:rsidRPr="008A7F44" w:rsidRDefault="0011595D" w:rsidP="0011595D">
      <w:pPr>
        <w:spacing w:line="360" w:lineRule="auto"/>
        <w:jc w:val="both"/>
        <w:rPr>
          <w:rFonts w:cstheme="minorHAnsi"/>
          <w:sz w:val="24"/>
          <w:szCs w:val="24"/>
          <w:rtl/>
        </w:rPr>
      </w:pPr>
      <w:r w:rsidRPr="008A7F44">
        <w:rPr>
          <w:rFonts w:cstheme="minorHAnsi"/>
          <w:sz w:val="24"/>
          <w:szCs w:val="24"/>
          <w:rtl/>
        </w:rPr>
        <w:t xml:space="preserve">במחקר זה, שנערך על ידי שירה בוזגלו-בריס מחטיבת המחקר, </w:t>
      </w:r>
      <w:r w:rsidR="00A111FA" w:rsidRPr="008A7F44">
        <w:rPr>
          <w:rFonts w:cstheme="minorHAnsi"/>
          <w:sz w:val="24"/>
          <w:szCs w:val="24"/>
          <w:rtl/>
        </w:rPr>
        <w:t xml:space="preserve">נעשה שימוש בשיטות שונות, המתבססות על </w:t>
      </w:r>
      <w:r w:rsidR="00F06C06" w:rsidRPr="008A7F44">
        <w:rPr>
          <w:rFonts w:cstheme="minorHAnsi"/>
          <w:sz w:val="24"/>
          <w:szCs w:val="24"/>
          <w:rtl/>
        </w:rPr>
        <w:t xml:space="preserve">נתונים </w:t>
      </w:r>
      <w:r w:rsidR="00A111FA" w:rsidRPr="008A7F44">
        <w:rPr>
          <w:rFonts w:cstheme="minorHAnsi"/>
          <w:sz w:val="24"/>
          <w:szCs w:val="24"/>
          <w:rtl/>
        </w:rPr>
        <w:t>ברמת הענף על שכר, מחירים ופריון</w:t>
      </w:r>
      <w:r w:rsidR="001C77A8" w:rsidRPr="008A7F44">
        <w:rPr>
          <w:rFonts w:cstheme="minorHAnsi"/>
          <w:sz w:val="24"/>
          <w:szCs w:val="24"/>
          <w:rtl/>
        </w:rPr>
        <w:t xml:space="preserve"> </w:t>
      </w:r>
      <w:r w:rsidR="00A111FA" w:rsidRPr="008A7F44">
        <w:rPr>
          <w:rFonts w:cstheme="minorHAnsi"/>
          <w:sz w:val="24"/>
          <w:szCs w:val="24"/>
          <w:rtl/>
        </w:rPr>
        <w:t>עבודה</w:t>
      </w:r>
      <w:r w:rsidR="00844E96" w:rsidRPr="008A7F44">
        <w:rPr>
          <w:rFonts w:cstheme="minorHAnsi"/>
          <w:sz w:val="24"/>
          <w:szCs w:val="24"/>
          <w:rtl/>
        </w:rPr>
        <w:t xml:space="preserve"> ל</w:t>
      </w:r>
      <w:r w:rsidR="00E642B1" w:rsidRPr="008A7F44">
        <w:rPr>
          <w:rFonts w:cstheme="minorHAnsi"/>
          <w:sz w:val="24"/>
          <w:szCs w:val="24"/>
          <w:rtl/>
        </w:rPr>
        <w:t xml:space="preserve">צורך </w:t>
      </w:r>
      <w:r w:rsidR="00844E96" w:rsidRPr="008A7F44">
        <w:rPr>
          <w:rFonts w:cstheme="minorHAnsi"/>
          <w:sz w:val="24"/>
          <w:szCs w:val="24"/>
          <w:rtl/>
        </w:rPr>
        <w:t>אמידת האופן בו ה</w:t>
      </w:r>
      <w:r w:rsidR="00E642B1" w:rsidRPr="008A7F44">
        <w:rPr>
          <w:rFonts w:cstheme="minorHAnsi"/>
          <w:sz w:val="24"/>
          <w:szCs w:val="24"/>
          <w:rtl/>
        </w:rPr>
        <w:t>מחירי</w:t>
      </w:r>
      <w:r w:rsidR="00844E96" w:rsidRPr="008A7F44">
        <w:rPr>
          <w:rFonts w:cstheme="minorHAnsi"/>
          <w:sz w:val="24"/>
          <w:szCs w:val="24"/>
          <w:rtl/>
        </w:rPr>
        <w:t>ם מושפעים משינויים בשכר</w:t>
      </w:r>
      <w:r w:rsidR="00A111FA" w:rsidRPr="008A7F44">
        <w:rPr>
          <w:rFonts w:cstheme="minorHAnsi"/>
          <w:sz w:val="24"/>
          <w:szCs w:val="24"/>
          <w:rtl/>
        </w:rPr>
        <w:t xml:space="preserve">. </w:t>
      </w:r>
      <w:r w:rsidR="00F06C06" w:rsidRPr="008A7F44">
        <w:rPr>
          <w:rFonts w:cstheme="minorHAnsi"/>
          <w:sz w:val="24"/>
          <w:szCs w:val="24"/>
          <w:rtl/>
        </w:rPr>
        <w:t>לצורך זיהוי מדויק של השפעת השכר על המחירים</w:t>
      </w:r>
      <w:r w:rsidR="006415F7" w:rsidRPr="008A7F44">
        <w:rPr>
          <w:rFonts w:cstheme="minorHAnsi"/>
          <w:sz w:val="24"/>
          <w:szCs w:val="24"/>
          <w:rtl/>
        </w:rPr>
        <w:t xml:space="preserve">, המחקר משתמש בשני מקורות לעליית שכר: </w:t>
      </w:r>
      <w:r w:rsidR="00A111FA" w:rsidRPr="008A7F44">
        <w:rPr>
          <w:rFonts w:cstheme="minorHAnsi"/>
          <w:sz w:val="24"/>
          <w:szCs w:val="24"/>
          <w:rtl/>
        </w:rPr>
        <w:t xml:space="preserve">עליית </w:t>
      </w:r>
      <w:r w:rsidR="006415F7" w:rsidRPr="008A7F44">
        <w:rPr>
          <w:rFonts w:cstheme="minorHAnsi"/>
          <w:sz w:val="24"/>
          <w:szCs w:val="24"/>
          <w:rtl/>
        </w:rPr>
        <w:t>שכר הנובעת מתחרות בין ענפים על עובדים דומים וצעדי חקיקה להעלאת שכר המינימום. המחקר מזהה טווח אומדנים עקבי לתמ</w:t>
      </w:r>
      <w:r w:rsidR="001C77A8" w:rsidRPr="008A7F44">
        <w:rPr>
          <w:rFonts w:cstheme="minorHAnsi"/>
          <w:sz w:val="24"/>
          <w:szCs w:val="24"/>
          <w:rtl/>
        </w:rPr>
        <w:t xml:space="preserve">סורת מהשכר אל המחירים - </w:t>
      </w:r>
      <w:r w:rsidR="006415F7" w:rsidRPr="008A7F44">
        <w:rPr>
          <w:rFonts w:cstheme="minorHAnsi"/>
          <w:sz w:val="24"/>
          <w:szCs w:val="24"/>
          <w:rtl/>
        </w:rPr>
        <w:t xml:space="preserve">עליה של 10% בשכר, בהשוואה לחודש הקודם, תוביל </w:t>
      </w:r>
      <w:r w:rsidR="00907C57" w:rsidRPr="008A7F44">
        <w:rPr>
          <w:rFonts w:cstheme="minorHAnsi"/>
          <w:sz w:val="24"/>
          <w:szCs w:val="24"/>
          <w:rtl/>
        </w:rPr>
        <w:t xml:space="preserve">לאחר שנים עשר חודשים </w:t>
      </w:r>
      <w:r w:rsidR="006415F7" w:rsidRPr="008A7F44">
        <w:rPr>
          <w:rFonts w:cstheme="minorHAnsi"/>
          <w:sz w:val="24"/>
          <w:szCs w:val="24"/>
          <w:rtl/>
        </w:rPr>
        <w:t>לעליה מצטברת במחירים בהיקף מוגבל של 3%-1%. השפעה זו הולכת ודועכת בחודשים שלאחר מכן.</w:t>
      </w:r>
      <w:r w:rsidR="00E642B1" w:rsidRPr="008A7F44">
        <w:rPr>
          <w:rFonts w:cstheme="minorHAnsi"/>
          <w:sz w:val="24"/>
          <w:szCs w:val="24"/>
          <w:rtl/>
        </w:rPr>
        <w:t xml:space="preserve"> </w:t>
      </w:r>
      <w:r w:rsidR="00844E96" w:rsidRPr="008A7F44">
        <w:rPr>
          <w:rFonts w:cstheme="minorHAnsi"/>
          <w:sz w:val="24"/>
          <w:szCs w:val="24"/>
          <w:rtl/>
        </w:rPr>
        <w:t xml:space="preserve">בכיוון השני, המחקר בוחן כיצד השכר מגיב לשינויים בלתי צפויים במחירים. תגובת השכר להפתעה חודשית במדד </w:t>
      </w:r>
      <w:r w:rsidR="00844E96" w:rsidRPr="008A7F44">
        <w:rPr>
          <w:rFonts w:cstheme="minorHAnsi"/>
          <w:sz w:val="24"/>
          <w:szCs w:val="24"/>
          <w:rtl/>
        </w:rPr>
        <w:lastRenderedPageBreak/>
        <w:t>המחירים לצרכן (ביחס ל</w:t>
      </w:r>
      <w:r w:rsidR="00217E35" w:rsidRPr="008A7F44">
        <w:rPr>
          <w:rFonts w:cstheme="minorHAnsi"/>
          <w:sz w:val="24"/>
          <w:szCs w:val="24"/>
          <w:rtl/>
        </w:rPr>
        <w:t xml:space="preserve">ממוצע </w:t>
      </w:r>
      <w:r w:rsidR="00844E96" w:rsidRPr="008A7F44">
        <w:rPr>
          <w:rFonts w:cstheme="minorHAnsi"/>
          <w:sz w:val="24"/>
          <w:szCs w:val="24"/>
          <w:rtl/>
        </w:rPr>
        <w:t>תחזיות החזאים</w:t>
      </w:r>
      <w:r w:rsidR="00217E35" w:rsidRPr="008A7F44">
        <w:rPr>
          <w:rFonts w:cstheme="minorHAnsi"/>
          <w:sz w:val="24"/>
          <w:szCs w:val="24"/>
          <w:rtl/>
        </w:rPr>
        <w:t xml:space="preserve"> הכלכליים</w:t>
      </w:r>
      <w:r w:rsidR="00844E96" w:rsidRPr="008A7F44">
        <w:rPr>
          <w:rFonts w:cstheme="minorHAnsi"/>
          <w:sz w:val="24"/>
          <w:szCs w:val="24"/>
          <w:rtl/>
        </w:rPr>
        <w:t>) תתבטא במלואה רק לאחר שנים עשר חודשים</w:t>
      </w:r>
      <w:r w:rsidR="001B693B" w:rsidRPr="008A7F44">
        <w:rPr>
          <w:rFonts w:cstheme="minorHAnsi"/>
          <w:sz w:val="24"/>
          <w:szCs w:val="24"/>
          <w:rtl/>
        </w:rPr>
        <w:t>.</w:t>
      </w:r>
      <w:r w:rsidR="00CC55D2" w:rsidRPr="008A7F44">
        <w:rPr>
          <w:rFonts w:cstheme="minorHAnsi"/>
          <w:sz w:val="24"/>
          <w:szCs w:val="24"/>
          <w:rtl/>
        </w:rPr>
        <w:t xml:space="preserve"> </w:t>
      </w:r>
    </w:p>
    <w:p w14:paraId="24B201D1" w14:textId="250DDF81" w:rsidR="00D75C1F" w:rsidRPr="008A7F44" w:rsidRDefault="008614CB" w:rsidP="00486DAB">
      <w:pPr>
        <w:spacing w:line="360" w:lineRule="auto"/>
        <w:jc w:val="both"/>
        <w:rPr>
          <w:rFonts w:cstheme="minorHAnsi"/>
          <w:sz w:val="24"/>
          <w:szCs w:val="24"/>
          <w:rtl/>
        </w:rPr>
      </w:pPr>
      <w:r w:rsidRPr="008A7F44">
        <w:rPr>
          <w:rFonts w:cstheme="minorHAnsi"/>
          <w:sz w:val="24"/>
          <w:szCs w:val="24"/>
          <w:rtl/>
        </w:rPr>
        <w:t>המחקר מצביע על עדויות אמפיריות לכך שהקשרים ההדדיים בין השכר והמחירים התחזקו בתקופה שלאחר היציאה ממשבר הקורונה</w:t>
      </w:r>
      <w:r w:rsidR="00217E35" w:rsidRPr="008A7F44">
        <w:rPr>
          <w:rFonts w:cstheme="minorHAnsi"/>
          <w:sz w:val="24"/>
          <w:szCs w:val="24"/>
          <w:rtl/>
        </w:rPr>
        <w:t>, אולם ממצאים אלו מאופיינים ברמה גבוהה של אי ודאות לאור מגבלות הנתונים</w:t>
      </w:r>
      <w:r w:rsidRPr="008A7F44">
        <w:rPr>
          <w:rFonts w:cstheme="minorHAnsi"/>
          <w:sz w:val="24"/>
          <w:szCs w:val="24"/>
          <w:rtl/>
        </w:rPr>
        <w:t xml:space="preserve">. </w:t>
      </w:r>
    </w:p>
    <w:p w14:paraId="20442C03" w14:textId="77777777" w:rsidR="00CC57F9" w:rsidRPr="008A7F44" w:rsidRDefault="00CC57F9" w:rsidP="00486DAB">
      <w:pPr>
        <w:spacing w:line="360" w:lineRule="auto"/>
        <w:jc w:val="both"/>
        <w:rPr>
          <w:rFonts w:cstheme="minorHAnsi"/>
          <w:sz w:val="24"/>
          <w:szCs w:val="24"/>
          <w:rtl/>
        </w:rPr>
      </w:pPr>
    </w:p>
    <w:tbl>
      <w:tblPr>
        <w:tblStyle w:val="a4"/>
        <w:bidiVisual/>
        <w:tblW w:w="88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</w:tblGrid>
      <w:tr w:rsidR="00D75C1F" w:rsidRPr="008A7F44" w14:paraId="59186B00" w14:textId="77777777" w:rsidTr="00223EFE">
        <w:trPr>
          <w:trHeight w:val="351"/>
          <w:jc w:val="center"/>
        </w:trPr>
        <w:tc>
          <w:tcPr>
            <w:tcW w:w="8881" w:type="dxa"/>
          </w:tcPr>
          <w:p w14:paraId="157B1C2A" w14:textId="434AF158" w:rsidR="00D75C1F" w:rsidRPr="008A7F44" w:rsidRDefault="00D75C1F" w:rsidP="00D75C1F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A7F44">
              <w:rPr>
                <w:rFonts w:cstheme="minorHAnsi"/>
                <w:b/>
                <w:bCs/>
                <w:sz w:val="24"/>
                <w:szCs w:val="24"/>
                <w:rtl/>
              </w:rPr>
              <w:t>אומדן לתמסורת מהשכר אל המחירים</w:t>
            </w:r>
          </w:p>
          <w:p w14:paraId="7DF5C877" w14:textId="07294DF8" w:rsidR="00D75C1F" w:rsidRPr="008A7F44" w:rsidRDefault="00D75C1F" w:rsidP="00D75C1F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A7F44">
              <w:rPr>
                <w:rFonts w:cstheme="minorHAnsi"/>
                <w:sz w:val="20"/>
                <w:szCs w:val="20"/>
                <w:rtl/>
              </w:rPr>
              <w:t>התגובה המצטברת של המחירים לעליה של 1% בשכר, ביחס לחודש הקודם</w:t>
            </w:r>
          </w:p>
        </w:tc>
      </w:tr>
      <w:tr w:rsidR="00D75C1F" w:rsidRPr="008A7F44" w14:paraId="27D41ACC" w14:textId="77777777" w:rsidTr="00223EFE">
        <w:trPr>
          <w:trHeight w:val="3318"/>
          <w:jc w:val="center"/>
        </w:trPr>
        <w:tc>
          <w:tcPr>
            <w:tcW w:w="8881" w:type="dxa"/>
          </w:tcPr>
          <w:p w14:paraId="18CDBCE3" w14:textId="7A9B1888" w:rsidR="00D75C1F" w:rsidRPr="008A7F44" w:rsidRDefault="00AB3599" w:rsidP="00D75C1F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A7F44">
              <w:rPr>
                <w:rFonts w:cstheme="minorHAnsi"/>
                <w:noProof/>
                <w:sz w:val="24"/>
                <w:szCs w:val="24"/>
                <w:rtl/>
              </w:rPr>
              <w:drawing>
                <wp:inline distT="0" distB="0" distL="0" distR="0" wp14:anchorId="2B0901A2" wp14:editId="64D2DB9A">
                  <wp:extent cx="4604546" cy="3407410"/>
                  <wp:effectExtent l="0" t="0" r="5715" b="254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1039"/>
                          <a:stretch/>
                        </pic:blipFill>
                        <pic:spPr bwMode="auto">
                          <a:xfrm>
                            <a:off x="0" y="0"/>
                            <a:ext cx="4614888" cy="3415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C1F" w:rsidRPr="008A7F44" w14:paraId="29E7BAC0" w14:textId="77777777" w:rsidTr="00223EFE">
        <w:trPr>
          <w:trHeight w:val="340"/>
          <w:jc w:val="center"/>
        </w:trPr>
        <w:tc>
          <w:tcPr>
            <w:tcW w:w="8881" w:type="dxa"/>
          </w:tcPr>
          <w:p w14:paraId="6960AC17" w14:textId="77777777" w:rsidR="00D75C1F" w:rsidRPr="008A7F44" w:rsidRDefault="00D75C1F" w:rsidP="008614CB">
            <w:pPr>
              <w:spacing w:line="360" w:lineRule="auto"/>
              <w:jc w:val="both"/>
              <w:rPr>
                <w:rFonts w:cstheme="minorHAnsi"/>
                <w:sz w:val="20"/>
                <w:szCs w:val="20"/>
                <w:rtl/>
              </w:rPr>
            </w:pPr>
            <w:r w:rsidRPr="008A7F44">
              <w:rPr>
                <w:rFonts w:cstheme="minorHAnsi"/>
                <w:b/>
                <w:bCs/>
                <w:sz w:val="20"/>
                <w:szCs w:val="20"/>
                <w:rtl/>
              </w:rPr>
              <w:t>מקור:</w:t>
            </w:r>
            <w:r w:rsidRPr="008A7F44">
              <w:rPr>
                <w:rFonts w:cstheme="minorHAnsi"/>
                <w:sz w:val="20"/>
                <w:szCs w:val="20"/>
                <w:rtl/>
              </w:rPr>
              <w:t xml:space="preserve"> הלמ"ס ועיבודי בנק ישראל. </w:t>
            </w:r>
          </w:p>
          <w:p w14:paraId="0F14BEC8" w14:textId="6D9A7A44" w:rsidR="00D75C1F" w:rsidRPr="008A7F44" w:rsidRDefault="00D75C1F" w:rsidP="002D4296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8A7F44">
              <w:rPr>
                <w:rFonts w:cstheme="minorHAnsi"/>
                <w:sz w:val="20"/>
                <w:szCs w:val="20"/>
                <w:rtl/>
              </w:rPr>
              <w:t>האיור מציג אומדן לתמסורת מהשכר אל המחירים</w:t>
            </w:r>
            <w:r w:rsidR="00223EFE" w:rsidRPr="008A7F44">
              <w:rPr>
                <w:rFonts w:cstheme="minorHAnsi"/>
                <w:sz w:val="20"/>
                <w:szCs w:val="20"/>
                <w:rtl/>
              </w:rPr>
              <w:t xml:space="preserve"> הנאמד על ידי </w:t>
            </w:r>
            <w:r w:rsidR="00223EFE" w:rsidRPr="008A7F44">
              <w:rPr>
                <w:rFonts w:cstheme="minorHAnsi"/>
                <w:sz w:val="20"/>
                <w:szCs w:val="20"/>
              </w:rPr>
              <w:t>Panel Local-Projection</w:t>
            </w:r>
            <w:r w:rsidRPr="008A7F44">
              <w:rPr>
                <w:rFonts w:cstheme="minorHAnsi"/>
                <w:sz w:val="20"/>
                <w:szCs w:val="20"/>
                <w:rtl/>
              </w:rPr>
              <w:t>. האמידה כללה 12 פיגורים של שכר, פריון ומחירים</w:t>
            </w:r>
            <w:r w:rsidR="00223EFE" w:rsidRPr="008A7F44">
              <w:rPr>
                <w:rFonts w:cstheme="minorHAnsi"/>
                <w:sz w:val="20"/>
                <w:szCs w:val="20"/>
                <w:rtl/>
              </w:rPr>
              <w:t xml:space="preserve"> לצד ציפיות לאינפלציה ואפקט קבוע לזמן ולענף (</w:t>
            </w:r>
            <w:r w:rsidR="00223EFE" w:rsidRPr="008A7F44">
              <w:rPr>
                <w:rFonts w:cstheme="minorHAnsi"/>
                <w:sz w:val="20"/>
                <w:szCs w:val="20"/>
              </w:rPr>
              <w:t>FE</w:t>
            </w:r>
            <w:r w:rsidR="00223EFE" w:rsidRPr="008A7F44">
              <w:rPr>
                <w:rFonts w:cstheme="minorHAnsi"/>
                <w:sz w:val="20"/>
                <w:szCs w:val="20"/>
                <w:rtl/>
              </w:rPr>
              <w:t>). המקדם על ציר ה-</w:t>
            </w:r>
            <w:r w:rsidR="00223EFE" w:rsidRPr="008A7F44">
              <w:rPr>
                <w:rFonts w:cstheme="minorHAnsi"/>
                <w:sz w:val="20"/>
                <w:szCs w:val="20"/>
              </w:rPr>
              <w:t>y</w:t>
            </w:r>
            <w:r w:rsidR="00223EFE" w:rsidRPr="008A7F44">
              <w:rPr>
                <w:rFonts w:cstheme="minorHAnsi"/>
                <w:sz w:val="20"/>
                <w:szCs w:val="20"/>
                <w:rtl/>
              </w:rPr>
              <w:t xml:space="preserve"> מייצג את התגובה המצטברת של המחירים, לאחר </w:t>
            </w:r>
            <w:r w:rsidR="00223EFE" w:rsidRPr="008A7F44">
              <w:rPr>
                <w:rFonts w:cstheme="minorHAnsi"/>
                <w:sz w:val="20"/>
                <w:szCs w:val="20"/>
              </w:rPr>
              <w:t>h</w:t>
            </w:r>
            <w:r w:rsidR="00223EFE" w:rsidRPr="008A7F44">
              <w:rPr>
                <w:rFonts w:cstheme="minorHAnsi"/>
                <w:sz w:val="20"/>
                <w:szCs w:val="20"/>
                <w:rtl/>
              </w:rPr>
              <w:t xml:space="preserve"> חודשים, לעלייה של 1%</w:t>
            </w:r>
            <w:r w:rsidR="00C35780" w:rsidRPr="008A7F44">
              <w:rPr>
                <w:rFonts w:cstheme="minorHAnsi"/>
                <w:sz w:val="20"/>
                <w:szCs w:val="20"/>
                <w:rtl/>
              </w:rPr>
              <w:t xml:space="preserve"> בשכר. ה</w:t>
            </w:r>
            <w:r w:rsidR="00F06C06" w:rsidRPr="008A7F44">
              <w:rPr>
                <w:rFonts w:cstheme="minorHAnsi"/>
                <w:sz w:val="20"/>
                <w:szCs w:val="20"/>
                <w:rtl/>
              </w:rPr>
              <w:t>שינוי ב</w:t>
            </w:r>
            <w:r w:rsidR="00C35780" w:rsidRPr="008A7F44">
              <w:rPr>
                <w:rFonts w:cstheme="minorHAnsi"/>
                <w:sz w:val="20"/>
                <w:szCs w:val="20"/>
                <w:rtl/>
              </w:rPr>
              <w:t>שכר בענף</w:t>
            </w:r>
            <w:r w:rsidR="00223EFE" w:rsidRPr="008A7F44">
              <w:rPr>
                <w:rFonts w:cstheme="minorHAnsi"/>
                <w:sz w:val="20"/>
                <w:szCs w:val="20"/>
                <w:rtl/>
              </w:rPr>
              <w:t xml:space="preserve"> מזוהה בעזרת</w:t>
            </w:r>
            <w:r w:rsidR="00C35780" w:rsidRPr="008A7F44">
              <w:rPr>
                <w:rFonts w:cstheme="minorHAnsi"/>
                <w:sz w:val="20"/>
                <w:szCs w:val="20"/>
                <w:rtl/>
              </w:rPr>
              <w:t xml:space="preserve"> צמיחת השכר ב</w:t>
            </w:r>
            <w:r w:rsidR="00223EFE" w:rsidRPr="008A7F44">
              <w:rPr>
                <w:rFonts w:cstheme="minorHAnsi"/>
                <w:sz w:val="20"/>
                <w:szCs w:val="20"/>
                <w:rtl/>
              </w:rPr>
              <w:t xml:space="preserve">ענף המתחרה על אותם עובדים, </w:t>
            </w:r>
            <w:r w:rsidR="00C35780" w:rsidRPr="008A7F44">
              <w:rPr>
                <w:rFonts w:cstheme="minorHAnsi"/>
                <w:sz w:val="20"/>
                <w:szCs w:val="20"/>
                <w:rtl/>
              </w:rPr>
              <w:t>המוגדר</w:t>
            </w:r>
            <w:r w:rsidR="00223EFE" w:rsidRPr="008A7F44">
              <w:rPr>
                <w:rFonts w:cstheme="minorHAnsi"/>
                <w:sz w:val="20"/>
                <w:szCs w:val="20"/>
                <w:rtl/>
              </w:rPr>
              <w:t xml:space="preserve"> לפי </w:t>
            </w:r>
            <w:r w:rsidR="00C35780" w:rsidRPr="008A7F44">
              <w:rPr>
                <w:rFonts w:cstheme="minorHAnsi"/>
                <w:sz w:val="20"/>
                <w:szCs w:val="20"/>
                <w:rtl/>
              </w:rPr>
              <w:t xml:space="preserve">זרמי </w:t>
            </w:r>
            <w:r w:rsidR="00223EFE" w:rsidRPr="008A7F44">
              <w:rPr>
                <w:rFonts w:cstheme="minorHAnsi"/>
                <w:sz w:val="20"/>
                <w:szCs w:val="20"/>
                <w:rtl/>
              </w:rPr>
              <w:t xml:space="preserve">מעברי עובדים בין ענפים מנתונים פרטניים. כל תצפית משוקללת לפי משקל הענף בתעסוקה. סטיות </w:t>
            </w:r>
            <w:r w:rsidR="00C35780" w:rsidRPr="008A7F44">
              <w:rPr>
                <w:rFonts w:cstheme="minorHAnsi"/>
                <w:sz w:val="20"/>
                <w:szCs w:val="20"/>
                <w:rtl/>
              </w:rPr>
              <w:t>ה</w:t>
            </w:r>
            <w:r w:rsidR="00223EFE" w:rsidRPr="008A7F44">
              <w:rPr>
                <w:rFonts w:cstheme="minorHAnsi"/>
                <w:sz w:val="20"/>
                <w:szCs w:val="20"/>
                <w:rtl/>
              </w:rPr>
              <w:t>תקן מקובצות (</w:t>
            </w:r>
            <w:r w:rsidR="00223EFE" w:rsidRPr="008A7F44">
              <w:rPr>
                <w:rFonts w:cstheme="minorHAnsi"/>
                <w:sz w:val="20"/>
                <w:szCs w:val="20"/>
              </w:rPr>
              <w:t>cluster</w:t>
            </w:r>
            <w:r w:rsidR="00223EFE" w:rsidRPr="008A7F44">
              <w:rPr>
                <w:rFonts w:cstheme="minorHAnsi"/>
                <w:sz w:val="20"/>
                <w:szCs w:val="20"/>
                <w:rtl/>
              </w:rPr>
              <w:t xml:space="preserve">) לפי זמן. האזורים המוצללים מייצגים רווח סמך של 68% ו-95% (סטיית תקן אחת/שתיים, בהתאמה). האומדן מבוסס על </w:t>
            </w:r>
            <w:r w:rsidR="00C35780" w:rsidRPr="008A7F44">
              <w:rPr>
                <w:rFonts w:cstheme="minorHAnsi"/>
                <w:sz w:val="20"/>
                <w:szCs w:val="20"/>
                <w:rtl/>
              </w:rPr>
              <w:t>השנים</w:t>
            </w:r>
            <w:r w:rsidR="00223EFE" w:rsidRPr="008A7F44">
              <w:rPr>
                <w:rFonts w:cstheme="minorHAnsi"/>
                <w:sz w:val="20"/>
                <w:szCs w:val="20"/>
                <w:rtl/>
              </w:rPr>
              <w:t xml:space="preserve"> 200</w:t>
            </w:r>
            <w:r w:rsidR="002D4296" w:rsidRPr="008A7F44">
              <w:rPr>
                <w:rFonts w:cstheme="minorHAnsi"/>
                <w:sz w:val="20"/>
                <w:szCs w:val="20"/>
                <w:rtl/>
              </w:rPr>
              <w:t>6</w:t>
            </w:r>
            <w:r w:rsidR="00223EFE" w:rsidRPr="008A7F44">
              <w:rPr>
                <w:rFonts w:cstheme="minorHAnsi"/>
                <w:sz w:val="20"/>
                <w:szCs w:val="20"/>
                <w:rtl/>
              </w:rPr>
              <w:t>-2022, בעוד שתצפיות מתקופת הקורונה אינן נכללות.</w:t>
            </w:r>
          </w:p>
        </w:tc>
      </w:tr>
    </w:tbl>
    <w:p w14:paraId="5C1C8143" w14:textId="6BDD527A" w:rsidR="003E1B2C" w:rsidRPr="008A7F44" w:rsidRDefault="003E1B2C" w:rsidP="008614CB">
      <w:pPr>
        <w:spacing w:line="360" w:lineRule="auto"/>
        <w:jc w:val="both"/>
        <w:rPr>
          <w:rFonts w:cstheme="minorHAnsi"/>
          <w:sz w:val="24"/>
          <w:szCs w:val="24"/>
          <w:rtl/>
        </w:rPr>
      </w:pPr>
    </w:p>
    <w:sectPr w:rsidR="003E1B2C" w:rsidRPr="008A7F44" w:rsidSect="00D751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04DC9" w14:textId="77777777" w:rsidR="005A7E02" w:rsidRDefault="005A7E02" w:rsidP="00DD65F8">
      <w:pPr>
        <w:spacing w:after="0" w:line="240" w:lineRule="auto"/>
      </w:pPr>
      <w:r>
        <w:separator/>
      </w:r>
    </w:p>
  </w:endnote>
  <w:endnote w:type="continuationSeparator" w:id="0">
    <w:p w14:paraId="392E9E27" w14:textId="77777777" w:rsidR="005A7E02" w:rsidRDefault="005A7E02" w:rsidP="00DD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4495" w14:textId="77777777" w:rsidR="005A7E02" w:rsidRDefault="005A7E02" w:rsidP="00DD65F8">
      <w:pPr>
        <w:spacing w:after="0" w:line="240" w:lineRule="auto"/>
      </w:pPr>
      <w:r>
        <w:separator/>
      </w:r>
    </w:p>
  </w:footnote>
  <w:footnote w:type="continuationSeparator" w:id="0">
    <w:p w14:paraId="63551102" w14:textId="77777777" w:rsidR="005A7E02" w:rsidRDefault="005A7E02" w:rsidP="00DD6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6C4B"/>
    <w:multiLevelType w:val="hybridMultilevel"/>
    <w:tmpl w:val="E902AF86"/>
    <w:lvl w:ilvl="0" w:tplc="D4F6639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72C27"/>
    <w:multiLevelType w:val="hybridMultilevel"/>
    <w:tmpl w:val="28522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786094"/>
    <w:multiLevelType w:val="hybridMultilevel"/>
    <w:tmpl w:val="BA72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2773B"/>
    <w:multiLevelType w:val="hybridMultilevel"/>
    <w:tmpl w:val="E8DA8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A9"/>
    <w:rsid w:val="00023999"/>
    <w:rsid w:val="0007742C"/>
    <w:rsid w:val="00081814"/>
    <w:rsid w:val="00092C36"/>
    <w:rsid w:val="000A349C"/>
    <w:rsid w:val="000A3855"/>
    <w:rsid w:val="000B58BE"/>
    <w:rsid w:val="000E04DE"/>
    <w:rsid w:val="000F1E1B"/>
    <w:rsid w:val="001029A4"/>
    <w:rsid w:val="0011595D"/>
    <w:rsid w:val="001202E9"/>
    <w:rsid w:val="001222B5"/>
    <w:rsid w:val="00130D57"/>
    <w:rsid w:val="00133F0F"/>
    <w:rsid w:val="0017374F"/>
    <w:rsid w:val="0017615E"/>
    <w:rsid w:val="001834B5"/>
    <w:rsid w:val="001912E2"/>
    <w:rsid w:val="001A7937"/>
    <w:rsid w:val="001B693B"/>
    <w:rsid w:val="001C77A8"/>
    <w:rsid w:val="001E1E38"/>
    <w:rsid w:val="00205D24"/>
    <w:rsid w:val="002130B9"/>
    <w:rsid w:val="00215B34"/>
    <w:rsid w:val="00217E35"/>
    <w:rsid w:val="00221224"/>
    <w:rsid w:val="00223EFE"/>
    <w:rsid w:val="00227DCA"/>
    <w:rsid w:val="002436A2"/>
    <w:rsid w:val="002507BF"/>
    <w:rsid w:val="0025258A"/>
    <w:rsid w:val="00253937"/>
    <w:rsid w:val="00262940"/>
    <w:rsid w:val="00276687"/>
    <w:rsid w:val="00281E20"/>
    <w:rsid w:val="00282644"/>
    <w:rsid w:val="00282676"/>
    <w:rsid w:val="00283CB3"/>
    <w:rsid w:val="002925D5"/>
    <w:rsid w:val="00295450"/>
    <w:rsid w:val="002A01DE"/>
    <w:rsid w:val="002A0A73"/>
    <w:rsid w:val="002D2418"/>
    <w:rsid w:val="002D3D4C"/>
    <w:rsid w:val="002D4296"/>
    <w:rsid w:val="002D7B1F"/>
    <w:rsid w:val="002D7C3B"/>
    <w:rsid w:val="002E0297"/>
    <w:rsid w:val="002E5F60"/>
    <w:rsid w:val="002E707B"/>
    <w:rsid w:val="00301938"/>
    <w:rsid w:val="00314C0D"/>
    <w:rsid w:val="0031700B"/>
    <w:rsid w:val="0032726B"/>
    <w:rsid w:val="00334C94"/>
    <w:rsid w:val="00341A58"/>
    <w:rsid w:val="003537D2"/>
    <w:rsid w:val="00367E0B"/>
    <w:rsid w:val="0037703E"/>
    <w:rsid w:val="003774BF"/>
    <w:rsid w:val="00382FAB"/>
    <w:rsid w:val="00394E09"/>
    <w:rsid w:val="003A0875"/>
    <w:rsid w:val="003B26AF"/>
    <w:rsid w:val="003B65CD"/>
    <w:rsid w:val="003E1B2C"/>
    <w:rsid w:val="003F2123"/>
    <w:rsid w:val="00400A71"/>
    <w:rsid w:val="00437DFB"/>
    <w:rsid w:val="00444D0A"/>
    <w:rsid w:val="00450618"/>
    <w:rsid w:val="00486DAB"/>
    <w:rsid w:val="0049144F"/>
    <w:rsid w:val="004A164F"/>
    <w:rsid w:val="004A6D35"/>
    <w:rsid w:val="004B13E1"/>
    <w:rsid w:val="004B1A0B"/>
    <w:rsid w:val="004D7DEF"/>
    <w:rsid w:val="004E030F"/>
    <w:rsid w:val="004E2244"/>
    <w:rsid w:val="004F2E4B"/>
    <w:rsid w:val="005049D9"/>
    <w:rsid w:val="005116C0"/>
    <w:rsid w:val="00516668"/>
    <w:rsid w:val="00523367"/>
    <w:rsid w:val="00536FEC"/>
    <w:rsid w:val="00543860"/>
    <w:rsid w:val="005564BA"/>
    <w:rsid w:val="005568EE"/>
    <w:rsid w:val="00564FBC"/>
    <w:rsid w:val="0057420D"/>
    <w:rsid w:val="005767FB"/>
    <w:rsid w:val="005842F3"/>
    <w:rsid w:val="00593D6D"/>
    <w:rsid w:val="005A7E02"/>
    <w:rsid w:val="005B59CF"/>
    <w:rsid w:val="005B7F43"/>
    <w:rsid w:val="005C0B67"/>
    <w:rsid w:val="005C18AE"/>
    <w:rsid w:val="005D17C2"/>
    <w:rsid w:val="005D2B26"/>
    <w:rsid w:val="005D5C0B"/>
    <w:rsid w:val="005F3773"/>
    <w:rsid w:val="005F656B"/>
    <w:rsid w:val="00604B3A"/>
    <w:rsid w:val="0061014E"/>
    <w:rsid w:val="006142C0"/>
    <w:rsid w:val="006210E8"/>
    <w:rsid w:val="00623115"/>
    <w:rsid w:val="00624038"/>
    <w:rsid w:val="0062563E"/>
    <w:rsid w:val="0063486F"/>
    <w:rsid w:val="00635F13"/>
    <w:rsid w:val="006415F7"/>
    <w:rsid w:val="0067496D"/>
    <w:rsid w:val="00675CE3"/>
    <w:rsid w:val="006861F5"/>
    <w:rsid w:val="00692B0E"/>
    <w:rsid w:val="00692C0E"/>
    <w:rsid w:val="006939A2"/>
    <w:rsid w:val="006B4CF1"/>
    <w:rsid w:val="006C3974"/>
    <w:rsid w:val="006D310C"/>
    <w:rsid w:val="006D64D9"/>
    <w:rsid w:val="006E46DD"/>
    <w:rsid w:val="006F021D"/>
    <w:rsid w:val="00702A3E"/>
    <w:rsid w:val="00721644"/>
    <w:rsid w:val="0072650A"/>
    <w:rsid w:val="00726B53"/>
    <w:rsid w:val="0073588D"/>
    <w:rsid w:val="00735905"/>
    <w:rsid w:val="007428A9"/>
    <w:rsid w:val="00746973"/>
    <w:rsid w:val="00760A93"/>
    <w:rsid w:val="00772A93"/>
    <w:rsid w:val="007848EA"/>
    <w:rsid w:val="007907AD"/>
    <w:rsid w:val="007A42FE"/>
    <w:rsid w:val="007B01F7"/>
    <w:rsid w:val="007E648D"/>
    <w:rsid w:val="00816C01"/>
    <w:rsid w:val="008208F4"/>
    <w:rsid w:val="00834E7B"/>
    <w:rsid w:val="00841849"/>
    <w:rsid w:val="00844693"/>
    <w:rsid w:val="00844E96"/>
    <w:rsid w:val="0085438E"/>
    <w:rsid w:val="008614CB"/>
    <w:rsid w:val="0087618D"/>
    <w:rsid w:val="008A7F44"/>
    <w:rsid w:val="008B3439"/>
    <w:rsid w:val="008B4B2C"/>
    <w:rsid w:val="008C7BDD"/>
    <w:rsid w:val="008D62AD"/>
    <w:rsid w:val="008D714E"/>
    <w:rsid w:val="008F2A5C"/>
    <w:rsid w:val="009066FE"/>
    <w:rsid w:val="00907359"/>
    <w:rsid w:val="00907C57"/>
    <w:rsid w:val="00923CB2"/>
    <w:rsid w:val="00925D33"/>
    <w:rsid w:val="00937920"/>
    <w:rsid w:val="00951A3C"/>
    <w:rsid w:val="00953CCC"/>
    <w:rsid w:val="009574FD"/>
    <w:rsid w:val="00962384"/>
    <w:rsid w:val="00983426"/>
    <w:rsid w:val="00996939"/>
    <w:rsid w:val="009C3183"/>
    <w:rsid w:val="009C6834"/>
    <w:rsid w:val="009C7A79"/>
    <w:rsid w:val="009D460C"/>
    <w:rsid w:val="009E3A0E"/>
    <w:rsid w:val="009E7078"/>
    <w:rsid w:val="00A111FA"/>
    <w:rsid w:val="00A271AD"/>
    <w:rsid w:val="00A6650D"/>
    <w:rsid w:val="00A73019"/>
    <w:rsid w:val="00A7355F"/>
    <w:rsid w:val="00AA04AB"/>
    <w:rsid w:val="00AA37CE"/>
    <w:rsid w:val="00AA3D69"/>
    <w:rsid w:val="00AA4B1E"/>
    <w:rsid w:val="00AA54AD"/>
    <w:rsid w:val="00AB2002"/>
    <w:rsid w:val="00AB3599"/>
    <w:rsid w:val="00AD3904"/>
    <w:rsid w:val="00AE0392"/>
    <w:rsid w:val="00AE5A92"/>
    <w:rsid w:val="00AF0E67"/>
    <w:rsid w:val="00AF57CA"/>
    <w:rsid w:val="00B01B3A"/>
    <w:rsid w:val="00B06EBE"/>
    <w:rsid w:val="00B10B8D"/>
    <w:rsid w:val="00B257B4"/>
    <w:rsid w:val="00B76042"/>
    <w:rsid w:val="00B76BD6"/>
    <w:rsid w:val="00BC153A"/>
    <w:rsid w:val="00BC6A70"/>
    <w:rsid w:val="00BC6E1E"/>
    <w:rsid w:val="00BD1CD9"/>
    <w:rsid w:val="00BE4DC8"/>
    <w:rsid w:val="00BE55EC"/>
    <w:rsid w:val="00BE6C34"/>
    <w:rsid w:val="00C35780"/>
    <w:rsid w:val="00C42717"/>
    <w:rsid w:val="00C52F78"/>
    <w:rsid w:val="00C700EE"/>
    <w:rsid w:val="00C81FE7"/>
    <w:rsid w:val="00C8423C"/>
    <w:rsid w:val="00C91B0E"/>
    <w:rsid w:val="00CA3DE0"/>
    <w:rsid w:val="00CA5F74"/>
    <w:rsid w:val="00CC16BA"/>
    <w:rsid w:val="00CC55D2"/>
    <w:rsid w:val="00CC57F9"/>
    <w:rsid w:val="00CC70BB"/>
    <w:rsid w:val="00CD2107"/>
    <w:rsid w:val="00D11FDF"/>
    <w:rsid w:val="00D14E9D"/>
    <w:rsid w:val="00D20A63"/>
    <w:rsid w:val="00D247E0"/>
    <w:rsid w:val="00D324A7"/>
    <w:rsid w:val="00D5644B"/>
    <w:rsid w:val="00D61FED"/>
    <w:rsid w:val="00D75183"/>
    <w:rsid w:val="00D75C1F"/>
    <w:rsid w:val="00D77ECD"/>
    <w:rsid w:val="00DA46DD"/>
    <w:rsid w:val="00DA7EF6"/>
    <w:rsid w:val="00DB32C8"/>
    <w:rsid w:val="00DB49DB"/>
    <w:rsid w:val="00DB6A1D"/>
    <w:rsid w:val="00DB7C42"/>
    <w:rsid w:val="00DD4B7D"/>
    <w:rsid w:val="00DD65F8"/>
    <w:rsid w:val="00DE0610"/>
    <w:rsid w:val="00DE7242"/>
    <w:rsid w:val="00DF0182"/>
    <w:rsid w:val="00E17BA0"/>
    <w:rsid w:val="00E336C5"/>
    <w:rsid w:val="00E46CF7"/>
    <w:rsid w:val="00E6425D"/>
    <w:rsid w:val="00E642B1"/>
    <w:rsid w:val="00E712C6"/>
    <w:rsid w:val="00E84F33"/>
    <w:rsid w:val="00E9328D"/>
    <w:rsid w:val="00EB14A8"/>
    <w:rsid w:val="00EB1C32"/>
    <w:rsid w:val="00EE00B9"/>
    <w:rsid w:val="00EF78C3"/>
    <w:rsid w:val="00F06C06"/>
    <w:rsid w:val="00F175CA"/>
    <w:rsid w:val="00F2002A"/>
    <w:rsid w:val="00F22264"/>
    <w:rsid w:val="00F25A86"/>
    <w:rsid w:val="00F3236B"/>
    <w:rsid w:val="00F4432C"/>
    <w:rsid w:val="00F63543"/>
    <w:rsid w:val="00F737CA"/>
    <w:rsid w:val="00F75E95"/>
    <w:rsid w:val="00F8224D"/>
    <w:rsid w:val="00F838CB"/>
    <w:rsid w:val="00F84290"/>
    <w:rsid w:val="00F91312"/>
    <w:rsid w:val="00F917BC"/>
    <w:rsid w:val="00FB46B0"/>
    <w:rsid w:val="00FD2DEC"/>
    <w:rsid w:val="00FE6A90"/>
    <w:rsid w:val="00FF25CA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8F33F"/>
  <w15:chartTrackingRefBased/>
  <w15:docId w15:val="{C7D27DEF-8726-4BB7-9195-73B9CB4A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8A9"/>
    <w:pPr>
      <w:ind w:left="720"/>
      <w:contextualSpacing/>
    </w:pPr>
  </w:style>
  <w:style w:type="table" w:styleId="a4">
    <w:name w:val="Table Grid"/>
    <w:basedOn w:val="a1"/>
    <w:uiPriority w:val="39"/>
    <w:rsid w:val="00AF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D65F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65F8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DD65F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65F8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DD65F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65F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DD65F8"/>
    <w:rPr>
      <w:rFonts w:ascii="Tahoma" w:hAnsi="Tahoma" w:cs="Tahoma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DD65F8"/>
    <w:pPr>
      <w:spacing w:after="0" w:line="240" w:lineRule="auto"/>
    </w:pPr>
    <w:rPr>
      <w:sz w:val="20"/>
      <w:szCs w:val="20"/>
    </w:rPr>
  </w:style>
  <w:style w:type="character" w:customStyle="1" w:styleId="ad">
    <w:name w:val="טקסט הערת שוליים תו"/>
    <w:basedOn w:val="a0"/>
    <w:link w:val="ac"/>
    <w:uiPriority w:val="99"/>
    <w:semiHidden/>
    <w:rsid w:val="00DD65F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D6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שירה בוזגלו</dc:creator>
  <cp:keywords/>
  <dc:description/>
  <cp:lastModifiedBy>לירון דהן</cp:lastModifiedBy>
  <cp:revision>3</cp:revision>
  <dcterms:created xsi:type="dcterms:W3CDTF">2024-09-16T07:37:00Z</dcterms:created>
  <dcterms:modified xsi:type="dcterms:W3CDTF">2024-09-16T07:37:00Z</dcterms:modified>
</cp:coreProperties>
</file>