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3" w:rsidRPr="00941EB7" w:rsidRDefault="00AE23A1" w:rsidP="00A60E32">
      <w:pPr>
        <w:spacing w:before="360" w:after="0" w:line="276" w:lineRule="auto"/>
        <w:ind w:left="7371"/>
        <w:rPr>
          <w:rFonts w:ascii="Arial" w:hAnsi="Arial" w:cs="Arial"/>
          <w:noProof/>
          <w:sz w:val="24"/>
          <w:rtl/>
        </w:rPr>
      </w:pPr>
      <w:r w:rsidRPr="00941EB7">
        <w:rPr>
          <w:rFonts w:ascii="Arial" w:hAnsi="Arial" w:cs="Arial"/>
          <w:sz w:val="24"/>
          <w:rtl/>
        </w:rPr>
        <w:fldChar w:fldCharType="begin"/>
      </w:r>
      <w:r w:rsidR="0010049C" w:rsidRPr="00941EB7">
        <w:rPr>
          <w:rFonts w:ascii="Arial" w:hAnsi="Arial" w:cs="Arial"/>
          <w:sz w:val="24"/>
          <w:rtl/>
        </w:rPr>
        <w:instrText xml:space="preserve"> </w:instrText>
      </w:r>
      <w:r w:rsidR="0010049C" w:rsidRPr="00941EB7">
        <w:rPr>
          <w:rFonts w:ascii="Arial" w:hAnsi="Arial" w:cs="Arial"/>
          <w:sz w:val="24"/>
        </w:rPr>
        <w:instrText>CREATEDATE  \@ "d MMMM, yyyy"  \* MERGEFORMAT</w:instrText>
      </w:r>
      <w:r w:rsidR="0010049C" w:rsidRPr="00941EB7">
        <w:rPr>
          <w:rFonts w:ascii="Arial" w:hAnsi="Arial" w:cs="Arial"/>
          <w:sz w:val="24"/>
          <w:rtl/>
        </w:rPr>
        <w:instrText xml:space="preserve"> </w:instrText>
      </w:r>
      <w:r w:rsidRPr="00941EB7">
        <w:rPr>
          <w:rFonts w:ascii="Arial" w:hAnsi="Arial" w:cs="Arial"/>
          <w:sz w:val="24"/>
          <w:rtl/>
        </w:rPr>
        <w:fldChar w:fldCharType="separate"/>
      </w:r>
      <w:r w:rsidR="009B5C86" w:rsidRPr="00941EB7">
        <w:rPr>
          <w:rFonts w:ascii="Arial" w:hAnsi="Arial" w:cs="Arial"/>
          <w:noProof/>
          <w:sz w:val="24"/>
          <w:rtl/>
        </w:rPr>
        <w:t>‏</w:t>
      </w:r>
    </w:p>
    <w:p w:rsidR="00044F62" w:rsidRPr="00941EB7" w:rsidRDefault="00550EF6" w:rsidP="00A60E32">
      <w:pPr>
        <w:spacing w:before="360" w:after="0" w:line="276" w:lineRule="auto"/>
        <w:ind w:left="7371"/>
        <w:rPr>
          <w:rFonts w:ascii="Arial" w:hAnsi="Arial" w:cs="Arial"/>
          <w:noProof/>
          <w:sz w:val="24"/>
          <w:rtl/>
        </w:rPr>
      </w:pPr>
      <w:r w:rsidRPr="00941EB7">
        <w:rPr>
          <w:rFonts w:ascii="Arial" w:hAnsi="Arial" w:cs="Arial"/>
          <w:noProof/>
          <w:sz w:val="24"/>
          <w:rtl/>
        </w:rPr>
        <w:t>6</w:t>
      </w:r>
      <w:r w:rsidR="00141587" w:rsidRPr="00941EB7">
        <w:rPr>
          <w:rFonts w:ascii="Arial" w:hAnsi="Arial" w:cs="Arial"/>
          <w:noProof/>
          <w:sz w:val="24"/>
          <w:rtl/>
        </w:rPr>
        <w:t xml:space="preserve"> </w:t>
      </w:r>
      <w:r w:rsidR="00DE09F2" w:rsidRPr="00941EB7">
        <w:rPr>
          <w:rFonts w:ascii="Arial" w:hAnsi="Arial" w:cs="Arial"/>
          <w:noProof/>
          <w:sz w:val="24"/>
          <w:rtl/>
        </w:rPr>
        <w:t>פברואר</w:t>
      </w:r>
      <w:r w:rsidR="009B5C86" w:rsidRPr="00941EB7">
        <w:rPr>
          <w:rFonts w:ascii="Arial" w:hAnsi="Arial" w:cs="Arial"/>
          <w:noProof/>
          <w:sz w:val="24"/>
          <w:rtl/>
        </w:rPr>
        <w:t xml:space="preserve">, </w:t>
      </w:r>
      <w:r w:rsidR="00F638F5" w:rsidRPr="00941EB7">
        <w:rPr>
          <w:rFonts w:ascii="Arial" w:hAnsi="Arial" w:cs="Arial"/>
          <w:noProof/>
          <w:sz w:val="24"/>
          <w:rtl/>
        </w:rPr>
        <w:t>2025</w:t>
      </w:r>
      <w:r w:rsidR="00AE23A1" w:rsidRPr="00941EB7">
        <w:rPr>
          <w:rFonts w:ascii="Arial" w:hAnsi="Arial" w:cs="Arial"/>
          <w:sz w:val="24"/>
          <w:rtl/>
        </w:rPr>
        <w:fldChar w:fldCharType="end"/>
      </w:r>
    </w:p>
    <w:p w:rsidR="00622308" w:rsidRPr="00941EB7" w:rsidRDefault="00622308" w:rsidP="00A60E32">
      <w:pPr>
        <w:spacing w:line="276" w:lineRule="auto"/>
        <w:jc w:val="center"/>
        <w:rPr>
          <w:rFonts w:ascii="Arial" w:hAnsi="Arial" w:cs="Arial"/>
          <w:b/>
          <w:bCs/>
          <w:sz w:val="24"/>
          <w:u w:val="single"/>
          <w:rtl/>
        </w:rPr>
      </w:pPr>
    </w:p>
    <w:p w:rsidR="0010049C" w:rsidRPr="00941EB7" w:rsidRDefault="00550EF6" w:rsidP="00A60E32">
      <w:pPr>
        <w:spacing w:line="276" w:lineRule="auto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val="en-GB" w:bidi="ar-SA"/>
        </w:rPr>
        <w:t>إعلان صحفي مشترك</w:t>
      </w:r>
      <w:r w:rsidRPr="00941EB7">
        <w:rPr>
          <w:rFonts w:ascii="Arial" w:hAnsi="Arial" w:cs="Arial"/>
          <w:szCs w:val="22"/>
          <w:rtl/>
        </w:rPr>
        <w:t>:</w:t>
      </w:r>
    </w:p>
    <w:p w:rsidR="00240F0C" w:rsidRDefault="00550EF6" w:rsidP="00240F0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</w:pPr>
      <w:bookmarkStart w:id="0" w:name="_GoBack"/>
      <w:r w:rsidRPr="00941EB7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دعوة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للمشاركة في</w:t>
      </w:r>
      <w:r w:rsidRPr="00941EB7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دراسة جدوى لتطوير سوق إعادة الشراء</w:t>
      </w:r>
      <w:r w:rsidR="0096302C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 xml:space="preserve"> (</w:t>
      </w:r>
      <w:r w:rsidR="0096302C" w:rsidRPr="00941EB7">
        <w:rPr>
          <w:rFonts w:ascii="Arial" w:hAnsi="Arial" w:cs="Arial"/>
          <w:b/>
          <w:bCs/>
          <w:sz w:val="28"/>
          <w:szCs w:val="28"/>
          <w:u w:val="single"/>
        </w:rPr>
        <w:t>Repo</w:t>
      </w:r>
      <w:r w:rsidR="0096302C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)</w:t>
      </w:r>
      <w:r w:rsidRPr="00941EB7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941EB7" w:rsidRPr="00941EB7" w:rsidRDefault="00550EF6" w:rsidP="00240F0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</w:pPr>
      <w:r w:rsidRPr="00941EB7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في </w:t>
      </w:r>
      <w:r w:rsidR="0096302C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النظام الاقتصادي</w:t>
      </w:r>
      <w:r w:rsidRPr="00941EB7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الإسرائيلي</w:t>
      </w:r>
    </w:p>
    <w:p w:rsidR="002923D5" w:rsidRPr="00941EB7" w:rsidRDefault="002923D5" w:rsidP="00A60E32">
      <w:pPr>
        <w:spacing w:line="276" w:lineRule="auto"/>
        <w:jc w:val="both"/>
        <w:rPr>
          <w:rFonts w:ascii="Arial" w:hAnsi="Arial" w:cs="Arial"/>
          <w:b/>
          <w:bCs/>
          <w:sz w:val="24"/>
          <w:rtl/>
        </w:rPr>
      </w:pPr>
    </w:p>
    <w:bookmarkEnd w:id="0"/>
    <w:p w:rsidR="00941EB7" w:rsidRPr="00941EB7" w:rsidRDefault="00550EF6" w:rsidP="00A60E32">
      <w:pPr>
        <w:spacing w:line="276" w:lineRule="auto"/>
        <w:jc w:val="both"/>
        <w:rPr>
          <w:rFonts w:ascii="Arial" w:hAnsi="Arial" w:cs="Arial"/>
          <w:b/>
          <w:bCs/>
          <w:sz w:val="24"/>
          <w:rtl/>
          <w:lang w:bidi="ar-SA"/>
        </w:rPr>
      </w:pP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تدرس دائرة المحاسب العام في وزارة المالية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وشعبة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الأسواق في بنك إسرائيل وهيئة الأوراق المالية وبورصة تل أبيب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 xml:space="preserve">للأوراق المالية 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حاليًا، بشكل مشترك وبالتنسيق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 xml:space="preserve"> فيما بينها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(فيما يلي - "الفريق المشت</w:t>
      </w:r>
      <w:r w:rsidR="0096302C">
        <w:rPr>
          <w:rFonts w:ascii="Arial" w:hAnsi="Arial" w:cs="Arial"/>
          <w:b/>
          <w:bCs/>
          <w:sz w:val="24"/>
          <w:rtl/>
          <w:lang w:bidi="ar-SA"/>
        </w:rPr>
        <w:t xml:space="preserve">رك")، إمكانية تطوير وتعزيز سوق 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معاملات إعادة البيع (فيما يلي - "الريبو") للسندات الحكومية.</w:t>
      </w:r>
    </w:p>
    <w:p w:rsidR="00941EB7" w:rsidRPr="00941EB7" w:rsidRDefault="00550EF6" w:rsidP="00240F0C">
      <w:pPr>
        <w:spacing w:line="276" w:lineRule="auto"/>
        <w:jc w:val="both"/>
        <w:rPr>
          <w:rFonts w:ascii="Arial" w:hAnsi="Arial" w:cs="Arial"/>
          <w:b/>
          <w:bCs/>
          <w:sz w:val="24"/>
          <w:rtl/>
          <w:lang w:bidi="ar-SA"/>
        </w:rPr>
      </w:pPr>
      <w:r w:rsidRPr="00941EB7">
        <w:rPr>
          <w:rFonts w:ascii="Arial" w:hAnsi="Arial" w:cs="Arial"/>
          <w:b/>
          <w:bCs/>
          <w:sz w:val="24"/>
          <w:rtl/>
          <w:lang w:bidi="ar-SA"/>
        </w:rPr>
        <w:t>بناءً على المناقشات الد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اخلية التي أجراها الفريق المشترك خلال الفترة الأخيرة، </w:t>
      </w:r>
      <w:r w:rsidR="00240F0C">
        <w:rPr>
          <w:rFonts w:ascii="Arial" w:hAnsi="Arial" w:cs="Arial" w:hint="cs"/>
          <w:b/>
          <w:bCs/>
          <w:sz w:val="24"/>
          <w:rtl/>
          <w:lang w:bidi="ar-SA"/>
        </w:rPr>
        <w:t>بعد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الأخذ في الاعتبار التحديات الاقتصادية التي يواجهها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النظام الاقتصادي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الإسرائيلي، ونظرًا للقيمة المضافة المترتبة على تطوير سوق إعادة الشراء في إسرائيل، وبهدف توضيح احتياجات المشاركين المحتملين في هذا 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السياق، </w:t>
      </w:r>
      <w:r w:rsidR="00240F0C">
        <w:rPr>
          <w:rFonts w:ascii="Arial" w:hAnsi="Arial" w:cs="Arial" w:hint="cs"/>
          <w:b/>
          <w:bCs/>
          <w:sz w:val="24"/>
          <w:rtl/>
          <w:lang w:bidi="ar-SA"/>
        </w:rPr>
        <w:t>نقدم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هنا ورقة تصف الأساس المنطقي وراء المبادرة المشتركة وتعرض قضايا مختارة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لتعليقات الجمهور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.</w:t>
      </w:r>
    </w:p>
    <w:p w:rsidR="00941EB7" w:rsidRPr="00941EB7" w:rsidRDefault="00550EF6" w:rsidP="00A60E32">
      <w:pPr>
        <w:spacing w:line="276" w:lineRule="auto"/>
        <w:jc w:val="both"/>
        <w:rPr>
          <w:rFonts w:ascii="Arial" w:hAnsi="Arial" w:cs="Arial"/>
          <w:b/>
          <w:bCs/>
          <w:sz w:val="24"/>
          <w:rtl/>
        </w:rPr>
      </w:pP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يدعو الفريق المشترك الجمهور إلى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الرد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وتقديم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تعليقاته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على ا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لقضايا المفصلة في الدعوة.</w:t>
      </w:r>
    </w:p>
    <w:p w:rsidR="00941EB7" w:rsidRPr="00941EB7" w:rsidRDefault="00550EF6" w:rsidP="00240F0C">
      <w:pPr>
        <w:spacing w:line="276" w:lineRule="auto"/>
        <w:jc w:val="both"/>
        <w:rPr>
          <w:rFonts w:ascii="Arial" w:hAnsi="Arial" w:cs="Arial"/>
          <w:b/>
          <w:bCs/>
          <w:sz w:val="24"/>
          <w:rtl/>
          <w:lang w:bidi="ar-SA"/>
        </w:rPr>
      </w:pPr>
      <w:r w:rsidRPr="00941EB7">
        <w:rPr>
          <w:rFonts w:ascii="Arial" w:hAnsi="Arial" w:cs="Arial"/>
          <w:b/>
          <w:bCs/>
          <w:sz w:val="24"/>
          <w:rtl/>
          <w:lang w:bidi="ar-SA"/>
        </w:rPr>
        <w:t>جهات الاتصال: جيل كوهين (</w:t>
      </w:r>
      <w:r w:rsidR="00240F0C">
        <w:rPr>
          <w:rFonts w:ascii="Arial" w:hAnsi="Arial" w:cs="Arial" w:hint="cs"/>
          <w:b/>
          <w:bCs/>
          <w:sz w:val="24"/>
          <w:rtl/>
          <w:lang w:bidi="ar-SA"/>
        </w:rPr>
        <w:t>دائرة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المحاسب العام، وزارة المالية)، ميمي ريجي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ف (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>شعبة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 xml:space="preserve"> الأسواق، بنك إسرائيل)، ايتسيك شوركي (هيئة الأوراق المالية)، أورلي جرينفيلد (بورصة تل أبيب</w:t>
      </w:r>
      <w:r w:rsidR="0096302C">
        <w:rPr>
          <w:rFonts w:ascii="Arial" w:hAnsi="Arial" w:cs="Arial" w:hint="cs"/>
          <w:b/>
          <w:bCs/>
          <w:sz w:val="24"/>
          <w:rtl/>
          <w:lang w:bidi="ar-SA"/>
        </w:rPr>
        <w:t xml:space="preserve"> للأوراق المالية</w:t>
      </w:r>
      <w:r w:rsidRPr="00941EB7">
        <w:rPr>
          <w:rFonts w:ascii="Arial" w:hAnsi="Arial" w:cs="Arial"/>
          <w:b/>
          <w:bCs/>
          <w:sz w:val="24"/>
          <w:rtl/>
          <w:lang w:bidi="ar-SA"/>
        </w:rPr>
        <w:t>).</w:t>
      </w:r>
    </w:p>
    <w:p w:rsidR="002923D5" w:rsidRPr="00941EB7" w:rsidRDefault="002923D5" w:rsidP="00A60E32">
      <w:pPr>
        <w:spacing w:line="276" w:lineRule="auto"/>
        <w:jc w:val="both"/>
        <w:rPr>
          <w:rFonts w:ascii="Arial" w:hAnsi="Arial" w:cs="Arial"/>
          <w:sz w:val="24"/>
          <w:rtl/>
        </w:rPr>
      </w:pPr>
    </w:p>
    <w:p w:rsidR="002923D5" w:rsidRPr="00941EB7" w:rsidRDefault="00550EF6" w:rsidP="00A60E32">
      <w:pPr>
        <w:spacing w:line="276" w:lineRule="auto"/>
        <w:jc w:val="both"/>
        <w:rPr>
          <w:rFonts w:ascii="Arial" w:hAnsi="Arial" w:cs="Arial"/>
          <w:sz w:val="24"/>
          <w:u w:val="single"/>
          <w:rtl/>
          <w:lang w:bidi="ar-SA"/>
        </w:rPr>
      </w:pPr>
      <w:r>
        <w:rPr>
          <w:rFonts w:ascii="Arial" w:hAnsi="Arial" w:cs="Arial" w:hint="cs"/>
          <w:b/>
          <w:bCs/>
          <w:sz w:val="24"/>
          <w:u w:val="single"/>
          <w:rtl/>
          <w:lang w:bidi="ar-SA"/>
        </w:rPr>
        <w:t>تمهيد</w:t>
      </w:r>
    </w:p>
    <w:p w:rsidR="00941EB7" w:rsidRPr="00941EB7" w:rsidRDefault="00550EF6" w:rsidP="00240F0C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معاملات إعادة </w:t>
      </w:r>
      <w:r w:rsidR="0014664D">
        <w:rPr>
          <w:rFonts w:ascii="Arial" w:hAnsi="Arial" w:cs="Arial" w:hint="cs"/>
          <w:sz w:val="24"/>
          <w:rtl/>
          <w:lang w:bidi="ar-SA"/>
        </w:rPr>
        <w:t>شراء الأوراق النقدية (</w:t>
      </w:r>
      <w:r w:rsidR="0014664D" w:rsidRPr="00941EB7">
        <w:rPr>
          <w:rFonts w:ascii="Arial" w:hAnsi="Arial" w:cs="Arial"/>
          <w:sz w:val="24"/>
        </w:rPr>
        <w:t>Repurchase Transactions</w:t>
      </w:r>
      <w:r w:rsidR="0014664D">
        <w:rPr>
          <w:rFonts w:ascii="Arial" w:hAnsi="Arial" w:cs="Arial" w:hint="cs"/>
          <w:sz w:val="24"/>
          <w:rtl/>
          <w:lang w:bidi="ar-SA"/>
        </w:rPr>
        <w:t>)</w:t>
      </w:r>
      <w:r w:rsidRPr="00941EB7">
        <w:rPr>
          <w:rFonts w:ascii="Arial" w:hAnsi="Arial" w:cs="Arial"/>
          <w:sz w:val="24"/>
          <w:rtl/>
          <w:lang w:bidi="ar-SA"/>
        </w:rPr>
        <w:t xml:space="preserve"> هي معاملات تتضمن نقل النقد من قبل </w:t>
      </w:r>
      <w:r w:rsidR="00240F0C">
        <w:rPr>
          <w:rFonts w:ascii="Arial" w:hAnsi="Arial" w:cs="Arial" w:hint="cs"/>
          <w:sz w:val="24"/>
          <w:rtl/>
          <w:lang w:bidi="ar-SA"/>
        </w:rPr>
        <w:t>من طرف إلى آخر</w:t>
      </w:r>
      <w:r w:rsidRPr="00941EB7">
        <w:rPr>
          <w:rFonts w:ascii="Arial" w:hAnsi="Arial" w:cs="Arial"/>
          <w:sz w:val="24"/>
          <w:rtl/>
          <w:lang w:bidi="ar-SA"/>
        </w:rPr>
        <w:t xml:space="preserve"> في المعاملة، مقابل ضمان</w:t>
      </w:r>
      <w:r w:rsidR="00240F0C">
        <w:rPr>
          <w:rFonts w:ascii="Arial" w:hAnsi="Arial" w:cs="Arial" w:hint="cs"/>
          <w:sz w:val="24"/>
          <w:rtl/>
          <w:lang w:bidi="ar-SA"/>
        </w:rPr>
        <w:t>ات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240F0C">
        <w:rPr>
          <w:rFonts w:ascii="Arial" w:hAnsi="Arial" w:cs="Arial" w:hint="cs"/>
          <w:sz w:val="24"/>
          <w:rtl/>
          <w:lang w:bidi="ar-SA"/>
        </w:rPr>
        <w:t>على</w:t>
      </w:r>
      <w:r w:rsidRPr="00941EB7">
        <w:rPr>
          <w:rFonts w:ascii="Arial" w:hAnsi="Arial" w:cs="Arial"/>
          <w:sz w:val="24"/>
          <w:rtl/>
          <w:lang w:bidi="ar-SA"/>
        </w:rPr>
        <w:t xml:space="preserve"> شكل </w:t>
      </w:r>
      <w:r w:rsidR="0014664D">
        <w:rPr>
          <w:rFonts w:ascii="Arial" w:hAnsi="Arial" w:cs="Arial" w:hint="cs"/>
          <w:sz w:val="24"/>
          <w:rtl/>
          <w:lang w:bidi="ar-SA"/>
        </w:rPr>
        <w:t>أوراق مالية</w:t>
      </w:r>
      <w:r w:rsidRPr="00941EB7">
        <w:rPr>
          <w:rFonts w:ascii="Arial" w:hAnsi="Arial" w:cs="Arial"/>
          <w:sz w:val="24"/>
          <w:rtl/>
          <w:lang w:bidi="ar-SA"/>
        </w:rPr>
        <w:t>، وعادة ما تكون سندات حكو</w:t>
      </w:r>
      <w:r w:rsidR="0014664D">
        <w:rPr>
          <w:rFonts w:ascii="Arial" w:hAnsi="Arial" w:cs="Arial"/>
          <w:sz w:val="24"/>
          <w:rtl/>
          <w:lang w:bidi="ar-SA"/>
        </w:rPr>
        <w:t xml:space="preserve">مية أو </w:t>
      </w:r>
      <w:r w:rsidR="00240F0C">
        <w:rPr>
          <w:rFonts w:ascii="Arial" w:hAnsi="Arial" w:cs="Arial" w:hint="cs"/>
          <w:sz w:val="24"/>
          <w:rtl/>
          <w:lang w:bidi="ar-SA"/>
        </w:rPr>
        <w:t>أصول</w:t>
      </w:r>
      <w:r w:rsidR="0014664D">
        <w:rPr>
          <w:rFonts w:ascii="Arial" w:hAnsi="Arial" w:cs="Arial"/>
          <w:sz w:val="24"/>
          <w:rtl/>
          <w:lang w:bidi="ar-SA"/>
        </w:rPr>
        <w:t xml:space="preserve"> </w:t>
      </w:r>
      <w:r w:rsidR="00240F0C">
        <w:rPr>
          <w:rFonts w:ascii="Arial" w:hAnsi="Arial" w:cs="Arial" w:hint="cs"/>
          <w:sz w:val="24"/>
          <w:rtl/>
          <w:lang w:bidi="ar-SA"/>
        </w:rPr>
        <w:t>أخرى ذات</w:t>
      </w:r>
      <w:r w:rsidR="0014664D">
        <w:rPr>
          <w:rFonts w:ascii="Arial" w:hAnsi="Arial" w:cs="Arial"/>
          <w:sz w:val="24"/>
          <w:rtl/>
          <w:lang w:bidi="ar-SA"/>
        </w:rPr>
        <w:t xml:space="preserve"> مخاطر ائتمان</w:t>
      </w:r>
      <w:r w:rsidRPr="00941EB7">
        <w:rPr>
          <w:rFonts w:ascii="Arial" w:hAnsi="Arial" w:cs="Arial"/>
          <w:sz w:val="24"/>
          <w:rtl/>
          <w:lang w:bidi="ar-SA"/>
        </w:rPr>
        <w:t xml:space="preserve"> وسيولة منخفضة. في معاملة إعادة الشراء، الطرف الذي ينقل </w:t>
      </w:r>
      <w:r w:rsidR="0014664D">
        <w:rPr>
          <w:rFonts w:ascii="Arial" w:hAnsi="Arial" w:cs="Arial" w:hint="cs"/>
          <w:sz w:val="24"/>
          <w:rtl/>
          <w:lang w:bidi="ar-SA"/>
        </w:rPr>
        <w:t>الأوراق المالية يبيعها</w:t>
      </w:r>
      <w:r w:rsidRPr="00941EB7">
        <w:rPr>
          <w:rFonts w:ascii="Arial" w:hAnsi="Arial" w:cs="Arial"/>
          <w:sz w:val="24"/>
          <w:rtl/>
          <w:lang w:bidi="ar-SA"/>
        </w:rPr>
        <w:t xml:space="preserve"> إلى </w:t>
      </w:r>
      <w:r w:rsidR="00240F0C">
        <w:rPr>
          <w:rFonts w:ascii="Arial" w:hAnsi="Arial" w:cs="Arial" w:hint="cs"/>
          <w:sz w:val="24"/>
          <w:rtl/>
          <w:lang w:bidi="ar-SA"/>
        </w:rPr>
        <w:t>ال</w:t>
      </w:r>
      <w:r w:rsidRPr="00941EB7">
        <w:rPr>
          <w:rFonts w:ascii="Arial" w:hAnsi="Arial" w:cs="Arial"/>
          <w:sz w:val="24"/>
          <w:rtl/>
          <w:lang w:bidi="ar-SA"/>
        </w:rPr>
        <w:t xml:space="preserve">طرف </w:t>
      </w:r>
      <w:r w:rsidR="00240F0C">
        <w:rPr>
          <w:rFonts w:ascii="Arial" w:hAnsi="Arial" w:cs="Arial" w:hint="cs"/>
          <w:sz w:val="24"/>
          <w:rtl/>
          <w:lang w:bidi="ar-SA"/>
        </w:rPr>
        <w:t>ال</w:t>
      </w:r>
      <w:r w:rsidRPr="00941EB7">
        <w:rPr>
          <w:rFonts w:ascii="Arial" w:hAnsi="Arial" w:cs="Arial"/>
          <w:sz w:val="24"/>
          <w:rtl/>
          <w:lang w:bidi="ar-SA"/>
        </w:rPr>
        <w:t xml:space="preserve">آخر، مع </w:t>
      </w:r>
      <w:r w:rsidR="0014664D">
        <w:rPr>
          <w:rFonts w:ascii="Arial" w:hAnsi="Arial" w:cs="Arial" w:hint="cs"/>
          <w:sz w:val="24"/>
          <w:rtl/>
          <w:lang w:bidi="ar-SA"/>
        </w:rPr>
        <w:t>ضمان</w:t>
      </w:r>
      <w:r w:rsidRPr="00941EB7">
        <w:rPr>
          <w:rFonts w:ascii="Arial" w:hAnsi="Arial" w:cs="Arial"/>
          <w:sz w:val="24"/>
          <w:rtl/>
          <w:lang w:bidi="ar-SA"/>
        </w:rPr>
        <w:t xml:space="preserve"> بإعادة شرائه</w:t>
      </w:r>
      <w:r w:rsidR="0014664D">
        <w:rPr>
          <w:rFonts w:ascii="Arial" w:hAnsi="Arial" w:cs="Arial" w:hint="cs"/>
          <w:sz w:val="24"/>
          <w:rtl/>
          <w:lang w:bidi="ar-SA"/>
        </w:rPr>
        <w:t>ا</w:t>
      </w:r>
      <w:r w:rsidRPr="00941EB7">
        <w:rPr>
          <w:rFonts w:ascii="Arial" w:hAnsi="Arial" w:cs="Arial"/>
          <w:sz w:val="24"/>
          <w:rtl/>
          <w:lang w:bidi="ar-SA"/>
        </w:rPr>
        <w:t xml:space="preserve"> بعد فترة محددة وفقًا للاتفاق بين الطرفين، بحيث تكون معاملة</w:t>
      </w:r>
      <w:r w:rsidRPr="00941EB7">
        <w:rPr>
          <w:rFonts w:ascii="Arial" w:hAnsi="Arial" w:cs="Arial"/>
          <w:sz w:val="24"/>
          <w:rtl/>
          <w:lang w:bidi="ar-SA"/>
        </w:rPr>
        <w:t xml:space="preserve"> بيع وإعادة شراء </w:t>
      </w:r>
      <w:r w:rsidR="0014664D">
        <w:rPr>
          <w:rFonts w:ascii="Arial" w:hAnsi="Arial" w:cs="Arial" w:hint="cs"/>
          <w:sz w:val="24"/>
          <w:rtl/>
          <w:lang w:bidi="ar-SA"/>
        </w:rPr>
        <w:t>للأوراق المالية</w:t>
      </w:r>
      <w:r w:rsidRPr="00941EB7">
        <w:rPr>
          <w:rFonts w:ascii="Arial" w:hAnsi="Arial" w:cs="Arial"/>
          <w:sz w:val="24"/>
          <w:rtl/>
          <w:lang w:bidi="ar-SA"/>
        </w:rPr>
        <w:t xml:space="preserve"> في نهاية الفترة.</w:t>
      </w:r>
    </w:p>
    <w:p w:rsidR="00941EB7" w:rsidRPr="00941EB7" w:rsidRDefault="00550EF6" w:rsidP="00A60E32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تشكل معاملات إعادة الشراء أداة تمويل رئيسية للمؤسسات المالية </w:t>
      </w:r>
      <w:r w:rsidR="0014664D">
        <w:rPr>
          <w:rFonts w:ascii="Arial" w:hAnsi="Arial" w:cs="Arial" w:hint="cs"/>
          <w:sz w:val="24"/>
          <w:rtl/>
          <w:lang w:bidi="ar-SA"/>
        </w:rPr>
        <w:t>و</w:t>
      </w:r>
      <w:r w:rsidRPr="00941EB7">
        <w:rPr>
          <w:rFonts w:ascii="Arial" w:hAnsi="Arial" w:cs="Arial"/>
          <w:sz w:val="24"/>
          <w:rtl/>
          <w:lang w:bidi="ar-SA"/>
        </w:rPr>
        <w:t>المشاركين</w:t>
      </w:r>
      <w:r w:rsidR="0014664D">
        <w:rPr>
          <w:rFonts w:ascii="Arial" w:hAnsi="Arial" w:cs="Arial" w:hint="cs"/>
          <w:sz w:val="24"/>
          <w:rtl/>
          <w:lang w:bidi="ar-SA"/>
        </w:rPr>
        <w:t xml:space="preserve"> المختلفين</w:t>
      </w:r>
      <w:r w:rsidRPr="00941EB7">
        <w:rPr>
          <w:rFonts w:ascii="Arial" w:hAnsi="Arial" w:cs="Arial"/>
          <w:sz w:val="24"/>
          <w:rtl/>
          <w:lang w:bidi="ar-SA"/>
        </w:rPr>
        <w:t xml:space="preserve"> في السوق في العديد من </w:t>
      </w:r>
      <w:r w:rsidR="0014664D">
        <w:rPr>
          <w:rFonts w:ascii="Arial" w:hAnsi="Arial" w:cs="Arial" w:hint="cs"/>
          <w:sz w:val="24"/>
          <w:rtl/>
          <w:lang w:bidi="ar-SA"/>
        </w:rPr>
        <w:t>الدول</w:t>
      </w:r>
      <w:r w:rsidRPr="00941EB7">
        <w:rPr>
          <w:rFonts w:ascii="Arial" w:hAnsi="Arial" w:cs="Arial"/>
          <w:sz w:val="24"/>
          <w:rtl/>
          <w:lang w:bidi="ar-SA"/>
        </w:rPr>
        <w:t xml:space="preserve"> حول العالم، مع التركيز على الأسواق المتقدمة.</w:t>
      </w:r>
    </w:p>
    <w:p w:rsidR="00941EB7" w:rsidRPr="00941EB7" w:rsidRDefault="00550EF6" w:rsidP="00240F0C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لا يوجد سوق إعادة شراء متطور في إسرائيل. </w:t>
      </w:r>
      <w:r w:rsidR="00240F0C">
        <w:rPr>
          <w:rFonts w:ascii="Arial" w:hAnsi="Arial" w:cs="Arial" w:hint="cs"/>
          <w:sz w:val="24"/>
          <w:rtl/>
          <w:lang w:bidi="ar-SA"/>
        </w:rPr>
        <w:t>ف</w:t>
      </w:r>
      <w:r w:rsidRPr="00941EB7">
        <w:rPr>
          <w:rFonts w:ascii="Arial" w:hAnsi="Arial" w:cs="Arial"/>
          <w:sz w:val="24"/>
          <w:rtl/>
          <w:lang w:bidi="ar-SA"/>
        </w:rPr>
        <w:t xml:space="preserve">نطاق </w:t>
      </w:r>
      <w:r w:rsidRPr="00941EB7">
        <w:rPr>
          <w:rFonts w:ascii="Arial" w:hAnsi="Arial" w:cs="Arial"/>
          <w:sz w:val="24"/>
          <w:rtl/>
          <w:lang w:bidi="ar-SA"/>
        </w:rPr>
        <w:t>معاملات إعادة الشراء التي ت</w:t>
      </w:r>
      <w:r w:rsidR="0014664D">
        <w:rPr>
          <w:rFonts w:ascii="Arial" w:hAnsi="Arial" w:cs="Arial"/>
          <w:sz w:val="24"/>
          <w:rtl/>
          <w:lang w:bidi="ar-SA"/>
        </w:rPr>
        <w:t>تم في السوق المحلية محدود نسبي</w:t>
      </w:r>
      <w:r w:rsidR="0014664D">
        <w:rPr>
          <w:rFonts w:ascii="Arial" w:hAnsi="Arial" w:cs="Arial" w:hint="cs"/>
          <w:sz w:val="24"/>
          <w:rtl/>
          <w:lang w:bidi="ar-SA"/>
        </w:rPr>
        <w:t>اً</w:t>
      </w:r>
      <w:r w:rsidRPr="00941EB7">
        <w:rPr>
          <w:rFonts w:ascii="Arial" w:hAnsi="Arial" w:cs="Arial"/>
          <w:sz w:val="24"/>
          <w:rtl/>
          <w:lang w:bidi="ar-SA"/>
        </w:rPr>
        <w:t xml:space="preserve">، وخاصة </w:t>
      </w:r>
      <w:r w:rsidR="0014664D">
        <w:rPr>
          <w:rFonts w:ascii="Arial" w:hAnsi="Arial" w:cs="Arial" w:hint="cs"/>
          <w:sz w:val="24"/>
          <w:rtl/>
          <w:lang w:bidi="ar-SA"/>
        </w:rPr>
        <w:t>مقارنة</w:t>
      </w:r>
      <w:r w:rsidRPr="00941EB7">
        <w:rPr>
          <w:rFonts w:ascii="Arial" w:hAnsi="Arial" w:cs="Arial"/>
          <w:sz w:val="24"/>
          <w:rtl/>
          <w:lang w:bidi="ar-SA"/>
        </w:rPr>
        <w:t xml:space="preserve"> بالإمكانيات، وفي كثير من الحالات يعتمد </w:t>
      </w:r>
      <w:r w:rsidR="00240F0C">
        <w:rPr>
          <w:rFonts w:ascii="Arial" w:hAnsi="Arial" w:cs="Arial" w:hint="cs"/>
          <w:sz w:val="24"/>
          <w:rtl/>
          <w:lang w:bidi="ar-SA"/>
        </w:rPr>
        <w:t>ابرام</w:t>
      </w:r>
      <w:r w:rsidRPr="00941EB7">
        <w:rPr>
          <w:rFonts w:ascii="Arial" w:hAnsi="Arial" w:cs="Arial"/>
          <w:sz w:val="24"/>
          <w:rtl/>
          <w:lang w:bidi="ar-SA"/>
        </w:rPr>
        <w:t xml:space="preserve"> وتشغيل هذه المعاملات على وسطاء فرديين. من المهم التأكيد على أن مشاركة المؤسسات المالية الدولية في معاملات إعادة الشراء في السوق المحلية هي أيضا</w:t>
      </w:r>
      <w:r w:rsidR="00240F0C">
        <w:rPr>
          <w:rFonts w:ascii="Arial" w:hAnsi="Arial" w:cs="Arial" w:hint="cs"/>
          <w:sz w:val="24"/>
          <w:rtl/>
          <w:lang w:bidi="ar-SA"/>
        </w:rPr>
        <w:t>ً</w:t>
      </w:r>
      <w:r w:rsidRPr="00941EB7">
        <w:rPr>
          <w:rFonts w:ascii="Arial" w:hAnsi="Arial" w:cs="Arial"/>
          <w:sz w:val="24"/>
          <w:rtl/>
          <w:lang w:bidi="ar-SA"/>
        </w:rPr>
        <w:t xml:space="preserve"> أقل من الإمكانات.</w:t>
      </w:r>
    </w:p>
    <w:p w:rsidR="00941EB7" w:rsidRPr="00941EB7" w:rsidRDefault="00550EF6" w:rsidP="00240F0C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تمت مناقشة أهمية تطوير سوق إعادة الشراء المتطورة في عدة مناسبات من قبل </w:t>
      </w:r>
      <w:r w:rsidR="00FC2504">
        <w:rPr>
          <w:rFonts w:ascii="Arial" w:hAnsi="Arial" w:cs="Arial"/>
          <w:sz w:val="24"/>
          <w:rtl/>
          <w:lang w:bidi="ar-SA"/>
        </w:rPr>
        <w:t xml:space="preserve">هيئات تنظيمية </w:t>
      </w:r>
      <w:r w:rsidRPr="00941EB7">
        <w:rPr>
          <w:rFonts w:ascii="Arial" w:hAnsi="Arial" w:cs="Arial"/>
          <w:sz w:val="24"/>
          <w:rtl/>
          <w:lang w:bidi="ar-SA"/>
        </w:rPr>
        <w:t>مالية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 مختلفة</w:t>
      </w:r>
      <w:r w:rsidRPr="00941EB7">
        <w:rPr>
          <w:rFonts w:ascii="Arial" w:hAnsi="Arial" w:cs="Arial"/>
          <w:sz w:val="24"/>
          <w:rtl/>
          <w:lang w:bidi="ar-SA"/>
        </w:rPr>
        <w:t xml:space="preserve"> و/أو 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على يد </w:t>
      </w:r>
      <w:r w:rsidR="00FC2504">
        <w:rPr>
          <w:rFonts w:ascii="Arial" w:hAnsi="Arial" w:cs="Arial"/>
          <w:sz w:val="24"/>
          <w:rtl/>
          <w:lang w:bidi="ar-SA"/>
        </w:rPr>
        <w:t xml:space="preserve">بنى تحتية مالية </w:t>
      </w:r>
      <w:r w:rsidRPr="00941EB7">
        <w:rPr>
          <w:rFonts w:ascii="Arial" w:hAnsi="Arial" w:cs="Arial"/>
          <w:sz w:val="24"/>
          <w:rtl/>
          <w:lang w:bidi="ar-SA"/>
        </w:rPr>
        <w:t xml:space="preserve">مركزية في إسرائيل. </w:t>
      </w:r>
      <w:r w:rsidR="00240F0C">
        <w:rPr>
          <w:rFonts w:ascii="Arial" w:hAnsi="Arial" w:cs="Arial" w:hint="cs"/>
          <w:sz w:val="24"/>
          <w:rtl/>
          <w:lang w:bidi="ar-SA"/>
        </w:rPr>
        <w:t>من منطلق</w:t>
      </w:r>
      <w:r w:rsidRPr="00941EB7">
        <w:rPr>
          <w:rFonts w:ascii="Arial" w:hAnsi="Arial" w:cs="Arial"/>
          <w:sz w:val="24"/>
          <w:rtl/>
          <w:lang w:bidi="ar-SA"/>
        </w:rPr>
        <w:t xml:space="preserve"> هذا </w:t>
      </w:r>
      <w:r w:rsidR="00FC2504">
        <w:rPr>
          <w:rFonts w:ascii="Arial" w:hAnsi="Arial" w:cs="Arial" w:hint="cs"/>
          <w:sz w:val="24"/>
          <w:rtl/>
          <w:lang w:bidi="ar-SA"/>
        </w:rPr>
        <w:t>المفهوم</w:t>
      </w:r>
      <w:r w:rsidRPr="00941EB7">
        <w:rPr>
          <w:rFonts w:ascii="Arial" w:hAnsi="Arial" w:cs="Arial"/>
          <w:sz w:val="24"/>
          <w:rtl/>
          <w:lang w:bidi="ar-SA"/>
        </w:rPr>
        <w:t>، تم اتخاذ عدة خطوات في الماضي بهدف تطوير منصات مخصصة لتطوير سوق إعادة الشراء المحلية. ولكن هذه التحركات لم تؤتي ثمارها بعد، سواء بسبب الظروف الاقتصادية الكلية، أو التحديات القانونية</w:t>
      </w:r>
      <w:r w:rsidR="00240F0C">
        <w:rPr>
          <w:rFonts w:ascii="Arial" w:hAnsi="Arial" w:cs="Arial" w:hint="cs"/>
          <w:sz w:val="24"/>
          <w:rtl/>
          <w:lang w:bidi="ar-SA"/>
        </w:rPr>
        <w:t xml:space="preserve"> و</w:t>
      </w:r>
      <w:r w:rsidRPr="00941EB7">
        <w:rPr>
          <w:rFonts w:ascii="Arial" w:hAnsi="Arial" w:cs="Arial"/>
          <w:sz w:val="24"/>
          <w:rtl/>
          <w:lang w:bidi="ar-SA"/>
        </w:rPr>
        <w:t xml:space="preserve">الضريبية </w:t>
      </w:r>
      <w:r w:rsidR="00FC2504">
        <w:rPr>
          <w:rFonts w:ascii="Arial" w:hAnsi="Arial" w:cs="Arial" w:hint="cs"/>
          <w:sz w:val="24"/>
          <w:rtl/>
          <w:lang w:bidi="ar-SA"/>
        </w:rPr>
        <w:t>وغيرها</w:t>
      </w:r>
      <w:r w:rsidRPr="00941EB7">
        <w:rPr>
          <w:rFonts w:ascii="Arial" w:hAnsi="Arial" w:cs="Arial"/>
          <w:sz w:val="24"/>
          <w:rtl/>
          <w:lang w:bidi="ar-SA"/>
        </w:rPr>
        <w:t>.</w:t>
      </w:r>
    </w:p>
    <w:p w:rsidR="00941EB7" w:rsidRPr="00941EB7" w:rsidRDefault="00550EF6" w:rsidP="00240F0C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  <w:lang w:bidi="ar-SA"/>
        </w:rPr>
        <w:t>قد يساهم</w:t>
      </w:r>
      <w:r w:rsidRPr="00941EB7">
        <w:rPr>
          <w:rFonts w:ascii="Arial" w:hAnsi="Arial" w:cs="Arial"/>
          <w:sz w:val="24"/>
          <w:rtl/>
          <w:lang w:bidi="ar-SA"/>
        </w:rPr>
        <w:t xml:space="preserve"> وجود سوق </w:t>
      </w:r>
      <w:r w:rsidR="00FC2504">
        <w:rPr>
          <w:rFonts w:ascii="Arial" w:hAnsi="Arial" w:cs="Arial" w:hint="cs"/>
          <w:sz w:val="24"/>
          <w:rtl/>
          <w:lang w:bidi="ar-SA"/>
        </w:rPr>
        <w:t>متطور ل</w:t>
      </w:r>
      <w:r w:rsidRPr="00941EB7">
        <w:rPr>
          <w:rFonts w:ascii="Arial" w:hAnsi="Arial" w:cs="Arial"/>
          <w:sz w:val="24"/>
          <w:rtl/>
          <w:lang w:bidi="ar-SA"/>
        </w:rPr>
        <w:t xml:space="preserve">إعادة </w:t>
      </w:r>
      <w:r w:rsidR="00FC2504">
        <w:rPr>
          <w:rFonts w:ascii="Arial" w:hAnsi="Arial" w:cs="Arial" w:hint="cs"/>
          <w:sz w:val="24"/>
          <w:rtl/>
          <w:lang w:bidi="ar-SA"/>
        </w:rPr>
        <w:t>ال</w:t>
      </w:r>
      <w:r w:rsidRPr="00941EB7">
        <w:rPr>
          <w:rFonts w:ascii="Arial" w:hAnsi="Arial" w:cs="Arial"/>
          <w:sz w:val="24"/>
          <w:rtl/>
          <w:lang w:bidi="ar-SA"/>
        </w:rPr>
        <w:t>شراء في إسرائيل بشكل كبي</w:t>
      </w:r>
      <w:r w:rsidR="00FC2504">
        <w:rPr>
          <w:rFonts w:ascii="Arial" w:hAnsi="Arial" w:cs="Arial"/>
          <w:sz w:val="24"/>
          <w:rtl/>
          <w:lang w:bidi="ar-SA"/>
        </w:rPr>
        <w:t>ر في تطوير سوق رأس المال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. وقد </w:t>
      </w:r>
      <w:r w:rsidR="00FC2504">
        <w:rPr>
          <w:rFonts w:ascii="Arial" w:hAnsi="Arial" w:cs="Arial" w:hint="cs"/>
          <w:sz w:val="24"/>
          <w:rtl/>
          <w:lang w:bidi="ar-SA"/>
        </w:rPr>
        <w:t>ي</w:t>
      </w:r>
      <w:r w:rsidRPr="00941EB7">
        <w:rPr>
          <w:rFonts w:ascii="Arial" w:hAnsi="Arial" w:cs="Arial"/>
          <w:sz w:val="24"/>
          <w:rtl/>
          <w:lang w:bidi="ar-SA"/>
        </w:rPr>
        <w:t xml:space="preserve">شكل سوق إعادة الشراء من بين أمور أخرى، بديلاً للاستثمار في الأصول العامة (على سبيل المثال، تلك التي تحتفظ بها </w:t>
      </w:r>
      <w:r w:rsidR="00FC2504">
        <w:rPr>
          <w:rFonts w:ascii="Arial" w:hAnsi="Arial" w:cs="Arial" w:hint="cs"/>
          <w:sz w:val="24"/>
          <w:rtl/>
          <w:lang w:bidi="ar-SA"/>
        </w:rPr>
        <w:lastRenderedPageBreak/>
        <w:t>الهيئات</w:t>
      </w:r>
      <w:r w:rsidRPr="00941EB7">
        <w:rPr>
          <w:rFonts w:ascii="Arial" w:hAnsi="Arial" w:cs="Arial"/>
          <w:sz w:val="24"/>
          <w:rtl/>
          <w:lang w:bidi="ar-SA"/>
        </w:rPr>
        <w:t xml:space="preserve"> المؤسس</w:t>
      </w:r>
      <w:r w:rsidR="00FC2504">
        <w:rPr>
          <w:rFonts w:ascii="Arial" w:hAnsi="Arial" w:cs="Arial" w:hint="cs"/>
          <w:sz w:val="24"/>
          <w:rtl/>
          <w:lang w:bidi="ar-SA"/>
        </w:rPr>
        <w:t>ات</w:t>
      </w:r>
      <w:r w:rsidRPr="00941EB7">
        <w:rPr>
          <w:rFonts w:ascii="Arial" w:hAnsi="Arial" w:cs="Arial"/>
          <w:sz w:val="24"/>
          <w:rtl/>
          <w:lang w:bidi="ar-SA"/>
        </w:rPr>
        <w:t>ية)، و</w:t>
      </w:r>
      <w:r>
        <w:rPr>
          <w:rFonts w:ascii="Arial" w:hAnsi="Arial" w:cs="Arial" w:hint="cs"/>
          <w:sz w:val="24"/>
          <w:rtl/>
          <w:lang w:bidi="ar-SA"/>
        </w:rPr>
        <w:t>ي</w:t>
      </w:r>
      <w:r w:rsidRPr="00941EB7">
        <w:rPr>
          <w:rFonts w:ascii="Arial" w:hAnsi="Arial" w:cs="Arial"/>
          <w:sz w:val="24"/>
          <w:rtl/>
          <w:lang w:bidi="ar-SA"/>
        </w:rPr>
        <w:t xml:space="preserve">عمل كأداة </w:t>
      </w:r>
      <w:r w:rsidRPr="00941EB7">
        <w:rPr>
          <w:rFonts w:ascii="Arial" w:hAnsi="Arial" w:cs="Arial"/>
          <w:sz w:val="24"/>
          <w:rtl/>
          <w:lang w:bidi="ar-SA"/>
        </w:rPr>
        <w:t xml:space="preserve">لإدارة السيولة </w:t>
      </w:r>
      <w:r w:rsidR="00FC2504">
        <w:rPr>
          <w:rFonts w:ascii="Arial" w:hAnsi="Arial" w:cs="Arial" w:hint="cs"/>
          <w:sz w:val="24"/>
          <w:rtl/>
          <w:lang w:bidi="ar-SA"/>
        </w:rPr>
        <w:t>وجمع</w:t>
      </w:r>
      <w:r w:rsidRPr="00941EB7">
        <w:rPr>
          <w:rFonts w:ascii="Arial" w:hAnsi="Arial" w:cs="Arial"/>
          <w:sz w:val="24"/>
          <w:rtl/>
          <w:lang w:bidi="ar-SA"/>
        </w:rPr>
        <w:t xml:space="preserve"> السيولة، </w:t>
      </w:r>
      <w:r w:rsidR="00FC2504">
        <w:rPr>
          <w:rFonts w:ascii="Arial" w:hAnsi="Arial" w:cs="Arial" w:hint="cs"/>
          <w:sz w:val="24"/>
          <w:rtl/>
          <w:lang w:bidi="ar-SA"/>
        </w:rPr>
        <w:t>ويفتح</w:t>
      </w:r>
      <w:r w:rsidR="00FC2504">
        <w:rPr>
          <w:rFonts w:ascii="Arial" w:hAnsi="Arial" w:cs="Arial"/>
          <w:sz w:val="24"/>
          <w:rtl/>
          <w:lang w:bidi="ar-SA"/>
        </w:rPr>
        <w:t xml:space="preserve"> سوق رأس المال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FC2504">
        <w:rPr>
          <w:rFonts w:ascii="Arial" w:hAnsi="Arial" w:cs="Arial" w:hint="cs"/>
          <w:sz w:val="24"/>
          <w:rtl/>
          <w:lang w:bidi="ar-SA"/>
        </w:rPr>
        <w:t>أمام</w:t>
      </w:r>
      <w:r w:rsidRPr="00941EB7">
        <w:rPr>
          <w:rFonts w:ascii="Arial" w:hAnsi="Arial" w:cs="Arial"/>
          <w:sz w:val="24"/>
          <w:rtl/>
          <w:lang w:bidi="ar-SA"/>
        </w:rPr>
        <w:t xml:space="preserve"> المستثمرين الأجانب، و</w:t>
      </w:r>
      <w:r w:rsidR="00FC2504">
        <w:rPr>
          <w:rFonts w:ascii="Arial" w:hAnsi="Arial" w:cs="Arial" w:hint="cs"/>
          <w:sz w:val="24"/>
          <w:rtl/>
          <w:lang w:bidi="ar-SA"/>
        </w:rPr>
        <w:t>ي</w:t>
      </w:r>
      <w:r w:rsidRPr="00941EB7">
        <w:rPr>
          <w:rFonts w:ascii="Arial" w:hAnsi="Arial" w:cs="Arial"/>
          <w:sz w:val="24"/>
          <w:rtl/>
          <w:lang w:bidi="ar-SA"/>
        </w:rPr>
        <w:t xml:space="preserve">حسن السيولة </w:t>
      </w:r>
      <w:r w:rsidR="00FC2504">
        <w:rPr>
          <w:rFonts w:ascii="Arial" w:hAnsi="Arial" w:cs="Arial"/>
          <w:sz w:val="24"/>
          <w:rtl/>
          <w:lang w:bidi="ar-SA"/>
        </w:rPr>
        <w:t>وقابلية التداول في السوق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 بشكل عام وفي الديون الحكومية بشكل خاص.</w:t>
      </w:r>
    </w:p>
    <w:p w:rsidR="00941EB7" w:rsidRPr="00941EB7" w:rsidRDefault="00550EF6" w:rsidP="00240F0C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بشكل عام، تتم عمليات إعادة الشراء 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في العالم </w:t>
      </w:r>
      <w:r w:rsidRPr="00941EB7">
        <w:rPr>
          <w:rFonts w:ascii="Arial" w:hAnsi="Arial" w:cs="Arial"/>
          <w:sz w:val="24"/>
          <w:rtl/>
          <w:lang w:bidi="ar-SA"/>
        </w:rPr>
        <w:t>بطرق مختلفة: في بعض الحالات، يتم إبرام المعامل</w:t>
      </w:r>
      <w:r w:rsidRPr="00941EB7">
        <w:rPr>
          <w:rFonts w:ascii="Arial" w:hAnsi="Arial" w:cs="Arial"/>
          <w:sz w:val="24"/>
          <w:rtl/>
          <w:lang w:bidi="ar-SA"/>
        </w:rPr>
        <w:t>ات بين طرفين (</w:t>
      </w:r>
      <w:r w:rsidR="00FC2504" w:rsidRPr="00941EB7">
        <w:rPr>
          <w:rFonts w:ascii="Arial" w:hAnsi="Arial" w:cs="Arial"/>
          <w:sz w:val="24"/>
        </w:rPr>
        <w:t>Bilateral Repo</w:t>
      </w:r>
      <w:r w:rsidRPr="00941EB7">
        <w:rPr>
          <w:rFonts w:ascii="Arial" w:hAnsi="Arial" w:cs="Arial"/>
          <w:sz w:val="24"/>
          <w:rtl/>
          <w:lang w:bidi="ar-SA"/>
        </w:rPr>
        <w:t>) يديران بأنفسهما تشغيل المعاملة، بما في ذلك تسوية الضمانات بينهما، دون تدخل أطراف ثالثة. في حالات أخرى، تكون معاملات إعادة الشراء ثلاثية الأطراف (</w:t>
      </w:r>
      <w:r w:rsidR="00FC2504" w:rsidRPr="00941EB7">
        <w:rPr>
          <w:rFonts w:ascii="Arial" w:hAnsi="Arial" w:cs="Arial"/>
          <w:sz w:val="24"/>
        </w:rPr>
        <w:t>Triparty Repo</w:t>
      </w:r>
      <w:r w:rsidRPr="00941EB7">
        <w:rPr>
          <w:rFonts w:ascii="Arial" w:hAnsi="Arial" w:cs="Arial"/>
          <w:sz w:val="24"/>
          <w:rtl/>
          <w:lang w:bidi="ar-SA"/>
        </w:rPr>
        <w:t>)، وفي هذه ال</w:t>
      </w:r>
      <w:r w:rsidR="00FC2504">
        <w:rPr>
          <w:rFonts w:ascii="Arial" w:hAnsi="Arial" w:cs="Arial"/>
          <w:sz w:val="24"/>
          <w:rtl/>
          <w:lang w:bidi="ar-SA"/>
        </w:rPr>
        <w:t xml:space="preserve">حالة يدير وسيط متفق عليه (مثل </w:t>
      </w:r>
      <w:r w:rsidRPr="00941EB7">
        <w:rPr>
          <w:rFonts w:ascii="Arial" w:hAnsi="Arial" w:cs="Arial"/>
          <w:sz w:val="24"/>
          <w:rtl/>
          <w:lang w:bidi="ar-SA"/>
        </w:rPr>
        <w:t>وصي أو مؤسسة مالية معينة)</w:t>
      </w:r>
      <w:r w:rsidRPr="00941EB7">
        <w:rPr>
          <w:rFonts w:ascii="Arial" w:hAnsi="Arial" w:cs="Arial"/>
          <w:sz w:val="24"/>
          <w:rtl/>
          <w:lang w:bidi="ar-SA"/>
        </w:rPr>
        <w:t xml:space="preserve"> العملية، من حفظ الضمانات </w:t>
      </w:r>
      <w:r w:rsidR="00FC2504">
        <w:rPr>
          <w:rFonts w:ascii="Arial" w:hAnsi="Arial" w:cs="Arial" w:hint="cs"/>
          <w:sz w:val="24"/>
          <w:rtl/>
          <w:lang w:bidi="ar-SA"/>
        </w:rPr>
        <w:t>وعبر</w:t>
      </w:r>
      <w:r w:rsidRPr="00941EB7">
        <w:rPr>
          <w:rFonts w:ascii="Arial" w:hAnsi="Arial" w:cs="Arial"/>
          <w:sz w:val="24"/>
          <w:rtl/>
          <w:lang w:bidi="ar-SA"/>
        </w:rPr>
        <w:t xml:space="preserve"> التسوية </w:t>
      </w:r>
      <w:r w:rsidR="00FC2504">
        <w:rPr>
          <w:rFonts w:ascii="Arial" w:hAnsi="Arial" w:cs="Arial" w:hint="cs"/>
          <w:sz w:val="24"/>
          <w:rtl/>
          <w:lang w:bidi="ar-SA"/>
        </w:rPr>
        <w:t>وحتى</w:t>
      </w:r>
      <w:r w:rsidRPr="00941EB7">
        <w:rPr>
          <w:rFonts w:ascii="Arial" w:hAnsi="Arial" w:cs="Arial"/>
          <w:sz w:val="24"/>
          <w:rtl/>
          <w:lang w:bidi="ar-SA"/>
        </w:rPr>
        <w:t xml:space="preserve"> التعامل مع الأحداث التي </w:t>
      </w:r>
      <w:r w:rsidR="00FC2504">
        <w:rPr>
          <w:rFonts w:ascii="Arial" w:hAnsi="Arial" w:cs="Arial" w:hint="cs"/>
          <w:sz w:val="24"/>
          <w:rtl/>
          <w:lang w:bidi="ar-SA"/>
        </w:rPr>
        <w:t>تطرأ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FC2504">
        <w:rPr>
          <w:rFonts w:ascii="Arial" w:hAnsi="Arial" w:cs="Arial" w:hint="cs"/>
          <w:sz w:val="24"/>
          <w:rtl/>
          <w:lang w:bidi="ar-SA"/>
        </w:rPr>
        <w:t>على</w:t>
      </w:r>
      <w:r w:rsidRPr="00941EB7">
        <w:rPr>
          <w:rFonts w:ascii="Arial" w:hAnsi="Arial" w:cs="Arial"/>
          <w:sz w:val="24"/>
          <w:rtl/>
          <w:lang w:bidi="ar-SA"/>
        </w:rPr>
        <w:t xml:space="preserve"> الأوراق المالية خلال </w:t>
      </w:r>
      <w:r w:rsidR="00FC2504">
        <w:rPr>
          <w:rFonts w:ascii="Arial" w:hAnsi="Arial" w:cs="Arial" w:hint="cs"/>
          <w:sz w:val="24"/>
          <w:rtl/>
          <w:lang w:bidi="ar-SA"/>
        </w:rPr>
        <w:t>فترة</w:t>
      </w:r>
      <w:r w:rsidRPr="00941EB7">
        <w:rPr>
          <w:rFonts w:ascii="Arial" w:hAnsi="Arial" w:cs="Arial"/>
          <w:sz w:val="24"/>
          <w:rtl/>
          <w:lang w:bidi="ar-SA"/>
        </w:rPr>
        <w:t xml:space="preserve"> المعاملة. أخيرا</w:t>
      </w:r>
      <w:r w:rsidR="00FC2504">
        <w:rPr>
          <w:rFonts w:ascii="Arial" w:hAnsi="Arial" w:cs="Arial" w:hint="cs"/>
          <w:sz w:val="24"/>
          <w:rtl/>
          <w:lang w:bidi="ar-SA"/>
        </w:rPr>
        <w:t>ً</w:t>
      </w:r>
      <w:r w:rsidRPr="00941EB7">
        <w:rPr>
          <w:rFonts w:ascii="Arial" w:hAnsi="Arial" w:cs="Arial"/>
          <w:sz w:val="24"/>
          <w:rtl/>
          <w:lang w:bidi="ar-SA"/>
        </w:rPr>
        <w:t xml:space="preserve">، 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يتم </w:t>
      </w:r>
      <w:r w:rsidRPr="00941EB7">
        <w:rPr>
          <w:rFonts w:ascii="Arial" w:hAnsi="Arial" w:cs="Arial"/>
          <w:sz w:val="24"/>
          <w:rtl/>
          <w:lang w:bidi="ar-SA"/>
        </w:rPr>
        <w:t xml:space="preserve">في بعض الحالات تسوية معاملات إعادة الشراء من خلال </w:t>
      </w:r>
      <w:r w:rsidR="00FC2504" w:rsidRPr="00941EB7">
        <w:rPr>
          <w:rFonts w:ascii="Arial" w:hAnsi="Arial" w:cs="Arial"/>
          <w:sz w:val="24"/>
        </w:rPr>
        <w:t>CCP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 (</w:t>
      </w:r>
      <w:r w:rsidR="00FC2504" w:rsidRPr="00941EB7">
        <w:rPr>
          <w:rFonts w:ascii="Arial" w:hAnsi="Arial" w:cs="Arial"/>
          <w:sz w:val="24"/>
        </w:rPr>
        <w:t>Central Counterparty Clearing</w:t>
      </w:r>
      <w:r w:rsidR="00FC2504">
        <w:rPr>
          <w:rFonts w:ascii="Arial" w:hAnsi="Arial" w:cs="Arial" w:hint="cs"/>
          <w:sz w:val="24"/>
          <w:rtl/>
          <w:lang w:bidi="ar-SA"/>
        </w:rPr>
        <w:t>)</w:t>
      </w:r>
      <w:r w:rsidRPr="00941EB7">
        <w:rPr>
          <w:rFonts w:ascii="Arial" w:hAnsi="Arial" w:cs="Arial"/>
          <w:sz w:val="24"/>
          <w:rtl/>
          <w:lang w:bidi="ar-SA"/>
        </w:rPr>
        <w:t xml:space="preserve">، مثل مركز </w:t>
      </w:r>
      <w:r w:rsidR="00FC2504">
        <w:rPr>
          <w:rFonts w:ascii="Arial" w:hAnsi="Arial" w:cs="Arial" w:hint="cs"/>
          <w:sz w:val="24"/>
          <w:rtl/>
          <w:lang w:bidi="ar-SA"/>
        </w:rPr>
        <w:t>تسوية</w:t>
      </w:r>
      <w:r w:rsidRPr="00941EB7">
        <w:rPr>
          <w:rFonts w:ascii="Arial" w:hAnsi="Arial" w:cs="Arial"/>
          <w:sz w:val="24"/>
          <w:rtl/>
          <w:lang w:bidi="ar-SA"/>
        </w:rPr>
        <w:t xml:space="preserve"> الأوراق المالية. المعاملات </w:t>
      </w:r>
      <w:r w:rsidR="00FC2504">
        <w:rPr>
          <w:rFonts w:ascii="Arial" w:hAnsi="Arial" w:cs="Arial" w:hint="cs"/>
          <w:sz w:val="24"/>
          <w:rtl/>
          <w:lang w:bidi="ar-SA"/>
        </w:rPr>
        <w:t>المبرمة</w:t>
      </w:r>
      <w:r w:rsidRPr="00941EB7">
        <w:rPr>
          <w:rFonts w:ascii="Arial" w:hAnsi="Arial" w:cs="Arial"/>
          <w:sz w:val="24"/>
          <w:rtl/>
          <w:lang w:bidi="ar-SA"/>
        </w:rPr>
        <w:t xml:space="preserve"> من خلال </w:t>
      </w:r>
      <w:r w:rsidR="00FC2504" w:rsidRPr="00941EB7">
        <w:rPr>
          <w:rFonts w:ascii="Arial" w:hAnsi="Arial" w:cs="Arial"/>
          <w:sz w:val="24"/>
        </w:rPr>
        <w:t>CCP</w:t>
      </w:r>
      <w:r w:rsidR="00FC2504" w:rsidRPr="00941EB7">
        <w:rPr>
          <w:rFonts w:ascii="Arial" w:hAnsi="Arial" w:cs="Arial"/>
          <w:sz w:val="24"/>
          <w:rtl/>
          <w:lang w:bidi="ar-SA"/>
        </w:rPr>
        <w:t xml:space="preserve"> </w:t>
      </w:r>
      <w:r w:rsidRPr="00941EB7">
        <w:rPr>
          <w:rFonts w:ascii="Arial" w:hAnsi="Arial" w:cs="Arial"/>
          <w:sz w:val="24"/>
          <w:rtl/>
          <w:lang w:bidi="ar-SA"/>
        </w:rPr>
        <w:t>تقلل بشكل كبير من مخ</w:t>
      </w:r>
      <w:r w:rsidR="00240F0C">
        <w:rPr>
          <w:rFonts w:ascii="Arial" w:hAnsi="Arial" w:cs="Arial"/>
          <w:sz w:val="24"/>
          <w:rtl/>
          <w:lang w:bidi="ar-SA"/>
        </w:rPr>
        <w:t>اطر الطرف المقابل، ولكنها غالب</w:t>
      </w:r>
      <w:r w:rsidR="00240F0C">
        <w:rPr>
          <w:rFonts w:ascii="Arial" w:hAnsi="Arial" w:cs="Arial" w:hint="cs"/>
          <w:sz w:val="24"/>
          <w:rtl/>
          <w:lang w:bidi="ar-SA"/>
        </w:rPr>
        <w:t>اً</w:t>
      </w:r>
      <w:r w:rsidRPr="00941EB7">
        <w:rPr>
          <w:rFonts w:ascii="Arial" w:hAnsi="Arial" w:cs="Arial"/>
          <w:sz w:val="24"/>
          <w:rtl/>
          <w:lang w:bidi="ar-SA"/>
        </w:rPr>
        <w:t xml:space="preserve"> ما تنطوي على تكاليف أعلى لأطراف المعاملة.</w:t>
      </w:r>
    </w:p>
    <w:p w:rsidR="00941EB7" w:rsidRPr="00941EB7" w:rsidRDefault="00550EF6" w:rsidP="00A60E32">
      <w:pPr>
        <w:pStyle w:val="ac"/>
        <w:numPr>
          <w:ilvl w:val="1"/>
          <w:numId w:val="16"/>
        </w:numPr>
        <w:overflowPunct/>
        <w:autoSpaceDE/>
        <w:autoSpaceDN/>
        <w:adjustRightInd/>
        <w:spacing w:before="0" w:after="160" w:line="276" w:lineRule="auto"/>
        <w:ind w:left="424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في بعض الأسواق حول العالم، </w:t>
      </w:r>
      <w:r w:rsidR="00FC2504">
        <w:rPr>
          <w:rFonts w:ascii="Arial" w:hAnsi="Arial" w:cs="Arial" w:hint="cs"/>
          <w:sz w:val="24"/>
          <w:rtl/>
          <w:lang w:bidi="ar-SA"/>
        </w:rPr>
        <w:t>تنشط</w:t>
      </w:r>
      <w:r w:rsidRPr="00941EB7">
        <w:rPr>
          <w:rFonts w:ascii="Arial" w:hAnsi="Arial" w:cs="Arial"/>
          <w:sz w:val="24"/>
          <w:rtl/>
          <w:lang w:bidi="ar-SA"/>
        </w:rPr>
        <w:t xml:space="preserve"> منصات تداول </w:t>
      </w:r>
      <w:r w:rsidR="00FC2504">
        <w:rPr>
          <w:rFonts w:ascii="Arial" w:hAnsi="Arial" w:cs="Arial" w:hint="cs"/>
          <w:sz w:val="24"/>
          <w:rtl/>
          <w:lang w:bidi="ar-SA"/>
        </w:rPr>
        <w:t>خاصة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FC2504">
        <w:rPr>
          <w:rFonts w:ascii="Arial" w:hAnsi="Arial" w:cs="Arial" w:hint="cs"/>
          <w:sz w:val="24"/>
          <w:rtl/>
          <w:lang w:bidi="ar-SA"/>
        </w:rPr>
        <w:t>تتيح</w:t>
      </w:r>
      <w:r w:rsidR="00FC2504">
        <w:rPr>
          <w:rFonts w:ascii="Arial" w:hAnsi="Arial" w:cs="Arial"/>
          <w:sz w:val="24"/>
          <w:rtl/>
          <w:lang w:bidi="ar-SA"/>
        </w:rPr>
        <w:t xml:space="preserve"> </w:t>
      </w:r>
      <w:r w:rsidRPr="00941EB7">
        <w:rPr>
          <w:rFonts w:ascii="Arial" w:hAnsi="Arial" w:cs="Arial"/>
          <w:sz w:val="24"/>
          <w:rtl/>
          <w:lang w:bidi="ar-SA"/>
        </w:rPr>
        <w:t>إجراء معاملات إعادة الشراء بين أطراف مختلفة.</w:t>
      </w:r>
    </w:p>
    <w:p w:rsidR="002923D5" w:rsidRPr="00941EB7" w:rsidRDefault="002923D5" w:rsidP="00A60E32">
      <w:pPr>
        <w:pStyle w:val="ac"/>
        <w:spacing w:after="160" w:line="276" w:lineRule="auto"/>
        <w:ind w:left="368"/>
        <w:jc w:val="both"/>
        <w:rPr>
          <w:rFonts w:ascii="Arial" w:hAnsi="Arial" w:cs="Arial"/>
          <w:sz w:val="24"/>
          <w:rtl/>
        </w:rPr>
      </w:pPr>
    </w:p>
    <w:p w:rsidR="002923D5" w:rsidRPr="00941EB7" w:rsidRDefault="00550EF6" w:rsidP="00A60E32">
      <w:pPr>
        <w:spacing w:line="276" w:lineRule="auto"/>
        <w:jc w:val="both"/>
        <w:rPr>
          <w:rFonts w:ascii="Arial" w:hAnsi="Arial" w:cs="Arial"/>
          <w:b/>
          <w:bCs/>
          <w:sz w:val="24"/>
          <w:u w:val="single"/>
          <w:rtl/>
          <w:lang w:bidi="ar-SA"/>
        </w:rPr>
      </w:pPr>
      <w:r>
        <w:rPr>
          <w:rFonts w:ascii="Arial" w:hAnsi="Arial" w:cs="Arial" w:hint="cs"/>
          <w:b/>
          <w:bCs/>
          <w:sz w:val="24"/>
          <w:u w:val="single"/>
          <w:rtl/>
          <w:lang w:bidi="ar-SA"/>
        </w:rPr>
        <w:t>الدعوة</w:t>
      </w:r>
    </w:p>
    <w:p w:rsidR="00941EB7" w:rsidRPr="00941EB7" w:rsidRDefault="00550EF6" w:rsidP="00A60E32">
      <w:pPr>
        <w:spacing w:line="276" w:lineRule="auto"/>
        <w:jc w:val="both"/>
        <w:rPr>
          <w:rFonts w:ascii="Arial" w:hAnsi="Arial" w:cs="Arial"/>
          <w:sz w:val="24"/>
          <w:rtl/>
          <w:lang w:bidi="ar-SA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يدعو الفريق المشترك الجمهور إلى </w:t>
      </w:r>
      <w:r w:rsidRPr="00941EB7">
        <w:rPr>
          <w:rFonts w:ascii="Arial" w:hAnsi="Arial" w:cs="Arial"/>
          <w:sz w:val="24"/>
          <w:rtl/>
          <w:lang w:bidi="ar-SA"/>
        </w:rPr>
        <w:t>تقديم المعلومات والمواقف بشأن هذه القضايا: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تفصيل العوائق (القانونية والتعاقدية والتشغيلية والضريبية والتجارية والتكنولوجية وغيرها) أمام تطوير سوق إعادة الشراء في إسرائيل وسبل </w:t>
      </w:r>
      <w:r w:rsidR="00FC2504">
        <w:rPr>
          <w:rFonts w:ascii="Arial" w:hAnsi="Arial" w:cs="Arial" w:hint="cs"/>
          <w:sz w:val="24"/>
          <w:rtl/>
          <w:lang w:bidi="ar-SA"/>
        </w:rPr>
        <w:t>التغلب عليها</w:t>
      </w:r>
      <w:r w:rsidRPr="00941EB7">
        <w:rPr>
          <w:rFonts w:ascii="Arial" w:hAnsi="Arial" w:cs="Arial"/>
          <w:sz w:val="24"/>
          <w:rtl/>
          <w:lang w:bidi="ar-SA"/>
        </w:rPr>
        <w:t>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contextualSpacing w:val="0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  <w:lang w:bidi="ar-SA"/>
        </w:rPr>
        <w:t>التطرق إلى</w:t>
      </w:r>
      <w:r w:rsidRPr="00941EB7">
        <w:rPr>
          <w:rFonts w:ascii="Arial" w:hAnsi="Arial" w:cs="Arial"/>
          <w:sz w:val="24"/>
          <w:rtl/>
          <w:lang w:bidi="ar-SA"/>
        </w:rPr>
        <w:t xml:space="preserve"> الحاجة الأساسية وأهمية إنشاء إطار منظم ومخصص في إسرائيل </w:t>
      </w:r>
      <w:r w:rsidRPr="00FC2504">
        <w:rPr>
          <w:rFonts w:ascii="Arial" w:hAnsi="Arial" w:cs="Arial" w:hint="cs"/>
          <w:sz w:val="24"/>
          <w:u w:val="single"/>
          <w:rtl/>
          <w:lang w:bidi="ar-SA"/>
        </w:rPr>
        <w:t>لابرام</w:t>
      </w:r>
      <w:r w:rsidRPr="00941EB7">
        <w:rPr>
          <w:rFonts w:ascii="Arial" w:hAnsi="Arial" w:cs="Arial"/>
          <w:sz w:val="24"/>
          <w:rtl/>
          <w:lang w:bidi="ar-SA"/>
        </w:rPr>
        <w:t xml:space="preserve"> و/أو </w:t>
      </w:r>
      <w:r w:rsidRPr="00FC2504">
        <w:rPr>
          <w:rFonts w:ascii="Arial" w:hAnsi="Arial" w:cs="Arial"/>
          <w:sz w:val="24"/>
          <w:u w:val="single"/>
          <w:rtl/>
          <w:lang w:bidi="ar-SA"/>
        </w:rPr>
        <w:t>تشغيل</w:t>
      </w:r>
      <w:r w:rsidRPr="00941EB7">
        <w:rPr>
          <w:rFonts w:ascii="Arial" w:hAnsi="Arial" w:cs="Arial"/>
          <w:sz w:val="24"/>
          <w:rtl/>
          <w:lang w:bidi="ar-SA"/>
        </w:rPr>
        <w:t xml:space="preserve"> معاملات إعادة الشراء بين</w:t>
      </w:r>
      <w:r>
        <w:rPr>
          <w:rFonts w:ascii="Arial" w:hAnsi="Arial" w:cs="Arial"/>
          <w:sz w:val="24"/>
          <w:rtl/>
          <w:lang w:bidi="ar-SA"/>
        </w:rPr>
        <w:t xml:space="preserve"> مختلف اللاعبين في السوق المحلي</w:t>
      </w:r>
      <w:r w:rsidRPr="00941EB7">
        <w:rPr>
          <w:rFonts w:ascii="Arial" w:hAnsi="Arial" w:cs="Arial"/>
          <w:sz w:val="24"/>
          <w:rtl/>
          <w:lang w:bidi="ar-SA"/>
        </w:rPr>
        <w:t>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بناءً على الافتراض بأن الفريق المشترك مهتم </w:t>
      </w:r>
      <w:r w:rsidR="00FC2504">
        <w:rPr>
          <w:rFonts w:ascii="Arial" w:hAnsi="Arial" w:cs="Arial" w:hint="cs"/>
          <w:sz w:val="24"/>
          <w:rtl/>
          <w:lang w:bidi="ar-SA"/>
        </w:rPr>
        <w:t>بتطوير</w:t>
      </w:r>
      <w:r w:rsidRPr="00941EB7">
        <w:rPr>
          <w:rFonts w:ascii="Arial" w:hAnsi="Arial" w:cs="Arial"/>
          <w:sz w:val="24"/>
          <w:rtl/>
          <w:lang w:bidi="ar-SA"/>
        </w:rPr>
        <w:t xml:space="preserve"> معاملات إعادة الشراء في السندات الحكومية باعتبارها نقطة ارتكاز أولى، يرجى تناول المزايا والعيوب </w:t>
      </w:r>
      <w:r w:rsidR="00FC2504">
        <w:rPr>
          <w:rFonts w:ascii="Arial" w:hAnsi="Arial" w:cs="Arial" w:hint="cs"/>
          <w:sz w:val="24"/>
          <w:rtl/>
          <w:lang w:bidi="ar-SA"/>
        </w:rPr>
        <w:t>المتعلقة</w:t>
      </w:r>
      <w:r w:rsidRPr="00941EB7">
        <w:rPr>
          <w:rFonts w:ascii="Arial" w:hAnsi="Arial" w:cs="Arial"/>
          <w:sz w:val="24"/>
          <w:rtl/>
          <w:lang w:bidi="ar-SA"/>
        </w:rPr>
        <w:t xml:space="preserve"> بمعامل</w:t>
      </w:r>
      <w:r w:rsidR="00FC2504">
        <w:rPr>
          <w:rFonts w:ascii="Arial" w:hAnsi="Arial" w:cs="Arial" w:hint="cs"/>
          <w:sz w:val="24"/>
          <w:rtl/>
          <w:lang w:bidi="ar-SA"/>
        </w:rPr>
        <w:t>ات</w:t>
      </w:r>
      <w:r w:rsidRPr="00941EB7">
        <w:rPr>
          <w:rFonts w:ascii="Arial" w:hAnsi="Arial" w:cs="Arial"/>
          <w:sz w:val="24"/>
          <w:rtl/>
          <w:lang w:bidi="ar-SA"/>
        </w:rPr>
        <w:t xml:space="preserve"> إعادة الشراء في ا</w:t>
      </w:r>
      <w:r w:rsidRPr="00941EB7">
        <w:rPr>
          <w:rFonts w:ascii="Arial" w:hAnsi="Arial" w:cs="Arial"/>
          <w:sz w:val="24"/>
          <w:rtl/>
          <w:lang w:bidi="ar-SA"/>
        </w:rPr>
        <w:t xml:space="preserve">لأصول المذكورة. يرجى توضيح الأصول الأخرى التي </w:t>
      </w:r>
      <w:r w:rsidR="00FC2504">
        <w:rPr>
          <w:rFonts w:ascii="Arial" w:hAnsi="Arial" w:cs="Arial" w:hint="cs"/>
          <w:sz w:val="24"/>
          <w:rtl/>
          <w:lang w:bidi="ar-SA"/>
        </w:rPr>
        <w:t>يمكن استخدامها</w:t>
      </w:r>
      <w:r w:rsidRPr="00941EB7">
        <w:rPr>
          <w:rFonts w:ascii="Arial" w:hAnsi="Arial" w:cs="Arial"/>
          <w:sz w:val="24"/>
          <w:rtl/>
          <w:lang w:bidi="ar-SA"/>
        </w:rPr>
        <w:t xml:space="preserve"> كضمان في معاملات إعادة الشراء.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>تفاصيل بشأن الطريقة التي قد يؤدي به</w:t>
      </w:r>
      <w:r w:rsidR="00FC2504">
        <w:rPr>
          <w:rFonts w:ascii="Arial" w:hAnsi="Arial" w:cs="Arial"/>
          <w:sz w:val="24"/>
          <w:rtl/>
          <w:lang w:bidi="ar-SA"/>
        </w:rPr>
        <w:t>ا تطوير سوق إعادة الشراء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 إلى تحسين/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 تطوير</w:t>
      </w:r>
      <w:r w:rsidRPr="00941EB7">
        <w:rPr>
          <w:rFonts w:ascii="Arial" w:hAnsi="Arial" w:cs="Arial"/>
          <w:sz w:val="24"/>
          <w:rtl/>
          <w:lang w:bidi="ar-SA"/>
        </w:rPr>
        <w:t>/</w:t>
      </w:r>
      <w:r w:rsidR="00FC2504">
        <w:rPr>
          <w:rFonts w:ascii="Arial" w:hAnsi="Arial" w:cs="Arial" w:hint="cs"/>
          <w:sz w:val="24"/>
          <w:rtl/>
          <w:lang w:bidi="ar-SA"/>
        </w:rPr>
        <w:t xml:space="preserve"> تنجيع</w:t>
      </w:r>
      <w:r w:rsidRPr="00941EB7">
        <w:rPr>
          <w:rFonts w:ascii="Arial" w:hAnsi="Arial" w:cs="Arial"/>
          <w:sz w:val="24"/>
          <w:rtl/>
          <w:lang w:bidi="ar-SA"/>
        </w:rPr>
        <w:t xml:space="preserve"> الخيارات لتلبية احتياجات السيولة بالشيكل و/أو العملات الأجنبية للمشاركين فيها.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contextualSpacing w:val="0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  <w:lang w:bidi="ar-SA"/>
        </w:rPr>
        <w:t>التطرق</w:t>
      </w:r>
      <w:r w:rsidRPr="00941EB7">
        <w:rPr>
          <w:rFonts w:ascii="Arial" w:hAnsi="Arial" w:cs="Arial"/>
          <w:sz w:val="24"/>
          <w:rtl/>
          <w:lang w:bidi="ar-SA"/>
        </w:rPr>
        <w:t xml:space="preserve"> إلى نوع معاملات إعادة الشراء المفضلة وشروطها.</w:t>
      </w:r>
    </w:p>
    <w:p w:rsidR="00941EB7" w:rsidRPr="00941EB7" w:rsidRDefault="00550EF6" w:rsidP="00240F0C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فيما يتعلق بإمكانية إنشاء آلية </w:t>
      </w:r>
      <w:r w:rsidR="00A60E32">
        <w:rPr>
          <w:rFonts w:ascii="Arial" w:hAnsi="Arial" w:cs="Arial" w:hint="cs"/>
          <w:sz w:val="24"/>
          <w:rtl/>
          <w:lang w:bidi="ar-SA"/>
        </w:rPr>
        <w:t>خاصة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A60E32">
        <w:rPr>
          <w:rFonts w:ascii="Arial" w:hAnsi="Arial" w:cs="Arial" w:hint="cs"/>
          <w:sz w:val="24"/>
          <w:rtl/>
          <w:lang w:bidi="ar-SA"/>
        </w:rPr>
        <w:t>لابرام</w:t>
      </w:r>
      <w:r w:rsidRPr="00941EB7">
        <w:rPr>
          <w:rFonts w:ascii="Arial" w:hAnsi="Arial" w:cs="Arial"/>
          <w:sz w:val="24"/>
          <w:rtl/>
          <w:lang w:bidi="ar-SA"/>
        </w:rPr>
        <w:t>/</w:t>
      </w:r>
      <w:r w:rsidR="00A60E32">
        <w:rPr>
          <w:rFonts w:ascii="Arial" w:hAnsi="Arial" w:cs="Arial" w:hint="cs"/>
          <w:sz w:val="24"/>
          <w:rtl/>
          <w:lang w:bidi="ar-SA"/>
        </w:rPr>
        <w:t xml:space="preserve"> </w:t>
      </w:r>
      <w:r w:rsidRPr="00941EB7">
        <w:rPr>
          <w:rFonts w:ascii="Arial" w:hAnsi="Arial" w:cs="Arial"/>
          <w:sz w:val="24"/>
          <w:rtl/>
          <w:lang w:bidi="ar-SA"/>
        </w:rPr>
        <w:t>تشغيل معامل</w:t>
      </w:r>
      <w:r w:rsidR="00A60E32">
        <w:rPr>
          <w:rFonts w:ascii="Arial" w:hAnsi="Arial" w:cs="Arial"/>
          <w:sz w:val="24"/>
          <w:rtl/>
          <w:lang w:bidi="ar-SA"/>
        </w:rPr>
        <w:t>ات إعادة الشراء في السوق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 - يرجى تناول الاعتبارات والتفضيلات و</w:t>
      </w:r>
      <w:r w:rsidRPr="00941EB7">
        <w:rPr>
          <w:rFonts w:ascii="Arial" w:hAnsi="Arial" w:cs="Arial"/>
          <w:sz w:val="24"/>
          <w:rtl/>
          <w:lang w:bidi="ar-SA"/>
        </w:rPr>
        <w:t xml:space="preserve">المزايا والعيوب فيما يتعلق بالنماذج المختلفة </w:t>
      </w:r>
      <w:r w:rsidRPr="00A60E32">
        <w:rPr>
          <w:rFonts w:ascii="Arial" w:hAnsi="Arial" w:cs="Arial"/>
          <w:sz w:val="24"/>
          <w:u w:val="single"/>
          <w:rtl/>
          <w:lang w:bidi="ar-SA"/>
        </w:rPr>
        <w:t>لتشغيل</w:t>
      </w:r>
      <w:r w:rsidRPr="00941EB7">
        <w:rPr>
          <w:rFonts w:ascii="Arial" w:hAnsi="Arial" w:cs="Arial"/>
          <w:sz w:val="24"/>
          <w:rtl/>
          <w:lang w:bidi="ar-SA"/>
        </w:rPr>
        <w:t xml:space="preserve"> معاملة إعادة الشراء (</w:t>
      </w:r>
      <w:r w:rsidR="00A60E32" w:rsidRPr="00941EB7">
        <w:rPr>
          <w:rFonts w:ascii="Arial" w:hAnsi="Arial" w:cs="Arial"/>
          <w:sz w:val="24"/>
        </w:rPr>
        <w:t>Bilateral</w:t>
      </w:r>
      <w:r w:rsidR="00A60E32" w:rsidRPr="00941EB7">
        <w:rPr>
          <w:rFonts w:ascii="Arial" w:hAnsi="Arial" w:cs="Arial"/>
          <w:sz w:val="24"/>
          <w:rtl/>
        </w:rPr>
        <w:t xml:space="preserve">, </w:t>
      </w:r>
      <w:r w:rsidR="00A60E32" w:rsidRPr="00941EB7">
        <w:rPr>
          <w:rFonts w:ascii="Arial" w:hAnsi="Arial" w:cs="Arial"/>
          <w:sz w:val="24"/>
        </w:rPr>
        <w:t>Triparty</w:t>
      </w:r>
      <w:r w:rsidR="00A60E32" w:rsidRPr="00941EB7">
        <w:rPr>
          <w:rFonts w:ascii="Arial" w:hAnsi="Arial" w:cs="Arial"/>
          <w:sz w:val="24"/>
          <w:rtl/>
        </w:rPr>
        <w:t xml:space="preserve">, </w:t>
      </w:r>
      <w:r w:rsidR="00A60E32" w:rsidRPr="00941EB7">
        <w:rPr>
          <w:rFonts w:ascii="Arial" w:hAnsi="Arial" w:cs="Arial"/>
          <w:sz w:val="24"/>
        </w:rPr>
        <w:t>CCP</w:t>
      </w:r>
      <w:r w:rsidRPr="00941EB7">
        <w:rPr>
          <w:rFonts w:ascii="Arial" w:hAnsi="Arial" w:cs="Arial"/>
          <w:sz w:val="24"/>
          <w:rtl/>
          <w:lang w:bidi="ar-SA"/>
        </w:rPr>
        <w:t xml:space="preserve">) </w:t>
      </w:r>
      <w:r w:rsidR="00A60E32" w:rsidRPr="00A60E32">
        <w:rPr>
          <w:rFonts w:ascii="Arial" w:hAnsi="Arial" w:cs="Arial" w:hint="cs"/>
          <w:sz w:val="24"/>
          <w:u w:val="single"/>
          <w:rtl/>
          <w:lang w:bidi="ar-SA"/>
        </w:rPr>
        <w:t>وأبرام</w:t>
      </w:r>
      <w:r w:rsidRPr="00941EB7">
        <w:rPr>
          <w:rFonts w:ascii="Arial" w:hAnsi="Arial" w:cs="Arial"/>
          <w:sz w:val="24"/>
          <w:rtl/>
          <w:lang w:bidi="ar-SA"/>
        </w:rPr>
        <w:t xml:space="preserve"> معامل</w:t>
      </w:r>
      <w:r w:rsidR="00240F0C">
        <w:rPr>
          <w:rFonts w:ascii="Arial" w:hAnsi="Arial" w:cs="Arial" w:hint="cs"/>
          <w:sz w:val="24"/>
          <w:rtl/>
          <w:lang w:bidi="ar-SA"/>
        </w:rPr>
        <w:t>ات</w:t>
      </w:r>
      <w:r w:rsidRPr="00941EB7">
        <w:rPr>
          <w:rFonts w:ascii="Arial" w:hAnsi="Arial" w:cs="Arial"/>
          <w:sz w:val="24"/>
          <w:rtl/>
          <w:lang w:bidi="ar-SA"/>
        </w:rPr>
        <w:t xml:space="preserve"> إعادة الشراء (من خلال </w:t>
      </w:r>
      <w:r w:rsidR="00A60E32">
        <w:rPr>
          <w:rFonts w:ascii="Arial" w:hAnsi="Arial" w:cs="Arial" w:hint="cs"/>
          <w:sz w:val="24"/>
          <w:rtl/>
          <w:lang w:bidi="ar-SA"/>
        </w:rPr>
        <w:t>وسيط</w:t>
      </w:r>
      <w:r w:rsidRPr="00941EB7">
        <w:rPr>
          <w:rFonts w:ascii="Arial" w:hAnsi="Arial" w:cs="Arial"/>
          <w:sz w:val="24"/>
          <w:rtl/>
          <w:lang w:bidi="ar-SA"/>
        </w:rPr>
        <w:t xml:space="preserve"> محلي مجهول، من خلال منصة موجودة خارج إسرائيل، </w:t>
      </w:r>
      <w:r w:rsidR="00A60E32">
        <w:rPr>
          <w:rFonts w:ascii="Arial" w:hAnsi="Arial" w:cs="Arial" w:hint="cs"/>
          <w:sz w:val="24"/>
          <w:rtl/>
          <w:lang w:bidi="ar-SA"/>
        </w:rPr>
        <w:t>الملاءمة</w:t>
      </w:r>
      <w:r w:rsidRPr="00941EB7">
        <w:rPr>
          <w:rFonts w:ascii="Arial" w:hAnsi="Arial" w:cs="Arial"/>
          <w:sz w:val="24"/>
          <w:rtl/>
          <w:lang w:bidi="ar-SA"/>
        </w:rPr>
        <w:t xml:space="preserve"> الفردية، </w:t>
      </w:r>
      <w:r w:rsidR="00A60E32">
        <w:rPr>
          <w:rFonts w:ascii="Arial" w:hAnsi="Arial" w:cs="Arial" w:hint="cs"/>
          <w:sz w:val="24"/>
          <w:rtl/>
          <w:lang w:bidi="ar-SA"/>
        </w:rPr>
        <w:t>وغيرها</w:t>
      </w:r>
      <w:r w:rsidRPr="00941EB7">
        <w:rPr>
          <w:rFonts w:ascii="Arial" w:hAnsi="Arial" w:cs="Arial"/>
          <w:sz w:val="24"/>
          <w:rtl/>
          <w:lang w:bidi="ar-SA"/>
        </w:rPr>
        <w:t>).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contextualSpacing w:val="0"/>
        <w:jc w:val="both"/>
        <w:textAlignment w:val="auto"/>
        <w:rPr>
          <w:rFonts w:ascii="Arial" w:hAnsi="Arial" w:cs="Arial"/>
          <w:sz w:val="24"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كيف سيساعد إنشاء آلية </w:t>
      </w:r>
      <w:r w:rsidR="00A60E32">
        <w:rPr>
          <w:rFonts w:ascii="Arial" w:hAnsi="Arial" w:cs="Arial" w:hint="cs"/>
          <w:sz w:val="24"/>
          <w:rtl/>
          <w:lang w:bidi="ar-SA"/>
        </w:rPr>
        <w:t>خاصة لإبرام</w:t>
      </w:r>
      <w:r w:rsidRPr="00941EB7">
        <w:rPr>
          <w:rFonts w:ascii="Arial" w:hAnsi="Arial" w:cs="Arial"/>
          <w:sz w:val="24"/>
          <w:rtl/>
          <w:lang w:bidi="ar-SA"/>
        </w:rPr>
        <w:t>/</w:t>
      </w:r>
      <w:r w:rsidR="00A60E32">
        <w:rPr>
          <w:rFonts w:ascii="Arial" w:hAnsi="Arial" w:cs="Arial" w:hint="cs"/>
          <w:sz w:val="24"/>
          <w:rtl/>
          <w:lang w:bidi="ar-SA"/>
        </w:rPr>
        <w:t xml:space="preserve"> </w:t>
      </w:r>
      <w:r w:rsidRPr="00941EB7">
        <w:rPr>
          <w:rFonts w:ascii="Arial" w:hAnsi="Arial" w:cs="Arial"/>
          <w:sz w:val="24"/>
          <w:rtl/>
          <w:lang w:bidi="ar-SA"/>
        </w:rPr>
        <w:t xml:space="preserve">تشغيل </w:t>
      </w:r>
      <w:r w:rsidRPr="00941EB7">
        <w:rPr>
          <w:rFonts w:ascii="Arial" w:hAnsi="Arial" w:cs="Arial"/>
          <w:sz w:val="24"/>
          <w:rtl/>
          <w:lang w:bidi="ar-SA"/>
        </w:rPr>
        <w:t>معامل</w:t>
      </w:r>
      <w:r w:rsidR="00A60E32">
        <w:rPr>
          <w:rFonts w:ascii="Arial" w:hAnsi="Arial" w:cs="Arial"/>
          <w:sz w:val="24"/>
          <w:rtl/>
          <w:lang w:bidi="ar-SA"/>
        </w:rPr>
        <w:t>ات إعادة الشراء في السوق المحلي</w:t>
      </w:r>
      <w:r w:rsidRPr="00941EB7">
        <w:rPr>
          <w:rFonts w:ascii="Arial" w:hAnsi="Arial" w:cs="Arial"/>
          <w:sz w:val="24"/>
          <w:rtl/>
          <w:lang w:bidi="ar-SA"/>
        </w:rPr>
        <w:t xml:space="preserve">، في حال إنشائها، </w:t>
      </w:r>
      <w:r w:rsidR="00A60E32">
        <w:rPr>
          <w:rFonts w:ascii="Arial" w:hAnsi="Arial" w:cs="Arial" w:hint="cs"/>
          <w:sz w:val="24"/>
          <w:rtl/>
          <w:lang w:bidi="ar-SA"/>
        </w:rPr>
        <w:t>الهيئات</w:t>
      </w:r>
      <w:r w:rsidRPr="00941EB7">
        <w:rPr>
          <w:rFonts w:ascii="Arial" w:hAnsi="Arial" w:cs="Arial"/>
          <w:sz w:val="24"/>
          <w:rtl/>
          <w:lang w:bidi="ar-SA"/>
        </w:rPr>
        <w:t xml:space="preserve"> الجديدة، المحلية والدولية، على المشاركة في معاملات إعادة الشراء في السوق وزيادة حجم المعاملات في </w:t>
      </w:r>
      <w:r w:rsidR="00A60E32">
        <w:rPr>
          <w:rFonts w:ascii="Arial" w:hAnsi="Arial" w:cs="Arial" w:hint="cs"/>
          <w:sz w:val="24"/>
          <w:rtl/>
          <w:lang w:bidi="ar-SA"/>
        </w:rPr>
        <w:t>النظام الاقتصادي</w:t>
      </w:r>
      <w:r w:rsidRPr="00941EB7">
        <w:rPr>
          <w:rFonts w:ascii="Arial" w:hAnsi="Arial" w:cs="Arial"/>
          <w:sz w:val="24"/>
          <w:rtl/>
          <w:lang w:bidi="ar-SA"/>
        </w:rPr>
        <w:t xml:space="preserve">؟ ما هو مستوى أهمية </w:t>
      </w:r>
      <w:r w:rsidR="00A60E32">
        <w:rPr>
          <w:rFonts w:ascii="Arial" w:hAnsi="Arial" w:cs="Arial" w:hint="cs"/>
          <w:sz w:val="24"/>
          <w:rtl/>
          <w:lang w:bidi="ar-SA"/>
        </w:rPr>
        <w:t>دمج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A60E32">
        <w:rPr>
          <w:rFonts w:ascii="Arial" w:hAnsi="Arial" w:cs="Arial" w:hint="cs"/>
          <w:sz w:val="24"/>
          <w:rtl/>
          <w:lang w:bidi="ar-SA"/>
        </w:rPr>
        <w:t>جهات</w:t>
      </w:r>
      <w:r w:rsidR="00A60E32">
        <w:rPr>
          <w:rFonts w:ascii="Arial" w:hAnsi="Arial" w:cs="Arial"/>
          <w:sz w:val="24"/>
          <w:rtl/>
          <w:lang w:bidi="ar-SA"/>
        </w:rPr>
        <w:t xml:space="preserve"> جديدة، بما في ذلك لاعبين دوليين، في الآلية المذكورة</w:t>
      </w:r>
      <w:r w:rsidRPr="00941EB7">
        <w:rPr>
          <w:rFonts w:ascii="Arial" w:hAnsi="Arial" w:cs="Arial"/>
          <w:sz w:val="24"/>
          <w:rtl/>
          <w:lang w:bidi="ar-SA"/>
        </w:rPr>
        <w:t>؟</w:t>
      </w:r>
    </w:p>
    <w:p w:rsidR="00941EB7" w:rsidRPr="00941EB7" w:rsidRDefault="00550EF6" w:rsidP="00240F0C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  <w:lang w:bidi="ar-SA"/>
        </w:rPr>
        <w:t>التطرق</w:t>
      </w:r>
      <w:r>
        <w:rPr>
          <w:rFonts w:ascii="Arial" w:hAnsi="Arial" w:cs="Arial"/>
          <w:sz w:val="24"/>
          <w:rtl/>
          <w:lang w:bidi="ar-SA"/>
        </w:rPr>
        <w:t xml:space="preserve"> إلى </w:t>
      </w:r>
      <w:r w:rsidRPr="00941EB7">
        <w:rPr>
          <w:rFonts w:ascii="Arial" w:hAnsi="Arial" w:cs="Arial"/>
          <w:sz w:val="24"/>
          <w:rtl/>
          <w:lang w:bidi="ar-SA"/>
        </w:rPr>
        <w:t xml:space="preserve">نماذج أو آليات </w:t>
      </w:r>
      <w:r w:rsidR="00240F0C">
        <w:rPr>
          <w:rFonts w:ascii="Arial" w:hAnsi="Arial" w:cs="Arial" w:hint="cs"/>
          <w:sz w:val="24"/>
          <w:rtl/>
          <w:lang w:bidi="ar-SA"/>
        </w:rPr>
        <w:t>تحفيزية</w:t>
      </w:r>
      <w:r w:rsidRPr="00941EB7">
        <w:rPr>
          <w:rFonts w:ascii="Arial" w:hAnsi="Arial" w:cs="Arial"/>
          <w:sz w:val="24"/>
          <w:rtl/>
          <w:lang w:bidi="ar-SA"/>
        </w:rPr>
        <w:t xml:space="preserve"> قد تساعد ف</w:t>
      </w:r>
      <w:r>
        <w:rPr>
          <w:rFonts w:ascii="Arial" w:hAnsi="Arial" w:cs="Arial"/>
          <w:sz w:val="24"/>
          <w:rtl/>
          <w:lang w:bidi="ar-SA"/>
        </w:rPr>
        <w:t xml:space="preserve">ي تطوير سوق </w:t>
      </w:r>
      <w:r>
        <w:rPr>
          <w:rFonts w:ascii="Arial" w:hAnsi="Arial" w:cs="Arial" w:hint="cs"/>
          <w:sz w:val="24"/>
          <w:rtl/>
          <w:lang w:bidi="ar-SA"/>
        </w:rPr>
        <w:t>محلي متقدم ل</w:t>
      </w:r>
      <w:r>
        <w:rPr>
          <w:rFonts w:ascii="Arial" w:hAnsi="Arial" w:cs="Arial"/>
          <w:sz w:val="24"/>
          <w:rtl/>
          <w:lang w:bidi="ar-SA"/>
        </w:rPr>
        <w:t>إعادة الشراء</w:t>
      </w:r>
      <w:r w:rsidRPr="00941EB7">
        <w:rPr>
          <w:rFonts w:ascii="Arial" w:hAnsi="Arial" w:cs="Arial"/>
          <w:sz w:val="24"/>
          <w:rtl/>
          <w:lang w:bidi="ar-SA"/>
        </w:rPr>
        <w:t>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  <w:lang w:bidi="ar-SA"/>
        </w:rPr>
        <w:t>التطرق</w:t>
      </w:r>
      <w:r w:rsidRPr="00941EB7">
        <w:rPr>
          <w:rFonts w:ascii="Arial" w:hAnsi="Arial" w:cs="Arial"/>
          <w:sz w:val="24"/>
          <w:rtl/>
          <w:lang w:bidi="ar-SA"/>
        </w:rPr>
        <w:t xml:space="preserve"> إلى القيمة المضافة المترتبة على إنشاء آلية لتشغيل معاملات إعادة الشراء فقط، دون تطوير منصة </w:t>
      </w:r>
      <w:r>
        <w:rPr>
          <w:rFonts w:ascii="Arial" w:hAnsi="Arial" w:cs="Arial" w:hint="cs"/>
          <w:sz w:val="24"/>
          <w:rtl/>
          <w:lang w:bidi="ar-SA"/>
        </w:rPr>
        <w:t>لإبرام</w:t>
      </w:r>
      <w:r w:rsidRPr="00941EB7">
        <w:rPr>
          <w:rFonts w:ascii="Arial" w:hAnsi="Arial" w:cs="Arial"/>
          <w:sz w:val="24"/>
          <w:rtl/>
          <w:lang w:bidi="ar-SA"/>
        </w:rPr>
        <w:t xml:space="preserve"> المعاملات (أي أن </w:t>
      </w:r>
      <w:r>
        <w:rPr>
          <w:rFonts w:ascii="Arial" w:hAnsi="Arial" w:cs="Arial" w:hint="cs"/>
          <w:sz w:val="24"/>
          <w:rtl/>
          <w:lang w:bidi="ar-SA"/>
        </w:rPr>
        <w:t>يتم إبرام</w:t>
      </w:r>
      <w:r w:rsidRPr="00941EB7">
        <w:rPr>
          <w:rFonts w:ascii="Arial" w:hAnsi="Arial" w:cs="Arial"/>
          <w:sz w:val="24"/>
          <w:rtl/>
          <w:lang w:bidi="ar-SA"/>
        </w:rPr>
        <w:t xml:space="preserve"> المعاملات بين الأطراف </w:t>
      </w:r>
      <w:r>
        <w:rPr>
          <w:rFonts w:ascii="Arial" w:hAnsi="Arial" w:cs="Arial" w:hint="cs"/>
          <w:sz w:val="24"/>
          <w:rtl/>
          <w:lang w:bidi="ar-SA"/>
        </w:rPr>
        <w:t>بشكل مباشر</w:t>
      </w:r>
      <w:r w:rsidRPr="00941EB7">
        <w:rPr>
          <w:rFonts w:ascii="Arial" w:hAnsi="Arial" w:cs="Arial"/>
          <w:sz w:val="24"/>
          <w:rtl/>
          <w:lang w:bidi="ar-SA"/>
        </w:rPr>
        <w:t>).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jc w:val="both"/>
        <w:textAlignment w:val="auto"/>
        <w:rPr>
          <w:rFonts w:ascii="Arial" w:hAnsi="Arial" w:cs="Arial"/>
          <w:sz w:val="24"/>
          <w:rtl/>
        </w:rPr>
      </w:pPr>
      <w:r w:rsidRPr="00941EB7">
        <w:rPr>
          <w:rFonts w:ascii="Arial" w:hAnsi="Arial" w:cs="Arial"/>
          <w:sz w:val="24"/>
          <w:rtl/>
          <w:lang w:bidi="ar-SA"/>
        </w:rPr>
        <w:t xml:space="preserve">وصف القدرة الحالية على </w:t>
      </w:r>
      <w:r w:rsidR="00A60E32">
        <w:rPr>
          <w:rFonts w:ascii="Arial" w:hAnsi="Arial" w:cs="Arial" w:hint="cs"/>
          <w:sz w:val="24"/>
          <w:rtl/>
          <w:lang w:bidi="ar-SA"/>
        </w:rPr>
        <w:t>إبرام</w:t>
      </w:r>
      <w:r w:rsidRPr="00941EB7">
        <w:rPr>
          <w:rFonts w:ascii="Arial" w:hAnsi="Arial" w:cs="Arial"/>
          <w:sz w:val="24"/>
          <w:rtl/>
          <w:lang w:bidi="ar-SA"/>
        </w:rPr>
        <w:t xml:space="preserve"> معاملات إعادة الشراء - </w:t>
      </w:r>
      <w:r w:rsidR="00A60E32">
        <w:rPr>
          <w:rFonts w:ascii="Arial" w:hAnsi="Arial" w:cs="Arial" w:hint="cs"/>
          <w:sz w:val="24"/>
          <w:rtl/>
          <w:lang w:bidi="ar-SA"/>
        </w:rPr>
        <w:t>قانونياً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A60E32">
        <w:rPr>
          <w:rFonts w:ascii="Arial" w:hAnsi="Arial" w:cs="Arial" w:hint="cs"/>
          <w:sz w:val="24"/>
          <w:rtl/>
          <w:lang w:bidi="ar-SA"/>
        </w:rPr>
        <w:t>وتعاقدياً وتشغيلياً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 w:rsidR="00A60E32">
        <w:rPr>
          <w:rFonts w:ascii="Arial" w:hAnsi="Arial" w:cs="Arial" w:hint="cs"/>
          <w:sz w:val="24"/>
          <w:rtl/>
          <w:lang w:bidi="ar-SA"/>
        </w:rPr>
        <w:t>وغيرها</w:t>
      </w:r>
      <w:r w:rsidRPr="00941EB7">
        <w:rPr>
          <w:rFonts w:ascii="Arial" w:hAnsi="Arial" w:cs="Arial"/>
          <w:sz w:val="24"/>
          <w:rtl/>
          <w:lang w:bidi="ar-SA"/>
        </w:rPr>
        <w:t>.</w:t>
      </w:r>
    </w:p>
    <w:p w:rsidR="00941EB7" w:rsidRPr="00941EB7" w:rsidRDefault="00550EF6" w:rsidP="00A60E32">
      <w:pPr>
        <w:pStyle w:val="ac"/>
        <w:numPr>
          <w:ilvl w:val="4"/>
          <w:numId w:val="16"/>
        </w:numPr>
        <w:overflowPunct/>
        <w:autoSpaceDE/>
        <w:autoSpaceDN/>
        <w:adjustRightInd/>
        <w:spacing w:before="0" w:after="0" w:line="276" w:lineRule="auto"/>
        <w:ind w:left="849"/>
        <w:contextualSpacing w:val="0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  <w:lang w:bidi="ar-SA"/>
        </w:rPr>
        <w:t>أي</w:t>
      </w:r>
      <w:r w:rsidRPr="00941EB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مسائل</w:t>
      </w:r>
      <w:r w:rsidRPr="00941EB7">
        <w:rPr>
          <w:rFonts w:ascii="Arial" w:hAnsi="Arial" w:cs="Arial"/>
          <w:sz w:val="24"/>
          <w:rtl/>
          <w:lang w:bidi="ar-SA"/>
        </w:rPr>
        <w:t xml:space="preserve"> أخرى ذات صلة.</w:t>
      </w:r>
    </w:p>
    <w:p w:rsidR="002923D5" w:rsidRPr="00941EB7" w:rsidRDefault="002923D5" w:rsidP="00A60E32">
      <w:pPr>
        <w:pStyle w:val="ac"/>
        <w:spacing w:line="276" w:lineRule="auto"/>
        <w:jc w:val="both"/>
        <w:rPr>
          <w:rFonts w:ascii="Arial" w:hAnsi="Arial" w:cs="Arial"/>
          <w:sz w:val="24"/>
          <w:rtl/>
        </w:rPr>
      </w:pPr>
    </w:p>
    <w:p w:rsidR="00941EB7" w:rsidRPr="00941EB7" w:rsidRDefault="00550EF6" w:rsidP="00240F0C">
      <w:pPr>
        <w:spacing w:line="276" w:lineRule="auto"/>
        <w:contextualSpacing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  <w:lang w:bidi="ar-SA"/>
        </w:rPr>
        <w:t>يجب تقديم الردود</w:t>
      </w:r>
      <w:r w:rsidRPr="00941EB7">
        <w:rPr>
          <w:rFonts w:ascii="Arial" w:hAnsi="Arial" w:cs="Arial"/>
          <w:sz w:val="24"/>
          <w:rtl/>
          <w:lang w:bidi="ar-SA"/>
        </w:rPr>
        <w:t xml:space="preserve"> على الدعوة </w:t>
      </w:r>
      <w:r>
        <w:rPr>
          <w:rFonts w:ascii="Arial" w:hAnsi="Arial" w:cs="Arial" w:hint="cs"/>
          <w:sz w:val="24"/>
          <w:rtl/>
          <w:lang w:bidi="ar-SA"/>
        </w:rPr>
        <w:t>خطياً</w:t>
      </w:r>
      <w:r w:rsidRPr="00941EB7">
        <w:rPr>
          <w:rFonts w:ascii="Arial" w:hAnsi="Arial" w:cs="Arial"/>
          <w:sz w:val="24"/>
          <w:rtl/>
          <w:lang w:bidi="ar-SA"/>
        </w:rPr>
        <w:t xml:space="preserve">. وسوف يأخذ الفريق المشترك جميع الطلبات التي يتلقاها على محمل الجد، وإذا لزم الأمر، سوف يتصل </w:t>
      </w:r>
      <w:r w:rsidR="00240F0C">
        <w:rPr>
          <w:rFonts w:ascii="Arial" w:hAnsi="Arial" w:cs="Arial" w:hint="cs"/>
          <w:sz w:val="24"/>
          <w:rtl/>
          <w:lang w:bidi="ar-SA"/>
        </w:rPr>
        <w:t>ب</w:t>
      </w:r>
      <w:r>
        <w:rPr>
          <w:rFonts w:ascii="Arial" w:hAnsi="Arial" w:cs="Arial" w:hint="cs"/>
          <w:sz w:val="24"/>
          <w:rtl/>
          <w:lang w:bidi="ar-SA"/>
        </w:rPr>
        <w:t>مرسلي الردود</w:t>
      </w:r>
      <w:r>
        <w:rPr>
          <w:rFonts w:ascii="Arial" w:hAnsi="Arial" w:cs="Arial"/>
          <w:sz w:val="24"/>
          <w:rtl/>
          <w:lang w:bidi="ar-SA"/>
        </w:rPr>
        <w:t>، أو</w:t>
      </w:r>
      <w:r>
        <w:rPr>
          <w:rFonts w:ascii="Arial" w:hAnsi="Arial" w:cs="Arial"/>
          <w:sz w:val="24"/>
          <w:rtl/>
          <w:lang w:bidi="ar-SA"/>
        </w:rPr>
        <w:t xml:space="preserve"> ب</w:t>
      </w:r>
      <w:r w:rsidRPr="00941EB7">
        <w:rPr>
          <w:rFonts w:ascii="Arial" w:hAnsi="Arial" w:cs="Arial"/>
          <w:sz w:val="24"/>
          <w:rtl/>
          <w:lang w:bidi="ar-SA"/>
        </w:rPr>
        <w:t xml:space="preserve">أطراف </w:t>
      </w:r>
      <w:r>
        <w:rPr>
          <w:rFonts w:ascii="Arial" w:hAnsi="Arial" w:cs="Arial" w:hint="cs"/>
          <w:sz w:val="24"/>
          <w:rtl/>
          <w:lang w:bidi="ar-SA"/>
        </w:rPr>
        <w:t>تنوب</w:t>
      </w:r>
      <w:r w:rsidRPr="00941EB7">
        <w:rPr>
          <w:rFonts w:ascii="Arial" w:hAnsi="Arial" w:cs="Arial"/>
          <w:sz w:val="24"/>
          <w:rtl/>
          <w:lang w:bidi="ar-SA"/>
        </w:rPr>
        <w:t xml:space="preserve"> عنهم، </w:t>
      </w:r>
      <w:r>
        <w:rPr>
          <w:rFonts w:ascii="Arial" w:hAnsi="Arial" w:cs="Arial" w:hint="cs"/>
          <w:sz w:val="24"/>
          <w:rtl/>
          <w:lang w:bidi="ar-SA"/>
        </w:rPr>
        <w:t>ب</w:t>
      </w:r>
      <w:r w:rsidRPr="00941EB7">
        <w:rPr>
          <w:rFonts w:ascii="Arial" w:hAnsi="Arial" w:cs="Arial"/>
          <w:sz w:val="24"/>
          <w:rtl/>
          <w:lang w:bidi="ar-SA"/>
        </w:rPr>
        <w:t>حسب تقديره.</w:t>
      </w:r>
    </w:p>
    <w:p w:rsidR="00941EB7" w:rsidRPr="00941EB7" w:rsidRDefault="00941EB7" w:rsidP="00A60E32">
      <w:pPr>
        <w:spacing w:line="276" w:lineRule="auto"/>
        <w:contextualSpacing/>
        <w:jc w:val="both"/>
        <w:rPr>
          <w:rFonts w:ascii="Arial" w:hAnsi="Arial" w:cs="Arial"/>
          <w:sz w:val="24"/>
          <w:rtl/>
        </w:rPr>
      </w:pPr>
    </w:p>
    <w:p w:rsidR="00941EB7" w:rsidRPr="009C742A" w:rsidRDefault="00550EF6" w:rsidP="00A60E32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rtl/>
          <w:lang w:bidi="ar-SA"/>
        </w:rPr>
      </w:pPr>
      <w:r w:rsidRPr="009C742A">
        <w:rPr>
          <w:rFonts w:ascii="Arial" w:hAnsi="Arial" w:cs="Arial"/>
          <w:b/>
          <w:bCs/>
          <w:sz w:val="24"/>
          <w:rtl/>
          <w:lang w:bidi="ar-SA"/>
        </w:rPr>
        <w:t xml:space="preserve">يجب تقديم </w:t>
      </w:r>
      <w:r w:rsidR="00A60E32">
        <w:rPr>
          <w:rFonts w:ascii="Arial" w:hAnsi="Arial" w:cs="Arial" w:hint="cs"/>
          <w:b/>
          <w:bCs/>
          <w:sz w:val="24"/>
          <w:rtl/>
          <w:lang w:bidi="ar-SA"/>
        </w:rPr>
        <w:t>الردود خطياً</w:t>
      </w:r>
      <w:r w:rsidRPr="009C742A">
        <w:rPr>
          <w:rFonts w:ascii="Arial" w:hAnsi="Arial" w:cs="Arial"/>
          <w:b/>
          <w:bCs/>
          <w:sz w:val="24"/>
          <w:rtl/>
          <w:lang w:bidi="ar-SA"/>
        </w:rPr>
        <w:t xml:space="preserve"> </w:t>
      </w:r>
      <w:r w:rsidR="00A60E32">
        <w:rPr>
          <w:rFonts w:ascii="Arial" w:hAnsi="Arial" w:cs="Arial" w:hint="cs"/>
          <w:b/>
          <w:bCs/>
          <w:sz w:val="24"/>
          <w:rtl/>
          <w:lang w:bidi="ar-SA"/>
        </w:rPr>
        <w:t>حتى تاريخ</w:t>
      </w:r>
      <w:r w:rsidRPr="009C742A">
        <w:rPr>
          <w:rFonts w:ascii="Arial" w:hAnsi="Arial" w:cs="Arial"/>
          <w:b/>
          <w:bCs/>
          <w:sz w:val="24"/>
          <w:rtl/>
          <w:lang w:bidi="ar-SA"/>
        </w:rPr>
        <w:t xml:space="preserve"> 13 </w:t>
      </w:r>
      <w:r w:rsidR="00A60E32">
        <w:rPr>
          <w:rFonts w:ascii="Arial" w:hAnsi="Arial" w:cs="Arial" w:hint="cs"/>
          <w:b/>
          <w:bCs/>
          <w:sz w:val="24"/>
          <w:rtl/>
          <w:lang w:bidi="ar-SA"/>
        </w:rPr>
        <w:t>آذار</w:t>
      </w:r>
      <w:r w:rsidRPr="009C742A">
        <w:rPr>
          <w:rFonts w:ascii="Arial" w:hAnsi="Arial" w:cs="Arial"/>
          <w:b/>
          <w:bCs/>
          <w:sz w:val="24"/>
          <w:rtl/>
          <w:lang w:bidi="ar-SA"/>
        </w:rPr>
        <w:t xml:space="preserve"> 2025، إلى السيد دان كامينتسكي، بورصة تل أبيب</w:t>
      </w:r>
      <w:r w:rsidR="00A60E32">
        <w:rPr>
          <w:rFonts w:ascii="Arial" w:hAnsi="Arial" w:cs="Arial" w:hint="cs"/>
          <w:b/>
          <w:bCs/>
          <w:sz w:val="24"/>
          <w:rtl/>
          <w:lang w:bidi="ar-SA"/>
        </w:rPr>
        <w:t xml:space="preserve"> للأوراق المالية</w:t>
      </w:r>
      <w:r w:rsidRPr="009C742A">
        <w:rPr>
          <w:rFonts w:ascii="Arial" w:hAnsi="Arial" w:cs="Arial"/>
          <w:b/>
          <w:bCs/>
          <w:sz w:val="24"/>
          <w:rtl/>
          <w:lang w:bidi="ar-SA"/>
        </w:rPr>
        <w:t xml:space="preserve">، على عنوان البريد الإلكتروني: </w:t>
      </w:r>
      <w:hyperlink w:history="1">
        <w:r w:rsidR="00A60E32" w:rsidRPr="00941EB7">
          <w:rPr>
            <w:rStyle w:val="Hyperlink"/>
            <w:rFonts w:ascii="Arial" w:hAnsi="Arial" w:cs="Arial"/>
            <w:sz w:val="24"/>
          </w:rPr>
          <w:t>dank@tase.co.il</w:t>
        </w:r>
      </w:hyperlink>
      <w:r w:rsidRPr="009C742A">
        <w:rPr>
          <w:rFonts w:ascii="Arial" w:hAnsi="Arial" w:cs="Arial"/>
          <w:b/>
          <w:bCs/>
          <w:sz w:val="24"/>
          <w:rtl/>
          <w:lang w:bidi="ar-SA"/>
        </w:rPr>
        <w:t>.</w:t>
      </w:r>
    </w:p>
    <w:p w:rsidR="002923D5" w:rsidRPr="00941EB7" w:rsidRDefault="002923D5" w:rsidP="00A60E32">
      <w:pPr>
        <w:spacing w:line="276" w:lineRule="auto"/>
        <w:contextualSpacing/>
        <w:jc w:val="both"/>
        <w:rPr>
          <w:rFonts w:ascii="Arial" w:hAnsi="Arial" w:cs="Arial"/>
          <w:sz w:val="24"/>
        </w:rPr>
      </w:pPr>
    </w:p>
    <w:p w:rsidR="00044F62" w:rsidRPr="00941EB7" w:rsidRDefault="00044F62" w:rsidP="00A60E32">
      <w:pPr>
        <w:spacing w:line="276" w:lineRule="auto"/>
        <w:rPr>
          <w:rFonts w:ascii="Arial" w:hAnsi="Arial" w:cs="Arial"/>
          <w:sz w:val="24"/>
          <w:rtl/>
        </w:rPr>
      </w:pPr>
    </w:p>
    <w:sectPr w:rsidR="00044F62" w:rsidRPr="00941EB7" w:rsidSect="00300D5A">
      <w:headerReference w:type="first" r:id="rId7"/>
      <w:footerReference w:type="first" r:id="rId8"/>
      <w:endnotePr>
        <w:numFmt w:val="lowerLetter"/>
      </w:endnotePr>
      <w:type w:val="continuous"/>
      <w:pgSz w:w="11907" w:h="16840" w:code="9"/>
      <w:pgMar w:top="1134" w:right="1418" w:bottom="1134" w:left="1418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6C" w:rsidRDefault="00550EF6">
      <w:pPr>
        <w:spacing w:before="0" w:after="0" w:line="240" w:lineRule="auto"/>
      </w:pPr>
      <w:r>
        <w:separator/>
      </w:r>
    </w:p>
  </w:endnote>
  <w:endnote w:type="continuationSeparator" w:id="0">
    <w:p w:rsidR="004F156C" w:rsidRDefault="00550E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altName w:val="Arial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5E" w:rsidRPr="00AE23A1" w:rsidRDefault="00021E5E" w:rsidP="00ED7417">
    <w:pPr>
      <w:jc w:val="center"/>
      <w:rPr>
        <w:rStyle w:val="a5"/>
        <w:sz w:val="26"/>
        <w:szCs w:val="2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6C" w:rsidRDefault="00550EF6">
      <w:pPr>
        <w:spacing w:before="0" w:after="0" w:line="240" w:lineRule="auto"/>
      </w:pPr>
      <w:r>
        <w:separator/>
      </w:r>
    </w:p>
  </w:footnote>
  <w:footnote w:type="continuationSeparator" w:id="0">
    <w:p w:rsidR="004F156C" w:rsidRDefault="00550E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62" w:rsidRPr="00AE23A1" w:rsidRDefault="00550EF6" w:rsidP="00300D5A">
    <w:pPr>
      <w:jc w:val="center"/>
      <w:rPr>
        <w:sz w:val="26"/>
        <w:szCs w:val="26"/>
        <w:rtl/>
      </w:rPr>
    </w:pPr>
    <w:r>
      <w:rPr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-236220</wp:posOffset>
          </wp:positionV>
          <wp:extent cx="1190625" cy="1190625"/>
          <wp:effectExtent l="0" t="0" r="0" b="0"/>
          <wp:wrapTight wrapText="bothSides">
            <wp:wrapPolygon edited="0">
              <wp:start x="18317" y="3110"/>
              <wp:lineTo x="4493" y="7949"/>
              <wp:lineTo x="4493" y="9331"/>
              <wp:lineTo x="1382" y="14861"/>
              <wp:lineTo x="3456" y="18317"/>
              <wp:lineTo x="15552" y="18317"/>
              <wp:lineTo x="16243" y="17626"/>
              <wp:lineTo x="17626" y="15552"/>
              <wp:lineTo x="17280" y="9331"/>
              <wp:lineTo x="20045" y="3110"/>
              <wp:lineTo x="18317" y="3110"/>
            </wp:wrapPolygon>
          </wp:wrapTight>
          <wp:docPr id="1025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1189355</wp:posOffset>
          </wp:positionH>
          <wp:positionV relativeFrom="paragraph">
            <wp:posOffset>-149860</wp:posOffset>
          </wp:positionV>
          <wp:extent cx="1732915" cy="927100"/>
          <wp:effectExtent l="0" t="0" r="0" b="0"/>
          <wp:wrapThrough wrapText="bothSides">
            <wp:wrapPolygon edited="0">
              <wp:start x="13535" y="0"/>
              <wp:lineTo x="10923" y="7101"/>
              <wp:lineTo x="4037" y="13759"/>
              <wp:lineTo x="0" y="16422"/>
              <wp:lineTo x="0" y="18641"/>
              <wp:lineTo x="2849" y="21304"/>
              <wp:lineTo x="12822" y="21304"/>
              <wp:lineTo x="16384" y="21304"/>
              <wp:lineTo x="19708" y="17753"/>
              <wp:lineTo x="19471" y="14203"/>
              <wp:lineTo x="21370" y="9764"/>
              <wp:lineTo x="21370" y="8433"/>
              <wp:lineTo x="17334" y="7101"/>
              <wp:lineTo x="14722" y="0"/>
              <wp:lineTo x="13535" y="0"/>
            </wp:wrapPolygon>
          </wp:wrapThrough>
          <wp:docPr id="1026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144145</wp:posOffset>
          </wp:positionV>
          <wp:extent cx="1504950" cy="495300"/>
          <wp:effectExtent l="0" t="0" r="0" b="0"/>
          <wp:wrapNone/>
          <wp:docPr id="1027" name="תמונה 1" descr="C:\Users\u34r\AppData\Local\Microsoft\Windows\INetCache\Content.Word\logo_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u34r\AppData\Local\Microsoft\Windows\INetCache\Content.Word\logo_7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color w:val="1F497D"/>
        <w:sz w:val="24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940435" cy="880745"/>
          <wp:effectExtent l="0" t="0" r="0" b="0"/>
          <wp:wrapNone/>
          <wp:docPr id="1028" name="תמונה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148"/>
    <w:multiLevelType w:val="multilevel"/>
    <w:tmpl w:val="34FC2D92"/>
    <w:lvl w:ilvl="0">
      <w:start w:val="1"/>
      <w:numFmt w:val="decimal"/>
      <w:isLgl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" w15:restartNumberingAfterBreak="0">
    <w:nsid w:val="0F166A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93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AB5078"/>
    <w:multiLevelType w:val="multilevel"/>
    <w:tmpl w:val="69182D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1"/>
      <w:lvlText w:val="%1.%2."/>
      <w:lvlJc w:val="righ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DA95D89"/>
    <w:multiLevelType w:val="multilevel"/>
    <w:tmpl w:val="B5644574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034C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01BFA"/>
    <w:multiLevelType w:val="multilevel"/>
    <w:tmpl w:val="B5644574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DC6105"/>
    <w:multiLevelType w:val="multilevel"/>
    <w:tmpl w:val="1922A68E"/>
    <w:lvl w:ilvl="0">
      <w:start w:val="1"/>
      <w:numFmt w:val="decimal"/>
      <w:isLgl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22"/>
      <w:lvlText w:val="%1.%2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6984315C"/>
    <w:multiLevelType w:val="multilevel"/>
    <w:tmpl w:val="5DD88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E777FB"/>
    <w:multiLevelType w:val="multilevel"/>
    <w:tmpl w:val="B5644574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D14276"/>
    <w:multiLevelType w:val="multilevel"/>
    <w:tmpl w:val="5440AB4A"/>
    <w:lvl w:ilvl="0">
      <w:start w:val="1"/>
      <w:numFmt w:val="decimal"/>
      <w:pStyle w:val="10"/>
      <w:lvlText w:val="%1."/>
      <w:lvlJc w:val="right"/>
      <w:pPr>
        <w:tabs>
          <w:tab w:val="num" w:pos="510"/>
        </w:tabs>
        <w:ind w:left="510" w:right="510" w:hanging="22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tabs>
          <w:tab w:val="num" w:pos="870"/>
        </w:tabs>
        <w:ind w:left="680" w:right="680" w:hanging="17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30"/>
        </w:tabs>
        <w:ind w:left="794" w:right="79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right="1418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righ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righ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righ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right="1872" w:hanging="1584"/>
      </w:pPr>
      <w:rPr>
        <w:rFonts w:hint="default"/>
      </w:rPr>
    </w:lvl>
  </w:abstractNum>
  <w:abstractNum w:abstractNumId="11" w15:restartNumberingAfterBreak="0">
    <w:nsid w:val="720B6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0C5F0D"/>
    <w:multiLevelType w:val="hybridMultilevel"/>
    <w:tmpl w:val="848C7948"/>
    <w:lvl w:ilvl="0" w:tplc="C78E41C2">
      <w:start w:val="1"/>
      <w:numFmt w:val="decimal"/>
      <w:lvlText w:val="%1."/>
      <w:lvlJc w:val="center"/>
      <w:pPr>
        <w:ind w:left="360" w:hanging="360"/>
      </w:pPr>
      <w:rPr>
        <w:rFonts w:ascii="David" w:eastAsia="Calibri" w:hAnsi="David" w:cs="David"/>
      </w:rPr>
    </w:lvl>
    <w:lvl w:ilvl="1" w:tplc="2C2293E6">
      <w:start w:val="1"/>
      <w:numFmt w:val="arabicAbjad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74509102">
      <w:start w:val="1"/>
      <w:numFmt w:val="decimal"/>
      <w:lvlText w:val="%3)"/>
      <w:lvlJc w:val="right"/>
      <w:pPr>
        <w:ind w:left="1031" w:hanging="180"/>
      </w:pPr>
      <w:rPr>
        <w:rFonts w:ascii="David" w:eastAsia="Calibri" w:hAnsi="David" w:cs="David"/>
        <w:b w:val="0"/>
        <w:bCs w:val="0"/>
      </w:rPr>
    </w:lvl>
    <w:lvl w:ilvl="3" w:tplc="6770C730">
      <w:start w:val="1"/>
      <w:numFmt w:val="hebrew1"/>
      <w:lvlText w:val="%4."/>
      <w:lvlJc w:val="left"/>
      <w:pPr>
        <w:ind w:left="2880" w:hanging="360"/>
      </w:pPr>
      <w:rPr>
        <w:rFonts w:ascii="David" w:eastAsia="Calibri" w:hAnsi="David" w:cs="David"/>
      </w:rPr>
    </w:lvl>
    <w:lvl w:ilvl="4" w:tplc="0902DC6E">
      <w:start w:val="1"/>
      <w:numFmt w:val="decimal"/>
      <w:lvlText w:val="%5."/>
      <w:lvlJc w:val="left"/>
      <w:pPr>
        <w:ind w:left="3600" w:hanging="360"/>
      </w:pPr>
    </w:lvl>
    <w:lvl w:ilvl="5" w:tplc="2AB254AE">
      <w:start w:val="1"/>
      <w:numFmt w:val="lowerRoman"/>
      <w:lvlText w:val="%6."/>
      <w:lvlJc w:val="right"/>
      <w:pPr>
        <w:ind w:left="4320" w:hanging="180"/>
      </w:pPr>
    </w:lvl>
    <w:lvl w:ilvl="6" w:tplc="FEAEED20">
      <w:start w:val="1"/>
      <w:numFmt w:val="decimal"/>
      <w:lvlText w:val="%7."/>
      <w:lvlJc w:val="left"/>
      <w:pPr>
        <w:ind w:left="5040" w:hanging="360"/>
      </w:pPr>
    </w:lvl>
    <w:lvl w:ilvl="7" w:tplc="A5D08ADC">
      <w:start w:val="1"/>
      <w:numFmt w:val="lowerLetter"/>
      <w:lvlText w:val="%8."/>
      <w:lvlJc w:val="left"/>
      <w:pPr>
        <w:ind w:left="5760" w:hanging="360"/>
      </w:pPr>
    </w:lvl>
    <w:lvl w:ilvl="8" w:tplc="993C0C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7161B"/>
    <w:multiLevelType w:val="multilevel"/>
    <w:tmpl w:val="2AFEC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pStyle w:val="10"/>
        <w:lvlText w:val="%1."/>
        <w:lvlJc w:val="right"/>
        <w:pPr>
          <w:tabs>
            <w:tab w:val="num" w:pos="510"/>
          </w:tabs>
          <w:ind w:left="510" w:hanging="22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870"/>
          </w:tabs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1230"/>
          </w:tabs>
          <w:ind w:left="79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1418" w:hanging="9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296"/>
          </w:tabs>
          <w:ind w:left="1296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584"/>
          </w:tabs>
          <w:ind w:left="1584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728"/>
          </w:tabs>
          <w:ind w:left="17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72"/>
          </w:tabs>
          <w:ind w:left="1872" w:hanging="1584"/>
        </w:pPr>
        <w:rPr>
          <w:rFonts w:hint="default"/>
        </w:rPr>
      </w:lvl>
    </w:lvlOverride>
  </w:num>
  <w:num w:numId="3">
    <w:abstractNumId w:val="10"/>
    <w:lvlOverride w:ilvl="0">
      <w:lvl w:ilvl="0">
        <w:start w:val="1"/>
        <w:numFmt w:val="decimal"/>
        <w:pStyle w:val="10"/>
        <w:lvlText w:val="%1."/>
        <w:lvlJc w:val="right"/>
        <w:pPr>
          <w:tabs>
            <w:tab w:val="num" w:pos="510"/>
          </w:tabs>
          <w:ind w:left="510" w:hanging="22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870"/>
          </w:tabs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1230"/>
          </w:tabs>
          <w:ind w:left="79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1418" w:hanging="9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296"/>
          </w:tabs>
          <w:ind w:left="1296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584"/>
          </w:tabs>
          <w:ind w:left="1584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728"/>
          </w:tabs>
          <w:ind w:left="17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72"/>
          </w:tabs>
          <w:ind w:left="1872" w:hanging="1584"/>
        </w:pPr>
        <w:rPr>
          <w:rFonts w:hint="default"/>
        </w:rPr>
      </w:lvl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E9"/>
    <w:rsid w:val="00003F49"/>
    <w:rsid w:val="00021E5E"/>
    <w:rsid w:val="00026498"/>
    <w:rsid w:val="00044F62"/>
    <w:rsid w:val="000841EC"/>
    <w:rsid w:val="000847F7"/>
    <w:rsid w:val="00087C54"/>
    <w:rsid w:val="00095BED"/>
    <w:rsid w:val="000C085D"/>
    <w:rsid w:val="000F23D3"/>
    <w:rsid w:val="000F4122"/>
    <w:rsid w:val="000F5BD0"/>
    <w:rsid w:val="0010049C"/>
    <w:rsid w:val="00101626"/>
    <w:rsid w:val="0011639A"/>
    <w:rsid w:val="00141587"/>
    <w:rsid w:val="0014664D"/>
    <w:rsid w:val="00152085"/>
    <w:rsid w:val="00152286"/>
    <w:rsid w:val="00156B63"/>
    <w:rsid w:val="0017128C"/>
    <w:rsid w:val="001F0DDB"/>
    <w:rsid w:val="001F6BB5"/>
    <w:rsid w:val="002146BB"/>
    <w:rsid w:val="00214A8B"/>
    <w:rsid w:val="00235B92"/>
    <w:rsid w:val="00240F0C"/>
    <w:rsid w:val="00242E4A"/>
    <w:rsid w:val="00266C82"/>
    <w:rsid w:val="002819FC"/>
    <w:rsid w:val="00282E53"/>
    <w:rsid w:val="00290CE7"/>
    <w:rsid w:val="002923D5"/>
    <w:rsid w:val="0029464E"/>
    <w:rsid w:val="002C07A0"/>
    <w:rsid w:val="002E5A61"/>
    <w:rsid w:val="002F02DE"/>
    <w:rsid w:val="00300D5A"/>
    <w:rsid w:val="00361593"/>
    <w:rsid w:val="00362A39"/>
    <w:rsid w:val="003634C9"/>
    <w:rsid w:val="00373DB5"/>
    <w:rsid w:val="003A26E6"/>
    <w:rsid w:val="003C46DD"/>
    <w:rsid w:val="003F5118"/>
    <w:rsid w:val="00420B85"/>
    <w:rsid w:val="004434A4"/>
    <w:rsid w:val="00466549"/>
    <w:rsid w:val="004711FD"/>
    <w:rsid w:val="00474C8C"/>
    <w:rsid w:val="00495D16"/>
    <w:rsid w:val="004A0F2E"/>
    <w:rsid w:val="004F156C"/>
    <w:rsid w:val="00511D9D"/>
    <w:rsid w:val="00522B94"/>
    <w:rsid w:val="00545CEE"/>
    <w:rsid w:val="00550EF6"/>
    <w:rsid w:val="005560A6"/>
    <w:rsid w:val="00590600"/>
    <w:rsid w:val="005B0609"/>
    <w:rsid w:val="005B24A4"/>
    <w:rsid w:val="005D72F6"/>
    <w:rsid w:val="005F2227"/>
    <w:rsid w:val="005F3B2A"/>
    <w:rsid w:val="005F57B8"/>
    <w:rsid w:val="006168F7"/>
    <w:rsid w:val="00622308"/>
    <w:rsid w:val="00625CCE"/>
    <w:rsid w:val="00655981"/>
    <w:rsid w:val="00664A43"/>
    <w:rsid w:val="00680DEE"/>
    <w:rsid w:val="006B6229"/>
    <w:rsid w:val="006C5706"/>
    <w:rsid w:val="006D62A4"/>
    <w:rsid w:val="006E3DB2"/>
    <w:rsid w:val="00701B5B"/>
    <w:rsid w:val="00714D47"/>
    <w:rsid w:val="00752FC3"/>
    <w:rsid w:val="00753682"/>
    <w:rsid w:val="00781C22"/>
    <w:rsid w:val="007B0578"/>
    <w:rsid w:val="007B13AD"/>
    <w:rsid w:val="007C1FEF"/>
    <w:rsid w:val="007F5564"/>
    <w:rsid w:val="0080593D"/>
    <w:rsid w:val="008233DC"/>
    <w:rsid w:val="00825EEC"/>
    <w:rsid w:val="00827356"/>
    <w:rsid w:val="00844E5C"/>
    <w:rsid w:val="00871B56"/>
    <w:rsid w:val="00873D5F"/>
    <w:rsid w:val="00882659"/>
    <w:rsid w:val="008A5145"/>
    <w:rsid w:val="008B6ACD"/>
    <w:rsid w:val="008E0B4F"/>
    <w:rsid w:val="00907528"/>
    <w:rsid w:val="00941EB7"/>
    <w:rsid w:val="0095536B"/>
    <w:rsid w:val="009562AE"/>
    <w:rsid w:val="0096302C"/>
    <w:rsid w:val="00964E93"/>
    <w:rsid w:val="00975593"/>
    <w:rsid w:val="009838BD"/>
    <w:rsid w:val="00997875"/>
    <w:rsid w:val="009B5C86"/>
    <w:rsid w:val="009C1CFB"/>
    <w:rsid w:val="009C59BC"/>
    <w:rsid w:val="009C742A"/>
    <w:rsid w:val="009D0FF0"/>
    <w:rsid w:val="009D4F3D"/>
    <w:rsid w:val="009E507C"/>
    <w:rsid w:val="009E740A"/>
    <w:rsid w:val="009F00CB"/>
    <w:rsid w:val="009F3C7A"/>
    <w:rsid w:val="009F6B99"/>
    <w:rsid w:val="009F7BEE"/>
    <w:rsid w:val="00A00FB7"/>
    <w:rsid w:val="00A16BD4"/>
    <w:rsid w:val="00A53726"/>
    <w:rsid w:val="00A60E32"/>
    <w:rsid w:val="00A66811"/>
    <w:rsid w:val="00A67256"/>
    <w:rsid w:val="00A70548"/>
    <w:rsid w:val="00AA124D"/>
    <w:rsid w:val="00AB331B"/>
    <w:rsid w:val="00AC3262"/>
    <w:rsid w:val="00AD711A"/>
    <w:rsid w:val="00AE20B8"/>
    <w:rsid w:val="00AE23A1"/>
    <w:rsid w:val="00AE5192"/>
    <w:rsid w:val="00B336CC"/>
    <w:rsid w:val="00B646DC"/>
    <w:rsid w:val="00B651D6"/>
    <w:rsid w:val="00BB341E"/>
    <w:rsid w:val="00BE35E3"/>
    <w:rsid w:val="00BF2711"/>
    <w:rsid w:val="00BF49C1"/>
    <w:rsid w:val="00C05930"/>
    <w:rsid w:val="00C25676"/>
    <w:rsid w:val="00C460E3"/>
    <w:rsid w:val="00C60A9B"/>
    <w:rsid w:val="00C62583"/>
    <w:rsid w:val="00C70380"/>
    <w:rsid w:val="00C73972"/>
    <w:rsid w:val="00C80395"/>
    <w:rsid w:val="00CB0A1D"/>
    <w:rsid w:val="00CE7F13"/>
    <w:rsid w:val="00CE7F44"/>
    <w:rsid w:val="00D06B44"/>
    <w:rsid w:val="00D2144E"/>
    <w:rsid w:val="00D2623A"/>
    <w:rsid w:val="00D50507"/>
    <w:rsid w:val="00D87E36"/>
    <w:rsid w:val="00DA4110"/>
    <w:rsid w:val="00DB1B04"/>
    <w:rsid w:val="00DC220B"/>
    <w:rsid w:val="00DC514E"/>
    <w:rsid w:val="00DC730D"/>
    <w:rsid w:val="00DE09F2"/>
    <w:rsid w:val="00DE4DCF"/>
    <w:rsid w:val="00DE5865"/>
    <w:rsid w:val="00DF2B26"/>
    <w:rsid w:val="00E55C33"/>
    <w:rsid w:val="00E75907"/>
    <w:rsid w:val="00E87773"/>
    <w:rsid w:val="00EC3C8D"/>
    <w:rsid w:val="00ED3E36"/>
    <w:rsid w:val="00ED7417"/>
    <w:rsid w:val="00EF64AD"/>
    <w:rsid w:val="00F22AAC"/>
    <w:rsid w:val="00F25D8E"/>
    <w:rsid w:val="00F638F5"/>
    <w:rsid w:val="00F76351"/>
    <w:rsid w:val="00F924E9"/>
    <w:rsid w:val="00F9545C"/>
    <w:rsid w:val="00F955B0"/>
    <w:rsid w:val="00FB3FF6"/>
    <w:rsid w:val="00FC2504"/>
    <w:rsid w:val="00FC4666"/>
    <w:rsid w:val="00FC591C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E0556F4A-75DE-40CC-A969-B7D77EAB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86"/>
    <w:pPr>
      <w:overflowPunct w:val="0"/>
      <w:autoSpaceDE w:val="0"/>
      <w:autoSpaceDN w:val="0"/>
      <w:bidi/>
      <w:adjustRightInd w:val="0"/>
      <w:spacing w:before="120" w:after="120" w:line="300" w:lineRule="atLeast"/>
      <w:textAlignment w:val="baseline"/>
    </w:pPr>
    <w:rPr>
      <w:rFonts w:cs="David"/>
      <w:sz w:val="22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ilvl w:val="1"/>
        <w:numId w:val="12"/>
      </w:numPr>
      <w:outlineLvl w:val="0"/>
    </w:pPr>
    <w:rPr>
      <w:kern w:val="28"/>
    </w:rPr>
  </w:style>
  <w:style w:type="paragraph" w:styleId="20">
    <w:name w:val="heading 2"/>
    <w:basedOn w:val="a"/>
    <w:next w:val="21"/>
    <w:link w:val="23"/>
    <w:qFormat/>
    <w:pPr>
      <w:keepNext/>
      <w:outlineLvl w:val="1"/>
    </w:pPr>
  </w:style>
  <w:style w:type="paragraph" w:styleId="30">
    <w:name w:val="heading 3"/>
    <w:basedOn w:val="a"/>
    <w:next w:val="31"/>
    <w:link w:val="32"/>
    <w:qFormat/>
    <w:pPr>
      <w:keepNext/>
      <w:outlineLvl w:val="2"/>
    </w:pPr>
  </w:style>
  <w:style w:type="paragraph" w:styleId="4">
    <w:name w:val="heading 4"/>
    <w:basedOn w:val="a"/>
    <w:next w:val="40"/>
    <w:qFormat/>
    <w:pPr>
      <w:keepNext/>
      <w:outlineLvl w:val="3"/>
    </w:pPr>
  </w:style>
  <w:style w:type="paragraph" w:styleId="5">
    <w:name w:val="heading 5"/>
    <w:basedOn w:val="a"/>
    <w:next w:val="50"/>
    <w:qFormat/>
    <w:pPr>
      <w:outlineLvl w:val="4"/>
    </w:pPr>
    <w:rPr>
      <w:sz w:val="20"/>
    </w:rPr>
  </w:style>
  <w:style w:type="paragraph" w:styleId="6">
    <w:name w:val="heading 6"/>
    <w:basedOn w:val="a"/>
    <w:next w:val="60"/>
    <w:qFormat/>
    <w:pPr>
      <w:outlineLvl w:val="5"/>
    </w:pPr>
  </w:style>
  <w:style w:type="paragraph" w:styleId="7">
    <w:name w:val="heading 7"/>
    <w:basedOn w:val="a"/>
    <w:next w:val="70"/>
    <w:qFormat/>
    <w:pPr>
      <w:outlineLvl w:val="6"/>
    </w:pPr>
  </w:style>
  <w:style w:type="paragraph" w:styleId="8">
    <w:name w:val="heading 8"/>
    <w:basedOn w:val="a"/>
    <w:next w:val="80"/>
    <w:qFormat/>
    <w:pPr>
      <w:outlineLvl w:val="7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Miriam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21">
    <w:name w:val="שורה2"/>
    <w:basedOn w:val="a"/>
    <w:pPr>
      <w:ind w:left="1133"/>
    </w:pPr>
  </w:style>
  <w:style w:type="paragraph" w:customStyle="1" w:styleId="31">
    <w:name w:val="שורה3"/>
    <w:basedOn w:val="a"/>
    <w:pPr>
      <w:ind w:left="1700"/>
    </w:pPr>
  </w:style>
  <w:style w:type="paragraph" w:customStyle="1" w:styleId="40">
    <w:name w:val="שורה4"/>
    <w:basedOn w:val="a"/>
    <w:pPr>
      <w:ind w:left="2438"/>
    </w:pPr>
  </w:style>
  <w:style w:type="paragraph" w:customStyle="1" w:styleId="50">
    <w:name w:val="שורה5"/>
    <w:basedOn w:val="a"/>
    <w:pPr>
      <w:ind w:left="3119"/>
    </w:pPr>
  </w:style>
  <w:style w:type="paragraph" w:customStyle="1" w:styleId="60">
    <w:name w:val="שורה6"/>
    <w:basedOn w:val="a"/>
    <w:pPr>
      <w:ind w:left="3856"/>
    </w:pPr>
  </w:style>
  <w:style w:type="paragraph" w:customStyle="1" w:styleId="70">
    <w:name w:val="שורה7"/>
    <w:basedOn w:val="a"/>
    <w:pPr>
      <w:ind w:left="4536"/>
    </w:pPr>
  </w:style>
  <w:style w:type="paragraph" w:customStyle="1" w:styleId="80">
    <w:name w:val="שורה8"/>
    <w:basedOn w:val="a"/>
    <w:pPr>
      <w:ind w:left="5216"/>
    </w:pPr>
  </w:style>
  <w:style w:type="paragraph" w:customStyle="1" w:styleId="220">
    <w:name w:val="ש22"/>
    <w:basedOn w:val="21"/>
    <w:pPr>
      <w:ind w:left="1304"/>
    </w:pPr>
  </w:style>
  <w:style w:type="paragraph" w:customStyle="1" w:styleId="33">
    <w:name w:val="ש33"/>
    <w:basedOn w:val="31"/>
    <w:pPr>
      <w:ind w:left="2325"/>
    </w:pPr>
  </w:style>
  <w:style w:type="paragraph" w:customStyle="1" w:styleId="44">
    <w:name w:val="ש44"/>
    <w:basedOn w:val="40"/>
    <w:pPr>
      <w:ind w:left="3543"/>
    </w:pPr>
  </w:style>
  <w:style w:type="paragraph" w:customStyle="1" w:styleId="55">
    <w:name w:val="ש55"/>
    <w:basedOn w:val="50"/>
    <w:pPr>
      <w:ind w:left="4819"/>
    </w:pPr>
  </w:style>
  <w:style w:type="paragraph" w:styleId="a6">
    <w:name w:val="Balloon Text"/>
    <w:basedOn w:val="a"/>
    <w:link w:val="a7"/>
    <w:uiPriority w:val="99"/>
    <w:semiHidden/>
    <w:unhideWhenUsed/>
    <w:rsid w:val="0011639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11639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87C54"/>
    <w:pPr>
      <w:bidi w:val="0"/>
      <w:spacing w:line="360" w:lineRule="auto"/>
    </w:pPr>
    <w:rPr>
      <w:rFonts w:ascii="David" w:hAnsi="David" w:cs="Times New Roman"/>
      <w:spacing w:val="20"/>
      <w:sz w:val="26"/>
      <w:szCs w:val="26"/>
      <w:lang w:eastAsia="he-IL"/>
    </w:rPr>
  </w:style>
  <w:style w:type="character" w:customStyle="1" w:styleId="a9">
    <w:name w:val="גוף טקסט תו"/>
    <w:basedOn w:val="a0"/>
    <w:link w:val="a8"/>
    <w:rsid w:val="00087C54"/>
    <w:rPr>
      <w:rFonts w:ascii="David" w:hAnsi="David"/>
      <w:spacing w:val="20"/>
      <w:sz w:val="26"/>
      <w:szCs w:val="26"/>
      <w:lang w:eastAsia="he-IL"/>
    </w:rPr>
  </w:style>
  <w:style w:type="paragraph" w:customStyle="1" w:styleId="10">
    <w:name w:val="כותרת_1"/>
    <w:basedOn w:val="1"/>
    <w:link w:val="12"/>
    <w:qFormat/>
    <w:rsid w:val="004A0F2E"/>
    <w:pPr>
      <w:numPr>
        <w:ilvl w:val="0"/>
        <w:numId w:val="1"/>
      </w:numPr>
      <w:spacing w:before="240"/>
      <w:ind w:hanging="221"/>
    </w:pPr>
    <w:rPr>
      <w:b/>
      <w:bCs/>
      <w:sz w:val="24"/>
      <w:szCs w:val="28"/>
      <w:u w:val="single"/>
    </w:rPr>
  </w:style>
  <w:style w:type="paragraph" w:customStyle="1" w:styleId="2">
    <w:name w:val="כותרת_2"/>
    <w:basedOn w:val="20"/>
    <w:link w:val="24"/>
    <w:autoRedefine/>
    <w:rsid w:val="005F2227"/>
    <w:pPr>
      <w:numPr>
        <w:ilvl w:val="1"/>
        <w:numId w:val="2"/>
      </w:numPr>
      <w:tabs>
        <w:tab w:val="clear" w:pos="870"/>
        <w:tab w:val="left" w:pos="1191"/>
      </w:tabs>
      <w:spacing w:before="240"/>
      <w:ind w:left="849" w:hanging="339"/>
    </w:pPr>
    <w:rPr>
      <w:b/>
      <w:bCs/>
      <w:sz w:val="24"/>
      <w:szCs w:val="28"/>
      <w:u w:val="single"/>
    </w:rPr>
  </w:style>
  <w:style w:type="character" w:customStyle="1" w:styleId="11">
    <w:name w:val="כותרת 1 תו"/>
    <w:basedOn w:val="a0"/>
    <w:link w:val="1"/>
    <w:rsid w:val="004A0F2E"/>
    <w:rPr>
      <w:rFonts w:cs="David Transparent"/>
      <w:kern w:val="28"/>
      <w:sz w:val="22"/>
    </w:rPr>
  </w:style>
  <w:style w:type="character" w:customStyle="1" w:styleId="12">
    <w:name w:val="כותרת_1 תו"/>
    <w:basedOn w:val="11"/>
    <w:link w:val="10"/>
    <w:rsid w:val="004A0F2E"/>
    <w:rPr>
      <w:rFonts w:cs="David"/>
      <w:b/>
      <w:bCs/>
      <w:kern w:val="28"/>
      <w:sz w:val="24"/>
      <w:szCs w:val="28"/>
      <w:u w:val="single"/>
    </w:rPr>
  </w:style>
  <w:style w:type="paragraph" w:customStyle="1" w:styleId="3">
    <w:name w:val="כותרת_3"/>
    <w:basedOn w:val="30"/>
    <w:link w:val="34"/>
    <w:qFormat/>
    <w:rsid w:val="00474C8C"/>
    <w:pPr>
      <w:numPr>
        <w:ilvl w:val="2"/>
        <w:numId w:val="3"/>
      </w:numPr>
      <w:spacing w:before="240"/>
    </w:pPr>
    <w:rPr>
      <w:b/>
      <w:bCs/>
      <w:sz w:val="24"/>
      <w:szCs w:val="28"/>
      <w:u w:val="single"/>
    </w:rPr>
  </w:style>
  <w:style w:type="character" w:customStyle="1" w:styleId="23">
    <w:name w:val="כותרת 2 תו"/>
    <w:basedOn w:val="a0"/>
    <w:link w:val="20"/>
    <w:rsid w:val="00474C8C"/>
    <w:rPr>
      <w:rFonts w:cs="David Transparent"/>
      <w:sz w:val="22"/>
    </w:rPr>
  </w:style>
  <w:style w:type="character" w:customStyle="1" w:styleId="24">
    <w:name w:val="כותרת_2 תו"/>
    <w:basedOn w:val="23"/>
    <w:link w:val="2"/>
    <w:rsid w:val="005F2227"/>
    <w:rPr>
      <w:rFonts w:cs="David"/>
      <w:b/>
      <w:bCs/>
      <w:sz w:val="24"/>
      <w:szCs w:val="28"/>
      <w:u w:val="single"/>
    </w:rPr>
  </w:style>
  <w:style w:type="paragraph" w:customStyle="1" w:styleId="13">
    <w:name w:val="פסקה_1"/>
    <w:basedOn w:val="a8"/>
    <w:link w:val="14"/>
    <w:qFormat/>
    <w:rsid w:val="00474C8C"/>
    <w:pPr>
      <w:bidi/>
      <w:spacing w:line="240" w:lineRule="auto"/>
      <w:ind w:left="510"/>
    </w:pPr>
    <w:rPr>
      <w:rFonts w:cs="David"/>
      <w:spacing w:val="0"/>
      <w:lang w:eastAsia="en-US"/>
    </w:rPr>
  </w:style>
  <w:style w:type="character" w:customStyle="1" w:styleId="32">
    <w:name w:val="כותרת 3 תו"/>
    <w:basedOn w:val="a0"/>
    <w:link w:val="30"/>
    <w:rsid w:val="00474C8C"/>
    <w:rPr>
      <w:rFonts w:cs="David Transparent"/>
      <w:sz w:val="22"/>
    </w:rPr>
  </w:style>
  <w:style w:type="character" w:customStyle="1" w:styleId="34">
    <w:name w:val="כותרת_3 תו"/>
    <w:basedOn w:val="32"/>
    <w:link w:val="3"/>
    <w:rsid w:val="00474C8C"/>
    <w:rPr>
      <w:rFonts w:cs="David"/>
      <w:b/>
      <w:bCs/>
      <w:sz w:val="24"/>
      <w:szCs w:val="28"/>
      <w:u w:val="single"/>
    </w:rPr>
  </w:style>
  <w:style w:type="paragraph" w:customStyle="1" w:styleId="25">
    <w:name w:val="פסקה_2"/>
    <w:basedOn w:val="a8"/>
    <w:link w:val="26"/>
    <w:qFormat/>
    <w:rsid w:val="005F2227"/>
    <w:pPr>
      <w:bidi/>
      <w:spacing w:line="240" w:lineRule="auto"/>
      <w:ind w:left="1191"/>
    </w:pPr>
    <w:rPr>
      <w:rFonts w:cs="David"/>
      <w:spacing w:val="0"/>
      <w:lang w:eastAsia="en-US"/>
    </w:rPr>
  </w:style>
  <w:style w:type="character" w:customStyle="1" w:styleId="14">
    <w:name w:val="פסקה_1 תו"/>
    <w:basedOn w:val="a9"/>
    <w:link w:val="13"/>
    <w:rsid w:val="00474C8C"/>
    <w:rPr>
      <w:rFonts w:ascii="David" w:hAnsi="David" w:cs="David"/>
      <w:spacing w:val="20"/>
      <w:sz w:val="26"/>
      <w:szCs w:val="26"/>
      <w:lang w:eastAsia="he-IL"/>
    </w:rPr>
  </w:style>
  <w:style w:type="paragraph" w:customStyle="1" w:styleId="35">
    <w:name w:val="פסקה 3"/>
    <w:basedOn w:val="a8"/>
    <w:link w:val="36"/>
    <w:qFormat/>
    <w:rsid w:val="00474C8C"/>
    <w:pPr>
      <w:bidi/>
      <w:spacing w:line="240" w:lineRule="auto"/>
      <w:ind w:left="1134"/>
    </w:pPr>
    <w:rPr>
      <w:rFonts w:cs="David"/>
      <w:spacing w:val="0"/>
      <w:lang w:eastAsia="en-US"/>
    </w:rPr>
  </w:style>
  <w:style w:type="character" w:customStyle="1" w:styleId="26">
    <w:name w:val="פסקה_2 תו"/>
    <w:basedOn w:val="a9"/>
    <w:link w:val="25"/>
    <w:rsid w:val="005F2227"/>
    <w:rPr>
      <w:rFonts w:ascii="David" w:hAnsi="David" w:cs="David"/>
      <w:spacing w:val="20"/>
      <w:sz w:val="26"/>
      <w:szCs w:val="26"/>
      <w:lang w:eastAsia="he-IL"/>
    </w:rPr>
  </w:style>
  <w:style w:type="paragraph" w:customStyle="1" w:styleId="aa">
    <w:name w:val="ברירת מחדל בורסה"/>
    <w:basedOn w:val="a"/>
    <w:link w:val="ab"/>
    <w:qFormat/>
    <w:rsid w:val="00474C8C"/>
    <w:rPr>
      <w:szCs w:val="26"/>
    </w:rPr>
  </w:style>
  <w:style w:type="character" w:customStyle="1" w:styleId="36">
    <w:name w:val="פסקה 3 תו"/>
    <w:basedOn w:val="a9"/>
    <w:link w:val="35"/>
    <w:rsid w:val="00474C8C"/>
    <w:rPr>
      <w:rFonts w:ascii="David" w:hAnsi="David" w:cs="David"/>
      <w:spacing w:val="20"/>
      <w:sz w:val="26"/>
      <w:szCs w:val="26"/>
      <w:lang w:eastAsia="he-IL"/>
    </w:rPr>
  </w:style>
  <w:style w:type="character" w:customStyle="1" w:styleId="ab">
    <w:name w:val="ברירת מחדל בורסה תו"/>
    <w:basedOn w:val="a0"/>
    <w:link w:val="aa"/>
    <w:rsid w:val="00474C8C"/>
    <w:rPr>
      <w:rFonts w:cs="David"/>
      <w:sz w:val="22"/>
      <w:szCs w:val="26"/>
    </w:rPr>
  </w:style>
  <w:style w:type="paragraph" w:styleId="ac">
    <w:name w:val="List Paragraph"/>
    <w:basedOn w:val="a"/>
    <w:uiPriority w:val="34"/>
    <w:qFormat/>
    <w:rsid w:val="00AA124D"/>
    <w:pPr>
      <w:ind w:left="720"/>
      <w:contextualSpacing/>
    </w:pPr>
  </w:style>
  <w:style w:type="paragraph" w:customStyle="1" w:styleId="22">
    <w:name w:val="כותרת 2.2"/>
    <w:basedOn w:val="10"/>
    <w:qFormat/>
    <w:rsid w:val="00095BED"/>
    <w:pPr>
      <w:numPr>
        <w:ilvl w:val="1"/>
        <w:numId w:val="15"/>
      </w:numPr>
    </w:pPr>
  </w:style>
  <w:style w:type="character" w:styleId="Hyperlink">
    <w:name w:val="Hyperlink"/>
    <w:basedOn w:val="a0"/>
    <w:uiPriority w:val="99"/>
    <w:unhideWhenUsed/>
    <w:rsid w:val="002923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4857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קול קורא לבחינת ההיתכנות בפיתוח וקידום שוק ריפו (Repo) במשק הישראלי</vt:lpstr>
      <vt:lpstr>קול קורא לבחינת ההיתכנות בפיתוח וקידום שוק ריפו (Repo) במשק הישראלי</vt:lpstr>
    </vt:vector>
  </TitlesOfParts>
  <Company>bursa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לבחינת ההיתכנות בפיתוח וקידום שוק ריפו (Repo) במשק הישראלי</dc:title>
  <dc:creator>dank</dc:creator>
  <cp:lastModifiedBy>רוסול דכוור</cp:lastModifiedBy>
  <cp:revision>2</cp:revision>
  <cp:lastPrinted>2025-02-05T14:16:00Z</cp:lastPrinted>
  <dcterms:created xsi:type="dcterms:W3CDTF">2025-02-09T09:35:00Z</dcterms:created>
  <dcterms:modified xsi:type="dcterms:W3CDTF">2025-02-09T09:35:00Z</dcterms:modified>
</cp:coreProperties>
</file>