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91"/>
        <w:bidiVisual/>
        <w:tblW w:w="9530" w:type="dxa"/>
        <w:tblLayout w:type="fixed"/>
        <w:tblLook w:val="0000" w:firstRow="0" w:lastRow="0" w:firstColumn="0" w:lastColumn="0" w:noHBand="0" w:noVBand="0"/>
      </w:tblPr>
      <w:tblGrid>
        <w:gridCol w:w="3343"/>
        <w:gridCol w:w="2596"/>
        <w:gridCol w:w="3591"/>
      </w:tblGrid>
      <w:tr w:rsidR="00C927DB" w:rsidRPr="0052436D" w14:paraId="7BC8DA04" w14:textId="77777777" w:rsidTr="00966F89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773ED" w14:textId="77777777" w:rsidR="00C927DB" w:rsidRPr="0052436D" w:rsidRDefault="00C927DB" w:rsidP="00966F89">
            <w:pPr>
              <w:spacing w:line="480" w:lineRule="auto"/>
              <w:ind w:left="97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52436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בנק ישראל</w:t>
            </w:r>
          </w:p>
          <w:p w14:paraId="63573977" w14:textId="77777777" w:rsidR="00C927DB" w:rsidRPr="0052436D" w:rsidRDefault="00C927DB" w:rsidP="00966F89">
            <w:pPr>
              <w:spacing w:line="480" w:lineRule="auto"/>
              <w:ind w:left="97" w:right="-101"/>
              <w:jc w:val="center"/>
              <w:rPr>
                <w:rFonts w:ascii="David" w:hAnsi="David" w:cs="David"/>
                <w:sz w:val="24"/>
                <w:szCs w:val="24"/>
              </w:rPr>
            </w:pPr>
            <w:r w:rsidRPr="0052436D">
              <w:rPr>
                <w:rFonts w:ascii="David" w:hAnsi="David" w:cs="David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447980" w14:textId="77777777" w:rsidR="00C927DB" w:rsidRPr="0052436D" w:rsidRDefault="00C927DB" w:rsidP="00966F89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  <w:r w:rsidRPr="0052436D">
              <w:rPr>
                <w:rFonts w:ascii="David" w:hAnsi="David" w:cs="David"/>
                <w:noProof/>
                <w:sz w:val="24"/>
                <w:szCs w:val="24"/>
              </w:rPr>
              <w:drawing>
                <wp:inline distT="0" distB="0" distL="0" distR="0" wp14:anchorId="51695C79" wp14:editId="520D7D26">
                  <wp:extent cx="945515" cy="945515"/>
                  <wp:effectExtent l="0" t="0" r="6985" b="6985"/>
                  <wp:docPr id="3" name="תמונה 3" descr="לוגו בנק ישראל" title="לוג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5F339" w14:textId="77777777" w:rsidR="00C927DB" w:rsidRPr="0052436D" w:rsidRDefault="00966C76" w:rsidP="00966C76">
            <w:pPr>
              <w:spacing w:line="480" w:lineRule="auto"/>
              <w:jc w:val="right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 xml:space="preserve">‏ירושלים,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ז'</w:t>
            </w:r>
            <w:r w:rsidR="00C927DB" w:rsidRPr="0052436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בתשרי</w:t>
            </w:r>
            <w:r>
              <w:rPr>
                <w:rFonts w:ascii="David" w:hAnsi="David" w:cs="David"/>
                <w:sz w:val="24"/>
                <w:szCs w:val="24"/>
                <w:rtl/>
              </w:rPr>
              <w:t>, תשפ"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ג</w:t>
            </w:r>
          </w:p>
          <w:p w14:paraId="0380B5BE" w14:textId="77777777" w:rsidR="00C927DB" w:rsidRPr="0052436D" w:rsidRDefault="00966C76" w:rsidP="00966C76">
            <w:pPr>
              <w:spacing w:line="480" w:lineRule="auto"/>
              <w:jc w:val="right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</w:t>
            </w:r>
            <w:r w:rsidR="00C927DB" w:rsidRPr="0052436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באוקטובר</w:t>
            </w:r>
            <w:r w:rsidR="00C927DB" w:rsidRPr="0052436D">
              <w:rPr>
                <w:rFonts w:ascii="David" w:hAnsi="David" w:cs="David"/>
                <w:sz w:val="24"/>
                <w:szCs w:val="24"/>
                <w:rtl/>
              </w:rPr>
              <w:t xml:space="preserve"> 2022</w:t>
            </w:r>
          </w:p>
        </w:tc>
      </w:tr>
    </w:tbl>
    <w:p w14:paraId="6360BACB" w14:textId="77777777" w:rsidR="00C927DB" w:rsidRPr="0052436D" w:rsidRDefault="00C927DB" w:rsidP="00C927DB">
      <w:pPr>
        <w:rPr>
          <w:rFonts w:ascii="David" w:hAnsi="David" w:cs="David"/>
          <w:rtl/>
        </w:rPr>
      </w:pPr>
    </w:p>
    <w:p w14:paraId="10EAFAF4" w14:textId="77777777" w:rsidR="00C927DB" w:rsidRPr="00C43C4A" w:rsidRDefault="00C927DB" w:rsidP="00C03BFC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C43C4A">
        <w:rPr>
          <w:rFonts w:ascii="David" w:hAnsi="David" w:cs="David"/>
          <w:sz w:val="24"/>
          <w:szCs w:val="24"/>
          <w:rtl/>
        </w:rPr>
        <w:t xml:space="preserve">הודעה לעיתונות: </w:t>
      </w:r>
    </w:p>
    <w:p w14:paraId="21AA2A20" w14:textId="214E52BB" w:rsidR="00D77306" w:rsidRDefault="00F53A5A" w:rsidP="00C03BFC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bookmarkStart w:id="0" w:name="_GoBack"/>
      <w:r>
        <w:rPr>
          <w:rFonts w:ascii="David" w:hAnsi="David" w:cs="David" w:hint="cs"/>
          <w:b/>
          <w:bCs/>
          <w:sz w:val="28"/>
          <w:szCs w:val="28"/>
          <w:rtl/>
        </w:rPr>
        <w:t>שקיפות</w:t>
      </w:r>
      <w:r w:rsidR="00C22B87">
        <w:rPr>
          <w:rFonts w:ascii="David" w:hAnsi="David" w:cs="David" w:hint="cs"/>
          <w:b/>
          <w:bCs/>
          <w:sz w:val="28"/>
          <w:szCs w:val="28"/>
          <w:rtl/>
        </w:rPr>
        <w:t xml:space="preserve"> צרכנית בסביבה פיננסית משתנה - </w:t>
      </w:r>
      <w:r w:rsidR="00DD4185">
        <w:rPr>
          <w:rFonts w:ascii="David" w:hAnsi="David" w:cs="David" w:hint="cs"/>
          <w:b/>
          <w:bCs/>
          <w:sz w:val="28"/>
          <w:szCs w:val="28"/>
          <w:rtl/>
        </w:rPr>
        <w:t xml:space="preserve">פרסום </w:t>
      </w:r>
      <w:r w:rsidR="00DD4185" w:rsidRPr="00DD4185">
        <w:rPr>
          <w:rFonts w:ascii="David" w:hAnsi="David" w:cs="David"/>
          <w:b/>
          <w:bCs/>
          <w:sz w:val="28"/>
          <w:szCs w:val="28"/>
          <w:rtl/>
        </w:rPr>
        <w:t>שיעורי הריבי</w:t>
      </w:r>
      <w:r w:rsidR="00C22B87">
        <w:rPr>
          <w:rFonts w:ascii="David" w:hAnsi="David" w:cs="David" w:hint="cs"/>
          <w:b/>
          <w:bCs/>
          <w:sz w:val="28"/>
          <w:szCs w:val="28"/>
          <w:rtl/>
        </w:rPr>
        <w:t>ות של התאגידים הבנקאיים</w:t>
      </w:r>
      <w:r w:rsidR="00C03BFC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DD4185">
        <w:rPr>
          <w:rFonts w:ascii="David" w:hAnsi="David" w:cs="David"/>
          <w:b/>
          <w:bCs/>
          <w:sz w:val="28"/>
          <w:szCs w:val="28"/>
          <w:rtl/>
        </w:rPr>
        <w:t>–</w:t>
      </w:r>
      <w:r w:rsidR="00DD4185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7A3962">
        <w:rPr>
          <w:rFonts w:ascii="David" w:hAnsi="David" w:cs="David" w:hint="cs"/>
          <w:b/>
          <w:bCs/>
          <w:sz w:val="28"/>
          <w:szCs w:val="28"/>
          <w:rtl/>
        </w:rPr>
        <w:t>השלמת ה</w:t>
      </w:r>
      <w:r w:rsidR="00DD4185">
        <w:rPr>
          <w:rFonts w:ascii="David" w:hAnsi="David" w:cs="David" w:hint="cs"/>
          <w:b/>
          <w:bCs/>
          <w:sz w:val="28"/>
          <w:szCs w:val="28"/>
          <w:rtl/>
        </w:rPr>
        <w:t>שלב ראשון</w:t>
      </w:r>
      <w:r w:rsidR="00DD4185" w:rsidRPr="00DD4185">
        <w:rPr>
          <w:rFonts w:ascii="David" w:hAnsi="David" w:cs="David"/>
          <w:b/>
          <w:bCs/>
          <w:sz w:val="28"/>
          <w:szCs w:val="28"/>
          <w:rtl/>
        </w:rPr>
        <w:t> </w:t>
      </w:r>
    </w:p>
    <w:bookmarkEnd w:id="0"/>
    <w:p w14:paraId="181ECC0B" w14:textId="77777777" w:rsidR="00D77306" w:rsidRPr="00D77306" w:rsidRDefault="00D77306" w:rsidP="00C03BFC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7086813C" w14:textId="77777777" w:rsidR="002B6734" w:rsidRDefault="00610F6B" w:rsidP="00C03BF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hyperlink r:id="rId8" w:history="1">
        <w:r w:rsidR="00C03BFC" w:rsidRPr="00C03BFC">
          <w:rPr>
            <w:rStyle w:val="Hyperlink"/>
            <w:rFonts w:ascii="David" w:hAnsi="David" w:cs="David" w:hint="eastAsia"/>
            <w:sz w:val="24"/>
            <w:szCs w:val="24"/>
            <w:rtl/>
          </w:rPr>
          <w:t>במכתבו</w:t>
        </w:r>
        <w:r w:rsidR="00C03BFC" w:rsidRPr="00C03BFC">
          <w:rPr>
            <w:rStyle w:val="Hyperlink"/>
            <w:rFonts w:ascii="David" w:hAnsi="David" w:cs="David"/>
            <w:sz w:val="24"/>
            <w:szCs w:val="24"/>
            <w:rtl/>
          </w:rPr>
          <w:t xml:space="preserve"> של המפקח על הבנקים</w:t>
        </w:r>
      </w:hyperlink>
      <w:r w:rsidR="00C03BFC" w:rsidRPr="00FD3686">
        <w:rPr>
          <w:rStyle w:val="Hyperlink"/>
          <w:rFonts w:ascii="David" w:hAnsi="David" w:cs="David"/>
          <w:sz w:val="24"/>
          <w:szCs w:val="24"/>
          <w:rtl/>
        </w:rPr>
        <w:t>, מר יאיר אבידן,</w:t>
      </w:r>
      <w:r w:rsidR="00C03BFC" w:rsidRPr="00FD3686">
        <w:rPr>
          <w:rtl/>
        </w:rPr>
        <w:t xml:space="preserve"> </w:t>
      </w:r>
      <w:r w:rsidR="00DD4185">
        <w:rPr>
          <w:rFonts w:ascii="David" w:hAnsi="David" w:cs="David" w:hint="cs"/>
          <w:sz w:val="24"/>
          <w:szCs w:val="24"/>
          <w:rtl/>
        </w:rPr>
        <w:t xml:space="preserve">מה-7/9/22 למנכ"לי המערכת הבנקאית, </w:t>
      </w:r>
      <w:r w:rsidR="00703A95">
        <w:rPr>
          <w:rFonts w:ascii="David" w:hAnsi="David" w:cs="David" w:hint="cs"/>
          <w:sz w:val="24"/>
          <w:szCs w:val="24"/>
          <w:rtl/>
        </w:rPr>
        <w:t xml:space="preserve">ציין המפקח כי </w:t>
      </w:r>
      <w:r w:rsidR="00703A95" w:rsidRPr="00703A95">
        <w:rPr>
          <w:rFonts w:ascii="David" w:hAnsi="David" w:cs="David"/>
          <w:sz w:val="24"/>
          <w:szCs w:val="24"/>
          <w:rtl/>
        </w:rPr>
        <w:t xml:space="preserve">בכוונת הפיקוח על הבנקים לפעול לפרסום שיעורי הריבית </w:t>
      </w:r>
      <w:r w:rsidR="00C03BFC">
        <w:rPr>
          <w:rFonts w:ascii="David" w:hAnsi="David" w:cs="David" w:hint="cs"/>
          <w:sz w:val="24"/>
          <w:szCs w:val="24"/>
          <w:rtl/>
        </w:rPr>
        <w:t xml:space="preserve">של משקי הבית </w:t>
      </w:r>
      <w:r w:rsidR="00703A95" w:rsidRPr="00703A95">
        <w:rPr>
          <w:rFonts w:ascii="David" w:hAnsi="David" w:cs="David"/>
          <w:sz w:val="24"/>
          <w:szCs w:val="24"/>
          <w:rtl/>
        </w:rPr>
        <w:t xml:space="preserve">המשולמים בפועל על-ידי כל אחד מהתאגידים הבנקאיים בעד פיקדונות שקליים, </w:t>
      </w:r>
      <w:r w:rsidR="007A3962">
        <w:rPr>
          <w:rFonts w:ascii="David" w:hAnsi="David" w:cs="David" w:hint="cs"/>
          <w:sz w:val="24"/>
          <w:szCs w:val="24"/>
          <w:rtl/>
        </w:rPr>
        <w:t>ו</w:t>
      </w:r>
      <w:r w:rsidR="00703A95" w:rsidRPr="00703A95">
        <w:rPr>
          <w:rFonts w:ascii="David" w:hAnsi="David" w:cs="David"/>
          <w:sz w:val="24"/>
          <w:szCs w:val="24"/>
          <w:rtl/>
        </w:rPr>
        <w:t>הנגבים בפועל בעד מתן אשראי</w:t>
      </w:r>
      <w:r w:rsidR="002B6734">
        <w:rPr>
          <w:rFonts w:ascii="David" w:hAnsi="David" w:cs="David" w:hint="cs"/>
          <w:sz w:val="24"/>
          <w:szCs w:val="24"/>
          <w:rtl/>
        </w:rPr>
        <w:t>.</w:t>
      </w:r>
      <w:r w:rsidR="00703A95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318C052" w14:textId="19B3B702" w:rsidR="00040C53" w:rsidRDefault="00703A95" w:rsidP="00FD368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שמחים לבשר</w:t>
      </w:r>
      <w:r w:rsidR="002B6734">
        <w:rPr>
          <w:rFonts w:ascii="David" w:hAnsi="David" w:cs="David" w:hint="cs"/>
          <w:sz w:val="24"/>
          <w:szCs w:val="24"/>
          <w:rtl/>
        </w:rPr>
        <w:t xml:space="preserve"> כי </w:t>
      </w:r>
      <w:r w:rsidR="00720A72">
        <w:rPr>
          <w:rFonts w:ascii="David" w:hAnsi="David" w:cs="David" w:hint="cs"/>
          <w:sz w:val="24"/>
          <w:szCs w:val="24"/>
          <w:rtl/>
        </w:rPr>
        <w:t xml:space="preserve">הושלם </w:t>
      </w:r>
      <w:r w:rsidR="002B6734">
        <w:rPr>
          <w:rFonts w:ascii="David" w:hAnsi="David" w:cs="David" w:hint="cs"/>
          <w:sz w:val="24"/>
          <w:szCs w:val="24"/>
          <w:rtl/>
        </w:rPr>
        <w:t>השלב הראשון בתהליך ו</w:t>
      </w:r>
      <w:r>
        <w:rPr>
          <w:rFonts w:ascii="David" w:hAnsi="David" w:cs="David" w:hint="cs"/>
          <w:sz w:val="24"/>
          <w:szCs w:val="24"/>
          <w:rtl/>
        </w:rPr>
        <w:t xml:space="preserve">כעת יונגשו </w:t>
      </w:r>
      <w:r w:rsidR="00720A72">
        <w:rPr>
          <w:rFonts w:ascii="David" w:hAnsi="David" w:cs="David" w:hint="cs"/>
          <w:sz w:val="24"/>
          <w:szCs w:val="24"/>
          <w:rtl/>
        </w:rPr>
        <w:t xml:space="preserve">נתוני גובה </w:t>
      </w:r>
      <w:r>
        <w:rPr>
          <w:rFonts w:ascii="David" w:hAnsi="David" w:cs="David" w:hint="cs"/>
          <w:sz w:val="24"/>
          <w:szCs w:val="24"/>
          <w:rtl/>
        </w:rPr>
        <w:t xml:space="preserve">הריביות </w:t>
      </w:r>
      <w:r w:rsidR="00720A72">
        <w:rPr>
          <w:rFonts w:ascii="David" w:hAnsi="David" w:cs="David" w:hint="cs"/>
          <w:sz w:val="24"/>
          <w:szCs w:val="24"/>
          <w:rtl/>
        </w:rPr>
        <w:t xml:space="preserve">הממוצע </w:t>
      </w:r>
      <w:r>
        <w:rPr>
          <w:rFonts w:ascii="David" w:hAnsi="David" w:cs="David" w:hint="cs"/>
          <w:sz w:val="24"/>
          <w:szCs w:val="24"/>
          <w:rtl/>
        </w:rPr>
        <w:t>של כל אחד מהבנקים</w:t>
      </w:r>
      <w:r w:rsidR="00F53A5A">
        <w:rPr>
          <w:rFonts w:ascii="David" w:hAnsi="David" w:cs="David" w:hint="cs"/>
          <w:sz w:val="24"/>
          <w:szCs w:val="24"/>
          <w:rtl/>
        </w:rPr>
        <w:t xml:space="preserve"> שניתנו בפועל</w:t>
      </w:r>
      <w:r>
        <w:rPr>
          <w:rFonts w:ascii="David" w:hAnsi="David" w:cs="David" w:hint="cs"/>
          <w:sz w:val="24"/>
          <w:szCs w:val="24"/>
          <w:rtl/>
        </w:rPr>
        <w:t xml:space="preserve"> בגין </w:t>
      </w:r>
      <w:r w:rsidR="00C22B87">
        <w:rPr>
          <w:rFonts w:ascii="David" w:hAnsi="David" w:cs="David" w:hint="cs"/>
          <w:sz w:val="24"/>
          <w:szCs w:val="24"/>
          <w:rtl/>
        </w:rPr>
        <w:t>פיקדונו</w:t>
      </w:r>
      <w:r w:rsidR="00C22B87">
        <w:rPr>
          <w:rFonts w:ascii="David" w:hAnsi="David" w:cs="David" w:hint="eastAsia"/>
          <w:sz w:val="24"/>
          <w:szCs w:val="24"/>
          <w:rtl/>
        </w:rPr>
        <w:t>ת</w:t>
      </w:r>
      <w:r w:rsidR="00CF56D3">
        <w:rPr>
          <w:rFonts w:ascii="David" w:hAnsi="David" w:cs="David" w:hint="cs"/>
          <w:sz w:val="24"/>
          <w:szCs w:val="24"/>
          <w:rtl/>
        </w:rPr>
        <w:t xml:space="preserve"> (בריבית קבועה ומשתנה)</w:t>
      </w:r>
      <w:r>
        <w:rPr>
          <w:rFonts w:ascii="David" w:hAnsi="David" w:cs="David" w:hint="cs"/>
          <w:sz w:val="24"/>
          <w:szCs w:val="24"/>
          <w:rtl/>
        </w:rPr>
        <w:t xml:space="preserve"> ואשראי </w:t>
      </w:r>
      <w:r w:rsidR="00CF56D3">
        <w:rPr>
          <w:rFonts w:ascii="David" w:hAnsi="David" w:cs="David" w:hint="cs"/>
          <w:sz w:val="24"/>
          <w:szCs w:val="24"/>
          <w:rtl/>
        </w:rPr>
        <w:t xml:space="preserve">(בריבית משתנה) </w:t>
      </w:r>
      <w:r>
        <w:rPr>
          <w:rFonts w:ascii="David" w:hAnsi="David" w:cs="David" w:hint="cs"/>
          <w:sz w:val="24"/>
          <w:szCs w:val="24"/>
          <w:rtl/>
        </w:rPr>
        <w:t xml:space="preserve">במטבע ישראלי שאינו צמוד למדד, באמצעות </w:t>
      </w:r>
      <w:hyperlink r:id="rId9" w:history="1">
        <w:r w:rsidR="00861918" w:rsidRPr="008479D7">
          <w:rPr>
            <w:rStyle w:val="Hyperlink"/>
            <w:rFonts w:ascii="David" w:hAnsi="David" w:cs="David" w:hint="cs"/>
            <w:sz w:val="24"/>
            <w:szCs w:val="24"/>
            <w:rtl/>
          </w:rPr>
          <w:t>דף ייעו</w:t>
        </w:r>
        <w:r w:rsidR="00861918" w:rsidRPr="008479D7">
          <w:rPr>
            <w:rStyle w:val="Hyperlink"/>
            <w:rFonts w:ascii="David" w:hAnsi="David" w:cs="David" w:hint="cs"/>
            <w:sz w:val="24"/>
            <w:szCs w:val="24"/>
            <w:rtl/>
          </w:rPr>
          <w:t>די באתר הבנק</w:t>
        </w:r>
        <w:r w:rsidR="007A3962" w:rsidRPr="008479D7">
          <w:rPr>
            <w:rStyle w:val="Hyperlink"/>
            <w:rFonts w:ascii="David" w:hAnsi="David" w:cs="David" w:hint="cs"/>
            <w:sz w:val="24"/>
            <w:szCs w:val="24"/>
            <w:rtl/>
          </w:rPr>
          <w:t>,</w:t>
        </w:r>
      </w:hyperlink>
      <w:r w:rsidR="007A3962" w:rsidRPr="00861918">
        <w:rPr>
          <w:rStyle w:val="Hyperlink"/>
          <w:rFonts w:ascii="David" w:hAnsi="David" w:cs="David" w:hint="cs"/>
          <w:color w:val="auto"/>
          <w:sz w:val="24"/>
          <w:szCs w:val="24"/>
          <w:u w:val="none"/>
          <w:rtl/>
        </w:rPr>
        <w:t xml:space="preserve"> </w:t>
      </w:r>
      <w:r w:rsidR="007A3962">
        <w:rPr>
          <w:rFonts w:ascii="David" w:hAnsi="David" w:cs="David" w:hint="cs"/>
          <w:sz w:val="24"/>
          <w:szCs w:val="24"/>
          <w:rtl/>
        </w:rPr>
        <w:t>בתדירות</w:t>
      </w:r>
      <w:r w:rsidR="00720A72">
        <w:rPr>
          <w:rFonts w:ascii="David" w:hAnsi="David" w:cs="David" w:hint="cs"/>
          <w:sz w:val="24"/>
          <w:szCs w:val="24"/>
          <w:rtl/>
        </w:rPr>
        <w:t xml:space="preserve"> חודשית</w:t>
      </w:r>
      <w:r w:rsidR="00F53A5A">
        <w:rPr>
          <w:rFonts w:ascii="David" w:hAnsi="David" w:cs="David" w:hint="cs"/>
          <w:sz w:val="24"/>
          <w:szCs w:val="24"/>
          <w:rtl/>
        </w:rPr>
        <w:t xml:space="preserve">, </w:t>
      </w:r>
      <w:r w:rsidR="00FD3686">
        <w:rPr>
          <w:rFonts w:ascii="David" w:hAnsi="David" w:cs="David" w:hint="cs"/>
          <w:sz w:val="24"/>
          <w:szCs w:val="24"/>
          <w:rtl/>
        </w:rPr>
        <w:t xml:space="preserve">ויעודכן </w:t>
      </w:r>
      <w:r w:rsidR="00F53A5A">
        <w:rPr>
          <w:rFonts w:ascii="David" w:hAnsi="David" w:cs="David" w:hint="cs"/>
          <w:sz w:val="24"/>
          <w:szCs w:val="24"/>
          <w:rtl/>
        </w:rPr>
        <w:t>לחודש האחרון שהסתיים</w:t>
      </w:r>
      <w:r w:rsidR="00FD3686">
        <w:rPr>
          <w:rFonts w:ascii="David" w:hAnsi="David" w:cs="David" w:hint="cs"/>
          <w:sz w:val="24"/>
          <w:szCs w:val="24"/>
          <w:rtl/>
        </w:rPr>
        <w:t xml:space="preserve"> בתום גיבוש הנתונים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17970ECA" w14:textId="2EDE5CDB" w:rsidR="00C22B87" w:rsidRDefault="001B3927" w:rsidP="00A25DA5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כבר במהלך הרבעון הראשון של 2023 צפויה הרחבה נוספת של המידע המוצג באתר ויתווספו נתונ</w:t>
      </w:r>
      <w:r w:rsidR="00425129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>ם</w:t>
      </w:r>
      <w:r w:rsidR="00CF56D3">
        <w:rPr>
          <w:rFonts w:ascii="David" w:hAnsi="David" w:cs="David" w:hint="cs"/>
          <w:sz w:val="24"/>
          <w:szCs w:val="24"/>
          <w:rtl/>
        </w:rPr>
        <w:t xml:space="preserve"> </w:t>
      </w:r>
      <w:r w:rsidR="00A25DA5">
        <w:rPr>
          <w:rFonts w:ascii="David" w:hAnsi="David" w:cs="David" w:hint="cs"/>
          <w:sz w:val="24"/>
          <w:szCs w:val="24"/>
          <w:rtl/>
        </w:rPr>
        <w:t>ש</w:t>
      </w:r>
      <w:r w:rsidR="00CF56D3">
        <w:rPr>
          <w:rFonts w:ascii="David" w:hAnsi="David" w:cs="David" w:hint="cs"/>
          <w:sz w:val="24"/>
          <w:szCs w:val="24"/>
          <w:rtl/>
        </w:rPr>
        <w:t>ירחיבו את ההשוואה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191F1EBF" w14:textId="77777777" w:rsidR="00C22B87" w:rsidRDefault="00C22B87" w:rsidP="00A25DA5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המפקח על הבנקים, מר יאיר אבידן</w:t>
      </w:r>
      <w:r>
        <w:rPr>
          <w:rFonts w:ascii="David" w:hAnsi="David" w:cs="David" w:hint="cs"/>
          <w:sz w:val="24"/>
          <w:szCs w:val="24"/>
          <w:rtl/>
        </w:rPr>
        <w:t xml:space="preserve">: "כחלק מהרפורמות הצרכניות הרבות שקידם הבנק בשנים האחרונות, </w:t>
      </w:r>
      <w:r w:rsidR="00894AD0">
        <w:rPr>
          <w:rFonts w:ascii="David" w:hAnsi="David" w:cs="David" w:hint="cs"/>
          <w:sz w:val="24"/>
          <w:szCs w:val="24"/>
          <w:rtl/>
        </w:rPr>
        <w:t xml:space="preserve">אנו מפרסמים היום מידע אודות שיעורי הריבית של </w:t>
      </w:r>
      <w:r>
        <w:rPr>
          <w:rFonts w:ascii="David" w:hAnsi="David" w:cs="David" w:hint="cs"/>
          <w:sz w:val="24"/>
          <w:szCs w:val="24"/>
          <w:rtl/>
        </w:rPr>
        <w:t xml:space="preserve">מוצרי </w:t>
      </w:r>
      <w:r w:rsidR="00720A72">
        <w:rPr>
          <w:rFonts w:ascii="David" w:hAnsi="David" w:cs="David" w:hint="cs"/>
          <w:sz w:val="24"/>
          <w:szCs w:val="24"/>
          <w:rtl/>
        </w:rPr>
        <w:t xml:space="preserve">הפיקדונות </w:t>
      </w:r>
      <w:r w:rsidR="00894AD0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האשראי </w:t>
      </w:r>
      <w:r w:rsidR="00894AD0">
        <w:rPr>
          <w:rFonts w:ascii="David" w:hAnsi="David" w:cs="David" w:hint="cs"/>
          <w:sz w:val="24"/>
          <w:szCs w:val="24"/>
          <w:rtl/>
        </w:rPr>
        <w:t>למשקי הבית, בחלוקה ל</w:t>
      </w:r>
      <w:r>
        <w:rPr>
          <w:rFonts w:ascii="David" w:hAnsi="David" w:cs="David" w:hint="cs"/>
          <w:sz w:val="24"/>
          <w:szCs w:val="24"/>
          <w:rtl/>
        </w:rPr>
        <w:t xml:space="preserve">בנקים השונים. </w:t>
      </w:r>
      <w:r w:rsidR="00720A72">
        <w:rPr>
          <w:rFonts w:ascii="David" w:hAnsi="David" w:cs="David" w:hint="cs"/>
          <w:sz w:val="24"/>
          <w:szCs w:val="24"/>
          <w:rtl/>
        </w:rPr>
        <w:t xml:space="preserve">אני מאמין כי צעד זה יסייע </w:t>
      </w:r>
      <w:r w:rsidR="00894AD0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 xml:space="preserve">חיזוק כוחו של הלקוח ומתן היכולת לקבל החלטה מושכלת, לאחר בחינת </w:t>
      </w:r>
      <w:r w:rsidR="00720A72">
        <w:rPr>
          <w:rFonts w:ascii="David" w:hAnsi="David" w:cs="David" w:hint="cs"/>
          <w:sz w:val="24"/>
          <w:szCs w:val="24"/>
          <w:rtl/>
        </w:rPr>
        <w:t xml:space="preserve">מכלול </w:t>
      </w:r>
      <w:r>
        <w:rPr>
          <w:rFonts w:ascii="David" w:hAnsi="David" w:cs="David" w:hint="cs"/>
          <w:sz w:val="24"/>
          <w:szCs w:val="24"/>
          <w:rtl/>
        </w:rPr>
        <w:t>הנתונים באופן פשוט, נגיש ונוח."</w:t>
      </w:r>
    </w:p>
    <w:p w14:paraId="59EB442D" w14:textId="77777777" w:rsidR="00C22B87" w:rsidRDefault="00C22B87" w:rsidP="00703A95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31A3546E" w14:textId="17262ED9" w:rsidR="00A25DA5" w:rsidRDefault="00A25DA5" w:rsidP="00703A95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מצורפים </w:t>
      </w:r>
      <w:r w:rsidR="00743604">
        <w:rPr>
          <w:rFonts w:ascii="David" w:hAnsi="David" w:cs="David" w:hint="cs"/>
          <w:sz w:val="24"/>
          <w:szCs w:val="24"/>
          <w:rtl/>
        </w:rPr>
        <w:t xml:space="preserve">כנספחים להודעה </w:t>
      </w:r>
      <w:r>
        <w:rPr>
          <w:rFonts w:ascii="David" w:hAnsi="David" w:cs="David" w:hint="cs"/>
          <w:sz w:val="24"/>
          <w:szCs w:val="24"/>
          <w:rtl/>
        </w:rPr>
        <w:t>צילומי מסך הממחישים את אופן ההשוואה במערכת (</w:t>
      </w:r>
      <w:hyperlink r:id="rId10" w:history="1">
        <w:r w:rsidRPr="00A25DA5">
          <w:rPr>
            <w:rStyle w:val="Hyperlink"/>
            <w:rFonts w:ascii="David" w:hAnsi="David" w:cs="David" w:hint="cs"/>
            <w:sz w:val="24"/>
            <w:szCs w:val="24"/>
            <w:rtl/>
          </w:rPr>
          <w:t>קישור</w:t>
        </w:r>
      </w:hyperlink>
      <w:r w:rsidR="00743604">
        <w:rPr>
          <w:rFonts w:ascii="David" w:hAnsi="David" w:cs="David" w:hint="cs"/>
          <w:sz w:val="24"/>
          <w:szCs w:val="24"/>
          <w:rtl/>
        </w:rPr>
        <w:t xml:space="preserve"> לאתר).</w:t>
      </w:r>
    </w:p>
    <w:p w14:paraId="61EAD0E2" w14:textId="59A3565A" w:rsidR="00A25DA5" w:rsidRDefault="00743604" w:rsidP="00703A95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noProof/>
        </w:rPr>
        <w:lastRenderedPageBreak/>
        <w:drawing>
          <wp:inline distT="0" distB="0" distL="0" distR="0" wp14:anchorId="6A349DC0" wp14:editId="7F94AD88">
            <wp:extent cx="4743450" cy="46291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C4E8A" w14:textId="5C028B98" w:rsidR="00A25DA5" w:rsidRDefault="00743604" w:rsidP="00703A95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noProof/>
        </w:rPr>
        <w:lastRenderedPageBreak/>
        <w:drawing>
          <wp:inline distT="0" distB="0" distL="0" distR="0" wp14:anchorId="68B2387B" wp14:editId="182DC6F7">
            <wp:extent cx="4924425" cy="4867275"/>
            <wp:effectExtent l="0" t="0" r="9525" b="952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DAED7" w14:textId="6BFBB9A4" w:rsidR="00A25DA5" w:rsidRPr="00C22B87" w:rsidRDefault="00743604" w:rsidP="00B769CD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noProof/>
        </w:rPr>
        <w:lastRenderedPageBreak/>
        <w:drawing>
          <wp:inline distT="0" distB="0" distL="0" distR="0" wp14:anchorId="330DBA65" wp14:editId="30B48B3C">
            <wp:extent cx="4943475" cy="4876800"/>
            <wp:effectExtent l="0" t="0" r="9525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5DA5" w:rsidRPr="00C22B87" w:rsidSect="00801A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B364A" w14:textId="77777777" w:rsidR="00610F6B" w:rsidRDefault="00610F6B" w:rsidP="00357E1B">
      <w:pPr>
        <w:spacing w:after="0" w:line="240" w:lineRule="auto"/>
      </w:pPr>
      <w:r>
        <w:separator/>
      </w:r>
    </w:p>
  </w:endnote>
  <w:endnote w:type="continuationSeparator" w:id="0">
    <w:p w14:paraId="3259A2A3" w14:textId="77777777" w:rsidR="00610F6B" w:rsidRDefault="00610F6B" w:rsidP="0035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C226A" w14:textId="77777777" w:rsidR="00357E1B" w:rsidRDefault="00357E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3F528" w14:textId="77777777" w:rsidR="00357E1B" w:rsidRDefault="00357E1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914AF" w14:textId="77777777" w:rsidR="00357E1B" w:rsidRDefault="00357E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2D381" w14:textId="77777777" w:rsidR="00610F6B" w:rsidRDefault="00610F6B" w:rsidP="00357E1B">
      <w:pPr>
        <w:spacing w:after="0" w:line="240" w:lineRule="auto"/>
      </w:pPr>
      <w:r>
        <w:separator/>
      </w:r>
    </w:p>
  </w:footnote>
  <w:footnote w:type="continuationSeparator" w:id="0">
    <w:p w14:paraId="4B014D3A" w14:textId="77777777" w:rsidR="00610F6B" w:rsidRDefault="00610F6B" w:rsidP="0035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8257F" w14:textId="77777777" w:rsidR="00357E1B" w:rsidRDefault="00357E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6433B" w14:textId="77777777" w:rsidR="00357E1B" w:rsidRDefault="00357E1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4376" w14:textId="77777777" w:rsidR="00357E1B" w:rsidRDefault="00357E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BCA"/>
    <w:multiLevelType w:val="hybridMultilevel"/>
    <w:tmpl w:val="B58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9A"/>
    <w:rsid w:val="00040C53"/>
    <w:rsid w:val="000B11AA"/>
    <w:rsid w:val="001B3927"/>
    <w:rsid w:val="002552B0"/>
    <w:rsid w:val="002655F8"/>
    <w:rsid w:val="002723EA"/>
    <w:rsid w:val="002B0104"/>
    <w:rsid w:val="002B6734"/>
    <w:rsid w:val="002E131D"/>
    <w:rsid w:val="00357E1B"/>
    <w:rsid w:val="004107D0"/>
    <w:rsid w:val="00425129"/>
    <w:rsid w:val="004835C4"/>
    <w:rsid w:val="004B75AC"/>
    <w:rsid w:val="004F2B8C"/>
    <w:rsid w:val="0052436D"/>
    <w:rsid w:val="00610F6B"/>
    <w:rsid w:val="00642661"/>
    <w:rsid w:val="00654288"/>
    <w:rsid w:val="006A2C74"/>
    <w:rsid w:val="006E09CD"/>
    <w:rsid w:val="00703A95"/>
    <w:rsid w:val="00720A72"/>
    <w:rsid w:val="00743604"/>
    <w:rsid w:val="007A3962"/>
    <w:rsid w:val="007C2757"/>
    <w:rsid w:val="008479D7"/>
    <w:rsid w:val="00861918"/>
    <w:rsid w:val="00894AD0"/>
    <w:rsid w:val="00966C76"/>
    <w:rsid w:val="0098653E"/>
    <w:rsid w:val="009B0508"/>
    <w:rsid w:val="009C5B68"/>
    <w:rsid w:val="00A23C5E"/>
    <w:rsid w:val="00A25DA5"/>
    <w:rsid w:val="00AB75D7"/>
    <w:rsid w:val="00B05699"/>
    <w:rsid w:val="00B16D87"/>
    <w:rsid w:val="00B769CD"/>
    <w:rsid w:val="00BC79A6"/>
    <w:rsid w:val="00C03BFC"/>
    <w:rsid w:val="00C22B87"/>
    <w:rsid w:val="00C237F3"/>
    <w:rsid w:val="00C43C4A"/>
    <w:rsid w:val="00C927DB"/>
    <w:rsid w:val="00CA22B7"/>
    <w:rsid w:val="00CC325A"/>
    <w:rsid w:val="00CF56D3"/>
    <w:rsid w:val="00D77306"/>
    <w:rsid w:val="00DA50C5"/>
    <w:rsid w:val="00DA5BFA"/>
    <w:rsid w:val="00DD4185"/>
    <w:rsid w:val="00E17B27"/>
    <w:rsid w:val="00F1712F"/>
    <w:rsid w:val="00F43365"/>
    <w:rsid w:val="00F44C84"/>
    <w:rsid w:val="00F53A5A"/>
    <w:rsid w:val="00F87F49"/>
    <w:rsid w:val="00FD169A"/>
    <w:rsid w:val="00FD3686"/>
    <w:rsid w:val="00FE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9E2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7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40C53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040C53"/>
    <w:pPr>
      <w:spacing w:after="0" w:line="240" w:lineRule="auto"/>
      <w:ind w:left="720"/>
    </w:pPr>
    <w:rPr>
      <w:rFonts w:ascii="Calibri" w:hAnsi="Calibri" w:cs="Calibri"/>
    </w:rPr>
  </w:style>
  <w:style w:type="paragraph" w:styleId="a4">
    <w:name w:val="header"/>
    <w:basedOn w:val="a"/>
    <w:link w:val="a5"/>
    <w:uiPriority w:val="99"/>
    <w:unhideWhenUsed/>
    <w:rsid w:val="00357E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57E1B"/>
  </w:style>
  <w:style w:type="paragraph" w:styleId="a6">
    <w:name w:val="footer"/>
    <w:basedOn w:val="a"/>
    <w:link w:val="a7"/>
    <w:uiPriority w:val="99"/>
    <w:unhideWhenUsed/>
    <w:rsid w:val="00357E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57E1B"/>
  </w:style>
  <w:style w:type="paragraph" w:styleId="a8">
    <w:name w:val="Balloon Text"/>
    <w:basedOn w:val="a"/>
    <w:link w:val="a9"/>
    <w:uiPriority w:val="99"/>
    <w:semiHidden/>
    <w:unhideWhenUsed/>
    <w:rsid w:val="00720A7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720A72"/>
    <w:rPr>
      <w:rFonts w:ascii="Tahoma" w:hAnsi="Tahoma" w:cs="Tahoma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F56D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F56D3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CF56D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56D3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CF56D3"/>
    <w:rPr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894A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i.org.il/he/NewsAndPublications/PressReleases/Pages/07-09-22.aspx" TargetMode="Externa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hyperlink" Target="https://app.powerbi.com/view?r=eyJrIjoiMmI2ZDc2ZWQtMGFlOC00ODU5LTk0OWUtMWQ3NzAwYjIyODQ3IiwidCI6ImM4YTAwM2VhLWNmM2EtNDZjNi1hZDE2LTEwNmRkMGQzNTVhYyIsImMiOjl9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app.powerbi.com/view?r=eyJrIjoiMmI2ZDc2ZWQtMGFlOC00ODU5LTk0OWUtMWQ3NzAwYjIyODQ3IiwidCI6ImM4YTAwM2VhLWNmM2EtNDZjNi1hZDE2LTEwNmRkMGQzNTVhYyIsImMiOjl9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644CCD52964FE4BBD8AB8E0B060EA47" ma:contentTypeVersion="3" ma:contentTypeDescription="צור מסמך חדש." ma:contentTypeScope="" ma:versionID="2bb10b40ee8d3a599c5f62d28aa9a0b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c347f0a8e3e1664f2bb8f913eca227a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WaveListOrderValu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  <xsd:element name="eWaveListOrderValue" ma:index="10" nillable="true" ma:displayName="סידור" ma:decimals="2" ma:internalName="eWaveListOrderValue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תאריך יצירה" ma:description="התאריך שבו נוצר משאב זה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24FCFBE-87F9-4443-84D1-25A9E4CA5337}"/>
</file>

<file path=customXml/itemProps2.xml><?xml version="1.0" encoding="utf-8"?>
<ds:datastoreItem xmlns:ds="http://schemas.openxmlformats.org/officeDocument/2006/customXml" ds:itemID="{1B5767FC-3243-45BE-9D90-7045B86EED3D}"/>
</file>

<file path=customXml/itemProps3.xml><?xml version="1.0" encoding="utf-8"?>
<ds:datastoreItem xmlns:ds="http://schemas.openxmlformats.org/officeDocument/2006/customXml" ds:itemID="{EC263913-04FD-4228-AB63-3B5E139732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2022-10-02T08:32:00Z</dcterms:created>
  <dcterms:modified xsi:type="dcterms:W3CDTF">2022-10-02T08:37:00Z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0x0101000644CCD52964FE4BBD8AB8E0B060EA47</vt:lpwstr>
  </property>
</Properties>
</file>