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401F5C" w:rsidRDefault="002235F5" w:rsidP="003B4DD7">
      <w:pPr>
        <w:bidi w:val="0"/>
        <w:jc w:val="center"/>
        <w:rPr>
          <w:rFonts w:asciiTheme="majorBidi" w:hAnsiTheme="majorBidi" w:cstheme="majorBidi"/>
          <w:rtl/>
        </w:rPr>
      </w:pPr>
      <w:bookmarkStart w:id="0" w:name="_GoBack"/>
      <w:bookmarkEnd w:id="0"/>
      <w:r w:rsidRPr="00401F5C">
        <w:rPr>
          <w:rFonts w:asciiTheme="majorBidi" w:hAnsiTheme="majorBidi" w:cstheme="majorBidi"/>
          <w:noProof/>
        </w:rPr>
        <w:drawing>
          <wp:inline distT="0" distB="0" distL="0" distR="0" wp14:anchorId="0BEA45E7" wp14:editId="3588677D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B31883" w:rsidRDefault="00892A46" w:rsidP="003B4DD7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1883">
        <w:rPr>
          <w:rFonts w:asciiTheme="majorBidi" w:hAnsiTheme="majorBidi" w:cstheme="majorBidi"/>
          <w:b/>
          <w:bCs/>
          <w:sz w:val="28"/>
          <w:szCs w:val="28"/>
        </w:rPr>
        <w:t>BANK OF ISRAEL</w:t>
      </w:r>
    </w:p>
    <w:p w:rsidR="00892A46" w:rsidRPr="00401F5C" w:rsidRDefault="00892A46" w:rsidP="003B4DD7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Office of the Spokesperson and Economic Information</w:t>
      </w:r>
    </w:p>
    <w:p w:rsidR="00B533D5" w:rsidRPr="00401F5C" w:rsidRDefault="007926C7" w:rsidP="003B4DD7">
      <w:pPr>
        <w:bidi w:val="0"/>
        <w:jc w:val="both"/>
        <w:rPr>
          <w:rFonts w:asciiTheme="majorBidi" w:hAnsiTheme="majorBidi" w:cstheme="majorBidi"/>
          <w:rtl/>
        </w:rPr>
      </w:pPr>
      <w:r w:rsidRPr="00401F5C">
        <w:rPr>
          <w:rFonts w:asciiTheme="majorBidi" w:hAnsiTheme="majorBidi" w:cstheme="majorBidi"/>
        </w:rPr>
        <w:br/>
      </w:r>
    </w:p>
    <w:p w:rsidR="007926C7" w:rsidRPr="00401F5C" w:rsidRDefault="00941E01" w:rsidP="00072E0C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February </w:t>
      </w:r>
      <w:r w:rsidR="0047462E">
        <w:rPr>
          <w:rFonts w:asciiTheme="majorBidi" w:hAnsiTheme="majorBidi" w:cstheme="majorBidi"/>
        </w:rPr>
        <w:t>2</w:t>
      </w:r>
      <w:r w:rsidR="00072E0C">
        <w:rPr>
          <w:rFonts w:asciiTheme="majorBidi" w:hAnsiTheme="majorBidi" w:cstheme="majorBidi"/>
        </w:rPr>
        <w:t>8</w:t>
      </w:r>
      <w:r w:rsidRPr="00401F5C">
        <w:rPr>
          <w:rFonts w:asciiTheme="majorBidi" w:hAnsiTheme="majorBidi" w:cstheme="majorBidi"/>
        </w:rPr>
        <w:t>, 2023</w:t>
      </w:r>
    </w:p>
    <w:p w:rsidR="007926C7" w:rsidRPr="00401F5C" w:rsidRDefault="007926C7" w:rsidP="003B4DD7">
      <w:pPr>
        <w:bidi w:val="0"/>
        <w:jc w:val="both"/>
        <w:rPr>
          <w:rFonts w:asciiTheme="majorBidi" w:hAnsiTheme="majorBidi" w:cstheme="majorBidi"/>
        </w:rPr>
      </w:pPr>
    </w:p>
    <w:p w:rsidR="00892A46" w:rsidRPr="00401F5C" w:rsidRDefault="00892A46" w:rsidP="003B4DD7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Press Release:</w:t>
      </w:r>
    </w:p>
    <w:p w:rsidR="00892A46" w:rsidRPr="00401F5C" w:rsidRDefault="00892A46" w:rsidP="003B4DD7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:rsidR="003B4DD7" w:rsidRPr="00401F5C" w:rsidRDefault="003B4DD7" w:rsidP="003B4DD7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:rsidR="003B4DD7" w:rsidRPr="00B31883" w:rsidRDefault="00DF041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Providing </w:t>
      </w:r>
      <w:r w:rsidR="00941E01" w:rsidRPr="004675C9">
        <w:rPr>
          <w:rFonts w:asciiTheme="majorBidi" w:hAnsiTheme="majorBidi" w:cstheme="majorBidi"/>
          <w:b/>
          <w:bCs/>
          <w:sz w:val="32"/>
          <w:szCs w:val="32"/>
        </w:rPr>
        <w:t>international payment service providers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access to Israeli payment systems</w:t>
      </w:r>
    </w:p>
    <w:p w:rsidR="00941E01" w:rsidRPr="00401F5C" w:rsidRDefault="00941E01" w:rsidP="00B31883">
      <w:pPr>
        <w:bidi w:val="0"/>
        <w:jc w:val="both"/>
        <w:rPr>
          <w:rFonts w:asciiTheme="majorBidi" w:hAnsiTheme="majorBidi" w:cstheme="majorBidi"/>
        </w:rPr>
      </w:pPr>
    </w:p>
    <w:p w:rsidR="00941E01" w:rsidRPr="00401F5C" w:rsidRDefault="00941E01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The Bank of Israel</w:t>
      </w:r>
      <w:r w:rsidR="007C5ED9">
        <w:rPr>
          <w:rFonts w:asciiTheme="majorBidi" w:hAnsiTheme="majorBidi" w:cstheme="majorBidi"/>
        </w:rPr>
        <w:t xml:space="preserve"> </w:t>
      </w:r>
      <w:r w:rsidR="004555A8">
        <w:rPr>
          <w:rFonts w:asciiTheme="majorBidi" w:hAnsiTheme="majorBidi" w:cstheme="majorBidi"/>
        </w:rPr>
        <w:t xml:space="preserve">has issued a </w:t>
      </w:r>
      <w:r w:rsidR="00A71BDE">
        <w:rPr>
          <w:rFonts w:asciiTheme="majorBidi" w:hAnsiTheme="majorBidi" w:cstheme="majorBidi"/>
        </w:rPr>
        <w:t>framework</w:t>
      </w:r>
      <w:r w:rsidR="004555A8">
        <w:rPr>
          <w:rFonts w:asciiTheme="majorBidi" w:hAnsiTheme="majorBidi" w:cstheme="majorBidi"/>
        </w:rPr>
        <w:t xml:space="preserve"> providing </w:t>
      </w:r>
      <w:r w:rsidR="004555A8" w:rsidRPr="00401F5C">
        <w:rPr>
          <w:rFonts w:asciiTheme="majorBidi" w:hAnsiTheme="majorBidi" w:cstheme="majorBidi"/>
        </w:rPr>
        <w:t xml:space="preserve">international payment service providers </w:t>
      </w:r>
      <w:r w:rsidR="004555A8">
        <w:rPr>
          <w:rFonts w:asciiTheme="majorBidi" w:hAnsiTheme="majorBidi" w:cstheme="majorBidi"/>
        </w:rPr>
        <w:t xml:space="preserve">access to </w:t>
      </w:r>
      <w:r w:rsidR="001F3935">
        <w:rPr>
          <w:rFonts w:asciiTheme="majorBidi" w:hAnsiTheme="majorBidi" w:cstheme="majorBidi"/>
        </w:rPr>
        <w:t xml:space="preserve">regulated </w:t>
      </w:r>
      <w:r w:rsidRPr="00401F5C">
        <w:rPr>
          <w:rFonts w:asciiTheme="majorBidi" w:hAnsiTheme="majorBidi" w:cstheme="majorBidi"/>
        </w:rPr>
        <w:t xml:space="preserve">payment systems in Israel. </w:t>
      </w:r>
      <w:r w:rsidR="004555A8">
        <w:rPr>
          <w:rFonts w:asciiTheme="majorBidi" w:hAnsiTheme="majorBidi" w:cstheme="majorBidi"/>
        </w:rPr>
        <w:t>Effective immediately, t</w:t>
      </w:r>
      <w:r w:rsidRPr="00401F5C">
        <w:rPr>
          <w:rFonts w:asciiTheme="majorBidi" w:hAnsiTheme="majorBidi" w:cstheme="majorBidi"/>
        </w:rPr>
        <w:t xml:space="preserve">his </w:t>
      </w:r>
      <w:r w:rsidR="00A71BDE">
        <w:rPr>
          <w:rFonts w:asciiTheme="majorBidi" w:hAnsiTheme="majorBidi" w:cstheme="majorBidi"/>
        </w:rPr>
        <w:t xml:space="preserve">framework </w:t>
      </w:r>
      <w:r w:rsidR="00436805">
        <w:rPr>
          <w:rFonts w:asciiTheme="majorBidi" w:hAnsiTheme="majorBidi" w:cstheme="majorBidi"/>
        </w:rPr>
        <w:t>enable</w:t>
      </w:r>
      <w:r w:rsidR="004555A8">
        <w:rPr>
          <w:rFonts w:asciiTheme="majorBidi" w:hAnsiTheme="majorBidi" w:cstheme="majorBidi"/>
        </w:rPr>
        <w:t>s</w:t>
      </w:r>
      <w:r w:rsidR="00436805">
        <w:rPr>
          <w:rFonts w:asciiTheme="majorBidi" w:hAnsiTheme="majorBidi" w:cstheme="majorBidi"/>
        </w:rPr>
        <w:t xml:space="preserve"> </w:t>
      </w:r>
      <w:r w:rsidR="004555A8">
        <w:rPr>
          <w:rFonts w:asciiTheme="majorBidi" w:hAnsiTheme="majorBidi" w:cstheme="majorBidi"/>
        </w:rPr>
        <w:t>such</w:t>
      </w:r>
      <w:r w:rsidR="004555A8" w:rsidRPr="00401F5C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 xml:space="preserve">entities to </w:t>
      </w:r>
      <w:r w:rsidR="004555A8">
        <w:rPr>
          <w:rFonts w:asciiTheme="majorBidi" w:hAnsiTheme="majorBidi" w:cstheme="majorBidi"/>
        </w:rPr>
        <w:t xml:space="preserve">provide </w:t>
      </w:r>
      <w:r w:rsidRPr="00401F5C">
        <w:rPr>
          <w:rFonts w:asciiTheme="majorBidi" w:hAnsiTheme="majorBidi" w:cstheme="majorBidi"/>
        </w:rPr>
        <w:t xml:space="preserve">services </w:t>
      </w:r>
      <w:r w:rsidRPr="00946630">
        <w:rPr>
          <w:rFonts w:asciiTheme="majorBidi" w:hAnsiTheme="majorBidi" w:cstheme="majorBidi"/>
        </w:rPr>
        <w:t xml:space="preserve">to </w:t>
      </w:r>
      <w:r w:rsidRPr="00401F5C">
        <w:rPr>
          <w:rFonts w:asciiTheme="majorBidi" w:hAnsiTheme="majorBidi" w:cstheme="majorBidi"/>
        </w:rPr>
        <w:t xml:space="preserve">the public in Israel, </w:t>
      </w:r>
      <w:r w:rsidR="004555A8">
        <w:rPr>
          <w:rFonts w:asciiTheme="majorBidi" w:hAnsiTheme="majorBidi" w:cstheme="majorBidi"/>
        </w:rPr>
        <w:t xml:space="preserve">relying on </w:t>
      </w:r>
      <w:r w:rsidRPr="00401F5C">
        <w:rPr>
          <w:rFonts w:asciiTheme="majorBidi" w:hAnsiTheme="majorBidi" w:cstheme="majorBidi"/>
        </w:rPr>
        <w:t xml:space="preserve">a license </w:t>
      </w:r>
      <w:r w:rsidR="004555A8">
        <w:rPr>
          <w:rFonts w:asciiTheme="majorBidi" w:hAnsiTheme="majorBidi" w:cstheme="majorBidi"/>
        </w:rPr>
        <w:t xml:space="preserve">issued in </w:t>
      </w:r>
      <w:r w:rsidRPr="00401F5C">
        <w:rPr>
          <w:rFonts w:asciiTheme="majorBidi" w:hAnsiTheme="majorBidi" w:cstheme="majorBidi"/>
        </w:rPr>
        <w:t>a foreign country. Th</w:t>
      </w:r>
      <w:r w:rsidR="00DF0415">
        <w:rPr>
          <w:rFonts w:asciiTheme="majorBidi" w:hAnsiTheme="majorBidi" w:cstheme="majorBidi"/>
        </w:rPr>
        <w:t>e</w:t>
      </w:r>
      <w:r w:rsidR="004555A8">
        <w:rPr>
          <w:rFonts w:asciiTheme="majorBidi" w:hAnsiTheme="majorBidi" w:cstheme="majorBidi"/>
        </w:rPr>
        <w:t xml:space="preserve"> central bank expects</w:t>
      </w:r>
      <w:r w:rsidR="00DF0415">
        <w:rPr>
          <w:rFonts w:asciiTheme="majorBidi" w:hAnsiTheme="majorBidi" w:cstheme="majorBidi"/>
        </w:rPr>
        <w:t xml:space="preserve"> </w:t>
      </w:r>
      <w:r w:rsidR="004555A8">
        <w:rPr>
          <w:rFonts w:asciiTheme="majorBidi" w:hAnsiTheme="majorBidi" w:cstheme="majorBidi"/>
        </w:rPr>
        <w:t>this announcement</w:t>
      </w:r>
      <w:r w:rsidRPr="00401F5C">
        <w:rPr>
          <w:rFonts w:asciiTheme="majorBidi" w:hAnsiTheme="majorBidi" w:cstheme="majorBidi"/>
        </w:rPr>
        <w:t xml:space="preserve"> to </w:t>
      </w:r>
      <w:r w:rsidR="004555A8">
        <w:rPr>
          <w:rFonts w:asciiTheme="majorBidi" w:hAnsiTheme="majorBidi" w:cstheme="majorBidi"/>
        </w:rPr>
        <w:t xml:space="preserve">bolster </w:t>
      </w:r>
      <w:r w:rsidRPr="00401F5C">
        <w:rPr>
          <w:rFonts w:asciiTheme="majorBidi" w:hAnsiTheme="majorBidi" w:cstheme="majorBidi"/>
        </w:rPr>
        <w:t xml:space="preserve">innovation in the payments </w:t>
      </w:r>
      <w:r w:rsidR="004555A8">
        <w:rPr>
          <w:rFonts w:asciiTheme="majorBidi" w:hAnsiTheme="majorBidi" w:cstheme="majorBidi"/>
        </w:rPr>
        <w:t xml:space="preserve">arena </w:t>
      </w:r>
      <w:r w:rsidRPr="00401F5C">
        <w:rPr>
          <w:rFonts w:asciiTheme="majorBidi" w:hAnsiTheme="majorBidi" w:cstheme="majorBidi"/>
        </w:rPr>
        <w:t xml:space="preserve">and </w:t>
      </w:r>
      <w:r w:rsidR="004555A8">
        <w:rPr>
          <w:rFonts w:asciiTheme="majorBidi" w:hAnsiTheme="majorBidi" w:cstheme="majorBidi"/>
        </w:rPr>
        <w:t xml:space="preserve">to spur </w:t>
      </w:r>
      <w:r w:rsidRPr="00401F5C">
        <w:rPr>
          <w:rFonts w:asciiTheme="majorBidi" w:hAnsiTheme="majorBidi" w:cstheme="majorBidi"/>
        </w:rPr>
        <w:t xml:space="preserve">entry of new </w:t>
      </w:r>
      <w:r w:rsidR="004555A8">
        <w:rPr>
          <w:rFonts w:asciiTheme="majorBidi" w:hAnsiTheme="majorBidi" w:cstheme="majorBidi"/>
        </w:rPr>
        <w:t xml:space="preserve">market </w:t>
      </w:r>
      <w:r w:rsidRPr="00401F5C">
        <w:rPr>
          <w:rFonts w:asciiTheme="majorBidi" w:hAnsiTheme="majorBidi" w:cstheme="majorBidi"/>
        </w:rPr>
        <w:t xml:space="preserve">participants. </w:t>
      </w:r>
    </w:p>
    <w:p w:rsidR="00941E01" w:rsidRPr="00401F5C" w:rsidRDefault="00941E01" w:rsidP="00B31883">
      <w:pPr>
        <w:bidi w:val="0"/>
        <w:jc w:val="both"/>
        <w:rPr>
          <w:rFonts w:asciiTheme="majorBidi" w:hAnsiTheme="majorBidi" w:cstheme="majorBidi"/>
          <w:rtl/>
        </w:rPr>
      </w:pPr>
    </w:p>
    <w:p w:rsidR="001D084A" w:rsidRPr="00401F5C" w:rsidRDefault="001D084A" w:rsidP="00003E2F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The </w:t>
      </w:r>
      <w:r w:rsidR="00A71BDE">
        <w:rPr>
          <w:rFonts w:asciiTheme="majorBidi" w:hAnsiTheme="majorBidi" w:cstheme="majorBidi"/>
        </w:rPr>
        <w:t>framework</w:t>
      </w:r>
      <w:r w:rsidR="00DF0415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 xml:space="preserve">formulated by the Bank of Israel </w:t>
      </w:r>
      <w:r w:rsidR="001F3935">
        <w:rPr>
          <w:rFonts w:asciiTheme="majorBidi" w:hAnsiTheme="majorBidi" w:cstheme="majorBidi"/>
        </w:rPr>
        <w:t>establishes two tracks, as set forth below</w:t>
      </w:r>
      <w:r w:rsidRPr="00401F5C">
        <w:rPr>
          <w:rFonts w:asciiTheme="majorBidi" w:hAnsiTheme="majorBidi" w:cstheme="majorBidi"/>
        </w:rPr>
        <w:t xml:space="preserve">. </w:t>
      </w:r>
      <w:r w:rsidR="001F3935">
        <w:rPr>
          <w:rFonts w:asciiTheme="majorBidi" w:hAnsiTheme="majorBidi" w:cstheme="majorBidi"/>
        </w:rPr>
        <w:t>It</w:t>
      </w:r>
      <w:r w:rsidR="00003E2F">
        <w:rPr>
          <w:rFonts w:asciiTheme="majorBidi" w:hAnsiTheme="majorBidi" w:cstheme="majorBidi"/>
        </w:rPr>
        <w:t>'</w:t>
      </w:r>
      <w:r w:rsidR="00292294">
        <w:rPr>
          <w:rFonts w:asciiTheme="majorBidi" w:hAnsiTheme="majorBidi" w:cstheme="majorBidi"/>
        </w:rPr>
        <w:t>s</w:t>
      </w:r>
      <w:r w:rsidR="001F3935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 xml:space="preserve">based on </w:t>
      </w:r>
      <w:r w:rsidR="001F3935">
        <w:rPr>
          <w:rFonts w:asciiTheme="majorBidi" w:hAnsiTheme="majorBidi" w:cstheme="majorBidi"/>
        </w:rPr>
        <w:t xml:space="preserve">an </w:t>
      </w:r>
      <w:r w:rsidRPr="00401F5C">
        <w:rPr>
          <w:rFonts w:asciiTheme="majorBidi" w:hAnsiTheme="majorBidi" w:cstheme="majorBidi"/>
        </w:rPr>
        <w:t>exemption granted to entities license</w:t>
      </w:r>
      <w:r w:rsidR="001F3935">
        <w:rPr>
          <w:rFonts w:asciiTheme="majorBidi" w:hAnsiTheme="majorBidi" w:cstheme="majorBidi"/>
        </w:rPr>
        <w:t>d</w:t>
      </w:r>
      <w:r w:rsidRPr="00401F5C">
        <w:rPr>
          <w:rFonts w:asciiTheme="majorBidi" w:hAnsiTheme="majorBidi" w:cstheme="majorBidi"/>
        </w:rPr>
        <w:t xml:space="preserve"> </w:t>
      </w:r>
      <w:r w:rsidR="001F3935">
        <w:rPr>
          <w:rFonts w:asciiTheme="majorBidi" w:hAnsiTheme="majorBidi" w:cstheme="majorBidi"/>
        </w:rPr>
        <w:t xml:space="preserve">in </w:t>
      </w:r>
      <w:r w:rsidRPr="00401F5C">
        <w:rPr>
          <w:rFonts w:asciiTheme="majorBidi" w:hAnsiTheme="majorBidi" w:cstheme="majorBidi"/>
        </w:rPr>
        <w:t>recognized countr</w:t>
      </w:r>
      <w:r w:rsidR="001F3935">
        <w:rPr>
          <w:rFonts w:asciiTheme="majorBidi" w:hAnsiTheme="majorBidi" w:cstheme="majorBidi"/>
        </w:rPr>
        <w:t>ies</w:t>
      </w:r>
      <w:r w:rsidR="007F2042">
        <w:rPr>
          <w:rStyle w:val="ad"/>
          <w:rFonts w:asciiTheme="majorBidi" w:hAnsiTheme="majorBidi" w:cstheme="majorBidi"/>
        </w:rPr>
        <w:footnoteReference w:id="1"/>
      </w:r>
      <w:r w:rsidRPr="00401F5C">
        <w:rPr>
          <w:rFonts w:asciiTheme="majorBidi" w:hAnsiTheme="majorBidi" w:cstheme="majorBidi"/>
        </w:rPr>
        <w:t xml:space="preserve"> </w:t>
      </w:r>
      <w:r w:rsidR="001F3935">
        <w:rPr>
          <w:rFonts w:asciiTheme="majorBidi" w:hAnsiTheme="majorBidi" w:cstheme="majorBidi"/>
        </w:rPr>
        <w:t xml:space="preserve">as established </w:t>
      </w:r>
      <w:r w:rsidRPr="00401F5C">
        <w:rPr>
          <w:rFonts w:asciiTheme="majorBidi" w:hAnsiTheme="majorBidi" w:cstheme="majorBidi"/>
        </w:rPr>
        <w:t>by Minist</w:t>
      </w:r>
      <w:r w:rsidR="001F3935">
        <w:rPr>
          <w:rFonts w:asciiTheme="majorBidi" w:hAnsiTheme="majorBidi" w:cstheme="majorBidi"/>
        </w:rPr>
        <w:t>ry</w:t>
      </w:r>
      <w:r w:rsidRPr="00401F5C">
        <w:rPr>
          <w:rFonts w:asciiTheme="majorBidi" w:hAnsiTheme="majorBidi" w:cstheme="majorBidi"/>
        </w:rPr>
        <w:t xml:space="preserve"> of Finance regulations</w:t>
      </w:r>
      <w:r w:rsidR="007F2042">
        <w:rPr>
          <w:rStyle w:val="ad"/>
          <w:rFonts w:asciiTheme="majorBidi" w:hAnsiTheme="majorBidi" w:cstheme="majorBidi"/>
        </w:rPr>
        <w:footnoteReference w:id="2"/>
      </w:r>
      <w:r w:rsidRPr="00401F5C">
        <w:rPr>
          <w:rFonts w:asciiTheme="majorBidi" w:hAnsiTheme="majorBidi" w:cstheme="majorBidi"/>
        </w:rPr>
        <w:t xml:space="preserve"> </w:t>
      </w:r>
      <w:r w:rsidR="001F3935">
        <w:rPr>
          <w:rFonts w:asciiTheme="majorBidi" w:hAnsiTheme="majorBidi" w:cstheme="majorBidi"/>
        </w:rPr>
        <w:t xml:space="preserve">specifying </w:t>
      </w:r>
      <w:r w:rsidRPr="00401F5C">
        <w:rPr>
          <w:rFonts w:asciiTheme="majorBidi" w:hAnsiTheme="majorBidi" w:cstheme="majorBidi"/>
        </w:rPr>
        <w:t xml:space="preserve">conditions for providing </w:t>
      </w:r>
      <w:r w:rsidR="001F3935">
        <w:rPr>
          <w:rFonts w:asciiTheme="majorBidi" w:hAnsiTheme="majorBidi" w:cstheme="majorBidi"/>
        </w:rPr>
        <w:t xml:space="preserve">licensing </w:t>
      </w:r>
      <w:r w:rsidRPr="00401F5C">
        <w:rPr>
          <w:rFonts w:asciiTheme="majorBidi" w:hAnsiTheme="majorBidi" w:cstheme="majorBidi"/>
        </w:rPr>
        <w:t>exemption</w:t>
      </w:r>
      <w:r w:rsidR="001F3935">
        <w:rPr>
          <w:rFonts w:asciiTheme="majorBidi" w:hAnsiTheme="majorBidi" w:cstheme="majorBidi"/>
        </w:rPr>
        <w:t xml:space="preserve">s </w:t>
      </w:r>
      <w:r w:rsidR="00A71BDE">
        <w:rPr>
          <w:rFonts w:asciiTheme="majorBidi" w:hAnsiTheme="majorBidi" w:cstheme="majorBidi"/>
        </w:rPr>
        <w:t xml:space="preserve">to entities </w:t>
      </w:r>
      <w:r w:rsidR="001F3935">
        <w:rPr>
          <w:rFonts w:asciiTheme="majorBidi" w:hAnsiTheme="majorBidi" w:cstheme="majorBidi"/>
        </w:rPr>
        <w:t xml:space="preserve">providing </w:t>
      </w:r>
      <w:r w:rsidR="007D7AB0" w:rsidRPr="00401F5C">
        <w:rPr>
          <w:rFonts w:asciiTheme="majorBidi" w:hAnsiTheme="majorBidi" w:cstheme="majorBidi"/>
        </w:rPr>
        <w:t xml:space="preserve">financial asset </w:t>
      </w:r>
      <w:r w:rsidR="001F3935">
        <w:rPr>
          <w:rFonts w:asciiTheme="majorBidi" w:hAnsiTheme="majorBidi" w:cstheme="majorBidi"/>
        </w:rPr>
        <w:t xml:space="preserve">services </w:t>
      </w:r>
      <w:r w:rsidR="007D7AB0" w:rsidRPr="00401F5C">
        <w:rPr>
          <w:rFonts w:asciiTheme="majorBidi" w:hAnsiTheme="majorBidi" w:cstheme="majorBidi"/>
        </w:rPr>
        <w:t>in Israel.</w:t>
      </w:r>
    </w:p>
    <w:p w:rsidR="00860CA8" w:rsidRPr="00401F5C" w:rsidRDefault="00860CA8" w:rsidP="00B31883">
      <w:pPr>
        <w:bidi w:val="0"/>
        <w:jc w:val="both"/>
        <w:rPr>
          <w:rFonts w:asciiTheme="majorBidi" w:hAnsiTheme="majorBidi" w:cstheme="majorBidi"/>
        </w:rPr>
      </w:pPr>
    </w:p>
    <w:p w:rsidR="00860CA8" w:rsidRPr="00401F5C" w:rsidRDefault="00860CA8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This </w:t>
      </w:r>
      <w:r w:rsidR="00A71BDE">
        <w:rPr>
          <w:rFonts w:asciiTheme="majorBidi" w:hAnsiTheme="majorBidi" w:cstheme="majorBidi"/>
        </w:rPr>
        <w:t>framework</w:t>
      </w:r>
      <w:r w:rsidR="00A71BDE" w:rsidRPr="00401F5C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 xml:space="preserve">will enable these entities to prepare the technological connection to </w:t>
      </w:r>
      <w:r w:rsidR="00A71BDE">
        <w:rPr>
          <w:rFonts w:asciiTheme="majorBidi" w:hAnsiTheme="majorBidi" w:cstheme="majorBidi"/>
        </w:rPr>
        <w:t xml:space="preserve">regulated payments </w:t>
      </w:r>
      <w:r w:rsidRPr="00401F5C">
        <w:rPr>
          <w:rFonts w:asciiTheme="majorBidi" w:hAnsiTheme="majorBidi" w:cstheme="majorBidi"/>
        </w:rPr>
        <w:t>systems, and for some of them</w:t>
      </w:r>
      <w:r w:rsidR="00A71BDE">
        <w:rPr>
          <w:rFonts w:asciiTheme="majorBidi" w:hAnsiTheme="majorBidi" w:cstheme="majorBidi"/>
        </w:rPr>
        <w:t>,</w:t>
      </w:r>
      <w:r w:rsidRPr="00401F5C">
        <w:rPr>
          <w:rFonts w:asciiTheme="majorBidi" w:hAnsiTheme="majorBidi" w:cstheme="majorBidi"/>
        </w:rPr>
        <w:t xml:space="preserve"> will </w:t>
      </w:r>
      <w:r w:rsidR="007E1AB2" w:rsidRPr="00401F5C">
        <w:rPr>
          <w:rFonts w:asciiTheme="majorBidi" w:hAnsiTheme="majorBidi" w:cstheme="majorBidi"/>
        </w:rPr>
        <w:t>enable</w:t>
      </w:r>
      <w:r w:rsidRPr="00401F5C">
        <w:rPr>
          <w:rFonts w:asciiTheme="majorBidi" w:hAnsiTheme="majorBidi" w:cstheme="majorBidi"/>
        </w:rPr>
        <w:t xml:space="preserve"> </w:t>
      </w:r>
      <w:r w:rsidR="007E1AB2" w:rsidRPr="00401F5C">
        <w:rPr>
          <w:rFonts w:asciiTheme="majorBidi" w:hAnsiTheme="majorBidi" w:cstheme="majorBidi"/>
        </w:rPr>
        <w:t>full</w:t>
      </w:r>
      <w:r w:rsidRPr="00401F5C">
        <w:rPr>
          <w:rFonts w:asciiTheme="majorBidi" w:hAnsiTheme="majorBidi" w:cstheme="majorBidi"/>
        </w:rPr>
        <w:t xml:space="preserve"> </w:t>
      </w:r>
      <w:r w:rsidR="007E1AB2" w:rsidRPr="00401F5C">
        <w:rPr>
          <w:rFonts w:asciiTheme="majorBidi" w:hAnsiTheme="majorBidi" w:cstheme="majorBidi"/>
        </w:rPr>
        <w:t>activity</w:t>
      </w:r>
      <w:r w:rsidRPr="00401F5C">
        <w:rPr>
          <w:rFonts w:asciiTheme="majorBidi" w:hAnsiTheme="majorBidi" w:cstheme="majorBidi"/>
        </w:rPr>
        <w:t xml:space="preserve"> in </w:t>
      </w:r>
      <w:r w:rsidR="00A71BDE">
        <w:rPr>
          <w:rFonts w:asciiTheme="majorBidi" w:hAnsiTheme="majorBidi" w:cstheme="majorBidi"/>
        </w:rPr>
        <w:t xml:space="preserve">such </w:t>
      </w:r>
      <w:r w:rsidR="007E1AB2" w:rsidRPr="00401F5C">
        <w:rPr>
          <w:rFonts w:asciiTheme="majorBidi" w:hAnsiTheme="majorBidi" w:cstheme="majorBidi"/>
        </w:rPr>
        <w:t>sys</w:t>
      </w:r>
      <w:r w:rsidRPr="00401F5C">
        <w:rPr>
          <w:rFonts w:asciiTheme="majorBidi" w:hAnsiTheme="majorBidi" w:cstheme="majorBidi"/>
        </w:rPr>
        <w:t>tems,</w:t>
      </w:r>
      <w:r w:rsidR="007E1AB2" w:rsidRPr="00401F5C">
        <w:rPr>
          <w:rFonts w:asciiTheme="majorBidi" w:hAnsiTheme="majorBidi" w:cstheme="majorBidi"/>
        </w:rPr>
        <w:t xml:space="preserve"> based</w:t>
      </w:r>
      <w:r w:rsidRPr="00401F5C">
        <w:rPr>
          <w:rFonts w:asciiTheme="majorBidi" w:hAnsiTheme="majorBidi" w:cstheme="majorBidi"/>
        </w:rPr>
        <w:t xml:space="preserve"> on </w:t>
      </w:r>
      <w:r w:rsidR="00A71BDE">
        <w:rPr>
          <w:rFonts w:asciiTheme="majorBidi" w:hAnsiTheme="majorBidi" w:cstheme="majorBidi"/>
        </w:rPr>
        <w:t xml:space="preserve">their </w:t>
      </w:r>
      <w:r w:rsidR="007E1AB2" w:rsidRPr="00401F5C">
        <w:rPr>
          <w:rFonts w:asciiTheme="majorBidi" w:hAnsiTheme="majorBidi" w:cstheme="majorBidi"/>
        </w:rPr>
        <w:t>foreign</w:t>
      </w:r>
      <w:r w:rsidR="00A71BDE">
        <w:rPr>
          <w:rFonts w:asciiTheme="majorBidi" w:hAnsiTheme="majorBidi" w:cstheme="majorBidi"/>
        </w:rPr>
        <w:t>-issued</w:t>
      </w:r>
      <w:r w:rsidR="007E1AB2" w:rsidRPr="00401F5C">
        <w:rPr>
          <w:rFonts w:asciiTheme="majorBidi" w:hAnsiTheme="majorBidi" w:cstheme="majorBidi"/>
        </w:rPr>
        <w:t xml:space="preserve"> li</w:t>
      </w:r>
      <w:r w:rsidRPr="00401F5C">
        <w:rPr>
          <w:rFonts w:asciiTheme="majorBidi" w:hAnsiTheme="majorBidi" w:cstheme="majorBidi"/>
        </w:rPr>
        <w:t>cense</w:t>
      </w:r>
      <w:r w:rsidR="00A71BDE">
        <w:rPr>
          <w:rFonts w:asciiTheme="majorBidi" w:hAnsiTheme="majorBidi" w:cstheme="majorBidi"/>
        </w:rPr>
        <w:t xml:space="preserve">.  The Bank of Israel’s framework enables such entities to proceed </w:t>
      </w:r>
      <w:r w:rsidR="007E1AB2" w:rsidRPr="00401F5C">
        <w:rPr>
          <w:rFonts w:asciiTheme="majorBidi" w:hAnsiTheme="majorBidi" w:cstheme="majorBidi"/>
        </w:rPr>
        <w:t>without</w:t>
      </w:r>
      <w:r w:rsidRPr="00401F5C">
        <w:rPr>
          <w:rFonts w:asciiTheme="majorBidi" w:hAnsiTheme="majorBidi" w:cstheme="majorBidi"/>
        </w:rPr>
        <w:t xml:space="preserve"> </w:t>
      </w:r>
      <w:r w:rsidR="007E1AB2" w:rsidRPr="00401F5C">
        <w:rPr>
          <w:rFonts w:asciiTheme="majorBidi" w:hAnsiTheme="majorBidi" w:cstheme="majorBidi"/>
        </w:rPr>
        <w:t>waiting</w:t>
      </w:r>
      <w:r w:rsidRPr="00401F5C">
        <w:rPr>
          <w:rFonts w:asciiTheme="majorBidi" w:hAnsiTheme="majorBidi" w:cstheme="majorBidi"/>
        </w:rPr>
        <w:t xml:space="preserve"> for </w:t>
      </w:r>
      <w:r w:rsidR="00A71BDE">
        <w:rPr>
          <w:rFonts w:asciiTheme="majorBidi" w:hAnsiTheme="majorBidi" w:cstheme="majorBidi"/>
        </w:rPr>
        <w:t xml:space="preserve">final legislation of the </w:t>
      </w:r>
      <w:r w:rsidR="00A71BDE" w:rsidRPr="00401F5C">
        <w:rPr>
          <w:rFonts w:asciiTheme="majorBidi" w:hAnsiTheme="majorBidi" w:cstheme="majorBidi"/>
        </w:rPr>
        <w:t xml:space="preserve">Payment Services </w:t>
      </w:r>
      <w:r w:rsidR="00A71BDE">
        <w:rPr>
          <w:rFonts w:asciiTheme="majorBidi" w:hAnsiTheme="majorBidi" w:cstheme="majorBidi"/>
        </w:rPr>
        <w:t xml:space="preserve">Regulation </w:t>
      </w:r>
      <w:r w:rsidR="00A71BDE" w:rsidRPr="00401F5C">
        <w:rPr>
          <w:rFonts w:asciiTheme="majorBidi" w:hAnsiTheme="majorBidi" w:cstheme="majorBidi"/>
        </w:rPr>
        <w:t xml:space="preserve">Law </w:t>
      </w:r>
      <w:r w:rsidR="00A71BDE">
        <w:rPr>
          <w:rFonts w:asciiTheme="majorBidi" w:hAnsiTheme="majorBidi" w:cstheme="majorBidi"/>
        </w:rPr>
        <w:t xml:space="preserve">which is currently being formulated </w:t>
      </w:r>
      <w:r w:rsidRPr="00401F5C">
        <w:rPr>
          <w:rFonts w:asciiTheme="majorBidi" w:hAnsiTheme="majorBidi" w:cstheme="majorBidi"/>
        </w:rPr>
        <w:t>in Israel</w:t>
      </w:r>
      <w:r w:rsidR="00A71BDE">
        <w:rPr>
          <w:rFonts w:asciiTheme="majorBidi" w:hAnsiTheme="majorBidi" w:cstheme="majorBidi"/>
        </w:rPr>
        <w:t xml:space="preserve"> and is expected ultimately to become effective</w:t>
      </w:r>
      <w:r w:rsidRPr="00401F5C">
        <w:rPr>
          <w:rFonts w:asciiTheme="majorBidi" w:hAnsiTheme="majorBidi" w:cstheme="majorBidi"/>
        </w:rPr>
        <w:t>.</w:t>
      </w:r>
    </w:p>
    <w:p w:rsidR="00741A42" w:rsidRPr="00401F5C" w:rsidRDefault="00741A42" w:rsidP="00B31883">
      <w:pPr>
        <w:bidi w:val="0"/>
        <w:jc w:val="both"/>
        <w:rPr>
          <w:rFonts w:asciiTheme="majorBidi" w:hAnsiTheme="majorBidi" w:cstheme="majorBidi"/>
        </w:rPr>
      </w:pPr>
    </w:p>
    <w:p w:rsidR="00741A42" w:rsidRPr="00401F5C" w:rsidRDefault="00741A42" w:rsidP="00003E2F">
      <w:pPr>
        <w:bidi w:val="0"/>
        <w:jc w:val="both"/>
        <w:rPr>
          <w:rFonts w:asciiTheme="majorBidi" w:hAnsiTheme="majorBidi" w:cstheme="majorBidi"/>
        </w:rPr>
      </w:pPr>
      <w:r w:rsidRPr="00457C4A">
        <w:rPr>
          <w:rFonts w:asciiTheme="majorBidi" w:hAnsiTheme="majorBidi" w:cstheme="majorBidi"/>
          <w:b/>
          <w:bCs/>
        </w:rPr>
        <w:t>Payment and Settlement Systems Division Director Mr. Oded Salomy</w:t>
      </w:r>
      <w:r w:rsidR="00F326A9" w:rsidRPr="00457C4A">
        <w:rPr>
          <w:rFonts w:asciiTheme="majorBidi" w:hAnsiTheme="majorBidi" w:cstheme="majorBidi"/>
          <w:b/>
          <w:bCs/>
        </w:rPr>
        <w:t xml:space="preserve"> </w:t>
      </w:r>
      <w:r w:rsidRPr="00457C4A">
        <w:rPr>
          <w:rFonts w:asciiTheme="majorBidi" w:hAnsiTheme="majorBidi" w:cstheme="majorBidi"/>
        </w:rPr>
        <w:t>said</w:t>
      </w:r>
      <w:r w:rsidR="00F326A9" w:rsidRPr="00457C4A">
        <w:rPr>
          <w:rFonts w:asciiTheme="majorBidi" w:hAnsiTheme="majorBidi" w:cstheme="majorBidi"/>
        </w:rPr>
        <w:t>,</w:t>
      </w:r>
      <w:r w:rsidR="00F326A9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>“</w:t>
      </w:r>
      <w:r w:rsidR="001C1FEE">
        <w:rPr>
          <w:rFonts w:asciiTheme="majorBidi" w:hAnsiTheme="majorBidi" w:cstheme="majorBidi"/>
        </w:rPr>
        <w:t>Providing</w:t>
      </w:r>
      <w:r w:rsidR="001C1FEE" w:rsidRPr="00401F5C">
        <w:rPr>
          <w:rFonts w:asciiTheme="majorBidi" w:hAnsiTheme="majorBidi" w:cstheme="majorBidi"/>
        </w:rPr>
        <w:t xml:space="preserve"> </w:t>
      </w:r>
      <w:r w:rsidR="00A71BDE">
        <w:rPr>
          <w:rFonts w:asciiTheme="majorBidi" w:hAnsiTheme="majorBidi" w:cstheme="majorBidi"/>
        </w:rPr>
        <w:t xml:space="preserve">access to regulated </w:t>
      </w:r>
      <w:r w:rsidRPr="00401F5C">
        <w:rPr>
          <w:rFonts w:asciiTheme="majorBidi" w:hAnsiTheme="majorBidi" w:cstheme="majorBidi"/>
        </w:rPr>
        <w:t xml:space="preserve">payment systems in Israel </w:t>
      </w:r>
      <w:r w:rsidR="001C1FEE">
        <w:rPr>
          <w:rFonts w:asciiTheme="majorBidi" w:hAnsiTheme="majorBidi" w:cstheme="majorBidi"/>
        </w:rPr>
        <w:t xml:space="preserve">by </w:t>
      </w:r>
      <w:r w:rsidRPr="00401F5C">
        <w:rPr>
          <w:rFonts w:asciiTheme="majorBidi" w:hAnsiTheme="majorBidi" w:cstheme="majorBidi"/>
        </w:rPr>
        <w:t>international payment service providers</w:t>
      </w:r>
      <w:r w:rsidR="006A365A" w:rsidRPr="00401F5C">
        <w:rPr>
          <w:rFonts w:asciiTheme="majorBidi" w:hAnsiTheme="majorBidi" w:cstheme="majorBidi"/>
        </w:rPr>
        <w:t xml:space="preserve"> will </w:t>
      </w:r>
      <w:r w:rsidR="001C1FEE">
        <w:rPr>
          <w:rFonts w:asciiTheme="majorBidi" w:hAnsiTheme="majorBidi" w:cstheme="majorBidi"/>
        </w:rPr>
        <w:t xml:space="preserve">increase </w:t>
      </w:r>
      <w:r w:rsidR="006A365A" w:rsidRPr="00401F5C">
        <w:rPr>
          <w:rFonts w:asciiTheme="majorBidi" w:hAnsiTheme="majorBidi" w:cstheme="majorBidi"/>
        </w:rPr>
        <w:t xml:space="preserve">competition and </w:t>
      </w:r>
      <w:r w:rsidR="001C1FEE">
        <w:rPr>
          <w:rFonts w:asciiTheme="majorBidi" w:hAnsiTheme="majorBidi" w:cstheme="majorBidi"/>
        </w:rPr>
        <w:t>lead to</w:t>
      </w:r>
      <w:r w:rsidR="006A365A" w:rsidRPr="00401F5C">
        <w:rPr>
          <w:rFonts w:asciiTheme="majorBidi" w:hAnsiTheme="majorBidi" w:cstheme="majorBidi"/>
        </w:rPr>
        <w:t xml:space="preserve"> more diverse </w:t>
      </w:r>
      <w:r w:rsidR="001C1FEE">
        <w:rPr>
          <w:rFonts w:asciiTheme="majorBidi" w:hAnsiTheme="majorBidi" w:cstheme="majorBidi"/>
        </w:rPr>
        <w:t xml:space="preserve">products offered to the Israeli public in the </w:t>
      </w:r>
      <w:r w:rsidR="006A365A" w:rsidRPr="00401F5C">
        <w:rPr>
          <w:rFonts w:asciiTheme="majorBidi" w:hAnsiTheme="majorBidi" w:cstheme="majorBidi"/>
        </w:rPr>
        <w:t>payment</w:t>
      </w:r>
      <w:r w:rsidR="001C1FEE">
        <w:rPr>
          <w:rFonts w:asciiTheme="majorBidi" w:hAnsiTheme="majorBidi" w:cstheme="majorBidi"/>
        </w:rPr>
        <w:t>s arena</w:t>
      </w:r>
      <w:r w:rsidR="00807E21" w:rsidRPr="00401F5C">
        <w:rPr>
          <w:rFonts w:asciiTheme="majorBidi" w:hAnsiTheme="majorBidi" w:cstheme="majorBidi"/>
        </w:rPr>
        <w:t xml:space="preserve">, and </w:t>
      </w:r>
      <w:r w:rsidR="001C1FEE">
        <w:rPr>
          <w:rFonts w:asciiTheme="majorBidi" w:hAnsiTheme="majorBidi" w:cstheme="majorBidi"/>
        </w:rPr>
        <w:t>ultimately in other financial service</w:t>
      </w:r>
      <w:r w:rsidR="00003E2F">
        <w:rPr>
          <w:rFonts w:asciiTheme="majorBidi" w:hAnsiTheme="majorBidi" w:cstheme="majorBidi"/>
        </w:rPr>
        <w:t xml:space="preserve"> sectors</w:t>
      </w:r>
      <w:r w:rsidR="001C1FEE">
        <w:rPr>
          <w:rFonts w:asciiTheme="majorBidi" w:hAnsiTheme="majorBidi" w:cstheme="majorBidi"/>
        </w:rPr>
        <w:t xml:space="preserve"> deriving from </w:t>
      </w:r>
      <w:r w:rsidR="00807E21" w:rsidRPr="00401F5C">
        <w:rPr>
          <w:rFonts w:asciiTheme="majorBidi" w:hAnsiTheme="majorBidi" w:cstheme="majorBidi"/>
        </w:rPr>
        <w:t>payment</w:t>
      </w:r>
      <w:r w:rsidR="001C1FEE">
        <w:rPr>
          <w:rFonts w:asciiTheme="majorBidi" w:hAnsiTheme="majorBidi" w:cstheme="majorBidi"/>
        </w:rPr>
        <w:t>s</w:t>
      </w:r>
      <w:r w:rsidR="00807E21" w:rsidRPr="00401F5C">
        <w:rPr>
          <w:rFonts w:asciiTheme="majorBidi" w:hAnsiTheme="majorBidi" w:cstheme="majorBidi"/>
        </w:rPr>
        <w:t>.</w:t>
      </w:r>
    </w:p>
    <w:p w:rsidR="00807E21" w:rsidRPr="00401F5C" w:rsidRDefault="00807E21" w:rsidP="00B31883">
      <w:pPr>
        <w:bidi w:val="0"/>
        <w:jc w:val="both"/>
        <w:rPr>
          <w:rFonts w:asciiTheme="majorBidi" w:hAnsiTheme="majorBidi" w:cstheme="majorBidi"/>
        </w:rPr>
      </w:pPr>
    </w:p>
    <w:p w:rsidR="00807E21" w:rsidRPr="00401F5C" w:rsidRDefault="00807E21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We invite </w:t>
      </w:r>
      <w:r w:rsidR="001C1FEE">
        <w:rPr>
          <w:rFonts w:asciiTheme="majorBidi" w:hAnsiTheme="majorBidi" w:cstheme="majorBidi"/>
        </w:rPr>
        <w:t xml:space="preserve">prospective </w:t>
      </w:r>
      <w:r w:rsidRPr="00401F5C">
        <w:rPr>
          <w:rFonts w:asciiTheme="majorBidi" w:hAnsiTheme="majorBidi" w:cstheme="majorBidi"/>
        </w:rPr>
        <w:t xml:space="preserve">new </w:t>
      </w:r>
      <w:r w:rsidR="001C1FEE">
        <w:rPr>
          <w:rFonts w:asciiTheme="majorBidi" w:hAnsiTheme="majorBidi" w:cstheme="majorBidi"/>
        </w:rPr>
        <w:t xml:space="preserve">players that meet the exemption requirements </w:t>
      </w:r>
      <w:r w:rsidRPr="00401F5C">
        <w:rPr>
          <w:rFonts w:asciiTheme="majorBidi" w:hAnsiTheme="majorBidi" w:cstheme="majorBidi"/>
        </w:rPr>
        <w:t xml:space="preserve">to contact the Payment Systems Oversight </w:t>
      </w:r>
      <w:r w:rsidR="001C1FEE">
        <w:rPr>
          <w:rFonts w:asciiTheme="majorBidi" w:hAnsiTheme="majorBidi" w:cstheme="majorBidi"/>
        </w:rPr>
        <w:t xml:space="preserve">Division </w:t>
      </w:r>
      <w:r w:rsidRPr="00401F5C">
        <w:rPr>
          <w:rFonts w:asciiTheme="majorBidi" w:hAnsiTheme="majorBidi" w:cstheme="majorBidi"/>
        </w:rPr>
        <w:t>at the Bank of Israel</w:t>
      </w:r>
      <w:r w:rsidR="001C1FEE">
        <w:rPr>
          <w:rFonts w:asciiTheme="majorBidi" w:hAnsiTheme="majorBidi" w:cstheme="majorBidi"/>
        </w:rPr>
        <w:t>,</w:t>
      </w:r>
      <w:r w:rsidRPr="00401F5C">
        <w:rPr>
          <w:rFonts w:asciiTheme="majorBidi" w:hAnsiTheme="majorBidi" w:cstheme="majorBidi"/>
        </w:rPr>
        <w:t xml:space="preserve"> </w:t>
      </w:r>
      <w:r w:rsidR="001C1FEE">
        <w:rPr>
          <w:rFonts w:asciiTheme="majorBidi" w:hAnsiTheme="majorBidi" w:cstheme="majorBidi"/>
        </w:rPr>
        <w:t>t</w:t>
      </w:r>
      <w:r w:rsidRPr="00401F5C">
        <w:rPr>
          <w:rFonts w:asciiTheme="majorBidi" w:hAnsiTheme="majorBidi" w:cstheme="majorBidi"/>
        </w:rPr>
        <w:t xml:space="preserve">o receive </w:t>
      </w:r>
      <w:r w:rsidR="001C1FEE">
        <w:rPr>
          <w:rFonts w:asciiTheme="majorBidi" w:hAnsiTheme="majorBidi" w:cstheme="majorBidi"/>
        </w:rPr>
        <w:t xml:space="preserve">consultation and </w:t>
      </w:r>
      <w:r w:rsidRPr="00401F5C">
        <w:rPr>
          <w:rFonts w:asciiTheme="majorBidi" w:hAnsiTheme="majorBidi" w:cstheme="majorBidi"/>
        </w:rPr>
        <w:t xml:space="preserve">advice on </w:t>
      </w:r>
      <w:r w:rsidR="001C1FEE">
        <w:rPr>
          <w:rFonts w:asciiTheme="majorBidi" w:hAnsiTheme="majorBidi" w:cstheme="majorBidi"/>
        </w:rPr>
        <w:t xml:space="preserve">how best to access local </w:t>
      </w:r>
      <w:r w:rsidRPr="00401F5C">
        <w:rPr>
          <w:rFonts w:asciiTheme="majorBidi" w:hAnsiTheme="majorBidi" w:cstheme="majorBidi"/>
        </w:rPr>
        <w:t>payment systems.”</w:t>
      </w:r>
    </w:p>
    <w:p w:rsidR="00C92834" w:rsidRPr="00401F5C" w:rsidRDefault="00C92834" w:rsidP="00B31883">
      <w:pPr>
        <w:bidi w:val="0"/>
        <w:jc w:val="both"/>
        <w:rPr>
          <w:rFonts w:asciiTheme="majorBidi" w:hAnsiTheme="majorBidi" w:cstheme="majorBidi"/>
        </w:rPr>
      </w:pPr>
    </w:p>
    <w:p w:rsidR="0047462E" w:rsidRDefault="002A0B33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</w:rPr>
      </w:pPr>
      <w:r w:rsidRPr="002A0B33">
        <w:rPr>
          <w:rFonts w:asciiTheme="majorBidi" w:hAnsiTheme="majorBidi" w:cstheme="majorBidi"/>
        </w:rPr>
        <w:t>For more information</w:t>
      </w:r>
      <w:r w:rsidR="00A71BDE">
        <w:rPr>
          <w:rFonts w:asciiTheme="majorBidi" w:hAnsiTheme="majorBidi" w:cstheme="majorBidi"/>
        </w:rPr>
        <w:t>, please</w:t>
      </w:r>
      <w:r w:rsidRPr="002A0B33">
        <w:rPr>
          <w:rFonts w:asciiTheme="majorBidi" w:hAnsiTheme="majorBidi" w:cstheme="majorBidi"/>
        </w:rPr>
        <w:t xml:space="preserve"> contact </w:t>
      </w:r>
      <w:r w:rsidR="00A71BDE">
        <w:rPr>
          <w:rFonts w:asciiTheme="majorBidi" w:hAnsiTheme="majorBidi" w:cstheme="majorBidi"/>
        </w:rPr>
        <w:t xml:space="preserve">the Bank of Israel </w:t>
      </w:r>
      <w:r w:rsidRPr="002A0B33">
        <w:rPr>
          <w:rFonts w:asciiTheme="majorBidi" w:hAnsiTheme="majorBidi" w:cstheme="majorBidi"/>
        </w:rPr>
        <w:t>by email</w:t>
      </w:r>
      <w:r w:rsidR="0047462E" w:rsidRPr="0047462E">
        <w:rPr>
          <w:rFonts w:asciiTheme="majorBidi" w:hAnsiTheme="majorBidi" w:cstheme="majorBidi"/>
          <w:shd w:val="clear" w:color="auto" w:fill="FFFFFF" w:themeFill="background1"/>
        </w:rPr>
        <w:t>:</w:t>
      </w:r>
      <w:r w:rsidR="0047462E" w:rsidRPr="0047462E">
        <w:rPr>
          <w:rFonts w:asciiTheme="majorBidi" w:hAnsiTheme="majorBidi" w:cstheme="majorBidi"/>
        </w:rPr>
        <w:t xml:space="preserve">  </w:t>
      </w:r>
      <w:hyperlink r:id="rId9" w:history="1">
        <w:r w:rsidR="0047462E" w:rsidRPr="00891A1E">
          <w:rPr>
            <w:rStyle w:val="Hyperlink"/>
            <w:rFonts w:asciiTheme="majorBidi" w:hAnsiTheme="majorBidi" w:cstheme="majorBidi"/>
          </w:rPr>
          <w:t>infops@boi.org.il</w:t>
        </w:r>
      </w:hyperlink>
    </w:p>
    <w:p w:rsidR="0047462E" w:rsidRPr="00401F5C" w:rsidRDefault="0047462E" w:rsidP="0047462E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</w:rPr>
      </w:pPr>
    </w:p>
    <w:p w:rsidR="00C92834" w:rsidRPr="00401F5C" w:rsidRDefault="00C92834" w:rsidP="00B31883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br w:type="page"/>
      </w:r>
    </w:p>
    <w:p w:rsidR="00C92834" w:rsidRPr="00AC0C02" w:rsidRDefault="00A71BD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Framework</w:t>
      </w:r>
      <w:r w:rsidRPr="00AC0C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2834" w:rsidRPr="00AC0C02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providing </w:t>
      </w:r>
      <w:r w:rsidR="00C92834" w:rsidRPr="00AC0C02">
        <w:rPr>
          <w:rFonts w:asciiTheme="majorBidi" w:hAnsiTheme="majorBidi" w:cstheme="majorBidi"/>
          <w:b/>
          <w:bCs/>
          <w:sz w:val="28"/>
          <w:szCs w:val="28"/>
        </w:rPr>
        <w:t>international payment service providers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access to regulated payments systems</w:t>
      </w:r>
    </w:p>
    <w:p w:rsidR="00C92834" w:rsidRPr="00401F5C" w:rsidRDefault="00C92834" w:rsidP="00B31883">
      <w:pPr>
        <w:bidi w:val="0"/>
        <w:jc w:val="both"/>
        <w:rPr>
          <w:rFonts w:asciiTheme="majorBidi" w:hAnsiTheme="majorBidi" w:cstheme="majorBidi"/>
        </w:rPr>
      </w:pPr>
    </w:p>
    <w:p w:rsidR="00C92834" w:rsidRPr="00401F5C" w:rsidRDefault="00C92834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The </w:t>
      </w:r>
      <w:r w:rsidR="00A71BDE">
        <w:rPr>
          <w:rFonts w:asciiTheme="majorBidi" w:hAnsiTheme="majorBidi" w:cstheme="majorBidi"/>
        </w:rPr>
        <w:t xml:space="preserve">framework </w:t>
      </w:r>
      <w:r w:rsidRPr="00401F5C">
        <w:rPr>
          <w:rFonts w:asciiTheme="majorBidi" w:hAnsiTheme="majorBidi" w:cstheme="majorBidi"/>
        </w:rPr>
        <w:t>for connecti</w:t>
      </w:r>
      <w:r w:rsidR="001C1FEE">
        <w:rPr>
          <w:rFonts w:asciiTheme="majorBidi" w:hAnsiTheme="majorBidi" w:cstheme="majorBidi"/>
        </w:rPr>
        <w:t xml:space="preserve">ng </w:t>
      </w:r>
      <w:r w:rsidRPr="00401F5C">
        <w:rPr>
          <w:rFonts w:asciiTheme="majorBidi" w:hAnsiTheme="majorBidi" w:cstheme="majorBidi"/>
        </w:rPr>
        <w:t xml:space="preserve">to </w:t>
      </w:r>
      <w:r w:rsidR="001C1FEE">
        <w:rPr>
          <w:rFonts w:asciiTheme="majorBidi" w:hAnsiTheme="majorBidi" w:cstheme="majorBidi"/>
        </w:rPr>
        <w:t xml:space="preserve">regulated </w:t>
      </w:r>
      <w:r w:rsidRPr="00401F5C">
        <w:rPr>
          <w:rFonts w:asciiTheme="majorBidi" w:hAnsiTheme="majorBidi" w:cstheme="majorBidi"/>
        </w:rPr>
        <w:t>payment systems</w:t>
      </w:r>
      <w:r w:rsidR="007F2042">
        <w:rPr>
          <w:rStyle w:val="ad"/>
          <w:rFonts w:asciiTheme="majorBidi" w:hAnsiTheme="majorBidi" w:cstheme="majorBidi"/>
        </w:rPr>
        <w:footnoteReference w:id="3"/>
      </w:r>
      <w:r w:rsidRPr="00401F5C">
        <w:rPr>
          <w:rFonts w:asciiTheme="majorBidi" w:hAnsiTheme="majorBidi" w:cstheme="majorBidi"/>
        </w:rPr>
        <w:t xml:space="preserve"> by international payment service providers that comply with the exemption </w:t>
      </w:r>
      <w:r w:rsidR="0096653D" w:rsidRPr="00401F5C">
        <w:rPr>
          <w:rFonts w:asciiTheme="majorBidi" w:hAnsiTheme="majorBidi" w:cstheme="majorBidi"/>
        </w:rPr>
        <w:t xml:space="preserve">terms according to Section 3(7) </w:t>
      </w:r>
      <w:r w:rsidR="00904A1F" w:rsidRPr="00401F5C">
        <w:rPr>
          <w:rFonts w:asciiTheme="majorBidi" w:hAnsiTheme="majorBidi" w:cstheme="majorBidi"/>
        </w:rPr>
        <w:t>of the regulations</w:t>
      </w:r>
      <w:r w:rsidR="007F2042">
        <w:rPr>
          <w:rStyle w:val="ad"/>
          <w:rFonts w:asciiTheme="majorBidi" w:hAnsiTheme="majorBidi" w:cstheme="majorBidi"/>
        </w:rPr>
        <w:footnoteReference w:id="4"/>
      </w:r>
      <w:r w:rsidR="00904A1F" w:rsidRPr="00401F5C">
        <w:rPr>
          <w:rFonts w:asciiTheme="majorBidi" w:hAnsiTheme="majorBidi" w:cstheme="majorBidi"/>
        </w:rPr>
        <w:t xml:space="preserve">, </w:t>
      </w:r>
      <w:r w:rsidR="001C1FEE">
        <w:rPr>
          <w:rFonts w:asciiTheme="majorBidi" w:hAnsiTheme="majorBidi" w:cstheme="majorBidi"/>
        </w:rPr>
        <w:t>establishes</w:t>
      </w:r>
      <w:r w:rsidR="00904A1F" w:rsidRPr="00401F5C">
        <w:rPr>
          <w:rFonts w:asciiTheme="majorBidi" w:hAnsiTheme="majorBidi" w:cstheme="majorBidi"/>
        </w:rPr>
        <w:t xml:space="preserve"> two tracks:</w:t>
      </w:r>
    </w:p>
    <w:p w:rsidR="00904A1F" w:rsidRPr="00401F5C" w:rsidRDefault="00904A1F" w:rsidP="00B31883">
      <w:pPr>
        <w:bidi w:val="0"/>
        <w:jc w:val="both"/>
        <w:rPr>
          <w:rFonts w:asciiTheme="majorBidi" w:hAnsiTheme="majorBidi" w:cstheme="majorBidi"/>
        </w:rPr>
      </w:pPr>
    </w:p>
    <w:p w:rsidR="00904A1F" w:rsidRPr="00C54431" w:rsidRDefault="00904A1F">
      <w:pPr>
        <w:bidi w:val="0"/>
        <w:jc w:val="both"/>
        <w:rPr>
          <w:rFonts w:asciiTheme="majorBidi" w:hAnsiTheme="majorBidi" w:cstheme="majorBidi"/>
          <w:b/>
          <w:bCs/>
        </w:rPr>
      </w:pPr>
      <w:r w:rsidRPr="00C54431">
        <w:rPr>
          <w:rFonts w:asciiTheme="majorBidi" w:hAnsiTheme="majorBidi" w:cstheme="majorBidi"/>
          <w:b/>
          <w:bCs/>
        </w:rPr>
        <w:t xml:space="preserve">a. Track </w:t>
      </w:r>
      <w:r w:rsidR="001C1FEE">
        <w:rPr>
          <w:rFonts w:asciiTheme="majorBidi" w:hAnsiTheme="majorBidi" w:cstheme="majorBidi"/>
          <w:b/>
          <w:bCs/>
        </w:rPr>
        <w:t>A</w:t>
      </w:r>
      <w:r w:rsidRPr="00C54431">
        <w:rPr>
          <w:rFonts w:asciiTheme="majorBidi" w:hAnsiTheme="majorBidi" w:cstheme="majorBidi"/>
          <w:b/>
          <w:bCs/>
        </w:rPr>
        <w:t xml:space="preserve">: Connection to the </w:t>
      </w:r>
      <w:r w:rsidR="001C1FEE">
        <w:rPr>
          <w:rFonts w:asciiTheme="majorBidi" w:hAnsiTheme="majorBidi" w:cstheme="majorBidi"/>
          <w:b/>
          <w:bCs/>
        </w:rPr>
        <w:t>test</w:t>
      </w:r>
      <w:r w:rsidR="00B27EE2">
        <w:rPr>
          <w:rFonts w:asciiTheme="majorBidi" w:hAnsiTheme="majorBidi" w:cstheme="majorBidi"/>
          <w:b/>
          <w:bCs/>
        </w:rPr>
        <w:t xml:space="preserve"> </w:t>
      </w:r>
      <w:r w:rsidRPr="00373FA5">
        <w:rPr>
          <w:rFonts w:asciiTheme="majorBidi" w:hAnsiTheme="majorBidi" w:cstheme="majorBidi"/>
          <w:b/>
          <w:bCs/>
        </w:rPr>
        <w:t>environment</w:t>
      </w:r>
    </w:p>
    <w:p w:rsidR="0079617B" w:rsidRDefault="00904A1F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Th</w:t>
      </w:r>
      <w:r w:rsidR="00B27EE2">
        <w:rPr>
          <w:rFonts w:asciiTheme="majorBidi" w:hAnsiTheme="majorBidi" w:cstheme="majorBidi"/>
        </w:rPr>
        <w:t>is</w:t>
      </w:r>
      <w:r w:rsidRPr="00401F5C">
        <w:rPr>
          <w:rFonts w:asciiTheme="majorBidi" w:hAnsiTheme="majorBidi" w:cstheme="majorBidi"/>
        </w:rPr>
        <w:t xml:space="preserve"> track is </w:t>
      </w:r>
      <w:r w:rsidR="00B27EE2">
        <w:rPr>
          <w:rFonts w:asciiTheme="majorBidi" w:hAnsiTheme="majorBidi" w:cstheme="majorBidi"/>
        </w:rPr>
        <w:t xml:space="preserve">available to </w:t>
      </w:r>
      <w:r w:rsidRPr="00401F5C">
        <w:rPr>
          <w:rFonts w:asciiTheme="majorBidi" w:hAnsiTheme="majorBidi" w:cstheme="majorBidi"/>
        </w:rPr>
        <w:t>payment service provider</w:t>
      </w:r>
      <w:r w:rsidR="00B27EE2">
        <w:rPr>
          <w:rFonts w:asciiTheme="majorBidi" w:hAnsiTheme="majorBidi" w:cstheme="majorBidi"/>
        </w:rPr>
        <w:t>s</w:t>
      </w:r>
      <w:r w:rsidRPr="00401F5C">
        <w:rPr>
          <w:rFonts w:asciiTheme="majorBidi" w:hAnsiTheme="majorBidi" w:cstheme="majorBidi"/>
        </w:rPr>
        <w:t xml:space="preserve"> that compl</w:t>
      </w:r>
      <w:r w:rsidR="00B27EE2">
        <w:rPr>
          <w:rFonts w:asciiTheme="majorBidi" w:hAnsiTheme="majorBidi" w:cstheme="majorBidi"/>
        </w:rPr>
        <w:t>y</w:t>
      </w:r>
      <w:r w:rsidRPr="00401F5C">
        <w:rPr>
          <w:rFonts w:asciiTheme="majorBidi" w:hAnsiTheme="majorBidi" w:cstheme="majorBidi"/>
        </w:rPr>
        <w:t xml:space="preserve"> with the exemption terms according to Section 3(7) of the regulations. </w:t>
      </w:r>
    </w:p>
    <w:p w:rsidR="000460BF" w:rsidRPr="00401F5C" w:rsidRDefault="00B27EE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Track A </w:t>
      </w:r>
      <w:r w:rsidR="00904A1F" w:rsidRPr="00401F5C">
        <w:rPr>
          <w:rFonts w:asciiTheme="majorBidi" w:hAnsiTheme="majorBidi" w:cstheme="majorBidi"/>
        </w:rPr>
        <w:t xml:space="preserve">allows preparation </w:t>
      </w:r>
      <w:r w:rsidR="00A6527B" w:rsidRPr="00401F5C">
        <w:rPr>
          <w:rFonts w:asciiTheme="majorBidi" w:hAnsiTheme="majorBidi" w:cstheme="majorBidi"/>
        </w:rPr>
        <w:t xml:space="preserve">for connection to the payment systems, including carrying out </w:t>
      </w:r>
      <w:r w:rsidR="0079617B">
        <w:rPr>
          <w:rFonts w:asciiTheme="majorBidi" w:hAnsiTheme="majorBidi" w:cstheme="majorBidi"/>
        </w:rPr>
        <w:t xml:space="preserve">trials </w:t>
      </w:r>
      <w:r w:rsidR="00A6527B" w:rsidRPr="00401F5C">
        <w:rPr>
          <w:rFonts w:asciiTheme="majorBidi" w:hAnsiTheme="majorBidi" w:cstheme="majorBidi"/>
        </w:rPr>
        <w:t xml:space="preserve">in the </w:t>
      </w:r>
      <w:r>
        <w:rPr>
          <w:rFonts w:asciiTheme="majorBidi" w:hAnsiTheme="majorBidi" w:cstheme="majorBidi"/>
        </w:rPr>
        <w:t xml:space="preserve">test </w:t>
      </w:r>
      <w:r w:rsidR="0079617B">
        <w:rPr>
          <w:rFonts w:asciiTheme="majorBidi" w:hAnsiTheme="majorBidi" w:cstheme="majorBidi"/>
        </w:rPr>
        <w:t>environment in the systems</w:t>
      </w:r>
      <w:r w:rsidR="00A6527B" w:rsidRPr="00401F5C">
        <w:rPr>
          <w:rFonts w:asciiTheme="majorBidi" w:hAnsiTheme="majorBidi" w:cstheme="majorBidi"/>
        </w:rPr>
        <w:t xml:space="preserve">. As part of the process, the payment service provider will be able to receive </w:t>
      </w:r>
      <w:r>
        <w:rPr>
          <w:rFonts w:asciiTheme="majorBidi" w:hAnsiTheme="majorBidi" w:cstheme="majorBidi"/>
        </w:rPr>
        <w:t xml:space="preserve">complete </w:t>
      </w:r>
      <w:r w:rsidR="00B20F22" w:rsidRPr="00401F5C">
        <w:rPr>
          <w:rFonts w:asciiTheme="majorBidi" w:hAnsiTheme="majorBidi" w:cstheme="majorBidi"/>
        </w:rPr>
        <w:t>payment system rules</w:t>
      </w:r>
      <w:r w:rsidR="000460BF" w:rsidRPr="00401F5C">
        <w:rPr>
          <w:rFonts w:asciiTheme="majorBidi" w:hAnsiTheme="majorBidi" w:cstheme="majorBidi"/>
        </w:rPr>
        <w:t xml:space="preserve"> and an </w:t>
      </w:r>
      <w:r w:rsidR="0079617B">
        <w:rPr>
          <w:rFonts w:asciiTheme="majorBidi" w:hAnsiTheme="majorBidi" w:cstheme="majorBidi"/>
        </w:rPr>
        <w:t xml:space="preserve">identification </w:t>
      </w:r>
      <w:r w:rsidR="000460BF" w:rsidRPr="00401F5C">
        <w:rPr>
          <w:rFonts w:asciiTheme="majorBidi" w:hAnsiTheme="majorBidi" w:cstheme="majorBidi"/>
        </w:rPr>
        <w:t xml:space="preserve">code. </w:t>
      </w:r>
    </w:p>
    <w:p w:rsidR="00904A1F" w:rsidRPr="00401F5C" w:rsidRDefault="00B27EE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79617B">
        <w:rPr>
          <w:rFonts w:asciiTheme="majorBidi" w:hAnsiTheme="majorBidi" w:cstheme="majorBidi"/>
        </w:rPr>
        <w:t>ondition</w:t>
      </w:r>
      <w:r>
        <w:rPr>
          <w:rFonts w:asciiTheme="majorBidi" w:hAnsiTheme="majorBidi" w:cstheme="majorBidi"/>
        </w:rPr>
        <w:t>s</w:t>
      </w:r>
      <w:r w:rsidR="0079617B">
        <w:rPr>
          <w:rFonts w:asciiTheme="majorBidi" w:hAnsiTheme="majorBidi" w:cstheme="majorBidi"/>
        </w:rPr>
        <w:t xml:space="preserve"> </w:t>
      </w:r>
      <w:r w:rsidR="000460BF" w:rsidRPr="00401F5C">
        <w:rPr>
          <w:rFonts w:asciiTheme="majorBidi" w:hAnsiTheme="majorBidi" w:cstheme="majorBidi"/>
        </w:rPr>
        <w:t>for participati</w:t>
      </w:r>
      <w:r>
        <w:rPr>
          <w:rFonts w:asciiTheme="majorBidi" w:hAnsiTheme="majorBidi" w:cstheme="majorBidi"/>
        </w:rPr>
        <w:t xml:space="preserve">ng </w:t>
      </w:r>
      <w:r w:rsidR="000460BF" w:rsidRPr="00401F5C">
        <w:rPr>
          <w:rFonts w:asciiTheme="majorBidi" w:hAnsiTheme="majorBidi" w:cstheme="majorBidi"/>
        </w:rPr>
        <w:t>in this track</w:t>
      </w:r>
      <w:r>
        <w:rPr>
          <w:rFonts w:asciiTheme="majorBidi" w:hAnsiTheme="majorBidi" w:cstheme="majorBidi"/>
        </w:rPr>
        <w:t xml:space="preserve"> include</w:t>
      </w:r>
      <w:r w:rsidR="000460BF" w:rsidRPr="00401F5C">
        <w:rPr>
          <w:rFonts w:asciiTheme="majorBidi" w:hAnsiTheme="majorBidi" w:cstheme="majorBidi"/>
        </w:rPr>
        <w:t>:</w:t>
      </w:r>
    </w:p>
    <w:p w:rsidR="000460BF" w:rsidRPr="00401F5C" w:rsidRDefault="000460BF" w:rsidP="0045041B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Providing a comfort letter from the Payment Services Provider</w:t>
      </w:r>
      <w:r w:rsidR="0079617B">
        <w:rPr>
          <w:rFonts w:asciiTheme="majorBidi" w:hAnsiTheme="majorBidi" w:cstheme="majorBidi"/>
        </w:rPr>
        <w:t xml:space="preserve">’s supervisor </w:t>
      </w:r>
      <w:r w:rsidRPr="00401F5C">
        <w:rPr>
          <w:rFonts w:asciiTheme="majorBidi" w:hAnsiTheme="majorBidi" w:cstheme="majorBidi"/>
        </w:rPr>
        <w:t xml:space="preserve">abroad that </w:t>
      </w:r>
      <w:r w:rsidR="00852709">
        <w:rPr>
          <w:rFonts w:asciiTheme="majorBidi" w:hAnsiTheme="majorBidi" w:cstheme="majorBidi"/>
        </w:rPr>
        <w:t xml:space="preserve">certifies </w:t>
      </w:r>
      <w:r w:rsidRPr="00401F5C">
        <w:rPr>
          <w:rFonts w:asciiTheme="majorBidi" w:hAnsiTheme="majorBidi" w:cstheme="majorBidi"/>
        </w:rPr>
        <w:t>the Payment Services Provider’s</w:t>
      </w:r>
      <w:r w:rsidR="00953F01" w:rsidRPr="00401F5C">
        <w:rPr>
          <w:rFonts w:asciiTheme="majorBidi" w:hAnsiTheme="majorBidi" w:cstheme="majorBidi"/>
        </w:rPr>
        <w:t xml:space="preserve"> compliance with the exemption term</w:t>
      </w:r>
      <w:r w:rsidR="0045041B">
        <w:rPr>
          <w:rFonts w:asciiTheme="majorBidi" w:hAnsiTheme="majorBidi" w:cstheme="majorBidi"/>
        </w:rPr>
        <w:t>s</w:t>
      </w:r>
      <w:r w:rsidR="00953F01" w:rsidRPr="00401F5C">
        <w:rPr>
          <w:rFonts w:asciiTheme="majorBidi" w:hAnsiTheme="majorBidi" w:cstheme="majorBidi"/>
        </w:rPr>
        <w:t xml:space="preserve"> according to Section 3(7) of the provisions</w:t>
      </w:r>
      <w:r w:rsidR="00852709">
        <w:rPr>
          <w:rFonts w:asciiTheme="majorBidi" w:hAnsiTheme="majorBidi" w:cstheme="majorBidi"/>
        </w:rPr>
        <w:t>.</w:t>
      </w:r>
    </w:p>
    <w:p w:rsidR="00953F01" w:rsidRPr="00401F5C" w:rsidRDefault="00953F01" w:rsidP="00B31883">
      <w:pPr>
        <w:bidi w:val="0"/>
        <w:jc w:val="both"/>
        <w:rPr>
          <w:rFonts w:asciiTheme="majorBidi" w:hAnsiTheme="majorBidi" w:cstheme="majorBidi"/>
        </w:rPr>
      </w:pPr>
    </w:p>
    <w:p w:rsidR="00953F01" w:rsidRPr="0045041B" w:rsidRDefault="00953F01" w:rsidP="0045041B">
      <w:pPr>
        <w:bidi w:val="0"/>
        <w:jc w:val="both"/>
        <w:rPr>
          <w:rFonts w:asciiTheme="majorBidi" w:hAnsiTheme="majorBidi" w:cstheme="majorBidi"/>
          <w:b/>
          <w:bCs/>
        </w:rPr>
      </w:pPr>
      <w:r w:rsidRPr="0045041B">
        <w:rPr>
          <w:rFonts w:asciiTheme="majorBidi" w:hAnsiTheme="majorBidi" w:cstheme="majorBidi"/>
          <w:b/>
          <w:bCs/>
        </w:rPr>
        <w:t xml:space="preserve">b. Track </w:t>
      </w:r>
      <w:r w:rsidR="00B27EE2">
        <w:rPr>
          <w:rFonts w:asciiTheme="majorBidi" w:hAnsiTheme="majorBidi" w:cstheme="majorBidi"/>
          <w:b/>
          <w:bCs/>
        </w:rPr>
        <w:t>B</w:t>
      </w:r>
      <w:r w:rsidRPr="0045041B">
        <w:rPr>
          <w:rFonts w:asciiTheme="majorBidi" w:hAnsiTheme="majorBidi" w:cstheme="majorBidi"/>
          <w:b/>
          <w:bCs/>
        </w:rPr>
        <w:t>:</w:t>
      </w:r>
      <w:r w:rsidR="003A785D" w:rsidRPr="0045041B">
        <w:rPr>
          <w:rFonts w:asciiTheme="majorBidi" w:hAnsiTheme="majorBidi" w:cstheme="majorBidi"/>
          <w:b/>
          <w:bCs/>
        </w:rPr>
        <w:t xml:space="preserve"> </w:t>
      </w:r>
      <w:r w:rsidRPr="0045041B">
        <w:rPr>
          <w:rFonts w:asciiTheme="majorBidi" w:hAnsiTheme="majorBidi" w:cstheme="majorBidi"/>
          <w:b/>
          <w:bCs/>
        </w:rPr>
        <w:t>Conn</w:t>
      </w:r>
      <w:r w:rsidR="003A785D" w:rsidRPr="0045041B">
        <w:rPr>
          <w:rFonts w:asciiTheme="majorBidi" w:hAnsiTheme="majorBidi" w:cstheme="majorBidi"/>
          <w:b/>
          <w:bCs/>
        </w:rPr>
        <w:t>e</w:t>
      </w:r>
      <w:r w:rsidRPr="0045041B">
        <w:rPr>
          <w:rFonts w:asciiTheme="majorBidi" w:hAnsiTheme="majorBidi" w:cstheme="majorBidi"/>
          <w:b/>
          <w:bCs/>
        </w:rPr>
        <w:t>ct</w:t>
      </w:r>
      <w:r w:rsidR="003A785D" w:rsidRPr="0045041B">
        <w:rPr>
          <w:rFonts w:asciiTheme="majorBidi" w:hAnsiTheme="majorBidi" w:cstheme="majorBidi"/>
          <w:b/>
          <w:bCs/>
        </w:rPr>
        <w:t>i</w:t>
      </w:r>
      <w:r w:rsidR="0045041B">
        <w:rPr>
          <w:rFonts w:asciiTheme="majorBidi" w:hAnsiTheme="majorBidi" w:cstheme="majorBidi"/>
          <w:b/>
          <w:bCs/>
        </w:rPr>
        <w:t xml:space="preserve">on </w:t>
      </w:r>
      <w:r w:rsidRPr="0045041B">
        <w:rPr>
          <w:rFonts w:asciiTheme="majorBidi" w:hAnsiTheme="majorBidi" w:cstheme="majorBidi"/>
          <w:b/>
          <w:bCs/>
        </w:rPr>
        <w:t xml:space="preserve">to </w:t>
      </w:r>
      <w:r w:rsidR="003A785D" w:rsidRPr="0045041B">
        <w:rPr>
          <w:rFonts w:asciiTheme="majorBidi" w:hAnsiTheme="majorBidi" w:cstheme="majorBidi"/>
          <w:b/>
          <w:bCs/>
        </w:rPr>
        <w:t>the production</w:t>
      </w:r>
      <w:r w:rsidRPr="0045041B">
        <w:rPr>
          <w:rFonts w:asciiTheme="majorBidi" w:hAnsiTheme="majorBidi" w:cstheme="majorBidi"/>
          <w:b/>
          <w:bCs/>
        </w:rPr>
        <w:t xml:space="preserve"> environment </w:t>
      </w:r>
    </w:p>
    <w:p w:rsidR="006456D7" w:rsidRPr="00401F5C" w:rsidRDefault="006456D7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Th</w:t>
      </w:r>
      <w:r w:rsidR="00B27EE2">
        <w:rPr>
          <w:rFonts w:asciiTheme="majorBidi" w:hAnsiTheme="majorBidi" w:cstheme="majorBidi"/>
        </w:rPr>
        <w:t>is</w:t>
      </w:r>
      <w:r w:rsidRPr="00401F5C">
        <w:rPr>
          <w:rFonts w:asciiTheme="majorBidi" w:hAnsiTheme="majorBidi" w:cstheme="majorBidi"/>
        </w:rPr>
        <w:t xml:space="preserve"> track is </w:t>
      </w:r>
      <w:r w:rsidR="00B27EE2">
        <w:rPr>
          <w:rFonts w:asciiTheme="majorBidi" w:hAnsiTheme="majorBidi" w:cstheme="majorBidi"/>
        </w:rPr>
        <w:t xml:space="preserve">available to </w:t>
      </w:r>
      <w:r w:rsidRPr="00401F5C">
        <w:rPr>
          <w:rFonts w:asciiTheme="majorBidi" w:hAnsiTheme="majorBidi" w:cstheme="majorBidi"/>
        </w:rPr>
        <w:t>payment service provider</w:t>
      </w:r>
      <w:r w:rsidR="00B27EE2">
        <w:rPr>
          <w:rFonts w:asciiTheme="majorBidi" w:hAnsiTheme="majorBidi" w:cstheme="majorBidi"/>
        </w:rPr>
        <w:t>s</w:t>
      </w:r>
      <w:r w:rsidRPr="00401F5C">
        <w:rPr>
          <w:rFonts w:asciiTheme="majorBidi" w:hAnsiTheme="majorBidi" w:cstheme="majorBidi"/>
        </w:rPr>
        <w:t xml:space="preserve"> that compl</w:t>
      </w:r>
      <w:r w:rsidR="00B27EE2">
        <w:rPr>
          <w:rFonts w:asciiTheme="majorBidi" w:hAnsiTheme="majorBidi" w:cstheme="majorBidi"/>
        </w:rPr>
        <w:t>y</w:t>
      </w:r>
      <w:r w:rsidRPr="00401F5C">
        <w:rPr>
          <w:rFonts w:asciiTheme="majorBidi" w:hAnsiTheme="majorBidi" w:cstheme="majorBidi"/>
        </w:rPr>
        <w:t xml:space="preserve"> with the exemption terms according to Section 3(7) of the regulations, </w:t>
      </w:r>
      <w:r w:rsidR="00B27EE2">
        <w:rPr>
          <w:rFonts w:asciiTheme="majorBidi" w:hAnsiTheme="majorBidi" w:cstheme="majorBidi"/>
        </w:rPr>
        <w:t xml:space="preserve">only if the provider </w:t>
      </w:r>
      <w:r w:rsidR="00946630">
        <w:rPr>
          <w:rFonts w:asciiTheme="majorBidi" w:hAnsiTheme="majorBidi" w:cstheme="majorBidi"/>
        </w:rPr>
        <w:t xml:space="preserve">has been active for </w:t>
      </w:r>
      <w:r w:rsidRPr="00401F5C">
        <w:rPr>
          <w:rFonts w:asciiTheme="majorBidi" w:hAnsiTheme="majorBidi" w:cstheme="majorBidi"/>
        </w:rPr>
        <w:t xml:space="preserve">at least </w:t>
      </w:r>
      <w:r w:rsidR="00B27EE2">
        <w:rPr>
          <w:rFonts w:asciiTheme="majorBidi" w:hAnsiTheme="majorBidi" w:cstheme="majorBidi"/>
        </w:rPr>
        <w:t xml:space="preserve">two </w:t>
      </w:r>
      <w:r w:rsidRPr="00401F5C">
        <w:rPr>
          <w:rFonts w:asciiTheme="majorBidi" w:hAnsiTheme="majorBidi" w:cstheme="majorBidi"/>
        </w:rPr>
        <w:t xml:space="preserve">years from the date of receiving </w:t>
      </w:r>
      <w:r w:rsidR="00B27EE2">
        <w:rPr>
          <w:rFonts w:asciiTheme="majorBidi" w:hAnsiTheme="majorBidi" w:cstheme="majorBidi"/>
        </w:rPr>
        <w:t xml:space="preserve">its </w:t>
      </w:r>
      <w:r w:rsidRPr="00401F5C">
        <w:rPr>
          <w:rFonts w:asciiTheme="majorBidi" w:hAnsiTheme="majorBidi" w:cstheme="majorBidi"/>
        </w:rPr>
        <w:t xml:space="preserve">foreign license, </w:t>
      </w:r>
      <w:r w:rsidR="00B27EE2">
        <w:rPr>
          <w:rFonts w:asciiTheme="majorBidi" w:hAnsiTheme="majorBidi" w:cstheme="majorBidi"/>
        </w:rPr>
        <w:t xml:space="preserve">and if the provider </w:t>
      </w:r>
      <w:r w:rsidRPr="00401F5C">
        <w:rPr>
          <w:rFonts w:asciiTheme="majorBidi" w:hAnsiTheme="majorBidi" w:cstheme="majorBidi"/>
        </w:rPr>
        <w:t>provide</w:t>
      </w:r>
      <w:r w:rsidR="00E51E80">
        <w:rPr>
          <w:rFonts w:asciiTheme="majorBidi" w:hAnsiTheme="majorBidi" w:cstheme="majorBidi"/>
        </w:rPr>
        <w:t>s s</w:t>
      </w:r>
      <w:r w:rsidRPr="00401F5C">
        <w:rPr>
          <w:rFonts w:asciiTheme="majorBidi" w:hAnsiTheme="majorBidi" w:cstheme="majorBidi"/>
        </w:rPr>
        <w:t>ervices to at least 5 million customers.</w:t>
      </w:r>
    </w:p>
    <w:p w:rsidR="006456D7" w:rsidRPr="00401F5C" w:rsidRDefault="006456D7" w:rsidP="0007367B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Th</w:t>
      </w:r>
      <w:r w:rsidR="00B27EE2">
        <w:rPr>
          <w:rFonts w:asciiTheme="majorBidi" w:hAnsiTheme="majorBidi" w:cstheme="majorBidi"/>
        </w:rPr>
        <w:t>is</w:t>
      </w:r>
      <w:r w:rsidRPr="00401F5C">
        <w:rPr>
          <w:rFonts w:asciiTheme="majorBidi" w:hAnsiTheme="majorBidi" w:cstheme="majorBidi"/>
        </w:rPr>
        <w:t xml:space="preserve"> track </w:t>
      </w:r>
      <w:r w:rsidR="00B27EE2">
        <w:rPr>
          <w:rFonts w:asciiTheme="majorBidi" w:hAnsiTheme="majorBidi" w:cstheme="majorBidi"/>
        </w:rPr>
        <w:t xml:space="preserve">allows the provider to engage in activities specified </w:t>
      </w:r>
      <w:r w:rsidR="008C35CE" w:rsidRPr="00401F5C">
        <w:rPr>
          <w:rFonts w:asciiTheme="majorBidi" w:hAnsiTheme="majorBidi" w:cstheme="majorBidi"/>
        </w:rPr>
        <w:t xml:space="preserve">in </w:t>
      </w:r>
      <w:r w:rsidR="00952C04">
        <w:rPr>
          <w:rFonts w:asciiTheme="majorBidi" w:hAnsiTheme="majorBidi" w:cstheme="majorBidi"/>
        </w:rPr>
        <w:t>"</w:t>
      </w:r>
      <w:r w:rsidR="008C35CE" w:rsidRPr="00401F5C">
        <w:rPr>
          <w:rFonts w:asciiTheme="majorBidi" w:hAnsiTheme="majorBidi" w:cstheme="majorBidi"/>
        </w:rPr>
        <w:t xml:space="preserve">Track </w:t>
      </w:r>
      <w:r w:rsidR="00B27EE2">
        <w:rPr>
          <w:rFonts w:asciiTheme="majorBidi" w:hAnsiTheme="majorBidi" w:cstheme="majorBidi"/>
        </w:rPr>
        <w:t>A</w:t>
      </w:r>
      <w:r w:rsidR="00952C04">
        <w:rPr>
          <w:rFonts w:asciiTheme="majorBidi" w:hAnsiTheme="majorBidi" w:cstheme="majorBidi"/>
        </w:rPr>
        <w:t>"</w:t>
      </w:r>
      <w:r w:rsidR="008C35CE" w:rsidRPr="00401F5C">
        <w:rPr>
          <w:rFonts w:asciiTheme="majorBidi" w:hAnsiTheme="majorBidi" w:cstheme="majorBidi"/>
        </w:rPr>
        <w:t xml:space="preserve"> and </w:t>
      </w:r>
      <w:r w:rsidR="00B27EE2">
        <w:rPr>
          <w:rFonts w:asciiTheme="majorBidi" w:hAnsiTheme="majorBidi" w:cstheme="majorBidi"/>
        </w:rPr>
        <w:t xml:space="preserve">also </w:t>
      </w:r>
      <w:r w:rsidR="008C35CE" w:rsidRPr="00401F5C">
        <w:rPr>
          <w:rFonts w:asciiTheme="majorBidi" w:hAnsiTheme="majorBidi" w:cstheme="majorBidi"/>
        </w:rPr>
        <w:t xml:space="preserve">allows </w:t>
      </w:r>
      <w:r w:rsidR="003A785D" w:rsidRPr="00401F5C">
        <w:rPr>
          <w:rFonts w:asciiTheme="majorBidi" w:hAnsiTheme="majorBidi" w:cstheme="majorBidi"/>
        </w:rPr>
        <w:t>connection</w:t>
      </w:r>
      <w:r w:rsidR="008C35CE" w:rsidRPr="00401F5C">
        <w:rPr>
          <w:rFonts w:asciiTheme="majorBidi" w:hAnsiTheme="majorBidi" w:cstheme="majorBidi"/>
        </w:rPr>
        <w:t xml:space="preserve"> to</w:t>
      </w:r>
      <w:r w:rsidR="003A785D" w:rsidRPr="00401F5C">
        <w:rPr>
          <w:rFonts w:asciiTheme="majorBidi" w:hAnsiTheme="majorBidi" w:cstheme="majorBidi"/>
        </w:rPr>
        <w:t xml:space="preserve"> the </w:t>
      </w:r>
      <w:r w:rsidR="008C35CE" w:rsidRPr="00401F5C">
        <w:rPr>
          <w:rFonts w:asciiTheme="majorBidi" w:hAnsiTheme="majorBidi" w:cstheme="majorBidi"/>
        </w:rPr>
        <w:t>prod</w:t>
      </w:r>
      <w:r w:rsidR="003A785D" w:rsidRPr="00401F5C">
        <w:rPr>
          <w:rFonts w:asciiTheme="majorBidi" w:hAnsiTheme="majorBidi" w:cstheme="majorBidi"/>
        </w:rPr>
        <w:t>u</w:t>
      </w:r>
      <w:r w:rsidR="008C35CE" w:rsidRPr="00401F5C">
        <w:rPr>
          <w:rFonts w:asciiTheme="majorBidi" w:hAnsiTheme="majorBidi" w:cstheme="majorBidi"/>
        </w:rPr>
        <w:t>c</w:t>
      </w:r>
      <w:r w:rsidR="003A785D" w:rsidRPr="00401F5C">
        <w:rPr>
          <w:rFonts w:asciiTheme="majorBidi" w:hAnsiTheme="majorBidi" w:cstheme="majorBidi"/>
        </w:rPr>
        <w:t>t</w:t>
      </w:r>
      <w:r w:rsidR="008C35CE" w:rsidRPr="00401F5C">
        <w:rPr>
          <w:rFonts w:asciiTheme="majorBidi" w:hAnsiTheme="majorBidi" w:cstheme="majorBidi"/>
        </w:rPr>
        <w:t>ion envi</w:t>
      </w:r>
      <w:r w:rsidR="003A785D" w:rsidRPr="00401F5C">
        <w:rPr>
          <w:rFonts w:asciiTheme="majorBidi" w:hAnsiTheme="majorBidi" w:cstheme="majorBidi"/>
        </w:rPr>
        <w:t xml:space="preserve">ronment </w:t>
      </w:r>
      <w:r w:rsidR="008C35CE" w:rsidRPr="00401F5C">
        <w:rPr>
          <w:rFonts w:asciiTheme="majorBidi" w:hAnsiTheme="majorBidi" w:cstheme="majorBidi"/>
        </w:rPr>
        <w:t xml:space="preserve">in </w:t>
      </w:r>
      <w:r w:rsidR="0007367B" w:rsidRPr="00401F5C">
        <w:rPr>
          <w:rFonts w:asciiTheme="majorBidi" w:hAnsiTheme="majorBidi" w:cstheme="majorBidi"/>
        </w:rPr>
        <w:t xml:space="preserve">the </w:t>
      </w:r>
      <w:r w:rsidR="00B27EE2">
        <w:rPr>
          <w:rFonts w:asciiTheme="majorBidi" w:hAnsiTheme="majorBidi" w:cstheme="majorBidi"/>
        </w:rPr>
        <w:t xml:space="preserve">relevant </w:t>
      </w:r>
      <w:r w:rsidR="008C35CE" w:rsidRPr="00401F5C">
        <w:rPr>
          <w:rFonts w:asciiTheme="majorBidi" w:hAnsiTheme="majorBidi" w:cstheme="majorBidi"/>
        </w:rPr>
        <w:t>paymen</w:t>
      </w:r>
      <w:r w:rsidR="003A785D" w:rsidRPr="00401F5C">
        <w:rPr>
          <w:rFonts w:asciiTheme="majorBidi" w:hAnsiTheme="majorBidi" w:cstheme="majorBidi"/>
        </w:rPr>
        <w:t>t</w:t>
      </w:r>
      <w:r w:rsidR="008C35CE" w:rsidRPr="00401F5C">
        <w:rPr>
          <w:rFonts w:asciiTheme="majorBidi" w:hAnsiTheme="majorBidi" w:cstheme="majorBidi"/>
        </w:rPr>
        <w:t xml:space="preserve"> systems.</w:t>
      </w:r>
    </w:p>
    <w:p w:rsidR="006456D7" w:rsidRPr="00401F5C" w:rsidRDefault="006456D7" w:rsidP="00B31883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 </w:t>
      </w:r>
    </w:p>
    <w:p w:rsidR="006456D7" w:rsidRPr="00401F5C" w:rsidRDefault="00B27EE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E51E80">
        <w:rPr>
          <w:rFonts w:asciiTheme="majorBidi" w:hAnsiTheme="majorBidi" w:cstheme="majorBidi"/>
        </w:rPr>
        <w:t>onditio</w:t>
      </w:r>
      <w:r w:rsidR="0007367B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s</w:t>
      </w:r>
      <w:r w:rsidR="00E51E80">
        <w:rPr>
          <w:rFonts w:asciiTheme="majorBidi" w:hAnsiTheme="majorBidi" w:cstheme="majorBidi"/>
        </w:rPr>
        <w:t xml:space="preserve"> </w:t>
      </w:r>
      <w:r w:rsidR="006456D7" w:rsidRPr="00401F5C">
        <w:rPr>
          <w:rFonts w:asciiTheme="majorBidi" w:hAnsiTheme="majorBidi" w:cstheme="majorBidi"/>
        </w:rPr>
        <w:t>for participation in this track</w:t>
      </w:r>
      <w:r>
        <w:rPr>
          <w:rFonts w:asciiTheme="majorBidi" w:hAnsiTheme="majorBidi" w:cstheme="majorBidi"/>
        </w:rPr>
        <w:t xml:space="preserve"> include</w:t>
      </w:r>
      <w:r w:rsidR="006456D7" w:rsidRPr="00401F5C">
        <w:rPr>
          <w:rFonts w:asciiTheme="majorBidi" w:hAnsiTheme="majorBidi" w:cstheme="majorBidi"/>
        </w:rPr>
        <w:t>:</w:t>
      </w:r>
    </w:p>
    <w:p w:rsidR="00E51E80" w:rsidRPr="00946630" w:rsidRDefault="006456D7" w:rsidP="00E51E80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Providing a comfort letter from the Payment Services Provider</w:t>
      </w:r>
      <w:r w:rsidR="00E51E80">
        <w:rPr>
          <w:rFonts w:asciiTheme="majorBidi" w:hAnsiTheme="majorBidi" w:cstheme="majorBidi"/>
        </w:rPr>
        <w:t xml:space="preserve">’s supervisor </w:t>
      </w:r>
      <w:r w:rsidRPr="00401F5C">
        <w:rPr>
          <w:rFonts w:asciiTheme="majorBidi" w:hAnsiTheme="majorBidi" w:cstheme="majorBidi"/>
        </w:rPr>
        <w:t xml:space="preserve">abroad that </w:t>
      </w:r>
      <w:r w:rsidR="008C35CE" w:rsidRPr="00946630">
        <w:rPr>
          <w:rFonts w:asciiTheme="majorBidi" w:hAnsiTheme="majorBidi" w:cstheme="majorBidi"/>
        </w:rPr>
        <w:t>certifies:</w:t>
      </w:r>
    </w:p>
    <w:p w:rsidR="006456D7" w:rsidRPr="00373FA5" w:rsidRDefault="00E51E80" w:rsidP="00E51E80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946630">
        <w:rPr>
          <w:rFonts w:asciiTheme="majorBidi" w:hAnsiTheme="majorBidi" w:cstheme="majorBidi"/>
        </w:rPr>
        <w:t xml:space="preserve">The </w:t>
      </w:r>
      <w:r w:rsidR="006456D7" w:rsidRPr="00946630">
        <w:rPr>
          <w:rFonts w:asciiTheme="majorBidi" w:hAnsiTheme="majorBidi" w:cstheme="majorBidi"/>
        </w:rPr>
        <w:t>Payment Services Provider’s compliance with the</w:t>
      </w:r>
      <w:r w:rsidR="006456D7" w:rsidRPr="00373FA5">
        <w:rPr>
          <w:rFonts w:asciiTheme="majorBidi" w:hAnsiTheme="majorBidi" w:cstheme="majorBidi"/>
        </w:rPr>
        <w:t xml:space="preserve"> exemption terms according to Section 3(7) of the provisions</w:t>
      </w:r>
    </w:p>
    <w:p w:rsidR="008C35CE" w:rsidRPr="00373FA5" w:rsidRDefault="008C35CE" w:rsidP="007279F1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373FA5">
        <w:rPr>
          <w:rFonts w:asciiTheme="majorBidi" w:hAnsiTheme="majorBidi" w:cstheme="majorBidi"/>
        </w:rPr>
        <w:t>The existence of oversight o</w:t>
      </w:r>
      <w:r w:rsidR="00B27EE2">
        <w:rPr>
          <w:rFonts w:asciiTheme="majorBidi" w:hAnsiTheme="majorBidi" w:cstheme="majorBidi"/>
        </w:rPr>
        <w:t xml:space="preserve">f </w:t>
      </w:r>
      <w:r w:rsidRPr="00373FA5">
        <w:rPr>
          <w:rFonts w:asciiTheme="majorBidi" w:hAnsiTheme="majorBidi" w:cstheme="majorBidi"/>
        </w:rPr>
        <w:t>risk management, including data security, cyber</w:t>
      </w:r>
      <w:r w:rsidR="00003E2F">
        <w:rPr>
          <w:rFonts w:asciiTheme="majorBidi" w:hAnsiTheme="majorBidi" w:cstheme="majorBidi"/>
        </w:rPr>
        <w:t xml:space="preserve"> security</w:t>
      </w:r>
      <w:r w:rsidRPr="00373FA5">
        <w:rPr>
          <w:rFonts w:asciiTheme="majorBidi" w:hAnsiTheme="majorBidi" w:cstheme="majorBidi"/>
        </w:rPr>
        <w:t>, and business continuity</w:t>
      </w:r>
    </w:p>
    <w:p w:rsidR="008C35CE" w:rsidRPr="00373FA5" w:rsidRDefault="00863798" w:rsidP="00E51E80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373FA5">
        <w:rPr>
          <w:rFonts w:asciiTheme="majorBidi" w:hAnsiTheme="majorBidi" w:cstheme="majorBidi"/>
        </w:rPr>
        <w:t xml:space="preserve">That the supervisor is unaware of substantial deficiencies in the entity’s activity in the past 2 years of its </w:t>
      </w:r>
      <w:r w:rsidR="00936CB7" w:rsidRPr="00373FA5">
        <w:rPr>
          <w:rFonts w:asciiTheme="majorBidi" w:hAnsiTheme="majorBidi" w:cstheme="majorBidi"/>
        </w:rPr>
        <w:t>activity</w:t>
      </w:r>
    </w:p>
    <w:p w:rsidR="00863798" w:rsidRPr="00401F5C" w:rsidRDefault="00863798" w:rsidP="00B31883">
      <w:pPr>
        <w:bidi w:val="0"/>
        <w:jc w:val="both"/>
        <w:rPr>
          <w:rFonts w:asciiTheme="majorBidi" w:hAnsiTheme="majorBidi" w:cstheme="majorBidi"/>
        </w:rPr>
      </w:pPr>
    </w:p>
    <w:p w:rsidR="00863798" w:rsidRPr="00401F5C" w:rsidRDefault="00863798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>In both tracks, the payment service provider will be required</w:t>
      </w:r>
      <w:r w:rsidR="005E25F1">
        <w:rPr>
          <w:rFonts w:asciiTheme="majorBidi" w:hAnsiTheme="majorBidi" w:cstheme="majorBidi"/>
        </w:rPr>
        <w:t>,</w:t>
      </w:r>
      <w:r w:rsidRPr="00401F5C">
        <w:rPr>
          <w:rFonts w:asciiTheme="majorBidi" w:hAnsiTheme="majorBidi" w:cstheme="majorBidi"/>
        </w:rPr>
        <w:t xml:space="preserve"> in add</w:t>
      </w:r>
      <w:r w:rsidR="00936CB7" w:rsidRPr="00401F5C">
        <w:rPr>
          <w:rFonts w:asciiTheme="majorBidi" w:hAnsiTheme="majorBidi" w:cstheme="majorBidi"/>
        </w:rPr>
        <w:t>i</w:t>
      </w:r>
      <w:r w:rsidRPr="00401F5C">
        <w:rPr>
          <w:rFonts w:asciiTheme="majorBidi" w:hAnsiTheme="majorBidi" w:cstheme="majorBidi"/>
        </w:rPr>
        <w:t>t</w:t>
      </w:r>
      <w:r w:rsidR="00936CB7" w:rsidRPr="00401F5C">
        <w:rPr>
          <w:rFonts w:asciiTheme="majorBidi" w:hAnsiTheme="majorBidi" w:cstheme="majorBidi"/>
        </w:rPr>
        <w:t>ion</w:t>
      </w:r>
      <w:r w:rsidR="005E25F1">
        <w:rPr>
          <w:rFonts w:asciiTheme="majorBidi" w:hAnsiTheme="majorBidi" w:cstheme="majorBidi"/>
        </w:rPr>
        <w:t>,</w:t>
      </w:r>
      <w:r w:rsidR="00936CB7" w:rsidRPr="00401F5C">
        <w:rPr>
          <w:rFonts w:asciiTheme="majorBidi" w:hAnsiTheme="majorBidi" w:cstheme="majorBidi"/>
        </w:rPr>
        <w:t xml:space="preserve"> to </w:t>
      </w:r>
      <w:r w:rsidR="00B27EE2">
        <w:rPr>
          <w:rFonts w:asciiTheme="majorBidi" w:hAnsiTheme="majorBidi" w:cstheme="majorBidi"/>
        </w:rPr>
        <w:t xml:space="preserve">certify that it complies </w:t>
      </w:r>
      <w:r w:rsidRPr="00401F5C">
        <w:rPr>
          <w:rFonts w:asciiTheme="majorBidi" w:hAnsiTheme="majorBidi" w:cstheme="majorBidi"/>
        </w:rPr>
        <w:t>with the terms of the license issued to it abroad.</w:t>
      </w:r>
    </w:p>
    <w:p w:rsidR="00863798" w:rsidRPr="00401F5C" w:rsidRDefault="00863798" w:rsidP="00B31883">
      <w:pPr>
        <w:bidi w:val="0"/>
        <w:jc w:val="both"/>
        <w:rPr>
          <w:rFonts w:asciiTheme="majorBidi" w:hAnsiTheme="majorBidi" w:cstheme="majorBidi"/>
        </w:rPr>
      </w:pPr>
    </w:p>
    <w:p w:rsidR="00863798" w:rsidRPr="00401F5C" w:rsidRDefault="00863798" w:rsidP="007279F1">
      <w:pPr>
        <w:bidi w:val="0"/>
        <w:jc w:val="both"/>
        <w:rPr>
          <w:rFonts w:asciiTheme="majorBidi" w:hAnsiTheme="majorBidi" w:cstheme="majorBidi"/>
        </w:rPr>
      </w:pPr>
      <w:r w:rsidRPr="00401F5C">
        <w:rPr>
          <w:rFonts w:asciiTheme="majorBidi" w:hAnsiTheme="majorBidi" w:cstheme="majorBidi"/>
        </w:rPr>
        <w:t xml:space="preserve">The Bank of Israel reserves </w:t>
      </w:r>
      <w:r w:rsidR="0061369B">
        <w:rPr>
          <w:rFonts w:asciiTheme="majorBidi" w:hAnsiTheme="majorBidi" w:cstheme="majorBidi"/>
        </w:rPr>
        <w:t>the</w:t>
      </w:r>
      <w:r w:rsidR="0061369B" w:rsidRPr="00401F5C">
        <w:rPr>
          <w:rFonts w:asciiTheme="majorBidi" w:hAnsiTheme="majorBidi" w:cstheme="majorBidi"/>
        </w:rPr>
        <w:t xml:space="preserve"> </w:t>
      </w:r>
      <w:r w:rsidR="00B27EE2">
        <w:rPr>
          <w:rFonts w:asciiTheme="majorBidi" w:hAnsiTheme="majorBidi" w:cstheme="majorBidi"/>
        </w:rPr>
        <w:t xml:space="preserve">right to change </w:t>
      </w:r>
      <w:r w:rsidRPr="00401F5C">
        <w:rPr>
          <w:rFonts w:asciiTheme="majorBidi" w:hAnsiTheme="majorBidi" w:cstheme="majorBidi"/>
        </w:rPr>
        <w:t xml:space="preserve">the terms of access to </w:t>
      </w:r>
      <w:r w:rsidR="00B27EE2">
        <w:rPr>
          <w:rFonts w:asciiTheme="majorBidi" w:hAnsiTheme="majorBidi" w:cstheme="majorBidi"/>
        </w:rPr>
        <w:t xml:space="preserve">regulated </w:t>
      </w:r>
      <w:r w:rsidRPr="00401F5C">
        <w:rPr>
          <w:rFonts w:asciiTheme="majorBidi" w:hAnsiTheme="majorBidi" w:cstheme="majorBidi"/>
        </w:rPr>
        <w:t>payment systems shou</w:t>
      </w:r>
      <w:r w:rsidR="00936CB7" w:rsidRPr="00401F5C">
        <w:rPr>
          <w:rFonts w:asciiTheme="majorBidi" w:hAnsiTheme="majorBidi" w:cstheme="majorBidi"/>
        </w:rPr>
        <w:t>l</w:t>
      </w:r>
      <w:r w:rsidRPr="00401F5C">
        <w:rPr>
          <w:rFonts w:asciiTheme="majorBidi" w:hAnsiTheme="majorBidi" w:cstheme="majorBidi"/>
        </w:rPr>
        <w:t>d</w:t>
      </w:r>
      <w:r w:rsidR="00936CB7" w:rsidRPr="00401F5C">
        <w:rPr>
          <w:rFonts w:asciiTheme="majorBidi" w:hAnsiTheme="majorBidi" w:cstheme="majorBidi"/>
        </w:rPr>
        <w:t xml:space="preserve"> </w:t>
      </w:r>
      <w:r w:rsidRPr="00401F5C">
        <w:rPr>
          <w:rFonts w:asciiTheme="majorBidi" w:hAnsiTheme="majorBidi" w:cstheme="majorBidi"/>
        </w:rPr>
        <w:t>it become clear that they cann</w:t>
      </w:r>
      <w:r w:rsidR="00936CB7" w:rsidRPr="00401F5C">
        <w:rPr>
          <w:rFonts w:asciiTheme="majorBidi" w:hAnsiTheme="majorBidi" w:cstheme="majorBidi"/>
        </w:rPr>
        <w:t xml:space="preserve">ot </w:t>
      </w:r>
      <w:r w:rsidRPr="00401F5C">
        <w:rPr>
          <w:rFonts w:asciiTheme="majorBidi" w:hAnsiTheme="majorBidi" w:cstheme="majorBidi"/>
        </w:rPr>
        <w:t>be implemen</w:t>
      </w:r>
      <w:r w:rsidR="00936CB7" w:rsidRPr="00401F5C">
        <w:rPr>
          <w:rFonts w:asciiTheme="majorBidi" w:hAnsiTheme="majorBidi" w:cstheme="majorBidi"/>
        </w:rPr>
        <w:t xml:space="preserve">ted </w:t>
      </w:r>
      <w:r w:rsidRPr="00401F5C">
        <w:rPr>
          <w:rFonts w:asciiTheme="majorBidi" w:hAnsiTheme="majorBidi" w:cstheme="majorBidi"/>
        </w:rPr>
        <w:t>or are not effective.</w:t>
      </w:r>
    </w:p>
    <w:p w:rsidR="00863798" w:rsidRPr="00401F5C" w:rsidRDefault="00863798" w:rsidP="00B31883">
      <w:pPr>
        <w:bidi w:val="0"/>
        <w:jc w:val="both"/>
        <w:rPr>
          <w:rFonts w:asciiTheme="majorBidi" w:hAnsiTheme="majorBidi" w:cstheme="majorBidi"/>
        </w:rPr>
      </w:pPr>
    </w:p>
    <w:p w:rsidR="008C35CE" w:rsidRPr="005E25F1" w:rsidRDefault="00863798">
      <w:pPr>
        <w:bidi w:val="0"/>
        <w:jc w:val="both"/>
        <w:rPr>
          <w:rFonts w:asciiTheme="majorBidi" w:hAnsiTheme="majorBidi" w:cstheme="majorBidi"/>
          <w:b/>
          <w:bCs/>
        </w:rPr>
      </w:pPr>
      <w:r w:rsidRPr="005E25F1">
        <w:rPr>
          <w:rFonts w:asciiTheme="majorBidi" w:hAnsiTheme="majorBidi" w:cstheme="majorBidi"/>
          <w:b/>
          <w:bCs/>
        </w:rPr>
        <w:t>After com</w:t>
      </w:r>
      <w:r w:rsidR="003A785D" w:rsidRPr="005E25F1">
        <w:rPr>
          <w:rFonts w:asciiTheme="majorBidi" w:hAnsiTheme="majorBidi" w:cstheme="majorBidi"/>
          <w:b/>
          <w:bCs/>
        </w:rPr>
        <w:t>p</w:t>
      </w:r>
      <w:r w:rsidRPr="005E25F1">
        <w:rPr>
          <w:rFonts w:asciiTheme="majorBidi" w:hAnsiTheme="majorBidi" w:cstheme="majorBidi"/>
          <w:b/>
          <w:bCs/>
        </w:rPr>
        <w:t>ly</w:t>
      </w:r>
      <w:r w:rsidR="003A785D" w:rsidRPr="005E25F1">
        <w:rPr>
          <w:rFonts w:asciiTheme="majorBidi" w:hAnsiTheme="majorBidi" w:cstheme="majorBidi"/>
          <w:b/>
          <w:bCs/>
        </w:rPr>
        <w:t xml:space="preserve">ing with </w:t>
      </w:r>
      <w:r w:rsidRPr="005E25F1">
        <w:rPr>
          <w:rFonts w:asciiTheme="majorBidi" w:hAnsiTheme="majorBidi" w:cstheme="majorBidi"/>
          <w:b/>
          <w:bCs/>
        </w:rPr>
        <w:t xml:space="preserve">the </w:t>
      </w:r>
      <w:r w:rsidR="0096428C">
        <w:rPr>
          <w:rFonts w:asciiTheme="majorBidi" w:hAnsiTheme="majorBidi" w:cstheme="majorBidi"/>
          <w:b/>
          <w:bCs/>
        </w:rPr>
        <w:t xml:space="preserve">conditions </w:t>
      </w:r>
      <w:r w:rsidRPr="005E25F1">
        <w:rPr>
          <w:rFonts w:asciiTheme="majorBidi" w:hAnsiTheme="majorBidi" w:cstheme="majorBidi"/>
          <w:b/>
          <w:bCs/>
        </w:rPr>
        <w:t>for participation in the connection t</w:t>
      </w:r>
      <w:r w:rsidR="0096428C">
        <w:rPr>
          <w:rFonts w:asciiTheme="majorBidi" w:hAnsiTheme="majorBidi" w:cstheme="majorBidi"/>
          <w:b/>
          <w:bCs/>
        </w:rPr>
        <w:t>r</w:t>
      </w:r>
      <w:r w:rsidRPr="005E25F1">
        <w:rPr>
          <w:rFonts w:asciiTheme="majorBidi" w:hAnsiTheme="majorBidi" w:cstheme="majorBidi"/>
          <w:b/>
          <w:bCs/>
        </w:rPr>
        <w:t xml:space="preserve">ack, the request will be </w:t>
      </w:r>
      <w:r w:rsidR="00B27EE2">
        <w:rPr>
          <w:rFonts w:asciiTheme="majorBidi" w:hAnsiTheme="majorBidi" w:cstheme="majorBidi"/>
          <w:b/>
          <w:bCs/>
        </w:rPr>
        <w:t>submitted</w:t>
      </w:r>
      <w:r w:rsidR="00B27EE2" w:rsidRPr="005E25F1">
        <w:rPr>
          <w:rFonts w:asciiTheme="majorBidi" w:hAnsiTheme="majorBidi" w:cstheme="majorBidi"/>
          <w:b/>
          <w:bCs/>
        </w:rPr>
        <w:t xml:space="preserve"> </w:t>
      </w:r>
      <w:r w:rsidRPr="005E25F1">
        <w:rPr>
          <w:rFonts w:asciiTheme="majorBidi" w:hAnsiTheme="majorBidi" w:cstheme="majorBidi"/>
          <w:b/>
          <w:bCs/>
        </w:rPr>
        <w:t xml:space="preserve">to the Governor of the Bank of Israel </w:t>
      </w:r>
      <w:r w:rsidR="00AC6072">
        <w:rPr>
          <w:rFonts w:asciiTheme="majorBidi" w:hAnsiTheme="majorBidi" w:cstheme="majorBidi"/>
          <w:b/>
          <w:bCs/>
        </w:rPr>
        <w:t xml:space="preserve">for approval </w:t>
      </w:r>
      <w:r w:rsidRPr="005E25F1">
        <w:rPr>
          <w:rFonts w:asciiTheme="majorBidi" w:hAnsiTheme="majorBidi" w:cstheme="majorBidi"/>
          <w:b/>
          <w:bCs/>
        </w:rPr>
        <w:t xml:space="preserve">as </w:t>
      </w:r>
      <w:r w:rsidR="003A785D" w:rsidRPr="005E25F1">
        <w:rPr>
          <w:rFonts w:asciiTheme="majorBidi" w:hAnsiTheme="majorBidi" w:cstheme="majorBidi"/>
          <w:b/>
          <w:bCs/>
        </w:rPr>
        <w:t xml:space="preserve">a final </w:t>
      </w:r>
      <w:r w:rsidRPr="005E25F1">
        <w:rPr>
          <w:rFonts w:asciiTheme="majorBidi" w:hAnsiTheme="majorBidi" w:cstheme="majorBidi"/>
          <w:b/>
          <w:bCs/>
        </w:rPr>
        <w:t>condition before the connection.</w:t>
      </w:r>
    </w:p>
    <w:sectPr w:rsidR="008C35CE" w:rsidRPr="005E25F1" w:rsidSect="00D11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A2" w:rsidRDefault="00097FA2" w:rsidP="00E64B36">
      <w:r>
        <w:separator/>
      </w:r>
    </w:p>
  </w:endnote>
  <w:endnote w:type="continuationSeparator" w:id="0">
    <w:p w:rsidR="00097FA2" w:rsidRDefault="00097FA2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2" w:rsidRPr="00986270" w:rsidRDefault="00986270" w:rsidP="00EB0782">
    <w:pPr>
      <w:bidi w:val="0"/>
      <w:ind w:right="-52"/>
      <w:rPr>
        <w:b/>
        <w:bCs/>
        <w:sz w:val="26"/>
        <w:szCs w:val="26"/>
        <w:u w:val="single"/>
        <w:rtl/>
        <w:cs/>
      </w:rPr>
    </w:pPr>
    <w:r w:rsidRPr="00986270">
      <w:rPr>
        <w:sz w:val="18"/>
        <w:szCs w:val="18"/>
      </w:rPr>
      <w:t>Bank of Israel</w:t>
    </w:r>
    <w:r>
      <w:rPr>
        <w:sz w:val="18"/>
        <w:szCs w:val="18"/>
      </w:rPr>
      <w:tab/>
    </w:r>
    <w:r w:rsidR="00596FB4" w:rsidRPr="00CD0A35">
      <w:rPr>
        <w:sz w:val="18"/>
        <w:szCs w:val="18"/>
      </w:rPr>
      <w:tab/>
    </w:r>
    <w:r w:rsidR="00B96022" w:rsidRPr="00CD0A35">
      <w:rPr>
        <w:sz w:val="18"/>
        <w:szCs w:val="18"/>
      </w:rPr>
      <w:t>Page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PAGE</w:instrText>
    </w:r>
    <w:r w:rsidR="00B96022" w:rsidRPr="00CD0A35">
      <w:rPr>
        <w:b/>
        <w:bCs/>
        <w:sz w:val="18"/>
        <w:szCs w:val="18"/>
      </w:rPr>
      <w:fldChar w:fldCharType="separate"/>
    </w:r>
    <w:r w:rsidR="00ED5349">
      <w:rPr>
        <w:b/>
        <w:bCs/>
        <w:noProof/>
        <w:sz w:val="18"/>
        <w:szCs w:val="18"/>
      </w:rPr>
      <w:t>1</w:t>
    </w:r>
    <w:r w:rsidR="00B96022" w:rsidRPr="00CD0A35">
      <w:rPr>
        <w:b/>
        <w:bCs/>
        <w:sz w:val="18"/>
        <w:szCs w:val="18"/>
      </w:rPr>
      <w:fldChar w:fldCharType="end"/>
    </w:r>
    <w:r w:rsidR="00B96022" w:rsidRPr="00CD0A35">
      <w:rPr>
        <w:sz w:val="18"/>
        <w:szCs w:val="18"/>
      </w:rPr>
      <w:t xml:space="preserve"> Of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NUMPAGES</w:instrText>
    </w:r>
    <w:r w:rsidR="00B96022" w:rsidRPr="00CD0A35">
      <w:rPr>
        <w:b/>
        <w:bCs/>
        <w:sz w:val="18"/>
        <w:szCs w:val="18"/>
      </w:rPr>
      <w:fldChar w:fldCharType="separate"/>
    </w:r>
    <w:r w:rsidR="00ED5349">
      <w:rPr>
        <w:b/>
        <w:bCs/>
        <w:noProof/>
        <w:sz w:val="18"/>
        <w:szCs w:val="18"/>
      </w:rPr>
      <w:t>2</w:t>
    </w:r>
    <w:r w:rsidR="00B96022" w:rsidRPr="00CD0A3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A2" w:rsidRDefault="00097FA2" w:rsidP="00E64B36">
      <w:r>
        <w:separator/>
      </w:r>
    </w:p>
  </w:footnote>
  <w:footnote w:type="continuationSeparator" w:id="0">
    <w:p w:rsidR="00097FA2" w:rsidRDefault="00097FA2" w:rsidP="00E64B36">
      <w:r>
        <w:continuationSeparator/>
      </w:r>
    </w:p>
  </w:footnote>
  <w:footnote w:id="1">
    <w:p w:rsidR="007F2042" w:rsidRPr="001B2099" w:rsidRDefault="007F2042" w:rsidP="001B2099">
      <w:pPr>
        <w:pStyle w:val="ab"/>
        <w:spacing w:line="240" w:lineRule="auto"/>
        <w:rPr>
          <w:rFonts w:asciiTheme="majorBidi" w:hAnsiTheme="majorBidi" w:cstheme="majorBidi"/>
        </w:rPr>
      </w:pPr>
      <w:r w:rsidRPr="001B2099">
        <w:rPr>
          <w:rStyle w:val="ad"/>
          <w:rFonts w:asciiTheme="majorBidi" w:hAnsiTheme="majorBidi" w:cstheme="majorBidi"/>
        </w:rPr>
        <w:footnoteRef/>
      </w:r>
      <w:r w:rsidRPr="001B2099">
        <w:rPr>
          <w:rFonts w:asciiTheme="majorBidi" w:hAnsiTheme="majorBidi" w:cstheme="majorBidi"/>
        </w:rPr>
        <w:t xml:space="preserve"> As defined in the </w:t>
      </w:r>
      <w:r w:rsidR="00604B9C" w:rsidRPr="001B2099">
        <w:rPr>
          <w:rFonts w:asciiTheme="majorBidi" w:hAnsiTheme="majorBidi" w:cstheme="majorBidi"/>
        </w:rPr>
        <w:t>Minister of Finance’</w:t>
      </w:r>
      <w:r w:rsidRPr="001B2099">
        <w:rPr>
          <w:rFonts w:asciiTheme="majorBidi" w:hAnsiTheme="majorBidi" w:cstheme="majorBidi"/>
        </w:rPr>
        <w:t>s Regulations: UK, EU countries, or the US.</w:t>
      </w:r>
    </w:p>
  </w:footnote>
  <w:footnote w:id="2">
    <w:p w:rsidR="007F2042" w:rsidRPr="001B2099" w:rsidRDefault="007F2042" w:rsidP="001B2099">
      <w:pPr>
        <w:pStyle w:val="ab"/>
        <w:spacing w:line="240" w:lineRule="auto"/>
        <w:rPr>
          <w:rFonts w:asciiTheme="majorBidi" w:hAnsiTheme="majorBidi" w:cstheme="majorBidi"/>
        </w:rPr>
      </w:pPr>
      <w:r w:rsidRPr="001B2099">
        <w:rPr>
          <w:rStyle w:val="ad"/>
          <w:rFonts w:asciiTheme="majorBidi" w:hAnsiTheme="majorBidi" w:cstheme="majorBidi"/>
        </w:rPr>
        <w:footnoteRef/>
      </w:r>
      <w:r w:rsidRPr="001B2099">
        <w:rPr>
          <w:rFonts w:asciiTheme="majorBidi" w:hAnsiTheme="majorBidi" w:cstheme="majorBidi"/>
        </w:rPr>
        <w:t xml:space="preserve"> </w:t>
      </w:r>
      <w:r w:rsidR="007E781A" w:rsidRPr="001B2099">
        <w:rPr>
          <w:rFonts w:asciiTheme="majorBidi" w:hAnsiTheme="majorBidi" w:cstheme="majorBidi"/>
        </w:rPr>
        <w:t>Section 3(7) of the Financial Services Regulation (Controlled Financial Services) (Licensing requirement exemption), 5783-2022, which as of now is valid until 1.1.24.</w:t>
      </w:r>
    </w:p>
  </w:footnote>
  <w:footnote w:id="3">
    <w:p w:rsidR="007F2042" w:rsidRPr="001B2099" w:rsidRDefault="007F2042" w:rsidP="00073786">
      <w:pPr>
        <w:pStyle w:val="ab"/>
        <w:spacing w:line="240" w:lineRule="auto"/>
        <w:rPr>
          <w:rFonts w:asciiTheme="majorBidi" w:hAnsiTheme="majorBidi" w:cstheme="majorBidi"/>
        </w:rPr>
      </w:pPr>
      <w:r w:rsidRPr="001B2099">
        <w:rPr>
          <w:rStyle w:val="ad"/>
          <w:rFonts w:asciiTheme="majorBidi" w:hAnsiTheme="majorBidi" w:cstheme="majorBidi"/>
        </w:rPr>
        <w:footnoteRef/>
      </w:r>
      <w:r w:rsidRPr="001B2099">
        <w:rPr>
          <w:rFonts w:asciiTheme="majorBidi" w:hAnsiTheme="majorBidi" w:cstheme="majorBidi"/>
        </w:rPr>
        <w:t xml:space="preserve"> </w:t>
      </w:r>
      <w:r w:rsidR="00936396" w:rsidRPr="001B2099">
        <w:rPr>
          <w:rFonts w:asciiTheme="majorBidi" w:hAnsiTheme="majorBidi" w:cstheme="majorBidi"/>
        </w:rPr>
        <w:t xml:space="preserve">The Zahav </w:t>
      </w:r>
      <w:r w:rsidR="001C1FEE">
        <w:rPr>
          <w:rFonts w:asciiTheme="majorBidi" w:hAnsiTheme="majorBidi" w:cstheme="majorBidi"/>
        </w:rPr>
        <w:t xml:space="preserve">(RTGS) </w:t>
      </w:r>
      <w:r w:rsidR="00936396" w:rsidRPr="001B2099">
        <w:rPr>
          <w:rFonts w:asciiTheme="majorBidi" w:hAnsiTheme="majorBidi" w:cstheme="majorBidi"/>
        </w:rPr>
        <w:t>system operated by the Bank of Israel</w:t>
      </w:r>
      <w:r w:rsidR="001C1FEE">
        <w:rPr>
          <w:rFonts w:asciiTheme="majorBidi" w:hAnsiTheme="majorBidi" w:cstheme="majorBidi"/>
        </w:rPr>
        <w:t>; payment</w:t>
      </w:r>
      <w:r w:rsidR="00936396" w:rsidRPr="001B2099">
        <w:rPr>
          <w:rFonts w:asciiTheme="majorBidi" w:hAnsiTheme="majorBidi" w:cstheme="majorBidi"/>
        </w:rPr>
        <w:t xml:space="preserve"> systems operated by the </w:t>
      </w:r>
      <w:r w:rsidR="001C1FEE">
        <w:rPr>
          <w:rFonts w:asciiTheme="majorBidi" w:hAnsiTheme="majorBidi" w:cstheme="majorBidi"/>
        </w:rPr>
        <w:t xml:space="preserve">company </w:t>
      </w:r>
      <w:r w:rsidR="00936396" w:rsidRPr="001B2099">
        <w:rPr>
          <w:rFonts w:asciiTheme="majorBidi" w:hAnsiTheme="majorBidi" w:cstheme="majorBidi"/>
        </w:rPr>
        <w:t xml:space="preserve">Shva: the “Payment Card Service” system and the </w:t>
      </w:r>
      <w:r w:rsidR="007279F1" w:rsidRPr="001B2099">
        <w:rPr>
          <w:rFonts w:asciiTheme="majorBidi" w:hAnsiTheme="majorBidi" w:cstheme="majorBidi"/>
        </w:rPr>
        <w:t>“</w:t>
      </w:r>
      <w:r w:rsidR="00936396" w:rsidRPr="001B2099">
        <w:rPr>
          <w:rFonts w:asciiTheme="majorBidi" w:hAnsiTheme="majorBidi" w:cstheme="majorBidi"/>
        </w:rPr>
        <w:t xml:space="preserve">ATM </w:t>
      </w:r>
      <w:r w:rsidR="001C1FEE">
        <w:rPr>
          <w:rFonts w:asciiTheme="majorBidi" w:hAnsiTheme="majorBidi" w:cstheme="majorBidi"/>
        </w:rPr>
        <w:t>Switch</w:t>
      </w:r>
      <w:r w:rsidR="00936396" w:rsidRPr="001B2099">
        <w:rPr>
          <w:rFonts w:asciiTheme="majorBidi" w:hAnsiTheme="majorBidi" w:cstheme="majorBidi"/>
        </w:rPr>
        <w:t>” system</w:t>
      </w:r>
      <w:r w:rsidR="001C1FEE">
        <w:rPr>
          <w:rFonts w:asciiTheme="majorBidi" w:hAnsiTheme="majorBidi" w:cstheme="majorBidi"/>
        </w:rPr>
        <w:t>;</w:t>
      </w:r>
      <w:r w:rsidR="00936396" w:rsidRPr="001B2099">
        <w:rPr>
          <w:rFonts w:asciiTheme="majorBidi" w:hAnsiTheme="majorBidi" w:cstheme="majorBidi"/>
        </w:rPr>
        <w:t xml:space="preserve"> and </w:t>
      </w:r>
      <w:r w:rsidR="001C1FEE">
        <w:rPr>
          <w:rFonts w:asciiTheme="majorBidi" w:hAnsiTheme="majorBidi" w:cstheme="majorBidi"/>
        </w:rPr>
        <w:t xml:space="preserve">payment </w:t>
      </w:r>
      <w:r w:rsidR="00936396" w:rsidRPr="001B2099">
        <w:rPr>
          <w:rFonts w:asciiTheme="majorBidi" w:hAnsiTheme="majorBidi" w:cstheme="majorBidi"/>
        </w:rPr>
        <w:t>systems operated by Masav: “Debits, Credits, and Payment Transfers” and the “Immediate payments (online)”</w:t>
      </w:r>
    </w:p>
  </w:footnote>
  <w:footnote w:id="4">
    <w:p w:rsidR="007F2042" w:rsidRPr="001B2099" w:rsidRDefault="007F2042" w:rsidP="001B2099">
      <w:pPr>
        <w:pStyle w:val="ab"/>
        <w:spacing w:line="240" w:lineRule="auto"/>
        <w:rPr>
          <w:rFonts w:asciiTheme="majorBidi" w:hAnsiTheme="majorBidi" w:cstheme="majorBidi"/>
        </w:rPr>
      </w:pPr>
      <w:r w:rsidRPr="001B2099">
        <w:rPr>
          <w:rStyle w:val="ad"/>
          <w:rFonts w:asciiTheme="majorBidi" w:hAnsiTheme="majorBidi" w:cstheme="majorBidi"/>
        </w:rPr>
        <w:footnoteRef/>
      </w:r>
      <w:r w:rsidRPr="001B2099">
        <w:rPr>
          <w:rFonts w:asciiTheme="majorBidi" w:hAnsiTheme="majorBidi" w:cstheme="majorBidi"/>
        </w:rPr>
        <w:t xml:space="preserve"> </w:t>
      </w:r>
      <w:r w:rsidR="005F1681" w:rsidRPr="001B2099">
        <w:rPr>
          <w:rFonts w:asciiTheme="majorBidi" w:hAnsiTheme="majorBidi" w:cstheme="majorBidi"/>
        </w:rPr>
        <w:t>Section 3(7) of the Financial Services Regulation (Controlled Financial Services) (Licensing requirement exemption), 5783-2022, which as of now is valid until 1.1.24.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2065D"/>
    <w:multiLevelType w:val="hybridMultilevel"/>
    <w:tmpl w:val="A5D2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3E2F"/>
    <w:rsid w:val="00007FFE"/>
    <w:rsid w:val="0001385E"/>
    <w:rsid w:val="0001413F"/>
    <w:rsid w:val="00022DA8"/>
    <w:rsid w:val="00033569"/>
    <w:rsid w:val="000460BF"/>
    <w:rsid w:val="00051247"/>
    <w:rsid w:val="000526A0"/>
    <w:rsid w:val="0005726E"/>
    <w:rsid w:val="00060F9E"/>
    <w:rsid w:val="00065D9C"/>
    <w:rsid w:val="00072E0C"/>
    <w:rsid w:val="0007367B"/>
    <w:rsid w:val="00073786"/>
    <w:rsid w:val="00097FA2"/>
    <w:rsid w:val="000A520E"/>
    <w:rsid w:val="000C710C"/>
    <w:rsid w:val="000F48F6"/>
    <w:rsid w:val="000F4BF2"/>
    <w:rsid w:val="001001A2"/>
    <w:rsid w:val="00101B55"/>
    <w:rsid w:val="00130245"/>
    <w:rsid w:val="001373FE"/>
    <w:rsid w:val="001428C4"/>
    <w:rsid w:val="00143F3A"/>
    <w:rsid w:val="00151D84"/>
    <w:rsid w:val="00160B25"/>
    <w:rsid w:val="00162F5E"/>
    <w:rsid w:val="00165CB6"/>
    <w:rsid w:val="00175CDA"/>
    <w:rsid w:val="001815E1"/>
    <w:rsid w:val="00182CF0"/>
    <w:rsid w:val="00184254"/>
    <w:rsid w:val="00186258"/>
    <w:rsid w:val="00194716"/>
    <w:rsid w:val="001963C6"/>
    <w:rsid w:val="001A4816"/>
    <w:rsid w:val="001B2099"/>
    <w:rsid w:val="001B4E73"/>
    <w:rsid w:val="001C1BC1"/>
    <w:rsid w:val="001C1FEE"/>
    <w:rsid w:val="001C388F"/>
    <w:rsid w:val="001C71E8"/>
    <w:rsid w:val="001D084A"/>
    <w:rsid w:val="001D381C"/>
    <w:rsid w:val="001F13E7"/>
    <w:rsid w:val="001F3935"/>
    <w:rsid w:val="001F57DE"/>
    <w:rsid w:val="00202E77"/>
    <w:rsid w:val="00207CA9"/>
    <w:rsid w:val="002117DC"/>
    <w:rsid w:val="0021327F"/>
    <w:rsid w:val="00221B3B"/>
    <w:rsid w:val="002235F5"/>
    <w:rsid w:val="002271A2"/>
    <w:rsid w:val="00237CE5"/>
    <w:rsid w:val="00247387"/>
    <w:rsid w:val="00252C62"/>
    <w:rsid w:val="00273AE1"/>
    <w:rsid w:val="00281C70"/>
    <w:rsid w:val="00283FB7"/>
    <w:rsid w:val="0029140D"/>
    <w:rsid w:val="00292294"/>
    <w:rsid w:val="0029640A"/>
    <w:rsid w:val="00297100"/>
    <w:rsid w:val="002A0B33"/>
    <w:rsid w:val="002A0D2A"/>
    <w:rsid w:val="002B48CC"/>
    <w:rsid w:val="002B6B9E"/>
    <w:rsid w:val="002C6A25"/>
    <w:rsid w:val="002F4149"/>
    <w:rsid w:val="002F7EEF"/>
    <w:rsid w:val="0030279B"/>
    <w:rsid w:val="003129D6"/>
    <w:rsid w:val="003136EE"/>
    <w:rsid w:val="00321832"/>
    <w:rsid w:val="00322C28"/>
    <w:rsid w:val="003276ED"/>
    <w:rsid w:val="003365E0"/>
    <w:rsid w:val="00344E60"/>
    <w:rsid w:val="00360B5C"/>
    <w:rsid w:val="00364AF8"/>
    <w:rsid w:val="00364C08"/>
    <w:rsid w:val="003727EE"/>
    <w:rsid w:val="00373FA5"/>
    <w:rsid w:val="003772AF"/>
    <w:rsid w:val="00385CB3"/>
    <w:rsid w:val="00387840"/>
    <w:rsid w:val="0039059D"/>
    <w:rsid w:val="00390CA5"/>
    <w:rsid w:val="003A1AC9"/>
    <w:rsid w:val="003A27D9"/>
    <w:rsid w:val="003A335C"/>
    <w:rsid w:val="003A3813"/>
    <w:rsid w:val="003A785D"/>
    <w:rsid w:val="003B4DD7"/>
    <w:rsid w:val="003B715F"/>
    <w:rsid w:val="003B7DC3"/>
    <w:rsid w:val="003C7815"/>
    <w:rsid w:val="003D6F31"/>
    <w:rsid w:val="003D7860"/>
    <w:rsid w:val="003D7BF1"/>
    <w:rsid w:val="003E3F4C"/>
    <w:rsid w:val="003F745D"/>
    <w:rsid w:val="00401395"/>
    <w:rsid w:val="00401F5C"/>
    <w:rsid w:val="004033B8"/>
    <w:rsid w:val="00403D99"/>
    <w:rsid w:val="00411BA4"/>
    <w:rsid w:val="00412846"/>
    <w:rsid w:val="00413339"/>
    <w:rsid w:val="004147FC"/>
    <w:rsid w:val="0042309E"/>
    <w:rsid w:val="00430365"/>
    <w:rsid w:val="004309C6"/>
    <w:rsid w:val="00436805"/>
    <w:rsid w:val="00443044"/>
    <w:rsid w:val="00443B3B"/>
    <w:rsid w:val="00445B15"/>
    <w:rsid w:val="00447E5A"/>
    <w:rsid w:val="0045041B"/>
    <w:rsid w:val="004555A8"/>
    <w:rsid w:val="00457C4A"/>
    <w:rsid w:val="0046455D"/>
    <w:rsid w:val="0046672E"/>
    <w:rsid w:val="004675C9"/>
    <w:rsid w:val="00474107"/>
    <w:rsid w:val="0047462E"/>
    <w:rsid w:val="00482E08"/>
    <w:rsid w:val="00492391"/>
    <w:rsid w:val="004A20A5"/>
    <w:rsid w:val="004D02F4"/>
    <w:rsid w:val="004D32A7"/>
    <w:rsid w:val="004D5D6F"/>
    <w:rsid w:val="004E25DD"/>
    <w:rsid w:val="004E4AEC"/>
    <w:rsid w:val="004F4341"/>
    <w:rsid w:val="0050183E"/>
    <w:rsid w:val="00513B3C"/>
    <w:rsid w:val="005165DB"/>
    <w:rsid w:val="005221FC"/>
    <w:rsid w:val="005406F8"/>
    <w:rsid w:val="00540B03"/>
    <w:rsid w:val="005462D0"/>
    <w:rsid w:val="0055455A"/>
    <w:rsid w:val="00555C8A"/>
    <w:rsid w:val="005576E1"/>
    <w:rsid w:val="00566FAC"/>
    <w:rsid w:val="00567733"/>
    <w:rsid w:val="005713A8"/>
    <w:rsid w:val="005801AB"/>
    <w:rsid w:val="00583DAD"/>
    <w:rsid w:val="0059277F"/>
    <w:rsid w:val="00592A99"/>
    <w:rsid w:val="00596FB4"/>
    <w:rsid w:val="00597EED"/>
    <w:rsid w:val="005A2991"/>
    <w:rsid w:val="005B2DFE"/>
    <w:rsid w:val="005D0AF8"/>
    <w:rsid w:val="005E25F1"/>
    <w:rsid w:val="005F1681"/>
    <w:rsid w:val="005F3A83"/>
    <w:rsid w:val="005F3E47"/>
    <w:rsid w:val="0060215A"/>
    <w:rsid w:val="00604B9C"/>
    <w:rsid w:val="0061369B"/>
    <w:rsid w:val="0061692C"/>
    <w:rsid w:val="006216F9"/>
    <w:rsid w:val="00621BB5"/>
    <w:rsid w:val="0062658F"/>
    <w:rsid w:val="006352A6"/>
    <w:rsid w:val="00640EEA"/>
    <w:rsid w:val="0064482B"/>
    <w:rsid w:val="006456D7"/>
    <w:rsid w:val="00652D53"/>
    <w:rsid w:val="00653CD5"/>
    <w:rsid w:val="006550BD"/>
    <w:rsid w:val="00662FB1"/>
    <w:rsid w:val="0067516F"/>
    <w:rsid w:val="006832D0"/>
    <w:rsid w:val="006A365A"/>
    <w:rsid w:val="006A36CC"/>
    <w:rsid w:val="006A66C5"/>
    <w:rsid w:val="006B029C"/>
    <w:rsid w:val="006B4683"/>
    <w:rsid w:val="006B5BA9"/>
    <w:rsid w:val="006B679C"/>
    <w:rsid w:val="006C714C"/>
    <w:rsid w:val="006D3582"/>
    <w:rsid w:val="006D7651"/>
    <w:rsid w:val="006E1B6A"/>
    <w:rsid w:val="0070010B"/>
    <w:rsid w:val="0070029F"/>
    <w:rsid w:val="00701734"/>
    <w:rsid w:val="00721560"/>
    <w:rsid w:val="00726036"/>
    <w:rsid w:val="007279F1"/>
    <w:rsid w:val="00741A42"/>
    <w:rsid w:val="0074341E"/>
    <w:rsid w:val="00751F08"/>
    <w:rsid w:val="00760371"/>
    <w:rsid w:val="007666A8"/>
    <w:rsid w:val="00776535"/>
    <w:rsid w:val="007806C5"/>
    <w:rsid w:val="00786563"/>
    <w:rsid w:val="00787142"/>
    <w:rsid w:val="007926C7"/>
    <w:rsid w:val="00793399"/>
    <w:rsid w:val="0079617B"/>
    <w:rsid w:val="007A2030"/>
    <w:rsid w:val="007A589B"/>
    <w:rsid w:val="007A64CC"/>
    <w:rsid w:val="007B2769"/>
    <w:rsid w:val="007C5ED9"/>
    <w:rsid w:val="007C6400"/>
    <w:rsid w:val="007D57EE"/>
    <w:rsid w:val="007D7AB0"/>
    <w:rsid w:val="007E0C1F"/>
    <w:rsid w:val="007E1AB2"/>
    <w:rsid w:val="007E1CB3"/>
    <w:rsid w:val="007E781A"/>
    <w:rsid w:val="007F2042"/>
    <w:rsid w:val="007F7993"/>
    <w:rsid w:val="00804022"/>
    <w:rsid w:val="00807E21"/>
    <w:rsid w:val="0081026B"/>
    <w:rsid w:val="008403F1"/>
    <w:rsid w:val="00842057"/>
    <w:rsid w:val="00842BAF"/>
    <w:rsid w:val="00852709"/>
    <w:rsid w:val="0086005B"/>
    <w:rsid w:val="00860CA8"/>
    <w:rsid w:val="00862C3E"/>
    <w:rsid w:val="00863798"/>
    <w:rsid w:val="00864C55"/>
    <w:rsid w:val="0086637C"/>
    <w:rsid w:val="00884167"/>
    <w:rsid w:val="008914B1"/>
    <w:rsid w:val="00892A46"/>
    <w:rsid w:val="008A7212"/>
    <w:rsid w:val="008B2431"/>
    <w:rsid w:val="008B257A"/>
    <w:rsid w:val="008C082F"/>
    <w:rsid w:val="008C35CE"/>
    <w:rsid w:val="008C366C"/>
    <w:rsid w:val="008D390B"/>
    <w:rsid w:val="008D6FB6"/>
    <w:rsid w:val="008E38F1"/>
    <w:rsid w:val="008E4D8E"/>
    <w:rsid w:val="008F17A3"/>
    <w:rsid w:val="008F1FCF"/>
    <w:rsid w:val="00900453"/>
    <w:rsid w:val="00904100"/>
    <w:rsid w:val="0090462E"/>
    <w:rsid w:val="00904A1F"/>
    <w:rsid w:val="00905463"/>
    <w:rsid w:val="0091307F"/>
    <w:rsid w:val="00933EF4"/>
    <w:rsid w:val="0093574D"/>
    <w:rsid w:val="00936396"/>
    <w:rsid w:val="00936CB7"/>
    <w:rsid w:val="00941E01"/>
    <w:rsid w:val="00946630"/>
    <w:rsid w:val="00952C04"/>
    <w:rsid w:val="00953F01"/>
    <w:rsid w:val="00961BD6"/>
    <w:rsid w:val="0096428C"/>
    <w:rsid w:val="0096653D"/>
    <w:rsid w:val="0097278E"/>
    <w:rsid w:val="009744A0"/>
    <w:rsid w:val="00976781"/>
    <w:rsid w:val="00986270"/>
    <w:rsid w:val="009B166B"/>
    <w:rsid w:val="009B66C8"/>
    <w:rsid w:val="009C21B3"/>
    <w:rsid w:val="009C2C42"/>
    <w:rsid w:val="009E3D4E"/>
    <w:rsid w:val="009E6A28"/>
    <w:rsid w:val="009F010F"/>
    <w:rsid w:val="00A117D2"/>
    <w:rsid w:val="00A17420"/>
    <w:rsid w:val="00A239A7"/>
    <w:rsid w:val="00A374AC"/>
    <w:rsid w:val="00A37869"/>
    <w:rsid w:val="00A44A88"/>
    <w:rsid w:val="00A55ED1"/>
    <w:rsid w:val="00A6527B"/>
    <w:rsid w:val="00A71BDE"/>
    <w:rsid w:val="00A72122"/>
    <w:rsid w:val="00A74165"/>
    <w:rsid w:val="00A74752"/>
    <w:rsid w:val="00A749E1"/>
    <w:rsid w:val="00A81B6C"/>
    <w:rsid w:val="00A94775"/>
    <w:rsid w:val="00AB75B4"/>
    <w:rsid w:val="00AC0C02"/>
    <w:rsid w:val="00AC6072"/>
    <w:rsid w:val="00AC74EC"/>
    <w:rsid w:val="00AD7CC8"/>
    <w:rsid w:val="00AE6E25"/>
    <w:rsid w:val="00AF6B3A"/>
    <w:rsid w:val="00B054AD"/>
    <w:rsid w:val="00B07D4A"/>
    <w:rsid w:val="00B108AE"/>
    <w:rsid w:val="00B13C9D"/>
    <w:rsid w:val="00B20F22"/>
    <w:rsid w:val="00B2426C"/>
    <w:rsid w:val="00B27EE2"/>
    <w:rsid w:val="00B31883"/>
    <w:rsid w:val="00B40E49"/>
    <w:rsid w:val="00B533D5"/>
    <w:rsid w:val="00B54F09"/>
    <w:rsid w:val="00B71972"/>
    <w:rsid w:val="00B84789"/>
    <w:rsid w:val="00B85769"/>
    <w:rsid w:val="00B87F00"/>
    <w:rsid w:val="00B9176B"/>
    <w:rsid w:val="00B96022"/>
    <w:rsid w:val="00BC113A"/>
    <w:rsid w:val="00BC71FF"/>
    <w:rsid w:val="00BD0FFD"/>
    <w:rsid w:val="00BE27B4"/>
    <w:rsid w:val="00BE4CAF"/>
    <w:rsid w:val="00BE52BF"/>
    <w:rsid w:val="00C00BB8"/>
    <w:rsid w:val="00C02233"/>
    <w:rsid w:val="00C0477D"/>
    <w:rsid w:val="00C05BED"/>
    <w:rsid w:val="00C106C2"/>
    <w:rsid w:val="00C15121"/>
    <w:rsid w:val="00C171FF"/>
    <w:rsid w:val="00C21009"/>
    <w:rsid w:val="00C21363"/>
    <w:rsid w:val="00C37129"/>
    <w:rsid w:val="00C47A56"/>
    <w:rsid w:val="00C52224"/>
    <w:rsid w:val="00C52FC2"/>
    <w:rsid w:val="00C54431"/>
    <w:rsid w:val="00C5755A"/>
    <w:rsid w:val="00C67CE0"/>
    <w:rsid w:val="00C74F11"/>
    <w:rsid w:val="00C7643D"/>
    <w:rsid w:val="00C76E10"/>
    <w:rsid w:val="00C92834"/>
    <w:rsid w:val="00CB5D78"/>
    <w:rsid w:val="00CC58F8"/>
    <w:rsid w:val="00CD0A35"/>
    <w:rsid w:val="00CD5F91"/>
    <w:rsid w:val="00CD6927"/>
    <w:rsid w:val="00CE0B40"/>
    <w:rsid w:val="00D040A2"/>
    <w:rsid w:val="00D058F7"/>
    <w:rsid w:val="00D114C9"/>
    <w:rsid w:val="00D13C47"/>
    <w:rsid w:val="00D21685"/>
    <w:rsid w:val="00D318A3"/>
    <w:rsid w:val="00D326DC"/>
    <w:rsid w:val="00D353EC"/>
    <w:rsid w:val="00D354E8"/>
    <w:rsid w:val="00D44122"/>
    <w:rsid w:val="00D554DA"/>
    <w:rsid w:val="00D60BFC"/>
    <w:rsid w:val="00D60FF3"/>
    <w:rsid w:val="00D655F5"/>
    <w:rsid w:val="00D664EA"/>
    <w:rsid w:val="00D67C46"/>
    <w:rsid w:val="00D70591"/>
    <w:rsid w:val="00D75CFB"/>
    <w:rsid w:val="00D77847"/>
    <w:rsid w:val="00D907A2"/>
    <w:rsid w:val="00DA6116"/>
    <w:rsid w:val="00DD195D"/>
    <w:rsid w:val="00DD4976"/>
    <w:rsid w:val="00DE01A0"/>
    <w:rsid w:val="00DE0699"/>
    <w:rsid w:val="00DF0415"/>
    <w:rsid w:val="00DF4CC2"/>
    <w:rsid w:val="00DF6966"/>
    <w:rsid w:val="00E04222"/>
    <w:rsid w:val="00E0503C"/>
    <w:rsid w:val="00E1281F"/>
    <w:rsid w:val="00E13033"/>
    <w:rsid w:val="00E16FFB"/>
    <w:rsid w:val="00E2493A"/>
    <w:rsid w:val="00E24FA5"/>
    <w:rsid w:val="00E369B9"/>
    <w:rsid w:val="00E4365F"/>
    <w:rsid w:val="00E50F50"/>
    <w:rsid w:val="00E51E80"/>
    <w:rsid w:val="00E51E99"/>
    <w:rsid w:val="00E54CA0"/>
    <w:rsid w:val="00E64B36"/>
    <w:rsid w:val="00E660F1"/>
    <w:rsid w:val="00E7204F"/>
    <w:rsid w:val="00E74DBF"/>
    <w:rsid w:val="00E8008F"/>
    <w:rsid w:val="00E8413B"/>
    <w:rsid w:val="00E85DB1"/>
    <w:rsid w:val="00E937A7"/>
    <w:rsid w:val="00EB0782"/>
    <w:rsid w:val="00EB0DEC"/>
    <w:rsid w:val="00EB44F5"/>
    <w:rsid w:val="00EB669A"/>
    <w:rsid w:val="00EC126C"/>
    <w:rsid w:val="00EC13FB"/>
    <w:rsid w:val="00EC48D4"/>
    <w:rsid w:val="00ED5226"/>
    <w:rsid w:val="00ED5349"/>
    <w:rsid w:val="00EE2AA0"/>
    <w:rsid w:val="00EE3596"/>
    <w:rsid w:val="00EF1554"/>
    <w:rsid w:val="00EF1AC2"/>
    <w:rsid w:val="00F033FC"/>
    <w:rsid w:val="00F15E93"/>
    <w:rsid w:val="00F3062B"/>
    <w:rsid w:val="00F326A9"/>
    <w:rsid w:val="00F45181"/>
    <w:rsid w:val="00F45972"/>
    <w:rsid w:val="00F53236"/>
    <w:rsid w:val="00F56917"/>
    <w:rsid w:val="00F576F6"/>
    <w:rsid w:val="00F806F6"/>
    <w:rsid w:val="00FA13BA"/>
    <w:rsid w:val="00FA4548"/>
    <w:rsid w:val="00FC2A67"/>
    <w:rsid w:val="00FC46A1"/>
    <w:rsid w:val="00FE6D9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character" w:styleId="ae">
    <w:name w:val="annotation reference"/>
    <w:basedOn w:val="a0"/>
    <w:semiHidden/>
    <w:unhideWhenUsed/>
    <w:rsid w:val="00443B3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43B3B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443B3B"/>
  </w:style>
  <w:style w:type="paragraph" w:styleId="af1">
    <w:name w:val="annotation subject"/>
    <w:basedOn w:val="af"/>
    <w:next w:val="af"/>
    <w:link w:val="af2"/>
    <w:semiHidden/>
    <w:unhideWhenUsed/>
    <w:rsid w:val="00443B3B"/>
    <w:rPr>
      <w:b/>
      <w:bCs/>
    </w:rPr>
  </w:style>
  <w:style w:type="character" w:customStyle="1" w:styleId="af2">
    <w:name w:val="נושא הערה תו"/>
    <w:basedOn w:val="af0"/>
    <w:link w:val="af1"/>
    <w:semiHidden/>
    <w:rsid w:val="0044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ps@boi.org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15A7-98B0-4ABF-A9E9-0E23BB0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4720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2023-06-01T10:00:00Z</dcterms:created>
  <dcterms:modified xsi:type="dcterms:W3CDTF">2023-06-01T10:00:00Z</dcterms:modified>
</cp:coreProperties>
</file>