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495" w:type="dxa"/>
        <w:tblLayout w:type="fixed"/>
        <w:tblLook w:val="0000" w:firstRow="0" w:lastRow="0" w:firstColumn="0" w:lastColumn="0" w:noHBand="0" w:noVBand="0"/>
        <w:tblCaption w:val="כותרת עליונה"/>
        <w:tblDescription w:val="כותרת עליונה"/>
      </w:tblPr>
      <w:tblGrid>
        <w:gridCol w:w="2972"/>
        <w:gridCol w:w="3119"/>
        <w:gridCol w:w="3404"/>
      </w:tblGrid>
      <w:tr w:rsidR="00B943CC" w:rsidRPr="00A4535B" w:rsidTr="00B943CC">
        <w:trPr>
          <w:tblHeader/>
        </w:trPr>
        <w:tc>
          <w:tcPr>
            <w:tcW w:w="2972" w:type="dxa"/>
            <w:tcBorders>
              <w:top w:val="nil"/>
              <w:left w:val="nil"/>
              <w:bottom w:val="nil"/>
              <w:right w:val="nil"/>
            </w:tcBorders>
            <w:vAlign w:val="center"/>
          </w:tcPr>
          <w:p w:rsidR="00B943CC" w:rsidRPr="00B93FDD" w:rsidRDefault="00B943CC" w:rsidP="0033235A">
            <w:pPr>
              <w:spacing w:before="240" w:after="0" w:line="360" w:lineRule="auto"/>
              <w:jc w:val="center"/>
              <w:rPr>
                <w:rFonts w:ascii="Times New Roman" w:eastAsia="Times New Roman" w:hAnsi="Times New Roman" w:cs="David"/>
                <w:b/>
                <w:bCs/>
                <w:sz w:val="28"/>
                <w:szCs w:val="28"/>
                <w:lang w:eastAsia="he-IL"/>
              </w:rPr>
            </w:pPr>
            <w:bookmarkStart w:id="0" w:name="_GoBack"/>
            <w:bookmarkEnd w:id="0"/>
            <w:r w:rsidRPr="00B93FDD">
              <w:rPr>
                <w:rFonts w:ascii="Times New Roman" w:eastAsia="Times New Roman" w:hAnsi="Times New Roman" w:cs="David"/>
                <w:b/>
                <w:bCs/>
                <w:sz w:val="28"/>
                <w:szCs w:val="28"/>
                <w:rtl/>
                <w:lang w:eastAsia="he-IL"/>
              </w:rPr>
              <w:t>בנ</w:t>
            </w:r>
            <w:r w:rsidRPr="00B93FDD">
              <w:rPr>
                <w:rFonts w:ascii="Times New Roman" w:eastAsia="Times New Roman" w:hAnsi="Times New Roman" w:cs="David" w:hint="cs"/>
                <w:b/>
                <w:bCs/>
                <w:sz w:val="28"/>
                <w:szCs w:val="28"/>
                <w:rtl/>
                <w:lang w:eastAsia="he-IL"/>
              </w:rPr>
              <w:t xml:space="preserve">ק </w:t>
            </w:r>
            <w:r w:rsidRPr="00B93FDD">
              <w:rPr>
                <w:rFonts w:ascii="Times New Roman" w:eastAsia="Times New Roman" w:hAnsi="Times New Roman" w:cs="David"/>
                <w:b/>
                <w:bCs/>
                <w:sz w:val="28"/>
                <w:szCs w:val="28"/>
                <w:rtl/>
                <w:lang w:eastAsia="he-IL"/>
              </w:rPr>
              <w:t>יש</w:t>
            </w:r>
            <w:r w:rsidRPr="00B93FDD">
              <w:rPr>
                <w:rFonts w:ascii="Times New Roman" w:eastAsia="Times New Roman" w:hAnsi="Times New Roman" w:cs="David" w:hint="cs"/>
                <w:b/>
                <w:bCs/>
                <w:sz w:val="28"/>
                <w:szCs w:val="28"/>
                <w:rtl/>
                <w:lang w:eastAsia="he-IL"/>
              </w:rPr>
              <w:t>ראל</w:t>
            </w:r>
          </w:p>
          <w:p w:rsidR="00B943CC" w:rsidRPr="00B93FDD" w:rsidRDefault="00B943CC" w:rsidP="0033235A">
            <w:pPr>
              <w:spacing w:before="240" w:after="0" w:line="360" w:lineRule="auto"/>
              <w:ind w:right="-101"/>
              <w:jc w:val="center"/>
              <w:rPr>
                <w:rFonts w:ascii="Times New Roman" w:eastAsia="Times New Roman" w:hAnsi="Times New Roman" w:cs="David"/>
                <w:sz w:val="24"/>
                <w:szCs w:val="24"/>
                <w:lang w:eastAsia="he-IL"/>
              </w:rPr>
            </w:pPr>
            <w:r w:rsidRPr="00B93FDD">
              <w:rPr>
                <w:rFonts w:ascii="Times New Roman" w:eastAsia="Times New Roman" w:hAnsi="Times New Roman" w:cs="David"/>
                <w:sz w:val="24"/>
                <w:szCs w:val="24"/>
                <w:rtl/>
                <w:lang w:eastAsia="he-IL"/>
              </w:rPr>
              <w:t>דו</w:t>
            </w:r>
            <w:r w:rsidRPr="00B93FDD">
              <w:rPr>
                <w:rFonts w:ascii="Times New Roman" w:eastAsia="Times New Roman" w:hAnsi="Times New Roman" w:cs="David" w:hint="cs"/>
                <w:sz w:val="24"/>
                <w:szCs w:val="24"/>
                <w:rtl/>
                <w:lang w:eastAsia="he-IL"/>
              </w:rPr>
              <w:t>בר</w:t>
            </w:r>
            <w:r w:rsidRPr="00B93FDD">
              <w:rPr>
                <w:rFonts w:ascii="Times New Roman" w:eastAsia="Times New Roman" w:hAnsi="Times New Roman" w:cs="David"/>
                <w:sz w:val="24"/>
                <w:szCs w:val="24"/>
                <w:rtl/>
                <w:lang w:eastAsia="he-IL"/>
              </w:rPr>
              <w:t>ות</w:t>
            </w:r>
            <w:r w:rsidRPr="00B93FDD">
              <w:rPr>
                <w:rFonts w:ascii="Times New Roman" w:eastAsia="Times New Roman" w:hAnsi="Times New Roman" w:cs="David" w:hint="cs"/>
                <w:sz w:val="24"/>
                <w:szCs w:val="24"/>
                <w:rtl/>
                <w:lang w:eastAsia="he-IL"/>
              </w:rPr>
              <w:t xml:space="preserve"> והסברה כלכלית</w:t>
            </w:r>
          </w:p>
        </w:tc>
        <w:tc>
          <w:tcPr>
            <w:tcW w:w="3119" w:type="dxa"/>
            <w:tcBorders>
              <w:top w:val="nil"/>
              <w:left w:val="nil"/>
              <w:bottom w:val="nil"/>
              <w:right w:val="nil"/>
            </w:tcBorders>
          </w:tcPr>
          <w:p w:rsidR="00B943CC" w:rsidRPr="00B93FDD" w:rsidRDefault="00B943CC" w:rsidP="0033235A">
            <w:pPr>
              <w:tabs>
                <w:tab w:val="right" w:pos="2380"/>
              </w:tabs>
              <w:spacing w:before="240" w:after="0" w:line="240" w:lineRule="auto"/>
              <w:jc w:val="both"/>
              <w:rPr>
                <w:rFonts w:ascii="Times New Roman" w:eastAsia="Times New Roman" w:hAnsi="Times New Roman" w:cs="David"/>
                <w:sz w:val="24"/>
                <w:szCs w:val="24"/>
                <w:lang w:eastAsia="he-IL"/>
              </w:rPr>
            </w:pPr>
            <w:r w:rsidRPr="00B93FDD">
              <w:rPr>
                <w:rFonts w:ascii="Times New Roman" w:eastAsia="Times New Roman" w:hAnsi="Times New Roman" w:cs="David"/>
                <w:noProof/>
                <w:sz w:val="24"/>
                <w:szCs w:val="24"/>
                <w:rtl/>
              </w:rPr>
              <w:drawing>
                <wp:anchor distT="0" distB="0" distL="114300" distR="114300" simplePos="0" relativeHeight="251659264" behindDoc="0" locked="0" layoutInCell="1" allowOverlap="1" wp14:anchorId="4A26C364" wp14:editId="4C22A167">
                  <wp:simplePos x="3561715" y="786765"/>
                  <wp:positionH relativeFrom="column">
                    <wp:align>center</wp:align>
                  </wp:positionH>
                  <wp:positionV relativeFrom="paragraph">
                    <wp:posOffset>154940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3FDD">
              <w:rPr>
                <w:rFonts w:ascii="Times New Roman" w:eastAsia="Times New Roman" w:hAnsi="Times New Roman" w:cs="David"/>
                <w:sz w:val="24"/>
                <w:szCs w:val="24"/>
                <w:lang w:eastAsia="he-IL"/>
              </w:rPr>
              <w:tab/>
            </w:r>
          </w:p>
        </w:tc>
        <w:tc>
          <w:tcPr>
            <w:tcW w:w="3404" w:type="dxa"/>
            <w:tcBorders>
              <w:top w:val="nil"/>
              <w:left w:val="nil"/>
              <w:bottom w:val="nil"/>
              <w:right w:val="nil"/>
            </w:tcBorders>
            <w:vAlign w:val="center"/>
          </w:tcPr>
          <w:p w:rsidR="00B943CC" w:rsidRDefault="00B943CC" w:rsidP="0033235A">
            <w:pPr>
              <w:spacing w:line="360" w:lineRule="auto"/>
              <w:jc w:val="right"/>
              <w:rPr>
                <w:rFonts w:ascii="David" w:hAnsi="David" w:cs="David"/>
                <w:sz w:val="24"/>
                <w:szCs w:val="24"/>
              </w:rPr>
            </w:pPr>
            <w:r w:rsidRPr="00B93FDD">
              <w:rPr>
                <w:rFonts w:ascii="Times New Roman" w:eastAsia="Times New Roman" w:hAnsi="Times New Roman" w:cs="David" w:hint="eastAsia"/>
                <w:sz w:val="24"/>
                <w:szCs w:val="24"/>
                <w:rtl/>
                <w:lang w:eastAsia="he-IL"/>
              </w:rPr>
              <w:t>‏</w:t>
            </w:r>
            <w:r>
              <w:rPr>
                <w:rFonts w:ascii="David" w:hAnsi="David" w:cs="David"/>
                <w:sz w:val="24"/>
                <w:szCs w:val="24"/>
                <w:rtl/>
              </w:rPr>
              <w:t>ירושלים, ‏‏</w:t>
            </w:r>
            <w:r>
              <w:rPr>
                <w:rFonts w:ascii="David" w:hAnsi="David" w:cs="David"/>
                <w:sz w:val="24"/>
                <w:szCs w:val="24"/>
              </w:rPr>
              <w:fldChar w:fldCharType="begin"/>
            </w:r>
            <w:r>
              <w:rPr>
                <w:rFonts w:ascii="David" w:hAnsi="David" w:cs="David"/>
                <w:sz w:val="24"/>
                <w:szCs w:val="24"/>
                <w:rtl/>
              </w:rPr>
              <w:instrText xml:space="preserve"> </w:instrText>
            </w:r>
            <w:r>
              <w:rPr>
                <w:rFonts w:ascii="David" w:hAnsi="David" w:cs="David" w:hint="cs"/>
                <w:sz w:val="24"/>
                <w:szCs w:val="24"/>
              </w:rPr>
              <w:instrText>DATE</w:instrText>
            </w:r>
            <w:r>
              <w:rPr>
                <w:rFonts w:ascii="David" w:hAnsi="David" w:cs="David" w:hint="cs"/>
                <w:sz w:val="24"/>
                <w:szCs w:val="24"/>
                <w:rtl/>
              </w:rPr>
              <w:instrText xml:space="preserve"> \@ "</w:instrText>
            </w:r>
            <w:r>
              <w:rPr>
                <w:rFonts w:ascii="David" w:hAnsi="David" w:cs="David" w:hint="cs"/>
                <w:sz w:val="24"/>
                <w:szCs w:val="24"/>
              </w:rPr>
              <w:instrText>d MMMM, yyyy" \h</w:instrText>
            </w:r>
            <w:r>
              <w:rPr>
                <w:rFonts w:ascii="David" w:hAnsi="David" w:cs="David"/>
                <w:sz w:val="24"/>
                <w:szCs w:val="24"/>
                <w:rtl/>
              </w:rPr>
              <w:instrText xml:space="preserve"> </w:instrText>
            </w:r>
            <w:r>
              <w:rPr>
                <w:rFonts w:ascii="David" w:hAnsi="David" w:cs="David"/>
                <w:sz w:val="24"/>
                <w:szCs w:val="24"/>
              </w:rPr>
              <w:fldChar w:fldCharType="separate"/>
            </w:r>
            <w:r>
              <w:rPr>
                <w:rFonts w:ascii="David" w:hAnsi="David" w:cs="David"/>
                <w:noProof/>
                <w:sz w:val="24"/>
                <w:szCs w:val="24"/>
                <w:rtl/>
              </w:rPr>
              <w:t>‏ו' כסלו, תשפ"ד</w:t>
            </w:r>
            <w:r>
              <w:rPr>
                <w:rFonts w:ascii="David" w:hAnsi="David" w:cs="David"/>
                <w:sz w:val="24"/>
                <w:szCs w:val="24"/>
              </w:rPr>
              <w:fldChar w:fldCharType="end"/>
            </w:r>
          </w:p>
          <w:p w:rsidR="00B943CC" w:rsidRPr="00B93FDD" w:rsidRDefault="00B943CC" w:rsidP="0033235A">
            <w:pPr>
              <w:spacing w:before="240" w:after="0" w:line="480" w:lineRule="auto"/>
              <w:jc w:val="right"/>
              <w:rPr>
                <w:rFonts w:ascii="Times New Roman" w:eastAsia="Times New Roman" w:hAnsi="Times New Roman" w:cs="David"/>
                <w:sz w:val="24"/>
                <w:szCs w:val="24"/>
                <w:lang w:eastAsia="he-IL"/>
              </w:rPr>
            </w:pPr>
            <w:r>
              <w:rPr>
                <w:rFonts w:ascii="David" w:hAnsi="David" w:cs="David"/>
                <w:sz w:val="24"/>
                <w:szCs w:val="24"/>
                <w:rtl/>
              </w:rPr>
              <w:t>‏‏‏‏‏‏</w:t>
            </w:r>
            <w:r>
              <w:rPr>
                <w:rFonts w:ascii="David" w:hAnsi="David" w:cs="David" w:hint="cs"/>
                <w:sz w:val="24"/>
                <w:szCs w:val="24"/>
                <w:rtl/>
              </w:rPr>
              <w:t>19</w:t>
            </w:r>
            <w:r>
              <w:rPr>
                <w:rFonts w:ascii="David" w:hAnsi="David" w:cs="David"/>
                <w:sz w:val="24"/>
                <w:szCs w:val="24"/>
                <w:rtl/>
              </w:rPr>
              <w:t xml:space="preserve"> בנובמבר, 2023</w:t>
            </w:r>
          </w:p>
        </w:tc>
      </w:tr>
    </w:tbl>
    <w:p w:rsidR="00B943CC" w:rsidRPr="00B943CC" w:rsidRDefault="00B943CC" w:rsidP="00B943CC">
      <w:pPr>
        <w:pStyle w:val="1"/>
        <w:bidi/>
        <w:spacing w:before="240" w:line="360" w:lineRule="auto"/>
        <w:rPr>
          <w:rFonts w:ascii="Assistant" w:hAnsi="Assistant" w:cs="Assistant"/>
          <w:rtl/>
        </w:rPr>
      </w:pPr>
    </w:p>
    <w:p w:rsidR="00B30341" w:rsidRPr="00B943CC" w:rsidRDefault="003D45B5" w:rsidP="00B943CC">
      <w:pPr>
        <w:pStyle w:val="1"/>
        <w:bidi/>
        <w:spacing w:before="240" w:line="360" w:lineRule="auto"/>
        <w:jc w:val="center"/>
        <w:rPr>
          <w:rFonts w:ascii="David" w:hAnsi="David" w:cs="David"/>
          <w:rtl/>
        </w:rPr>
      </w:pPr>
      <w:r w:rsidRPr="00B943CC">
        <w:rPr>
          <w:rFonts w:ascii="David" w:hAnsi="David" w:cs="David"/>
          <w:rtl/>
        </w:rPr>
        <w:t>פתיחת ה</w:t>
      </w:r>
      <w:r w:rsidR="00704608" w:rsidRPr="00B943CC">
        <w:rPr>
          <w:rFonts w:ascii="David" w:hAnsi="David" w:cs="David"/>
          <w:rtl/>
        </w:rPr>
        <w:t>משק</w:t>
      </w:r>
      <w:r w:rsidR="00D91722" w:rsidRPr="00B943CC">
        <w:rPr>
          <w:rFonts w:ascii="David" w:hAnsi="David" w:cs="David"/>
          <w:rtl/>
        </w:rPr>
        <w:t xml:space="preserve"> </w:t>
      </w:r>
      <w:proofErr w:type="spellStart"/>
      <w:r w:rsidR="00D91722" w:rsidRPr="00B943CC">
        <w:rPr>
          <w:rFonts w:ascii="David" w:hAnsi="David" w:cs="David"/>
          <w:rtl/>
        </w:rPr>
        <w:t>לסולק</w:t>
      </w:r>
      <w:r w:rsidR="00C24BDA" w:rsidRPr="00B943CC">
        <w:rPr>
          <w:rFonts w:ascii="David" w:hAnsi="David" w:cs="David"/>
          <w:rtl/>
        </w:rPr>
        <w:t>ים</w:t>
      </w:r>
      <w:proofErr w:type="spellEnd"/>
      <w:r w:rsidR="00D91722" w:rsidRPr="00B943CC">
        <w:rPr>
          <w:rFonts w:ascii="David" w:hAnsi="David" w:cs="David"/>
          <w:rtl/>
        </w:rPr>
        <w:t xml:space="preserve"> </w:t>
      </w:r>
      <w:r w:rsidR="00C24BDA" w:rsidRPr="00B943CC">
        <w:rPr>
          <w:rFonts w:ascii="David" w:hAnsi="David" w:cs="David"/>
          <w:rtl/>
        </w:rPr>
        <w:t xml:space="preserve">בעלי רישיון </w:t>
      </w:r>
      <w:r w:rsidR="00D91722" w:rsidRPr="00B943CC">
        <w:rPr>
          <w:rFonts w:ascii="David" w:hAnsi="David" w:cs="David"/>
          <w:rtl/>
        </w:rPr>
        <w:t>זר</w:t>
      </w:r>
    </w:p>
    <w:p w:rsidR="001E6284" w:rsidRPr="00B943CC" w:rsidRDefault="001E6284" w:rsidP="001E6284">
      <w:pPr>
        <w:rPr>
          <w:rFonts w:ascii="David" w:hAnsi="David" w:cs="David"/>
          <w:rtl/>
        </w:rPr>
      </w:pPr>
    </w:p>
    <w:p w:rsidR="00B139F1" w:rsidRPr="00B943CC" w:rsidRDefault="00B30341" w:rsidP="001E6284">
      <w:pPr>
        <w:spacing w:line="360" w:lineRule="auto"/>
        <w:ind w:left="-341"/>
        <w:jc w:val="both"/>
        <w:rPr>
          <w:rFonts w:ascii="David" w:eastAsiaTheme="minorEastAsia" w:hAnsi="David" w:cs="David"/>
          <w:sz w:val="24"/>
          <w:szCs w:val="24"/>
          <w:rtl/>
        </w:rPr>
      </w:pPr>
      <w:r w:rsidRPr="00B943CC">
        <w:rPr>
          <w:rFonts w:ascii="David" w:eastAsiaTheme="minorEastAsia" w:hAnsi="David" w:cs="David"/>
          <w:sz w:val="24"/>
          <w:szCs w:val="24"/>
          <w:rtl/>
        </w:rPr>
        <w:t xml:space="preserve">בנק ישראל מאפשר </w:t>
      </w:r>
      <w:proofErr w:type="spellStart"/>
      <w:r w:rsidR="005D1DDC" w:rsidRPr="00B943CC">
        <w:rPr>
          <w:rFonts w:ascii="David" w:eastAsiaTheme="minorEastAsia" w:hAnsi="David" w:cs="David"/>
          <w:sz w:val="24"/>
          <w:szCs w:val="24"/>
          <w:rtl/>
        </w:rPr>
        <w:t>ל</w:t>
      </w:r>
      <w:r w:rsidR="005C68B1" w:rsidRPr="00B943CC">
        <w:rPr>
          <w:rFonts w:ascii="David" w:eastAsiaTheme="minorEastAsia" w:hAnsi="David" w:cs="David"/>
          <w:sz w:val="24"/>
          <w:szCs w:val="24"/>
          <w:rtl/>
        </w:rPr>
        <w:t>סולקים</w:t>
      </w:r>
      <w:proofErr w:type="spellEnd"/>
      <w:r w:rsidR="005C68B1" w:rsidRPr="00B943CC">
        <w:rPr>
          <w:rFonts w:ascii="David" w:eastAsiaTheme="minorEastAsia" w:hAnsi="David" w:cs="David"/>
          <w:sz w:val="24"/>
          <w:szCs w:val="24"/>
          <w:rtl/>
        </w:rPr>
        <w:t xml:space="preserve"> בינלאומיים </w:t>
      </w:r>
      <w:r w:rsidR="00684E89" w:rsidRPr="00B943CC">
        <w:rPr>
          <w:rFonts w:ascii="David" w:eastAsiaTheme="minorEastAsia" w:hAnsi="David" w:cs="David"/>
          <w:sz w:val="24"/>
          <w:szCs w:val="24"/>
          <w:rtl/>
        </w:rPr>
        <w:t>בעלי רישיון ממדינה מוכרת</w:t>
      </w:r>
      <w:r w:rsidR="00684E89" w:rsidRPr="00B943CC">
        <w:rPr>
          <w:rStyle w:val="a5"/>
          <w:rFonts w:ascii="David" w:hAnsi="David" w:cs="David"/>
          <w:sz w:val="24"/>
          <w:szCs w:val="24"/>
          <w:rtl/>
        </w:rPr>
        <w:footnoteReference w:id="1"/>
      </w:r>
      <w:r w:rsidR="001B70C1" w:rsidRPr="00B943CC">
        <w:rPr>
          <w:rFonts w:ascii="David" w:eastAsiaTheme="minorEastAsia" w:hAnsi="David" w:cs="David"/>
          <w:sz w:val="16"/>
          <w:szCs w:val="16"/>
          <w:rtl/>
        </w:rPr>
        <w:t xml:space="preserve"> </w:t>
      </w:r>
      <w:r w:rsidR="00684E89" w:rsidRPr="00B943CC">
        <w:rPr>
          <w:rFonts w:ascii="David" w:eastAsiaTheme="minorEastAsia" w:hAnsi="David" w:cs="David"/>
          <w:sz w:val="24"/>
          <w:szCs w:val="24"/>
          <w:rtl/>
        </w:rPr>
        <w:t xml:space="preserve"> </w:t>
      </w:r>
      <w:r w:rsidR="005C68B1" w:rsidRPr="00B943CC">
        <w:rPr>
          <w:rFonts w:ascii="David" w:eastAsiaTheme="minorEastAsia" w:hAnsi="David" w:cs="David"/>
          <w:sz w:val="24"/>
          <w:szCs w:val="24"/>
          <w:rtl/>
        </w:rPr>
        <w:t>ל</w:t>
      </w:r>
      <w:r w:rsidR="00684E89" w:rsidRPr="00B943CC">
        <w:rPr>
          <w:rFonts w:ascii="David" w:eastAsiaTheme="minorEastAsia" w:hAnsi="David" w:cs="David"/>
          <w:sz w:val="24"/>
          <w:szCs w:val="24"/>
          <w:rtl/>
        </w:rPr>
        <w:t xml:space="preserve">התחיל בתהליך הצטרפות </w:t>
      </w:r>
      <w:r w:rsidR="00104CED" w:rsidRPr="00B943CC">
        <w:rPr>
          <w:rFonts w:ascii="David" w:eastAsiaTheme="minorEastAsia" w:hAnsi="David" w:cs="David"/>
          <w:sz w:val="24"/>
          <w:szCs w:val="24"/>
          <w:rtl/>
        </w:rPr>
        <w:t xml:space="preserve">למערכת </w:t>
      </w:r>
      <w:r w:rsidR="00523160" w:rsidRPr="00B943CC">
        <w:rPr>
          <w:rFonts w:ascii="David" w:eastAsiaTheme="minorEastAsia" w:hAnsi="David" w:cs="David"/>
          <w:sz w:val="24"/>
          <w:szCs w:val="24"/>
          <w:rtl/>
        </w:rPr>
        <w:t>שירותים ב</w:t>
      </w:r>
      <w:r w:rsidR="00104CED" w:rsidRPr="00B943CC">
        <w:rPr>
          <w:rFonts w:ascii="David" w:eastAsiaTheme="minorEastAsia" w:hAnsi="David" w:cs="David"/>
          <w:sz w:val="24"/>
          <w:szCs w:val="24"/>
          <w:rtl/>
        </w:rPr>
        <w:t xml:space="preserve">כרטיסי חיוב אשר מופעלת על ידי חברת שבא </w:t>
      </w:r>
      <w:r w:rsidRPr="00B943CC">
        <w:rPr>
          <w:rFonts w:ascii="David" w:eastAsiaTheme="minorEastAsia" w:hAnsi="David" w:cs="David"/>
          <w:sz w:val="24"/>
          <w:szCs w:val="24"/>
          <w:rtl/>
        </w:rPr>
        <w:t>בישראל,</w:t>
      </w:r>
      <w:r w:rsidR="00D14DE7" w:rsidRPr="00B943CC">
        <w:rPr>
          <w:rFonts w:ascii="David" w:eastAsiaTheme="minorEastAsia" w:hAnsi="David" w:cs="David"/>
          <w:sz w:val="24"/>
          <w:szCs w:val="24"/>
          <w:rtl/>
        </w:rPr>
        <w:t xml:space="preserve"> </w:t>
      </w:r>
      <w:r w:rsidR="00381825" w:rsidRPr="00B943CC">
        <w:rPr>
          <w:rFonts w:ascii="David" w:eastAsiaTheme="minorEastAsia" w:hAnsi="David" w:cs="David"/>
          <w:sz w:val="24"/>
          <w:szCs w:val="24"/>
          <w:rtl/>
        </w:rPr>
        <w:t>ללא התחלת פעילות</w:t>
      </w:r>
      <w:r w:rsidR="00DF3978" w:rsidRPr="00B943CC">
        <w:rPr>
          <w:rFonts w:ascii="David" w:eastAsiaTheme="minorEastAsia" w:hAnsi="David" w:cs="David"/>
          <w:sz w:val="24"/>
          <w:szCs w:val="24"/>
          <w:rtl/>
        </w:rPr>
        <w:t xml:space="preserve"> סליקה בפועל, </w:t>
      </w:r>
      <w:r w:rsidR="007D4046" w:rsidRPr="00B943CC">
        <w:rPr>
          <w:rFonts w:ascii="David" w:eastAsiaTheme="minorEastAsia" w:hAnsi="David" w:cs="David"/>
          <w:sz w:val="24"/>
          <w:szCs w:val="24"/>
          <w:rtl/>
        </w:rPr>
        <w:t xml:space="preserve">וזאת </w:t>
      </w:r>
      <w:r w:rsidR="000F2702" w:rsidRPr="00B943CC">
        <w:rPr>
          <w:rFonts w:ascii="David" w:eastAsiaTheme="minorEastAsia" w:hAnsi="David" w:cs="David"/>
          <w:sz w:val="24"/>
          <w:szCs w:val="24"/>
          <w:rtl/>
        </w:rPr>
        <w:t xml:space="preserve">לפני </w:t>
      </w:r>
      <w:r w:rsidR="00EF0290" w:rsidRPr="00B943CC">
        <w:rPr>
          <w:rFonts w:ascii="David" w:eastAsiaTheme="minorEastAsia" w:hAnsi="David" w:cs="David"/>
          <w:sz w:val="24"/>
          <w:szCs w:val="24"/>
          <w:rtl/>
        </w:rPr>
        <w:t xml:space="preserve">הגשת בקשה לרישיון </w:t>
      </w:r>
      <w:r w:rsidR="00381825" w:rsidRPr="00B943CC">
        <w:rPr>
          <w:rFonts w:ascii="David" w:eastAsiaTheme="minorEastAsia" w:hAnsi="David" w:cs="David"/>
          <w:sz w:val="24"/>
          <w:szCs w:val="24"/>
          <w:rtl/>
        </w:rPr>
        <w:t xml:space="preserve">שמאפשר מתן שירותי </w:t>
      </w:r>
      <w:r w:rsidR="00EF0290" w:rsidRPr="00B943CC">
        <w:rPr>
          <w:rFonts w:ascii="David" w:eastAsiaTheme="minorEastAsia" w:hAnsi="David" w:cs="David"/>
          <w:sz w:val="24"/>
          <w:szCs w:val="24"/>
          <w:rtl/>
        </w:rPr>
        <w:t>סליקה בישראל</w:t>
      </w:r>
      <w:r w:rsidR="00A0712E" w:rsidRPr="00B943CC">
        <w:rPr>
          <w:rFonts w:ascii="David" w:eastAsiaTheme="minorEastAsia" w:hAnsi="David" w:cs="David"/>
          <w:sz w:val="24"/>
          <w:szCs w:val="24"/>
          <w:rtl/>
        </w:rPr>
        <w:t xml:space="preserve">. </w:t>
      </w:r>
      <w:r w:rsidR="00B139F1" w:rsidRPr="00B943CC">
        <w:rPr>
          <w:rFonts w:ascii="David" w:eastAsiaTheme="minorEastAsia" w:hAnsi="David" w:cs="David"/>
          <w:sz w:val="24"/>
          <w:szCs w:val="24"/>
          <w:rtl/>
        </w:rPr>
        <w:t>צעד זה צפוי לתרום ל</w:t>
      </w:r>
      <w:r w:rsidR="00A2221E" w:rsidRPr="00B943CC">
        <w:rPr>
          <w:rFonts w:ascii="David" w:eastAsiaTheme="minorEastAsia" w:hAnsi="David" w:cs="David"/>
          <w:sz w:val="24"/>
          <w:szCs w:val="24"/>
          <w:rtl/>
        </w:rPr>
        <w:t>קיצור זמן ה</w:t>
      </w:r>
      <w:r w:rsidR="00B139F1" w:rsidRPr="00B943CC">
        <w:rPr>
          <w:rFonts w:ascii="David" w:eastAsiaTheme="minorEastAsia" w:hAnsi="David" w:cs="David"/>
          <w:sz w:val="24"/>
          <w:szCs w:val="24"/>
          <w:rtl/>
        </w:rPr>
        <w:t>כניס</w:t>
      </w:r>
      <w:r w:rsidR="009233E2" w:rsidRPr="00B943CC">
        <w:rPr>
          <w:rFonts w:ascii="David" w:eastAsiaTheme="minorEastAsia" w:hAnsi="David" w:cs="David"/>
          <w:sz w:val="24"/>
          <w:szCs w:val="24"/>
          <w:rtl/>
        </w:rPr>
        <w:t>ה  של</w:t>
      </w:r>
      <w:r w:rsidR="00B139F1" w:rsidRPr="00B943CC">
        <w:rPr>
          <w:rFonts w:ascii="David" w:eastAsiaTheme="minorEastAsia" w:hAnsi="David" w:cs="David"/>
          <w:sz w:val="24"/>
          <w:szCs w:val="24"/>
          <w:rtl/>
        </w:rPr>
        <w:t xml:space="preserve"> שחקנים בינלאומיים חדשים לשוק, וכפועל יוצא לתרום לחדשנות</w:t>
      </w:r>
      <w:r w:rsidR="00986B2E" w:rsidRPr="00B943CC">
        <w:rPr>
          <w:rFonts w:ascii="David" w:eastAsiaTheme="minorEastAsia" w:hAnsi="David" w:cs="David"/>
          <w:sz w:val="24"/>
          <w:szCs w:val="24"/>
          <w:rtl/>
        </w:rPr>
        <w:t xml:space="preserve"> ולהגברת התחרות</w:t>
      </w:r>
      <w:r w:rsidR="00EB15AB" w:rsidRPr="00B943CC">
        <w:rPr>
          <w:rFonts w:ascii="David" w:eastAsiaTheme="minorEastAsia" w:hAnsi="David" w:cs="David"/>
          <w:sz w:val="24"/>
          <w:szCs w:val="24"/>
          <w:rtl/>
        </w:rPr>
        <w:t xml:space="preserve"> </w:t>
      </w:r>
      <w:r w:rsidR="00B139F1" w:rsidRPr="00B943CC">
        <w:rPr>
          <w:rFonts w:ascii="David" w:eastAsiaTheme="minorEastAsia" w:hAnsi="David" w:cs="David"/>
          <w:sz w:val="24"/>
          <w:szCs w:val="24"/>
          <w:rtl/>
        </w:rPr>
        <w:t>בתחום התשלומים.</w:t>
      </w:r>
    </w:p>
    <w:p w:rsidR="00EF0290" w:rsidRPr="00B943CC" w:rsidRDefault="00381825" w:rsidP="001E6284">
      <w:pPr>
        <w:spacing w:line="360" w:lineRule="auto"/>
        <w:ind w:left="-341"/>
        <w:jc w:val="both"/>
        <w:rPr>
          <w:rFonts w:ascii="David" w:eastAsiaTheme="minorEastAsia" w:hAnsi="David" w:cs="David"/>
          <w:sz w:val="24"/>
          <w:szCs w:val="24"/>
          <w:rtl/>
        </w:rPr>
      </w:pPr>
      <w:proofErr w:type="spellStart"/>
      <w:r w:rsidRPr="00B943CC">
        <w:rPr>
          <w:rFonts w:ascii="David" w:eastAsiaTheme="minorEastAsia" w:hAnsi="David" w:cs="David"/>
          <w:sz w:val="24"/>
          <w:szCs w:val="24"/>
          <w:rtl/>
        </w:rPr>
        <w:t>סולקים</w:t>
      </w:r>
      <w:proofErr w:type="spellEnd"/>
      <w:r w:rsidR="00EF0290" w:rsidRPr="00B943CC">
        <w:rPr>
          <w:rFonts w:ascii="David" w:eastAsiaTheme="minorEastAsia" w:hAnsi="David" w:cs="David"/>
          <w:sz w:val="24"/>
          <w:szCs w:val="24"/>
          <w:rtl/>
        </w:rPr>
        <w:t xml:space="preserve"> </w:t>
      </w:r>
      <w:r w:rsidRPr="00B943CC">
        <w:rPr>
          <w:rFonts w:ascii="David" w:eastAsiaTheme="minorEastAsia" w:hAnsi="David" w:cs="David"/>
          <w:sz w:val="24"/>
          <w:szCs w:val="24"/>
          <w:rtl/>
        </w:rPr>
        <w:t xml:space="preserve">בינלאומיים </w:t>
      </w:r>
      <w:r w:rsidR="00EF0290" w:rsidRPr="00B943CC">
        <w:rPr>
          <w:rFonts w:ascii="David" w:eastAsiaTheme="minorEastAsia" w:hAnsi="David" w:cs="David"/>
          <w:sz w:val="24"/>
          <w:szCs w:val="24"/>
          <w:rtl/>
        </w:rPr>
        <w:t xml:space="preserve">שמעוניינים </w:t>
      </w:r>
      <w:r w:rsidRPr="00B943CC">
        <w:rPr>
          <w:rFonts w:ascii="David" w:eastAsiaTheme="minorEastAsia" w:hAnsi="David" w:cs="David"/>
          <w:sz w:val="24"/>
          <w:szCs w:val="24"/>
          <w:rtl/>
        </w:rPr>
        <w:t>לתת שירותי סליקה</w:t>
      </w:r>
      <w:r w:rsidR="00EF0290" w:rsidRPr="00B943CC">
        <w:rPr>
          <w:rFonts w:ascii="David" w:eastAsiaTheme="minorEastAsia" w:hAnsi="David" w:cs="David"/>
          <w:sz w:val="24"/>
          <w:szCs w:val="24"/>
          <w:rtl/>
        </w:rPr>
        <w:t xml:space="preserve"> </w:t>
      </w:r>
      <w:r w:rsidR="00106330" w:rsidRPr="00B943CC">
        <w:rPr>
          <w:rFonts w:ascii="David" w:eastAsiaTheme="minorEastAsia" w:hAnsi="David" w:cs="David"/>
          <w:sz w:val="24"/>
          <w:szCs w:val="24"/>
          <w:rtl/>
        </w:rPr>
        <w:t xml:space="preserve">בישראל </w:t>
      </w:r>
      <w:r w:rsidR="00755399" w:rsidRPr="00B943CC">
        <w:rPr>
          <w:rFonts w:ascii="David" w:eastAsiaTheme="minorEastAsia" w:hAnsi="David" w:cs="David"/>
          <w:sz w:val="24"/>
          <w:szCs w:val="24"/>
          <w:rtl/>
        </w:rPr>
        <w:t>צריכים</w:t>
      </w:r>
      <w:r w:rsidR="00311762" w:rsidRPr="00B943CC">
        <w:rPr>
          <w:rFonts w:ascii="David" w:eastAsiaTheme="minorEastAsia" w:hAnsi="David" w:cs="David"/>
          <w:sz w:val="24"/>
          <w:szCs w:val="24"/>
          <w:rtl/>
        </w:rPr>
        <w:t xml:space="preserve"> לעבור</w:t>
      </w:r>
      <w:r w:rsidR="00516A40" w:rsidRPr="00B943CC">
        <w:rPr>
          <w:rFonts w:ascii="David" w:eastAsiaTheme="minorEastAsia" w:hAnsi="David" w:cs="David"/>
          <w:sz w:val="24"/>
          <w:szCs w:val="24"/>
          <w:rtl/>
        </w:rPr>
        <w:t xml:space="preserve"> </w:t>
      </w:r>
      <w:r w:rsidR="00C6752A" w:rsidRPr="00B943CC">
        <w:rPr>
          <w:rFonts w:ascii="David" w:eastAsiaTheme="minorEastAsia" w:hAnsi="David" w:cs="David"/>
          <w:sz w:val="24"/>
          <w:szCs w:val="24"/>
          <w:rtl/>
        </w:rPr>
        <w:t>תהליך</w:t>
      </w:r>
      <w:r w:rsidR="00516A40" w:rsidRPr="00B943CC">
        <w:rPr>
          <w:rFonts w:ascii="David" w:eastAsiaTheme="minorEastAsia" w:hAnsi="David" w:cs="David"/>
          <w:sz w:val="24"/>
          <w:szCs w:val="24"/>
          <w:rtl/>
        </w:rPr>
        <w:t xml:space="preserve"> של קבלת רישיון מקומי לצורך אישור פעילותם, ובמקביל לעבור </w:t>
      </w:r>
      <w:r w:rsidR="00C6752A" w:rsidRPr="00B943CC">
        <w:rPr>
          <w:rFonts w:ascii="David" w:eastAsiaTheme="minorEastAsia" w:hAnsi="David" w:cs="David"/>
          <w:sz w:val="24"/>
          <w:szCs w:val="24"/>
          <w:rtl/>
        </w:rPr>
        <w:t>תהליך</w:t>
      </w:r>
      <w:r w:rsidR="00516A40" w:rsidRPr="00B943CC">
        <w:rPr>
          <w:rFonts w:ascii="David" w:eastAsiaTheme="minorEastAsia" w:hAnsi="David" w:cs="David"/>
          <w:sz w:val="24"/>
          <w:szCs w:val="24"/>
          <w:rtl/>
        </w:rPr>
        <w:t xml:space="preserve"> של קבלת גישה </w:t>
      </w:r>
      <w:r w:rsidR="00523160" w:rsidRPr="00B943CC">
        <w:rPr>
          <w:rFonts w:ascii="David" w:eastAsiaTheme="minorEastAsia" w:hAnsi="David" w:cs="David"/>
          <w:sz w:val="24"/>
          <w:szCs w:val="24"/>
          <w:rtl/>
        </w:rPr>
        <w:t>למערכת שירותים בכרטיסי חיוב</w:t>
      </w:r>
      <w:r w:rsidR="00516A40" w:rsidRPr="00B943CC">
        <w:rPr>
          <w:rFonts w:ascii="David" w:eastAsiaTheme="minorEastAsia" w:hAnsi="David" w:cs="David"/>
          <w:sz w:val="24"/>
          <w:szCs w:val="24"/>
          <w:rtl/>
        </w:rPr>
        <w:t xml:space="preserve"> כדי שיוכלו להתחיל לספק שירותים ללקוחותיהם. שני התהליכים</w:t>
      </w:r>
      <w:r w:rsidR="00A35E90" w:rsidRPr="00B943CC">
        <w:rPr>
          <w:rFonts w:ascii="David" w:eastAsiaTheme="minorEastAsia" w:hAnsi="David" w:cs="David"/>
          <w:sz w:val="24"/>
          <w:szCs w:val="24"/>
          <w:rtl/>
        </w:rPr>
        <w:t xml:space="preserve"> –</w:t>
      </w:r>
      <w:r w:rsidR="00755399" w:rsidRPr="00B943CC">
        <w:rPr>
          <w:rFonts w:ascii="David" w:eastAsiaTheme="minorEastAsia" w:hAnsi="David" w:cs="David"/>
          <w:sz w:val="24"/>
          <w:szCs w:val="24"/>
          <w:rtl/>
        </w:rPr>
        <w:t xml:space="preserve"> </w:t>
      </w:r>
      <w:r w:rsidR="00516A40" w:rsidRPr="00B943CC">
        <w:rPr>
          <w:rFonts w:ascii="David" w:eastAsiaTheme="minorEastAsia" w:hAnsi="David" w:cs="David"/>
          <w:sz w:val="24"/>
          <w:szCs w:val="24"/>
          <w:rtl/>
        </w:rPr>
        <w:t xml:space="preserve">הרישוי והגישה, כרוכים זה בזה: כדי להתחיל להיערך לפעילות </w:t>
      </w:r>
      <w:r w:rsidR="00523160" w:rsidRPr="00B943CC">
        <w:rPr>
          <w:rFonts w:ascii="David" w:eastAsiaTheme="minorEastAsia" w:hAnsi="David" w:cs="David"/>
          <w:sz w:val="24"/>
          <w:szCs w:val="24"/>
          <w:rtl/>
        </w:rPr>
        <w:t>במערכת</w:t>
      </w:r>
      <w:r w:rsidR="00516A40" w:rsidRPr="00B943CC">
        <w:rPr>
          <w:rFonts w:ascii="David" w:eastAsiaTheme="minorEastAsia" w:hAnsi="David" w:cs="David"/>
          <w:sz w:val="24"/>
          <w:szCs w:val="24"/>
          <w:rtl/>
        </w:rPr>
        <w:t xml:space="preserve"> ולפעול בסביבת הניסוי נדרשים אישורים מהמאסדר של הגוף, ובהמשך</w:t>
      </w:r>
      <w:r w:rsidR="00E22484" w:rsidRPr="00B943CC">
        <w:rPr>
          <w:rFonts w:ascii="David" w:eastAsiaTheme="minorEastAsia" w:hAnsi="David" w:cs="David"/>
          <w:sz w:val="24"/>
          <w:szCs w:val="24"/>
          <w:rtl/>
        </w:rPr>
        <w:t xml:space="preserve"> התהליך</w:t>
      </w:r>
      <w:r w:rsidR="00516A40" w:rsidRPr="00B943CC">
        <w:rPr>
          <w:rFonts w:ascii="David" w:eastAsiaTheme="minorEastAsia" w:hAnsi="David" w:cs="David"/>
          <w:sz w:val="24"/>
          <w:szCs w:val="24"/>
          <w:rtl/>
        </w:rPr>
        <w:t xml:space="preserve">, כדי להתחיל לספק שירותי סליקה ולפעול בסביבת הייצור של </w:t>
      </w:r>
      <w:r w:rsidR="00523160" w:rsidRPr="00B943CC">
        <w:rPr>
          <w:rFonts w:ascii="David" w:eastAsiaTheme="minorEastAsia" w:hAnsi="David" w:cs="David"/>
          <w:sz w:val="24"/>
          <w:szCs w:val="24"/>
          <w:rtl/>
        </w:rPr>
        <w:t>המערכת</w:t>
      </w:r>
      <w:r w:rsidR="00516A40" w:rsidRPr="00B943CC">
        <w:rPr>
          <w:rFonts w:ascii="David" w:eastAsiaTheme="minorEastAsia" w:hAnsi="David" w:cs="David"/>
          <w:sz w:val="24"/>
          <w:szCs w:val="24"/>
          <w:rtl/>
        </w:rPr>
        <w:t xml:space="preserve"> נדרש רישיון מקומי, בהתאם לחובת הרישוי הקיימת בחוק</w:t>
      </w:r>
      <w:r w:rsidR="00EB15AB" w:rsidRPr="00B943CC">
        <w:rPr>
          <w:rFonts w:ascii="David" w:eastAsiaTheme="minorEastAsia" w:hAnsi="David" w:cs="David"/>
          <w:sz w:val="24"/>
          <w:szCs w:val="24"/>
          <w:rtl/>
        </w:rPr>
        <w:t xml:space="preserve">. מאחר </w:t>
      </w:r>
      <w:r w:rsidR="00106330" w:rsidRPr="00B943CC">
        <w:rPr>
          <w:rFonts w:ascii="David" w:eastAsiaTheme="minorEastAsia" w:hAnsi="David" w:cs="David"/>
          <w:sz w:val="24"/>
          <w:szCs w:val="24"/>
          <w:rtl/>
        </w:rPr>
        <w:t>ש</w:t>
      </w:r>
      <w:r w:rsidR="00EB15AB" w:rsidRPr="00B943CC">
        <w:rPr>
          <w:rFonts w:ascii="David" w:eastAsiaTheme="minorEastAsia" w:hAnsi="David" w:cs="David"/>
          <w:sz w:val="24"/>
          <w:szCs w:val="24"/>
          <w:rtl/>
        </w:rPr>
        <w:t>הריש</w:t>
      </w:r>
      <w:r w:rsidR="00106330" w:rsidRPr="00B943CC">
        <w:rPr>
          <w:rFonts w:ascii="David" w:eastAsiaTheme="minorEastAsia" w:hAnsi="David" w:cs="David"/>
          <w:sz w:val="24"/>
          <w:szCs w:val="24"/>
          <w:rtl/>
        </w:rPr>
        <w:t>ו</w:t>
      </w:r>
      <w:r w:rsidR="00EB15AB" w:rsidRPr="00B943CC">
        <w:rPr>
          <w:rFonts w:ascii="David" w:eastAsiaTheme="minorEastAsia" w:hAnsi="David" w:cs="David"/>
          <w:sz w:val="24"/>
          <w:szCs w:val="24"/>
          <w:rtl/>
        </w:rPr>
        <w:t xml:space="preserve">י </w:t>
      </w:r>
      <w:r w:rsidR="00106330" w:rsidRPr="00B943CC">
        <w:rPr>
          <w:rFonts w:ascii="David" w:eastAsiaTheme="minorEastAsia" w:hAnsi="David" w:cs="David"/>
          <w:sz w:val="24"/>
          <w:szCs w:val="24"/>
          <w:rtl/>
        </w:rPr>
        <w:t>ש</w:t>
      </w:r>
      <w:r w:rsidR="00EB15AB" w:rsidRPr="00B943CC">
        <w:rPr>
          <w:rFonts w:ascii="David" w:eastAsiaTheme="minorEastAsia" w:hAnsi="David" w:cs="David"/>
          <w:sz w:val="24"/>
          <w:szCs w:val="24"/>
          <w:rtl/>
        </w:rPr>
        <w:t>ל</w:t>
      </w:r>
      <w:r w:rsidR="00106330" w:rsidRPr="00B943CC">
        <w:rPr>
          <w:rFonts w:ascii="David" w:eastAsiaTheme="minorEastAsia" w:hAnsi="David" w:cs="David"/>
          <w:sz w:val="24"/>
          <w:szCs w:val="24"/>
          <w:rtl/>
        </w:rPr>
        <w:t xml:space="preserve"> </w:t>
      </w:r>
      <w:r w:rsidR="00EB15AB" w:rsidRPr="00B943CC">
        <w:rPr>
          <w:rFonts w:ascii="David" w:eastAsiaTheme="minorEastAsia" w:hAnsi="David" w:cs="David"/>
          <w:sz w:val="24"/>
          <w:szCs w:val="24"/>
          <w:rtl/>
        </w:rPr>
        <w:t>שירותי סליקה ע</w:t>
      </w:r>
      <w:r w:rsidR="00106330" w:rsidRPr="00B943CC">
        <w:rPr>
          <w:rFonts w:ascii="David" w:eastAsiaTheme="minorEastAsia" w:hAnsi="David" w:cs="David"/>
          <w:sz w:val="24"/>
          <w:szCs w:val="24"/>
          <w:rtl/>
        </w:rPr>
        <w:t>ו</w:t>
      </w:r>
      <w:r w:rsidR="00EB15AB" w:rsidRPr="00B943CC">
        <w:rPr>
          <w:rFonts w:ascii="David" w:eastAsiaTheme="minorEastAsia" w:hAnsi="David" w:cs="David"/>
          <w:sz w:val="24"/>
          <w:szCs w:val="24"/>
          <w:rtl/>
        </w:rPr>
        <w:t xml:space="preserve">בר מהפיקוח על הבנקים לרשות ניירות ערך, למעט </w:t>
      </w:r>
      <w:proofErr w:type="spellStart"/>
      <w:r w:rsidR="00EB15AB" w:rsidRPr="00B943CC">
        <w:rPr>
          <w:rFonts w:ascii="David" w:eastAsiaTheme="minorEastAsia" w:hAnsi="David" w:cs="David"/>
          <w:sz w:val="24"/>
          <w:szCs w:val="24"/>
          <w:rtl/>
        </w:rPr>
        <w:t>סולקים</w:t>
      </w:r>
      <w:proofErr w:type="spellEnd"/>
      <w:r w:rsidR="00EB15AB" w:rsidRPr="00B943CC">
        <w:rPr>
          <w:rFonts w:ascii="David" w:eastAsiaTheme="minorEastAsia" w:hAnsi="David" w:cs="David"/>
          <w:sz w:val="24"/>
          <w:szCs w:val="24"/>
          <w:rtl/>
        </w:rPr>
        <w:t xml:space="preserve"> בעלי חשיבות </w:t>
      </w:r>
      <w:proofErr w:type="spellStart"/>
      <w:r w:rsidR="00EB15AB" w:rsidRPr="00B943CC">
        <w:rPr>
          <w:rFonts w:ascii="David" w:eastAsiaTheme="minorEastAsia" w:hAnsi="David" w:cs="David"/>
          <w:sz w:val="24"/>
          <w:szCs w:val="24"/>
          <w:rtl/>
        </w:rPr>
        <w:t>יציבותית</w:t>
      </w:r>
      <w:proofErr w:type="spellEnd"/>
      <w:r w:rsidR="00EB15AB" w:rsidRPr="00B943CC">
        <w:rPr>
          <w:rFonts w:ascii="David" w:eastAsiaTheme="minorEastAsia" w:hAnsi="David" w:cs="David"/>
          <w:sz w:val="24"/>
          <w:szCs w:val="24"/>
          <w:rtl/>
        </w:rPr>
        <w:t xml:space="preserve">, </w:t>
      </w:r>
      <w:r w:rsidR="00A35E90" w:rsidRPr="00B943CC">
        <w:rPr>
          <w:rFonts w:ascii="David" w:eastAsiaTheme="minorEastAsia" w:hAnsi="David" w:cs="David"/>
          <w:sz w:val="24"/>
          <w:szCs w:val="24"/>
          <w:rtl/>
        </w:rPr>
        <w:t xml:space="preserve">בנק ישראל מודע כי ישנם </w:t>
      </w:r>
      <w:proofErr w:type="spellStart"/>
      <w:r w:rsidR="00EB15AB" w:rsidRPr="00B943CC">
        <w:rPr>
          <w:rFonts w:ascii="David" w:eastAsiaTheme="minorEastAsia" w:hAnsi="David" w:cs="David"/>
          <w:sz w:val="24"/>
          <w:szCs w:val="24"/>
          <w:rtl/>
        </w:rPr>
        <w:t>סולקים</w:t>
      </w:r>
      <w:proofErr w:type="spellEnd"/>
      <w:r w:rsidR="00EB15AB" w:rsidRPr="00B943CC">
        <w:rPr>
          <w:rFonts w:ascii="David" w:eastAsiaTheme="minorEastAsia" w:hAnsi="David" w:cs="David"/>
          <w:sz w:val="24"/>
          <w:szCs w:val="24"/>
          <w:rtl/>
        </w:rPr>
        <w:t xml:space="preserve"> </w:t>
      </w:r>
      <w:r w:rsidR="00704608" w:rsidRPr="00B943CC">
        <w:rPr>
          <w:rFonts w:ascii="David" w:eastAsiaTheme="minorEastAsia" w:hAnsi="David" w:cs="David"/>
          <w:sz w:val="24"/>
          <w:szCs w:val="24"/>
          <w:rtl/>
        </w:rPr>
        <w:t xml:space="preserve">שעדיין לא פועלים בישראל אשר </w:t>
      </w:r>
      <w:r w:rsidR="00311762" w:rsidRPr="00B943CC">
        <w:rPr>
          <w:rFonts w:ascii="David" w:eastAsiaTheme="minorEastAsia" w:hAnsi="David" w:cs="David"/>
          <w:sz w:val="24"/>
          <w:szCs w:val="24"/>
          <w:rtl/>
        </w:rPr>
        <w:t>מעדיפים</w:t>
      </w:r>
      <w:r w:rsidR="00EB15AB" w:rsidRPr="00B943CC">
        <w:rPr>
          <w:rFonts w:ascii="David" w:eastAsiaTheme="minorEastAsia" w:hAnsi="David" w:cs="David"/>
          <w:sz w:val="24"/>
          <w:szCs w:val="24"/>
          <w:rtl/>
        </w:rPr>
        <w:t xml:space="preserve"> להמתין </w:t>
      </w:r>
      <w:r w:rsidR="00516A40" w:rsidRPr="00B943CC">
        <w:rPr>
          <w:rFonts w:ascii="David" w:eastAsiaTheme="minorEastAsia" w:hAnsi="David" w:cs="David"/>
          <w:sz w:val="24"/>
          <w:szCs w:val="24"/>
          <w:rtl/>
        </w:rPr>
        <w:t>ולהגיש בקשה ל</w:t>
      </w:r>
      <w:r w:rsidR="00EB15AB" w:rsidRPr="00B943CC">
        <w:rPr>
          <w:rFonts w:ascii="David" w:eastAsiaTheme="minorEastAsia" w:hAnsi="David" w:cs="David"/>
          <w:sz w:val="24"/>
          <w:szCs w:val="24"/>
          <w:rtl/>
        </w:rPr>
        <w:t xml:space="preserve">רישיון </w:t>
      </w:r>
      <w:r w:rsidR="00516A40" w:rsidRPr="00B943CC">
        <w:rPr>
          <w:rFonts w:ascii="David" w:eastAsiaTheme="minorEastAsia" w:hAnsi="David" w:cs="David"/>
          <w:sz w:val="24"/>
          <w:szCs w:val="24"/>
          <w:rtl/>
        </w:rPr>
        <w:t xml:space="preserve">אל </w:t>
      </w:r>
      <w:r w:rsidR="00EB15AB" w:rsidRPr="00B943CC">
        <w:rPr>
          <w:rFonts w:ascii="David" w:eastAsiaTheme="minorEastAsia" w:hAnsi="David" w:cs="David"/>
          <w:sz w:val="24"/>
          <w:szCs w:val="24"/>
          <w:rtl/>
        </w:rPr>
        <w:t>רשות ניירות ערך</w:t>
      </w:r>
      <w:r w:rsidR="00516A40" w:rsidRPr="00B943CC">
        <w:rPr>
          <w:rFonts w:ascii="David" w:eastAsiaTheme="minorEastAsia" w:hAnsi="David" w:cs="David"/>
          <w:sz w:val="24"/>
          <w:szCs w:val="24"/>
          <w:rtl/>
        </w:rPr>
        <w:t>. היות שהמעבר של הסולקים לרשות ניירות ערך עדיין לא נכנס לתוקף,</w:t>
      </w:r>
      <w:r w:rsidR="00EB15AB" w:rsidRPr="00B943CC">
        <w:rPr>
          <w:rFonts w:ascii="David" w:eastAsiaTheme="minorEastAsia" w:hAnsi="David" w:cs="David"/>
          <w:sz w:val="24"/>
          <w:szCs w:val="24"/>
          <w:rtl/>
        </w:rPr>
        <w:t xml:space="preserve"> </w:t>
      </w:r>
      <w:r w:rsidR="00C6752A" w:rsidRPr="00B943CC">
        <w:rPr>
          <w:rFonts w:ascii="David" w:eastAsiaTheme="minorEastAsia" w:hAnsi="David" w:cs="David"/>
          <w:sz w:val="24"/>
          <w:szCs w:val="24"/>
          <w:rtl/>
        </w:rPr>
        <w:t xml:space="preserve">בנק ישראל </w:t>
      </w:r>
      <w:r w:rsidR="007D7C51" w:rsidRPr="00B943CC">
        <w:rPr>
          <w:rFonts w:ascii="David" w:eastAsiaTheme="minorEastAsia" w:hAnsi="David" w:cs="David"/>
          <w:sz w:val="24"/>
          <w:szCs w:val="24"/>
          <w:rtl/>
        </w:rPr>
        <w:t>מאפשר</w:t>
      </w:r>
      <w:r w:rsidR="00986375" w:rsidRPr="00B943CC">
        <w:rPr>
          <w:rFonts w:ascii="David" w:eastAsiaTheme="minorEastAsia" w:hAnsi="David" w:cs="David"/>
          <w:sz w:val="24"/>
          <w:szCs w:val="24"/>
          <w:rtl/>
        </w:rPr>
        <w:t xml:space="preserve"> לגופים אלו להתחיל כבר היום את ההיערכות לקראת הפעילות </w:t>
      </w:r>
      <w:r w:rsidR="00104CED" w:rsidRPr="00B943CC">
        <w:rPr>
          <w:rFonts w:ascii="David" w:eastAsiaTheme="minorEastAsia" w:hAnsi="David" w:cs="David"/>
          <w:sz w:val="24"/>
          <w:szCs w:val="24"/>
          <w:rtl/>
        </w:rPr>
        <w:t xml:space="preserve">במערכת </w:t>
      </w:r>
      <w:r w:rsidR="00523160" w:rsidRPr="00B943CC">
        <w:rPr>
          <w:rFonts w:ascii="David" w:eastAsiaTheme="minorEastAsia" w:hAnsi="David" w:cs="David"/>
          <w:sz w:val="24"/>
          <w:szCs w:val="24"/>
          <w:rtl/>
        </w:rPr>
        <w:t>שירותים ב</w:t>
      </w:r>
      <w:r w:rsidR="00104CED" w:rsidRPr="00B943CC">
        <w:rPr>
          <w:rFonts w:ascii="David" w:eastAsiaTheme="minorEastAsia" w:hAnsi="David" w:cs="David"/>
          <w:sz w:val="24"/>
          <w:szCs w:val="24"/>
          <w:rtl/>
        </w:rPr>
        <w:t>כרטיסי חיוב</w:t>
      </w:r>
      <w:r w:rsidR="00A53767" w:rsidRPr="00B943CC">
        <w:rPr>
          <w:rFonts w:ascii="David" w:eastAsiaTheme="minorEastAsia" w:hAnsi="David" w:cs="David"/>
          <w:sz w:val="24"/>
          <w:szCs w:val="24"/>
          <w:rtl/>
        </w:rPr>
        <w:t xml:space="preserve"> בישראל</w:t>
      </w:r>
      <w:r w:rsidR="00EF0290" w:rsidRPr="00B943CC">
        <w:rPr>
          <w:rFonts w:ascii="David" w:eastAsiaTheme="minorEastAsia" w:hAnsi="David" w:cs="David"/>
          <w:sz w:val="24"/>
          <w:szCs w:val="24"/>
          <w:rtl/>
        </w:rPr>
        <w:t>.</w:t>
      </w:r>
      <w:r w:rsidR="00395651" w:rsidRPr="00B943CC">
        <w:rPr>
          <w:rFonts w:ascii="David" w:eastAsiaTheme="minorEastAsia" w:hAnsi="David" w:cs="David"/>
          <w:sz w:val="24"/>
          <w:szCs w:val="24"/>
          <w:rtl/>
        </w:rPr>
        <w:t xml:space="preserve"> </w:t>
      </w:r>
    </w:p>
    <w:p w:rsidR="00461AC1" w:rsidRPr="00B943CC" w:rsidRDefault="00357E9B" w:rsidP="001E6284">
      <w:pPr>
        <w:spacing w:line="360" w:lineRule="auto"/>
        <w:ind w:left="-341"/>
        <w:jc w:val="both"/>
        <w:rPr>
          <w:rFonts w:ascii="David" w:eastAsiaTheme="minorEastAsia" w:hAnsi="David" w:cs="David"/>
          <w:sz w:val="24"/>
          <w:szCs w:val="24"/>
        </w:rPr>
      </w:pPr>
      <w:proofErr w:type="spellStart"/>
      <w:r w:rsidRPr="00B943CC">
        <w:rPr>
          <w:rFonts w:ascii="David" w:eastAsiaTheme="minorEastAsia" w:hAnsi="David" w:cs="David"/>
          <w:sz w:val="24"/>
          <w:szCs w:val="24"/>
          <w:rtl/>
        </w:rPr>
        <w:t>סולקים</w:t>
      </w:r>
      <w:proofErr w:type="spellEnd"/>
      <w:r w:rsidRPr="00B943CC">
        <w:rPr>
          <w:rFonts w:ascii="David" w:eastAsiaTheme="minorEastAsia" w:hAnsi="David" w:cs="David"/>
          <w:sz w:val="24"/>
          <w:szCs w:val="24"/>
          <w:rtl/>
        </w:rPr>
        <w:t xml:space="preserve"> בינלאומיים </w:t>
      </w:r>
      <w:r w:rsidR="00771F1D" w:rsidRPr="00B943CC">
        <w:rPr>
          <w:rFonts w:ascii="David" w:eastAsiaTheme="minorEastAsia" w:hAnsi="David" w:cs="David"/>
          <w:sz w:val="24"/>
          <w:szCs w:val="24"/>
          <w:rtl/>
        </w:rPr>
        <w:t xml:space="preserve">יוכלו </w:t>
      </w:r>
      <w:r w:rsidR="00344604" w:rsidRPr="00B943CC">
        <w:rPr>
          <w:rFonts w:ascii="David" w:eastAsiaTheme="minorEastAsia" w:hAnsi="David" w:cs="David"/>
          <w:sz w:val="24"/>
          <w:szCs w:val="24"/>
          <w:rtl/>
        </w:rPr>
        <w:t>להתחיל</w:t>
      </w:r>
      <w:r w:rsidR="00106330" w:rsidRPr="00B943CC">
        <w:rPr>
          <w:rFonts w:ascii="David" w:eastAsiaTheme="minorEastAsia" w:hAnsi="David" w:cs="David"/>
          <w:sz w:val="24"/>
          <w:szCs w:val="24"/>
          <w:rtl/>
        </w:rPr>
        <w:t xml:space="preserve"> את תהליך הגישה, כלומר,</w:t>
      </w:r>
      <w:r w:rsidR="00344604" w:rsidRPr="00B943CC">
        <w:rPr>
          <w:rFonts w:ascii="David" w:eastAsiaTheme="minorEastAsia" w:hAnsi="David" w:cs="David"/>
          <w:sz w:val="24"/>
          <w:szCs w:val="24"/>
          <w:rtl/>
        </w:rPr>
        <w:t xml:space="preserve"> היערכות לטובת הצטרפות</w:t>
      </w:r>
      <w:r w:rsidR="00390D7A" w:rsidRPr="00B943CC">
        <w:rPr>
          <w:rFonts w:ascii="David" w:eastAsiaTheme="minorEastAsia" w:hAnsi="David" w:cs="David"/>
          <w:sz w:val="24"/>
          <w:szCs w:val="24"/>
          <w:rtl/>
        </w:rPr>
        <w:t>ם</w:t>
      </w:r>
      <w:r w:rsidR="00755399" w:rsidRPr="00B943CC">
        <w:rPr>
          <w:rFonts w:ascii="David" w:eastAsiaTheme="minorEastAsia" w:hAnsi="David" w:cs="David"/>
          <w:sz w:val="24"/>
          <w:szCs w:val="24"/>
          <w:rtl/>
        </w:rPr>
        <w:t xml:space="preserve"> </w:t>
      </w:r>
      <w:r w:rsidR="00523160" w:rsidRPr="00B943CC">
        <w:rPr>
          <w:rFonts w:ascii="David" w:eastAsiaTheme="minorEastAsia" w:hAnsi="David" w:cs="David"/>
          <w:sz w:val="24"/>
          <w:szCs w:val="24"/>
          <w:rtl/>
        </w:rPr>
        <w:t>למערכת</w:t>
      </w:r>
      <w:r w:rsidR="00755399" w:rsidRPr="00B943CC">
        <w:rPr>
          <w:rFonts w:ascii="David" w:eastAsiaTheme="minorEastAsia" w:hAnsi="David" w:cs="David"/>
          <w:sz w:val="24"/>
          <w:szCs w:val="24"/>
          <w:rtl/>
        </w:rPr>
        <w:t xml:space="preserve">, </w:t>
      </w:r>
      <w:r w:rsidR="00394D12" w:rsidRPr="00B943CC">
        <w:rPr>
          <w:rFonts w:ascii="David" w:eastAsiaTheme="minorEastAsia" w:hAnsi="David" w:cs="David"/>
          <w:sz w:val="24"/>
          <w:szCs w:val="24"/>
          <w:rtl/>
        </w:rPr>
        <w:t xml:space="preserve">עוד בטרם הגישו </w:t>
      </w:r>
      <w:r w:rsidR="00755399" w:rsidRPr="00B943CC">
        <w:rPr>
          <w:rFonts w:ascii="David" w:eastAsiaTheme="minorEastAsia" w:hAnsi="David" w:cs="David"/>
          <w:sz w:val="24"/>
          <w:szCs w:val="24"/>
          <w:rtl/>
        </w:rPr>
        <w:t xml:space="preserve">בקשה לרישיון מקומי, </w:t>
      </w:r>
      <w:r w:rsidR="00344604" w:rsidRPr="00B943CC">
        <w:rPr>
          <w:rFonts w:ascii="David" w:eastAsiaTheme="minorEastAsia" w:hAnsi="David" w:cs="David"/>
          <w:sz w:val="24"/>
          <w:szCs w:val="24"/>
          <w:rtl/>
        </w:rPr>
        <w:t xml:space="preserve">זאת </w:t>
      </w:r>
      <w:r w:rsidR="00755399" w:rsidRPr="00B943CC">
        <w:rPr>
          <w:rFonts w:ascii="David" w:eastAsiaTheme="minorEastAsia" w:hAnsi="David" w:cs="David"/>
          <w:sz w:val="24"/>
          <w:szCs w:val="24"/>
          <w:rtl/>
        </w:rPr>
        <w:t xml:space="preserve">בהתבסס על </w:t>
      </w:r>
      <w:r w:rsidR="00771F1D" w:rsidRPr="00B943CC">
        <w:rPr>
          <w:rFonts w:ascii="David" w:eastAsiaTheme="minorEastAsia" w:hAnsi="David" w:cs="David"/>
          <w:sz w:val="24"/>
          <w:szCs w:val="24"/>
          <w:rtl/>
        </w:rPr>
        <w:t>מסלול א במתווה שגובש לטובת נותני שירותי תשלום בינלאומיים</w:t>
      </w:r>
      <w:r w:rsidR="00771F1D" w:rsidRPr="00B943CC">
        <w:rPr>
          <w:rStyle w:val="a5"/>
          <w:rFonts w:ascii="David" w:hAnsi="David" w:cs="David"/>
          <w:sz w:val="24"/>
          <w:szCs w:val="24"/>
          <w:rtl/>
        </w:rPr>
        <w:footnoteReference w:id="2"/>
      </w:r>
      <w:r w:rsidR="00771F1D" w:rsidRPr="00B943CC">
        <w:rPr>
          <w:rFonts w:ascii="David" w:eastAsiaTheme="minorEastAsia" w:hAnsi="David" w:cs="David"/>
          <w:sz w:val="24"/>
          <w:szCs w:val="24"/>
          <w:rtl/>
        </w:rPr>
        <w:t xml:space="preserve"> </w:t>
      </w:r>
      <w:r w:rsidR="00AD371C" w:rsidRPr="00B943CC">
        <w:rPr>
          <w:rFonts w:ascii="David" w:eastAsiaTheme="minorEastAsia" w:hAnsi="David" w:cs="David"/>
          <w:sz w:val="24"/>
          <w:szCs w:val="24"/>
          <w:rtl/>
        </w:rPr>
        <w:t xml:space="preserve">אשר </w:t>
      </w:r>
      <w:r w:rsidR="00771F1D" w:rsidRPr="00B943CC">
        <w:rPr>
          <w:rFonts w:ascii="David" w:eastAsiaTheme="minorEastAsia" w:hAnsi="David" w:cs="David"/>
          <w:sz w:val="24"/>
          <w:szCs w:val="24"/>
          <w:rtl/>
        </w:rPr>
        <w:t xml:space="preserve">כולל </w:t>
      </w:r>
      <w:r w:rsidR="007754D4" w:rsidRPr="00B943CC">
        <w:rPr>
          <w:rFonts w:ascii="David" w:eastAsiaTheme="minorEastAsia" w:hAnsi="David" w:cs="David"/>
          <w:sz w:val="24"/>
          <w:szCs w:val="24"/>
          <w:rtl/>
        </w:rPr>
        <w:t>מכתב נוחות ו</w:t>
      </w:r>
      <w:r w:rsidR="00755399" w:rsidRPr="00B943CC">
        <w:rPr>
          <w:rFonts w:ascii="David" w:eastAsiaTheme="minorEastAsia" w:hAnsi="David" w:cs="David"/>
          <w:sz w:val="24"/>
          <w:szCs w:val="24"/>
          <w:rtl/>
        </w:rPr>
        <w:t>אישורים מהמאסדר שלהם במדינה המוכרת שבה קיבלו רישיון</w:t>
      </w:r>
      <w:r w:rsidR="002A3204" w:rsidRPr="00B943CC">
        <w:rPr>
          <w:rStyle w:val="a5"/>
          <w:rFonts w:ascii="David" w:hAnsi="David" w:cs="David"/>
          <w:sz w:val="24"/>
          <w:szCs w:val="24"/>
          <w:rtl/>
        </w:rPr>
        <w:footnoteReference w:id="3"/>
      </w:r>
      <w:r w:rsidR="00755399" w:rsidRPr="00B943CC">
        <w:rPr>
          <w:rFonts w:ascii="David" w:eastAsiaTheme="minorEastAsia" w:hAnsi="David" w:cs="David"/>
          <w:sz w:val="24"/>
          <w:szCs w:val="24"/>
          <w:rtl/>
        </w:rPr>
        <w:t>.  כדי ל</w:t>
      </w:r>
      <w:r w:rsidR="00477DBB" w:rsidRPr="00B943CC">
        <w:rPr>
          <w:rFonts w:ascii="David" w:eastAsiaTheme="minorEastAsia" w:hAnsi="David" w:cs="David"/>
          <w:sz w:val="24"/>
          <w:szCs w:val="24"/>
          <w:rtl/>
        </w:rPr>
        <w:t xml:space="preserve">התחיל לספק שירותי סליקה </w:t>
      </w:r>
      <w:r w:rsidR="00AC7C1D" w:rsidRPr="00B943CC">
        <w:rPr>
          <w:rFonts w:ascii="David" w:eastAsiaTheme="minorEastAsia" w:hAnsi="David" w:cs="David"/>
          <w:sz w:val="24"/>
          <w:szCs w:val="24"/>
          <w:rtl/>
        </w:rPr>
        <w:t xml:space="preserve">בפועל </w:t>
      </w:r>
      <w:r w:rsidR="00477DBB" w:rsidRPr="00B943CC">
        <w:rPr>
          <w:rFonts w:ascii="David" w:eastAsiaTheme="minorEastAsia" w:hAnsi="David" w:cs="David"/>
          <w:sz w:val="24"/>
          <w:szCs w:val="24"/>
          <w:rtl/>
        </w:rPr>
        <w:t xml:space="preserve">ולהתחבר </w:t>
      </w:r>
      <w:r w:rsidR="00755399" w:rsidRPr="00B943CC">
        <w:rPr>
          <w:rFonts w:ascii="David" w:eastAsiaTheme="minorEastAsia" w:hAnsi="David" w:cs="David"/>
          <w:sz w:val="24"/>
          <w:szCs w:val="24"/>
          <w:rtl/>
        </w:rPr>
        <w:t>לסביבת הייצור, גופי</w:t>
      </w:r>
      <w:r w:rsidR="00381825" w:rsidRPr="00B943CC">
        <w:rPr>
          <w:rFonts w:ascii="David" w:eastAsiaTheme="minorEastAsia" w:hAnsi="David" w:cs="David"/>
          <w:sz w:val="24"/>
          <w:szCs w:val="24"/>
          <w:rtl/>
        </w:rPr>
        <w:t>ם אלה יידרשו להציג רישיון מקומי</w:t>
      </w:r>
      <w:r w:rsidR="00A043B7" w:rsidRPr="00B943CC">
        <w:rPr>
          <w:rFonts w:ascii="David" w:eastAsiaTheme="minorEastAsia" w:hAnsi="David" w:cs="David"/>
          <w:sz w:val="24"/>
          <w:szCs w:val="24"/>
          <w:rtl/>
        </w:rPr>
        <w:t xml:space="preserve"> מהרשות לניירות ערך</w:t>
      </w:r>
      <w:r w:rsidR="00381825" w:rsidRPr="00B943CC">
        <w:rPr>
          <w:rFonts w:ascii="David" w:eastAsiaTheme="minorEastAsia" w:hAnsi="David" w:cs="David"/>
          <w:sz w:val="24"/>
          <w:szCs w:val="24"/>
          <w:rtl/>
        </w:rPr>
        <w:t xml:space="preserve">. </w:t>
      </w:r>
      <w:r w:rsidR="00394D12" w:rsidRPr="00B943CC">
        <w:rPr>
          <w:rFonts w:ascii="David" w:eastAsiaTheme="minorEastAsia" w:hAnsi="David" w:cs="David"/>
          <w:sz w:val="24"/>
          <w:szCs w:val="24"/>
          <w:rtl/>
        </w:rPr>
        <w:t>המתווה מאפשר התחלת היערכות כבר מהיום</w:t>
      </w:r>
      <w:r w:rsidR="00C853E4" w:rsidRPr="00B943CC">
        <w:rPr>
          <w:rFonts w:ascii="David" w:eastAsiaTheme="minorEastAsia" w:hAnsi="David" w:cs="David"/>
          <w:sz w:val="24"/>
          <w:szCs w:val="24"/>
          <w:rtl/>
        </w:rPr>
        <w:t>, ו</w:t>
      </w:r>
      <w:r w:rsidR="00381825" w:rsidRPr="00B943CC">
        <w:rPr>
          <w:rFonts w:ascii="David" w:eastAsiaTheme="minorEastAsia" w:hAnsi="David" w:cs="David"/>
          <w:sz w:val="24"/>
          <w:szCs w:val="24"/>
          <w:rtl/>
        </w:rPr>
        <w:t>כפועל יוצא,</w:t>
      </w:r>
      <w:r w:rsidR="007D4046" w:rsidRPr="00B943CC">
        <w:rPr>
          <w:rFonts w:ascii="David" w:eastAsiaTheme="minorEastAsia" w:hAnsi="David" w:cs="David"/>
          <w:sz w:val="24"/>
          <w:szCs w:val="24"/>
          <w:rtl/>
        </w:rPr>
        <w:t xml:space="preserve"> </w:t>
      </w:r>
      <w:r w:rsidR="00755399" w:rsidRPr="00B943CC">
        <w:rPr>
          <w:rFonts w:ascii="David" w:eastAsiaTheme="minorEastAsia" w:hAnsi="David" w:cs="David"/>
          <w:sz w:val="24"/>
          <w:szCs w:val="24"/>
          <w:rtl/>
        </w:rPr>
        <w:t xml:space="preserve">משך זמן ההיערכות הכולל של </w:t>
      </w:r>
      <w:proofErr w:type="spellStart"/>
      <w:r w:rsidR="00755399" w:rsidRPr="00B943CC">
        <w:rPr>
          <w:rFonts w:ascii="David" w:eastAsiaTheme="minorEastAsia" w:hAnsi="David" w:cs="David"/>
          <w:sz w:val="24"/>
          <w:szCs w:val="24"/>
          <w:rtl/>
        </w:rPr>
        <w:t>הסולק</w:t>
      </w:r>
      <w:proofErr w:type="spellEnd"/>
      <w:r w:rsidR="00755399" w:rsidRPr="00B943CC">
        <w:rPr>
          <w:rFonts w:ascii="David" w:eastAsiaTheme="minorEastAsia" w:hAnsi="David" w:cs="David"/>
          <w:sz w:val="24"/>
          <w:szCs w:val="24"/>
          <w:rtl/>
        </w:rPr>
        <w:t xml:space="preserve"> לפעילות בארץ</w:t>
      </w:r>
      <w:r w:rsidR="007D4046" w:rsidRPr="00B943CC">
        <w:rPr>
          <w:rFonts w:ascii="David" w:eastAsiaTheme="minorEastAsia" w:hAnsi="David" w:cs="David"/>
          <w:sz w:val="24"/>
          <w:szCs w:val="24"/>
          <w:rtl/>
        </w:rPr>
        <w:t xml:space="preserve"> יתקצר</w:t>
      </w:r>
      <w:r w:rsidR="00C23AF4" w:rsidRPr="00B943CC">
        <w:rPr>
          <w:rStyle w:val="a5"/>
          <w:rFonts w:ascii="David" w:hAnsi="David" w:cs="David"/>
          <w:sz w:val="24"/>
          <w:szCs w:val="24"/>
          <w:rtl/>
        </w:rPr>
        <w:footnoteReference w:id="4"/>
      </w:r>
      <w:r w:rsidR="001E6284" w:rsidRPr="00B943CC">
        <w:rPr>
          <w:rFonts w:ascii="David" w:eastAsiaTheme="minorEastAsia" w:hAnsi="David" w:cs="David"/>
          <w:sz w:val="28"/>
          <w:szCs w:val="28"/>
          <w:rtl/>
        </w:rPr>
        <w:t>.</w:t>
      </w:r>
      <w:r w:rsidR="000E10B9" w:rsidRPr="00B943CC">
        <w:rPr>
          <w:rFonts w:ascii="David" w:eastAsiaTheme="minorEastAsia" w:hAnsi="David" w:cs="David"/>
          <w:sz w:val="24"/>
          <w:szCs w:val="24"/>
          <w:rtl/>
        </w:rPr>
        <w:t xml:space="preserve"> </w:t>
      </w:r>
    </w:p>
    <w:p w:rsidR="00B30341" w:rsidRPr="00B943CC" w:rsidRDefault="008D1876" w:rsidP="001E6284">
      <w:pPr>
        <w:spacing w:line="360" w:lineRule="auto"/>
        <w:ind w:left="-341"/>
        <w:jc w:val="both"/>
        <w:rPr>
          <w:rFonts w:ascii="David" w:eastAsiaTheme="minorEastAsia" w:hAnsi="David" w:cs="David"/>
          <w:sz w:val="24"/>
          <w:szCs w:val="24"/>
        </w:rPr>
      </w:pPr>
      <w:r w:rsidRPr="00B943CC">
        <w:rPr>
          <w:rFonts w:ascii="David" w:eastAsiaTheme="minorEastAsia" w:hAnsi="David" w:cs="David"/>
          <w:b/>
          <w:bCs/>
          <w:sz w:val="24"/>
          <w:szCs w:val="24"/>
          <w:rtl/>
        </w:rPr>
        <w:lastRenderedPageBreak/>
        <w:t>מנהל מחלקת תשלומים וסליקה, מר עודד סלומי</w:t>
      </w:r>
      <w:r w:rsidR="00523160" w:rsidRPr="00B943CC">
        <w:rPr>
          <w:rFonts w:ascii="David" w:eastAsiaTheme="minorEastAsia" w:hAnsi="David" w:cs="David"/>
          <w:b/>
          <w:bCs/>
          <w:sz w:val="24"/>
          <w:szCs w:val="24"/>
          <w:rtl/>
        </w:rPr>
        <w:t>:</w:t>
      </w:r>
      <w:r w:rsidR="00523160" w:rsidRPr="00B943CC">
        <w:rPr>
          <w:rFonts w:ascii="David" w:eastAsiaTheme="minorEastAsia" w:hAnsi="David" w:cs="David"/>
          <w:sz w:val="24"/>
          <w:szCs w:val="24"/>
          <w:rtl/>
        </w:rPr>
        <w:t xml:space="preserve"> "</w:t>
      </w:r>
      <w:r w:rsidR="0090450F" w:rsidRPr="00B943CC">
        <w:rPr>
          <w:rFonts w:ascii="David" w:eastAsiaTheme="minorEastAsia" w:hAnsi="David" w:cs="David"/>
          <w:sz w:val="24"/>
          <w:szCs w:val="24"/>
          <w:rtl/>
        </w:rPr>
        <w:t>אנו עדים במהלך תקופת החירום כי גורמים שונים בעולם מבקשים להיעזר בתשתיות של חברות טכנולוגיה בינלאומיות להעברת כספים ותרומות לגורמים בישראל, כמו לעמותות המגישות עזרה לחיילים, למפונים ולציבור, ולמשפחות המושפעות מהמצב הביטחוני.</w:t>
      </w:r>
      <w:r w:rsidR="00704608" w:rsidRPr="00B943CC">
        <w:rPr>
          <w:rFonts w:ascii="David" w:eastAsiaTheme="minorEastAsia" w:hAnsi="David" w:cs="David"/>
          <w:sz w:val="24"/>
          <w:szCs w:val="24"/>
          <w:rtl/>
        </w:rPr>
        <w:t xml:space="preserve"> </w:t>
      </w:r>
      <w:r w:rsidR="0090450F" w:rsidRPr="00B943CC">
        <w:rPr>
          <w:rFonts w:ascii="David" w:eastAsiaTheme="minorEastAsia" w:hAnsi="David" w:cs="David"/>
          <w:sz w:val="24"/>
          <w:szCs w:val="24"/>
          <w:rtl/>
        </w:rPr>
        <w:t xml:space="preserve">  פתיחת השוק לגופים בינלאומיים בתחום התשלומים, ופתיחתו </w:t>
      </w:r>
      <w:proofErr w:type="spellStart"/>
      <w:r w:rsidR="00704608" w:rsidRPr="00B943CC">
        <w:rPr>
          <w:rFonts w:ascii="David" w:eastAsiaTheme="minorEastAsia" w:hAnsi="David" w:cs="David"/>
          <w:sz w:val="24"/>
          <w:szCs w:val="24"/>
          <w:rtl/>
        </w:rPr>
        <w:t>ל</w:t>
      </w:r>
      <w:r w:rsidR="00E05BE4" w:rsidRPr="00B943CC">
        <w:rPr>
          <w:rFonts w:ascii="David" w:eastAsiaTheme="minorEastAsia" w:hAnsi="David" w:cs="David"/>
          <w:sz w:val="24"/>
          <w:szCs w:val="24"/>
          <w:rtl/>
        </w:rPr>
        <w:t>סולקים</w:t>
      </w:r>
      <w:proofErr w:type="spellEnd"/>
      <w:r w:rsidR="00E05BE4" w:rsidRPr="00B943CC">
        <w:rPr>
          <w:rFonts w:ascii="David" w:eastAsiaTheme="minorEastAsia" w:hAnsi="David" w:cs="David"/>
          <w:sz w:val="24"/>
          <w:szCs w:val="24"/>
          <w:rtl/>
        </w:rPr>
        <w:t xml:space="preserve"> בינלאומיים</w:t>
      </w:r>
      <w:r w:rsidR="00704608" w:rsidRPr="00B943CC">
        <w:rPr>
          <w:rFonts w:ascii="David" w:eastAsiaTheme="minorEastAsia" w:hAnsi="David" w:cs="David"/>
          <w:sz w:val="24"/>
          <w:szCs w:val="24"/>
          <w:rtl/>
        </w:rPr>
        <w:t xml:space="preserve"> באופן מהיר יותר מלוחות הזמנים הקבועים בחקיקה הקיימת</w:t>
      </w:r>
      <w:r w:rsidR="00AC7C1D" w:rsidRPr="00B943CC">
        <w:rPr>
          <w:rFonts w:ascii="David" w:eastAsiaTheme="minorEastAsia" w:hAnsi="David" w:cs="David"/>
          <w:sz w:val="24"/>
          <w:szCs w:val="24"/>
          <w:rtl/>
        </w:rPr>
        <w:t>,</w:t>
      </w:r>
      <w:r w:rsidR="00E05BE4" w:rsidRPr="00B943CC">
        <w:rPr>
          <w:rFonts w:ascii="David" w:eastAsiaTheme="minorEastAsia" w:hAnsi="David" w:cs="David"/>
          <w:sz w:val="24"/>
          <w:szCs w:val="24"/>
          <w:rtl/>
        </w:rPr>
        <w:t xml:space="preserve"> ת</w:t>
      </w:r>
      <w:r w:rsidR="0090450F" w:rsidRPr="00B943CC">
        <w:rPr>
          <w:rFonts w:ascii="David" w:eastAsiaTheme="minorEastAsia" w:hAnsi="David" w:cs="David"/>
          <w:sz w:val="24"/>
          <w:szCs w:val="24"/>
          <w:rtl/>
        </w:rPr>
        <w:t>גדיל את ה</w:t>
      </w:r>
      <w:r w:rsidR="00E05BE4" w:rsidRPr="00B943CC">
        <w:rPr>
          <w:rFonts w:ascii="David" w:eastAsiaTheme="minorEastAsia" w:hAnsi="David" w:cs="David"/>
          <w:sz w:val="24"/>
          <w:szCs w:val="24"/>
          <w:rtl/>
        </w:rPr>
        <w:t>היצע של שירותי תשלום חדשניים</w:t>
      </w:r>
      <w:r w:rsidR="0090450F" w:rsidRPr="00B943CC">
        <w:rPr>
          <w:rFonts w:ascii="David" w:eastAsiaTheme="minorEastAsia" w:hAnsi="David" w:cs="David"/>
          <w:sz w:val="24"/>
          <w:szCs w:val="24"/>
          <w:rtl/>
        </w:rPr>
        <w:t>,</w:t>
      </w:r>
      <w:r w:rsidR="00E05BE4" w:rsidRPr="00B943CC">
        <w:rPr>
          <w:rFonts w:ascii="David" w:eastAsiaTheme="minorEastAsia" w:hAnsi="David" w:cs="David"/>
          <w:sz w:val="24"/>
          <w:szCs w:val="24"/>
          <w:rtl/>
        </w:rPr>
        <w:t xml:space="preserve"> מגוונים </w:t>
      </w:r>
      <w:r w:rsidR="0090450F" w:rsidRPr="00B943CC">
        <w:rPr>
          <w:rFonts w:ascii="David" w:eastAsiaTheme="minorEastAsia" w:hAnsi="David" w:cs="David"/>
          <w:sz w:val="24"/>
          <w:szCs w:val="24"/>
          <w:rtl/>
        </w:rPr>
        <w:t xml:space="preserve">ומהירים </w:t>
      </w:r>
      <w:r w:rsidR="00E05BE4" w:rsidRPr="00B943CC">
        <w:rPr>
          <w:rFonts w:ascii="David" w:eastAsiaTheme="minorEastAsia" w:hAnsi="David" w:cs="David"/>
          <w:sz w:val="24"/>
          <w:szCs w:val="24"/>
          <w:rtl/>
        </w:rPr>
        <w:t>יותר</w:t>
      </w:r>
      <w:r w:rsidR="0090450F" w:rsidRPr="00B943CC">
        <w:rPr>
          <w:rFonts w:ascii="David" w:eastAsiaTheme="minorEastAsia" w:hAnsi="David" w:cs="David"/>
          <w:sz w:val="24"/>
          <w:szCs w:val="24"/>
          <w:rtl/>
        </w:rPr>
        <w:t>.</w:t>
      </w:r>
      <w:r w:rsidR="00704608" w:rsidRPr="00B943CC">
        <w:rPr>
          <w:rFonts w:ascii="David" w:eastAsiaTheme="minorEastAsia" w:hAnsi="David" w:cs="David"/>
          <w:sz w:val="24"/>
          <w:szCs w:val="24"/>
          <w:rtl/>
        </w:rPr>
        <w:t xml:space="preserve"> </w:t>
      </w:r>
      <w:r w:rsidR="00E05BE4" w:rsidRPr="00B943CC">
        <w:rPr>
          <w:rFonts w:ascii="David" w:eastAsiaTheme="minorEastAsia" w:hAnsi="David" w:cs="David"/>
          <w:sz w:val="24"/>
          <w:szCs w:val="24"/>
          <w:rtl/>
        </w:rPr>
        <w:t>בהמשך,</w:t>
      </w:r>
      <w:r w:rsidR="008D1A19" w:rsidRPr="00B943CC">
        <w:rPr>
          <w:rFonts w:ascii="David" w:eastAsiaTheme="minorEastAsia" w:hAnsi="David" w:cs="David"/>
          <w:sz w:val="24"/>
          <w:szCs w:val="24"/>
          <w:rtl/>
        </w:rPr>
        <w:t xml:space="preserve"> צעד זה י</w:t>
      </w:r>
      <w:r w:rsidR="00E05BE4" w:rsidRPr="00B943CC">
        <w:rPr>
          <w:rFonts w:ascii="David" w:eastAsiaTheme="minorEastAsia" w:hAnsi="David" w:cs="David"/>
          <w:sz w:val="24"/>
          <w:szCs w:val="24"/>
          <w:rtl/>
        </w:rPr>
        <w:t>קדם שירותים פיננס</w:t>
      </w:r>
      <w:r w:rsidR="007D4046" w:rsidRPr="00B943CC">
        <w:rPr>
          <w:rFonts w:ascii="David" w:eastAsiaTheme="minorEastAsia" w:hAnsi="David" w:cs="David"/>
          <w:sz w:val="24"/>
          <w:szCs w:val="24"/>
          <w:rtl/>
        </w:rPr>
        <w:t>י</w:t>
      </w:r>
      <w:r w:rsidR="00E05BE4" w:rsidRPr="00B943CC">
        <w:rPr>
          <w:rFonts w:ascii="David" w:eastAsiaTheme="minorEastAsia" w:hAnsi="David" w:cs="David"/>
          <w:sz w:val="24"/>
          <w:szCs w:val="24"/>
          <w:rtl/>
        </w:rPr>
        <w:t>ים נוספים שיתבססו על שירותי התשלום</w:t>
      </w:r>
      <w:r w:rsidR="00097D35" w:rsidRPr="00B943CC">
        <w:rPr>
          <w:rFonts w:ascii="David" w:eastAsiaTheme="minorEastAsia" w:hAnsi="David" w:cs="David"/>
          <w:sz w:val="24"/>
          <w:szCs w:val="24"/>
          <w:rtl/>
        </w:rPr>
        <w:t xml:space="preserve">. </w:t>
      </w:r>
      <w:proofErr w:type="spellStart"/>
      <w:r w:rsidR="00097D35" w:rsidRPr="00B943CC">
        <w:rPr>
          <w:rFonts w:ascii="David" w:eastAsiaTheme="minorEastAsia" w:hAnsi="David" w:cs="David"/>
          <w:sz w:val="24"/>
          <w:szCs w:val="24"/>
          <w:rtl/>
        </w:rPr>
        <w:t>סולקים</w:t>
      </w:r>
      <w:proofErr w:type="spellEnd"/>
      <w:r w:rsidR="00097D35" w:rsidRPr="00B943CC">
        <w:rPr>
          <w:rFonts w:ascii="David" w:eastAsiaTheme="minorEastAsia" w:hAnsi="David" w:cs="David"/>
          <w:sz w:val="24"/>
          <w:szCs w:val="24"/>
          <w:rtl/>
        </w:rPr>
        <w:t xml:space="preserve"> בינלאומיים שמעוניינים להתחיל לפעול בישראל מוזמנים לפנות</w:t>
      </w:r>
      <w:r w:rsidR="00977C8D" w:rsidRPr="00B943CC">
        <w:rPr>
          <w:rStyle w:val="a5"/>
          <w:rFonts w:ascii="David" w:hAnsi="David" w:cs="David"/>
          <w:rtl/>
        </w:rPr>
        <w:footnoteReference w:id="5"/>
      </w:r>
      <w:r w:rsidR="00097D35" w:rsidRPr="00B943CC">
        <w:rPr>
          <w:rFonts w:ascii="David" w:eastAsiaTheme="minorEastAsia" w:hAnsi="David" w:cs="David"/>
          <w:sz w:val="24"/>
          <w:szCs w:val="24"/>
          <w:rtl/>
        </w:rPr>
        <w:t xml:space="preserve"> אל אגף הפיקוח על מערכות התשלומים</w:t>
      </w:r>
      <w:r w:rsidR="00E05BE4" w:rsidRPr="00B943CC">
        <w:rPr>
          <w:rFonts w:ascii="David" w:eastAsiaTheme="minorEastAsia" w:hAnsi="David" w:cs="David"/>
          <w:sz w:val="24"/>
          <w:szCs w:val="24"/>
          <w:rtl/>
        </w:rPr>
        <w:t>".</w:t>
      </w:r>
    </w:p>
    <w:sectPr w:rsidR="00B30341" w:rsidRPr="00B943CC" w:rsidSect="00B943C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46" w:rsidRDefault="002E0346" w:rsidP="00A44FE0">
      <w:pPr>
        <w:spacing w:after="0" w:line="240" w:lineRule="auto"/>
      </w:pPr>
      <w:r>
        <w:separator/>
      </w:r>
    </w:p>
  </w:endnote>
  <w:endnote w:type="continuationSeparator" w:id="0">
    <w:p w:rsidR="002E0346" w:rsidRDefault="002E0346" w:rsidP="00A4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ssistant">
    <w:altName w:val="Times New Roman"/>
    <w:panose1 w:val="00000500000000000000"/>
    <w:charset w:val="00"/>
    <w:family w:val="auto"/>
    <w:pitch w:val="variable"/>
    <w:sig w:usb0="00000807" w:usb1="40000000" w:usb2="00000000" w:usb3="00000000" w:csb0="0000002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8A" w:rsidRDefault="0077088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8A" w:rsidRDefault="0077088A">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8A" w:rsidRDefault="0077088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46" w:rsidRDefault="002E0346" w:rsidP="00A44FE0">
      <w:pPr>
        <w:spacing w:after="0" w:line="240" w:lineRule="auto"/>
      </w:pPr>
      <w:r>
        <w:separator/>
      </w:r>
    </w:p>
  </w:footnote>
  <w:footnote w:type="continuationSeparator" w:id="0">
    <w:p w:rsidR="002E0346" w:rsidRDefault="002E0346" w:rsidP="00A44FE0">
      <w:pPr>
        <w:spacing w:after="0" w:line="240" w:lineRule="auto"/>
      </w:pPr>
      <w:r>
        <w:continuationSeparator/>
      </w:r>
    </w:p>
  </w:footnote>
  <w:footnote w:id="1">
    <w:p w:rsidR="00684E89" w:rsidRPr="00B943CC" w:rsidRDefault="00684E89" w:rsidP="00684E89">
      <w:pPr>
        <w:pStyle w:val="a3"/>
        <w:jc w:val="both"/>
        <w:rPr>
          <w:rFonts w:ascii="David" w:hAnsi="David" w:cs="David"/>
          <w:rtl/>
        </w:rPr>
      </w:pPr>
      <w:r w:rsidRPr="00B943CC">
        <w:rPr>
          <w:rStyle w:val="a5"/>
          <w:rFonts w:ascii="David" w:hAnsi="David" w:cs="David"/>
        </w:rPr>
        <w:footnoteRef/>
      </w:r>
      <w:r w:rsidRPr="00B943CC">
        <w:rPr>
          <w:rFonts w:ascii="David" w:hAnsi="David" w:cs="David"/>
          <w:rtl/>
        </w:rPr>
        <w:t xml:space="preserve"> "מדינה מוכרת" – בריטניה, מדינות האיחוד האירופי וארה"ב.</w:t>
      </w:r>
    </w:p>
  </w:footnote>
  <w:footnote w:id="2">
    <w:p w:rsidR="00771F1D" w:rsidRPr="00B943CC" w:rsidRDefault="00771F1D" w:rsidP="00771F1D">
      <w:pPr>
        <w:pStyle w:val="a3"/>
        <w:jc w:val="both"/>
        <w:rPr>
          <w:rFonts w:ascii="David" w:hAnsi="David" w:cs="David"/>
        </w:rPr>
      </w:pPr>
      <w:r w:rsidRPr="00B943CC">
        <w:rPr>
          <w:rStyle w:val="a5"/>
          <w:rFonts w:ascii="David" w:hAnsi="David" w:cs="David"/>
        </w:rPr>
        <w:footnoteRef/>
      </w:r>
      <w:r w:rsidRPr="00B943CC">
        <w:rPr>
          <w:rFonts w:ascii="David" w:hAnsi="David" w:cs="David"/>
          <w:rtl/>
        </w:rPr>
        <w:t xml:space="preserve"> המתווה הקודם לפתיחת מערכות התשלומים בישראל לנותני שירותי תשלום שאינם </w:t>
      </w:r>
      <w:proofErr w:type="spellStart"/>
      <w:r w:rsidRPr="00B943CC">
        <w:rPr>
          <w:rFonts w:ascii="David" w:hAnsi="David" w:cs="David"/>
          <w:rtl/>
        </w:rPr>
        <w:t>סולקים</w:t>
      </w:r>
      <w:proofErr w:type="spellEnd"/>
      <w:r w:rsidRPr="00B943CC">
        <w:rPr>
          <w:rFonts w:ascii="David" w:hAnsi="David" w:cs="David"/>
          <w:rtl/>
        </w:rPr>
        <w:t xml:space="preserve"> מפורסם באתר של בנק ישראל, בכתובת: </w:t>
      </w:r>
      <w:hyperlink r:id="rId1" w:history="1">
        <w:r w:rsidRPr="00B943CC">
          <w:rPr>
            <w:rStyle w:val="Hyperlink"/>
            <w:rFonts w:ascii="David" w:hAnsi="David" w:cs="David"/>
            <w:color w:val="auto"/>
          </w:rPr>
          <w:t>https://www.boi.org.il/publications/pressreleases/55538/</w:t>
        </w:r>
      </w:hyperlink>
      <w:r w:rsidRPr="00B943CC">
        <w:rPr>
          <w:rFonts w:ascii="David" w:hAnsi="David" w:cs="David"/>
          <w:rtl/>
        </w:rPr>
        <w:t>. המתווה הקודם לא חל על שירותי סליקה, מאחר שהוא מתבסס על הפטור של משרד האוצר מרישיון למתן שירות בנכס פיננסי. לפיכך, היות שרישיון סולק לא כפוף לפטור, הוא לא נכנס לתחולת המתווה הקודם.</w:t>
      </w:r>
    </w:p>
  </w:footnote>
  <w:footnote w:id="3">
    <w:p w:rsidR="002A3204" w:rsidRPr="00B943CC" w:rsidRDefault="002A3204" w:rsidP="001B70C1">
      <w:pPr>
        <w:pStyle w:val="a3"/>
        <w:rPr>
          <w:rFonts w:ascii="David" w:hAnsi="David" w:cs="David"/>
          <w:rtl/>
        </w:rPr>
      </w:pPr>
      <w:r w:rsidRPr="00B943CC">
        <w:rPr>
          <w:rStyle w:val="a5"/>
          <w:rFonts w:ascii="David" w:hAnsi="David" w:cs="David"/>
        </w:rPr>
        <w:footnoteRef/>
      </w:r>
      <w:r w:rsidRPr="00B943CC">
        <w:rPr>
          <w:rFonts w:ascii="David" w:hAnsi="David" w:cs="David"/>
          <w:rtl/>
        </w:rPr>
        <w:t xml:space="preserve"> חלף אישורים מהמאסדר המקומי</w:t>
      </w:r>
      <w:r w:rsidR="00DA76A5" w:rsidRPr="00B943CC">
        <w:rPr>
          <w:rFonts w:ascii="David" w:hAnsi="David" w:cs="David"/>
          <w:rtl/>
        </w:rPr>
        <w:t xml:space="preserve"> ועד למועד התחילה</w:t>
      </w:r>
      <w:r w:rsidR="008A2BC5" w:rsidRPr="00B943CC">
        <w:rPr>
          <w:rFonts w:ascii="David" w:hAnsi="David" w:cs="David"/>
          <w:rtl/>
        </w:rPr>
        <w:t xml:space="preserve"> </w:t>
      </w:r>
      <w:r w:rsidR="00DA76A5" w:rsidRPr="00B943CC">
        <w:rPr>
          <w:rFonts w:ascii="David" w:hAnsi="David" w:cs="David"/>
          <w:rtl/>
        </w:rPr>
        <w:t>של חוק הסדרת העיסוק בשירותי תשלום.</w:t>
      </w:r>
    </w:p>
  </w:footnote>
  <w:footnote w:id="4">
    <w:p w:rsidR="00C23AF4" w:rsidRPr="00B943CC" w:rsidRDefault="00C23AF4" w:rsidP="00AD371C">
      <w:pPr>
        <w:pStyle w:val="a3"/>
        <w:jc w:val="both"/>
        <w:rPr>
          <w:rFonts w:ascii="David" w:hAnsi="David" w:cs="David"/>
        </w:rPr>
      </w:pPr>
      <w:r w:rsidRPr="00B943CC">
        <w:rPr>
          <w:rStyle w:val="a5"/>
          <w:rFonts w:ascii="David" w:hAnsi="David" w:cs="David"/>
        </w:rPr>
        <w:footnoteRef/>
      </w:r>
      <w:r w:rsidRPr="00B943CC">
        <w:rPr>
          <w:rFonts w:ascii="David" w:hAnsi="David" w:cs="David"/>
          <w:rtl/>
        </w:rPr>
        <w:t xml:space="preserve"> יובהר כי עלייה של גוף לסביבת הניסוי צריכה להיות בסמוך</w:t>
      </w:r>
      <w:r w:rsidR="00530ECE" w:rsidRPr="00B943CC">
        <w:rPr>
          <w:rFonts w:ascii="David" w:hAnsi="David" w:cs="David"/>
          <w:rtl/>
        </w:rPr>
        <w:t xml:space="preserve"> </w:t>
      </w:r>
      <w:r w:rsidRPr="00B943CC">
        <w:rPr>
          <w:rFonts w:ascii="David" w:hAnsi="David" w:cs="David"/>
          <w:rtl/>
        </w:rPr>
        <w:t>לחלון הכניסה לסביבת הייצור</w:t>
      </w:r>
      <w:r w:rsidR="00530ECE" w:rsidRPr="00B943CC">
        <w:rPr>
          <w:rFonts w:ascii="David" w:hAnsi="David" w:cs="David"/>
          <w:rtl/>
        </w:rPr>
        <w:t xml:space="preserve"> (</w:t>
      </w:r>
      <w:r w:rsidR="00704608" w:rsidRPr="00B943CC">
        <w:rPr>
          <w:rFonts w:ascii="David" w:hAnsi="David" w:cs="David"/>
          <w:rtl/>
        </w:rPr>
        <w:t xml:space="preserve">עד </w:t>
      </w:r>
      <w:r w:rsidR="00530ECE" w:rsidRPr="00B943CC">
        <w:rPr>
          <w:rFonts w:ascii="David" w:hAnsi="David" w:cs="David"/>
          <w:rtl/>
        </w:rPr>
        <w:t>מספר חודשים לפני העלייה לייצור)</w:t>
      </w:r>
      <w:r w:rsidRPr="00B943CC">
        <w:rPr>
          <w:rFonts w:ascii="David" w:hAnsi="David" w:cs="David"/>
          <w:rtl/>
        </w:rPr>
        <w:t>. לפיכך, תתאפשר התקדמות בשלבים המקדימים לעלייה לסביבת הניסוי, גם לפני הגשת בקשה לרישיון, אולם כדי לעלות לסביבת הניסוי, יהיה צורך בהגשת בקשה לרישיון</w:t>
      </w:r>
      <w:r w:rsidR="00B922C6" w:rsidRPr="00B943CC">
        <w:rPr>
          <w:rFonts w:ascii="David" w:hAnsi="David" w:cs="David"/>
          <w:rtl/>
        </w:rPr>
        <w:t xml:space="preserve"> מקומי</w:t>
      </w:r>
      <w:r w:rsidRPr="00B943CC">
        <w:rPr>
          <w:rFonts w:ascii="David" w:hAnsi="David" w:cs="David"/>
          <w:rtl/>
        </w:rPr>
        <w:t xml:space="preserve">, </w:t>
      </w:r>
      <w:r w:rsidR="00771F1D" w:rsidRPr="00B943CC">
        <w:rPr>
          <w:rFonts w:ascii="David" w:hAnsi="David" w:cs="David"/>
          <w:rtl/>
        </w:rPr>
        <w:t xml:space="preserve">ובהיוועצות </w:t>
      </w:r>
      <w:r w:rsidR="003D45B5" w:rsidRPr="00B943CC">
        <w:rPr>
          <w:rFonts w:ascii="David" w:hAnsi="David" w:cs="David"/>
          <w:rtl/>
        </w:rPr>
        <w:t xml:space="preserve">עם </w:t>
      </w:r>
      <w:r w:rsidR="00B922C6" w:rsidRPr="00B943CC">
        <w:rPr>
          <w:rFonts w:ascii="David" w:hAnsi="David" w:cs="David"/>
          <w:rtl/>
        </w:rPr>
        <w:t>הרגולטור בישראל- לגבי מועד מתן הרישיון, כדי שיתאפשר לבחור חלון עליה לסביבת הניסוי שיהיה בסמוך לחלון העלי</w:t>
      </w:r>
      <w:r w:rsidR="00326262" w:rsidRPr="00B943CC">
        <w:rPr>
          <w:rFonts w:ascii="David" w:hAnsi="David" w:cs="David"/>
          <w:rtl/>
        </w:rPr>
        <w:t>י</w:t>
      </w:r>
      <w:r w:rsidR="00B922C6" w:rsidRPr="00B943CC">
        <w:rPr>
          <w:rFonts w:ascii="David" w:hAnsi="David" w:cs="David"/>
          <w:rtl/>
        </w:rPr>
        <w:t>ה לסביבת הייצור.</w:t>
      </w:r>
    </w:p>
  </w:footnote>
  <w:footnote w:id="5">
    <w:p w:rsidR="00977C8D" w:rsidRPr="00B943CC" w:rsidRDefault="00977C8D" w:rsidP="00F3721D">
      <w:pPr>
        <w:pStyle w:val="a3"/>
        <w:jc w:val="both"/>
        <w:rPr>
          <w:rFonts w:ascii="David" w:hAnsi="David" w:cs="David"/>
        </w:rPr>
      </w:pPr>
      <w:r w:rsidRPr="00B943CC">
        <w:rPr>
          <w:rStyle w:val="a5"/>
          <w:rFonts w:ascii="David" w:hAnsi="David" w:cs="David"/>
        </w:rPr>
        <w:footnoteRef/>
      </w:r>
      <w:r w:rsidRPr="00B943CC">
        <w:rPr>
          <w:rFonts w:ascii="David" w:hAnsi="David" w:cs="David"/>
          <w:rtl/>
        </w:rPr>
        <w:t xml:space="preserve"> הפניה יכולה להיעשות, בין היתר, באמצעות דואר אלקטרוני - </w:t>
      </w:r>
      <w:hyperlink r:id="rId2" w:history="1">
        <w:r w:rsidRPr="00B943CC">
          <w:rPr>
            <w:rStyle w:val="Hyperlink"/>
            <w:rFonts w:ascii="David" w:hAnsi="David" w:cs="David"/>
            <w:color w:val="auto"/>
          </w:rPr>
          <w:t>payments-oversight@boi.org.il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8A" w:rsidRDefault="0077088A">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8A" w:rsidRDefault="0077088A">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8A" w:rsidRDefault="0077088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5449B"/>
    <w:multiLevelType w:val="hybridMultilevel"/>
    <w:tmpl w:val="543A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05814"/>
    <w:multiLevelType w:val="hybridMultilevel"/>
    <w:tmpl w:val="4CA4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65400"/>
    <w:multiLevelType w:val="hybridMultilevel"/>
    <w:tmpl w:val="9C0E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41"/>
    <w:rsid w:val="00015C9D"/>
    <w:rsid w:val="00024A02"/>
    <w:rsid w:val="00027467"/>
    <w:rsid w:val="00045D8A"/>
    <w:rsid w:val="000476B1"/>
    <w:rsid w:val="00051CE8"/>
    <w:rsid w:val="00075D66"/>
    <w:rsid w:val="000806BA"/>
    <w:rsid w:val="00097D35"/>
    <w:rsid w:val="000A5591"/>
    <w:rsid w:val="000A77E8"/>
    <w:rsid w:val="000B2161"/>
    <w:rsid w:val="000E10B9"/>
    <w:rsid w:val="000E745E"/>
    <w:rsid w:val="000E7DE4"/>
    <w:rsid w:val="000F0417"/>
    <w:rsid w:val="000F2346"/>
    <w:rsid w:val="000F2702"/>
    <w:rsid w:val="000F27D0"/>
    <w:rsid w:val="000F52EF"/>
    <w:rsid w:val="00104CED"/>
    <w:rsid w:val="00106330"/>
    <w:rsid w:val="00115983"/>
    <w:rsid w:val="00127F92"/>
    <w:rsid w:val="00134339"/>
    <w:rsid w:val="00157478"/>
    <w:rsid w:val="00176169"/>
    <w:rsid w:val="0018210F"/>
    <w:rsid w:val="00182C73"/>
    <w:rsid w:val="00190348"/>
    <w:rsid w:val="001B70C1"/>
    <w:rsid w:val="001C2C4D"/>
    <w:rsid w:val="001D43FF"/>
    <w:rsid w:val="001E6284"/>
    <w:rsid w:val="001F77DD"/>
    <w:rsid w:val="00211626"/>
    <w:rsid w:val="00220F73"/>
    <w:rsid w:val="002210DD"/>
    <w:rsid w:val="00225F35"/>
    <w:rsid w:val="002367AE"/>
    <w:rsid w:val="00236A96"/>
    <w:rsid w:val="00247FDA"/>
    <w:rsid w:val="00250553"/>
    <w:rsid w:val="002821A2"/>
    <w:rsid w:val="00290A17"/>
    <w:rsid w:val="002927EA"/>
    <w:rsid w:val="002A3204"/>
    <w:rsid w:val="002A364E"/>
    <w:rsid w:val="002B0679"/>
    <w:rsid w:val="002B2CA4"/>
    <w:rsid w:val="002B77FA"/>
    <w:rsid w:val="002D37B9"/>
    <w:rsid w:val="002E0346"/>
    <w:rsid w:val="002F1BAC"/>
    <w:rsid w:val="003107BE"/>
    <w:rsid w:val="00311762"/>
    <w:rsid w:val="00323729"/>
    <w:rsid w:val="00326262"/>
    <w:rsid w:val="00334077"/>
    <w:rsid w:val="00344604"/>
    <w:rsid w:val="00350398"/>
    <w:rsid w:val="00353ED8"/>
    <w:rsid w:val="00357DE7"/>
    <w:rsid w:val="00357E9B"/>
    <w:rsid w:val="00361C5C"/>
    <w:rsid w:val="00365CF6"/>
    <w:rsid w:val="00367698"/>
    <w:rsid w:val="00381825"/>
    <w:rsid w:val="00390554"/>
    <w:rsid w:val="00390D7A"/>
    <w:rsid w:val="00394508"/>
    <w:rsid w:val="00394D12"/>
    <w:rsid w:val="00395651"/>
    <w:rsid w:val="003A46AD"/>
    <w:rsid w:val="003B57A1"/>
    <w:rsid w:val="003C2748"/>
    <w:rsid w:val="003D45B5"/>
    <w:rsid w:val="003D765C"/>
    <w:rsid w:val="003E103C"/>
    <w:rsid w:val="00407D20"/>
    <w:rsid w:val="00412C96"/>
    <w:rsid w:val="004151DC"/>
    <w:rsid w:val="00423C4E"/>
    <w:rsid w:val="004373D7"/>
    <w:rsid w:val="004520EF"/>
    <w:rsid w:val="0046004D"/>
    <w:rsid w:val="00461AC1"/>
    <w:rsid w:val="00477DBB"/>
    <w:rsid w:val="00490EF5"/>
    <w:rsid w:val="00493E37"/>
    <w:rsid w:val="00495B8E"/>
    <w:rsid w:val="004A2003"/>
    <w:rsid w:val="004A3013"/>
    <w:rsid w:val="004B0B4D"/>
    <w:rsid w:val="004C05BE"/>
    <w:rsid w:val="004C51B4"/>
    <w:rsid w:val="004D0BD2"/>
    <w:rsid w:val="004F1F94"/>
    <w:rsid w:val="00500644"/>
    <w:rsid w:val="005010F7"/>
    <w:rsid w:val="00505D53"/>
    <w:rsid w:val="005147BB"/>
    <w:rsid w:val="00515038"/>
    <w:rsid w:val="00516A40"/>
    <w:rsid w:val="005207C9"/>
    <w:rsid w:val="00522AC4"/>
    <w:rsid w:val="00523160"/>
    <w:rsid w:val="00530ECE"/>
    <w:rsid w:val="005457DF"/>
    <w:rsid w:val="005476F2"/>
    <w:rsid w:val="00556446"/>
    <w:rsid w:val="00585413"/>
    <w:rsid w:val="0059151B"/>
    <w:rsid w:val="005A6188"/>
    <w:rsid w:val="005A6B71"/>
    <w:rsid w:val="005C68B1"/>
    <w:rsid w:val="005D1106"/>
    <w:rsid w:val="005D1DDC"/>
    <w:rsid w:val="005F0E2A"/>
    <w:rsid w:val="005F13AA"/>
    <w:rsid w:val="005F4E51"/>
    <w:rsid w:val="005F591B"/>
    <w:rsid w:val="00616937"/>
    <w:rsid w:val="00630226"/>
    <w:rsid w:val="00663732"/>
    <w:rsid w:val="00684E89"/>
    <w:rsid w:val="00684EA1"/>
    <w:rsid w:val="006D58D6"/>
    <w:rsid w:val="006D76C6"/>
    <w:rsid w:val="006D7EEF"/>
    <w:rsid w:val="006E3408"/>
    <w:rsid w:val="006F5B90"/>
    <w:rsid w:val="006F75CE"/>
    <w:rsid w:val="0070211E"/>
    <w:rsid w:val="007039A0"/>
    <w:rsid w:val="00704608"/>
    <w:rsid w:val="00707552"/>
    <w:rsid w:val="00707648"/>
    <w:rsid w:val="00715F51"/>
    <w:rsid w:val="00717F06"/>
    <w:rsid w:val="00740841"/>
    <w:rsid w:val="00740B74"/>
    <w:rsid w:val="00741967"/>
    <w:rsid w:val="00753629"/>
    <w:rsid w:val="007543C9"/>
    <w:rsid w:val="00755399"/>
    <w:rsid w:val="0076007B"/>
    <w:rsid w:val="0077088A"/>
    <w:rsid w:val="00771F1D"/>
    <w:rsid w:val="007754D4"/>
    <w:rsid w:val="007761D8"/>
    <w:rsid w:val="00790941"/>
    <w:rsid w:val="007973D6"/>
    <w:rsid w:val="007A50DD"/>
    <w:rsid w:val="007A651A"/>
    <w:rsid w:val="007A6742"/>
    <w:rsid w:val="007B7859"/>
    <w:rsid w:val="007D4046"/>
    <w:rsid w:val="007D7C51"/>
    <w:rsid w:val="007E410E"/>
    <w:rsid w:val="007F3920"/>
    <w:rsid w:val="007F4B16"/>
    <w:rsid w:val="007F60A6"/>
    <w:rsid w:val="007F6EF1"/>
    <w:rsid w:val="007F70E2"/>
    <w:rsid w:val="007F747D"/>
    <w:rsid w:val="00804612"/>
    <w:rsid w:val="00805CAB"/>
    <w:rsid w:val="00812046"/>
    <w:rsid w:val="00814974"/>
    <w:rsid w:val="00826356"/>
    <w:rsid w:val="00836B69"/>
    <w:rsid w:val="00867FD3"/>
    <w:rsid w:val="00881185"/>
    <w:rsid w:val="008A04AC"/>
    <w:rsid w:val="008A2BC5"/>
    <w:rsid w:val="008C2CD4"/>
    <w:rsid w:val="008D1876"/>
    <w:rsid w:val="008D1A19"/>
    <w:rsid w:val="008E530B"/>
    <w:rsid w:val="0090450F"/>
    <w:rsid w:val="00906350"/>
    <w:rsid w:val="00911A1B"/>
    <w:rsid w:val="009220FA"/>
    <w:rsid w:val="009233E2"/>
    <w:rsid w:val="00934B71"/>
    <w:rsid w:val="009353F9"/>
    <w:rsid w:val="00967FC5"/>
    <w:rsid w:val="00972870"/>
    <w:rsid w:val="0097448A"/>
    <w:rsid w:val="0097733B"/>
    <w:rsid w:val="00977C8D"/>
    <w:rsid w:val="00986375"/>
    <w:rsid w:val="00986B2E"/>
    <w:rsid w:val="009A03D4"/>
    <w:rsid w:val="009B257D"/>
    <w:rsid w:val="009C1DBB"/>
    <w:rsid w:val="009C51B6"/>
    <w:rsid w:val="009D475B"/>
    <w:rsid w:val="009F08CC"/>
    <w:rsid w:val="00A043B7"/>
    <w:rsid w:val="00A0511C"/>
    <w:rsid w:val="00A058F0"/>
    <w:rsid w:val="00A0712E"/>
    <w:rsid w:val="00A172F4"/>
    <w:rsid w:val="00A2221E"/>
    <w:rsid w:val="00A25F3C"/>
    <w:rsid w:val="00A32483"/>
    <w:rsid w:val="00A334A4"/>
    <w:rsid w:val="00A35E90"/>
    <w:rsid w:val="00A44FE0"/>
    <w:rsid w:val="00A53767"/>
    <w:rsid w:val="00A575CB"/>
    <w:rsid w:val="00A63EDA"/>
    <w:rsid w:val="00A73C01"/>
    <w:rsid w:val="00A82237"/>
    <w:rsid w:val="00A9048F"/>
    <w:rsid w:val="00A91FCA"/>
    <w:rsid w:val="00AA4BC2"/>
    <w:rsid w:val="00AB0FED"/>
    <w:rsid w:val="00AB7D17"/>
    <w:rsid w:val="00AC7C1D"/>
    <w:rsid w:val="00AD2BAA"/>
    <w:rsid w:val="00AD371C"/>
    <w:rsid w:val="00AE4C38"/>
    <w:rsid w:val="00AF125E"/>
    <w:rsid w:val="00AF5C03"/>
    <w:rsid w:val="00B032A6"/>
    <w:rsid w:val="00B0556D"/>
    <w:rsid w:val="00B139F1"/>
    <w:rsid w:val="00B15701"/>
    <w:rsid w:val="00B21C38"/>
    <w:rsid w:val="00B30341"/>
    <w:rsid w:val="00B339B1"/>
    <w:rsid w:val="00B539E3"/>
    <w:rsid w:val="00B61488"/>
    <w:rsid w:val="00B65D4A"/>
    <w:rsid w:val="00B922C6"/>
    <w:rsid w:val="00B943CC"/>
    <w:rsid w:val="00BA6CA6"/>
    <w:rsid w:val="00BB46A3"/>
    <w:rsid w:val="00BB69F3"/>
    <w:rsid w:val="00BC484F"/>
    <w:rsid w:val="00BC6938"/>
    <w:rsid w:val="00BC7B6C"/>
    <w:rsid w:val="00BE6CA2"/>
    <w:rsid w:val="00BF0BCD"/>
    <w:rsid w:val="00C05241"/>
    <w:rsid w:val="00C14C54"/>
    <w:rsid w:val="00C23AF4"/>
    <w:rsid w:val="00C24BDA"/>
    <w:rsid w:val="00C47EC7"/>
    <w:rsid w:val="00C56B7D"/>
    <w:rsid w:val="00C6752A"/>
    <w:rsid w:val="00C75B03"/>
    <w:rsid w:val="00C82A88"/>
    <w:rsid w:val="00C853E4"/>
    <w:rsid w:val="00C941D3"/>
    <w:rsid w:val="00C9529C"/>
    <w:rsid w:val="00CC2245"/>
    <w:rsid w:val="00CC379C"/>
    <w:rsid w:val="00CE49E7"/>
    <w:rsid w:val="00CE6671"/>
    <w:rsid w:val="00CE6D99"/>
    <w:rsid w:val="00D059DF"/>
    <w:rsid w:val="00D14DE7"/>
    <w:rsid w:val="00D32866"/>
    <w:rsid w:val="00D54916"/>
    <w:rsid w:val="00D614CC"/>
    <w:rsid w:val="00D62BC9"/>
    <w:rsid w:val="00D675E7"/>
    <w:rsid w:val="00D74E0A"/>
    <w:rsid w:val="00D91722"/>
    <w:rsid w:val="00DA6742"/>
    <w:rsid w:val="00DA76A5"/>
    <w:rsid w:val="00DB3E8D"/>
    <w:rsid w:val="00DB657F"/>
    <w:rsid w:val="00DE4730"/>
    <w:rsid w:val="00DF13EB"/>
    <w:rsid w:val="00DF3978"/>
    <w:rsid w:val="00DF6C55"/>
    <w:rsid w:val="00E001D4"/>
    <w:rsid w:val="00E00BF7"/>
    <w:rsid w:val="00E05BE4"/>
    <w:rsid w:val="00E113A7"/>
    <w:rsid w:val="00E22484"/>
    <w:rsid w:val="00E47E18"/>
    <w:rsid w:val="00E70881"/>
    <w:rsid w:val="00E75010"/>
    <w:rsid w:val="00EB15AB"/>
    <w:rsid w:val="00ED1150"/>
    <w:rsid w:val="00ED3705"/>
    <w:rsid w:val="00ED7CF6"/>
    <w:rsid w:val="00EF0290"/>
    <w:rsid w:val="00EF0466"/>
    <w:rsid w:val="00F12FDC"/>
    <w:rsid w:val="00F36BF3"/>
    <w:rsid w:val="00F3721D"/>
    <w:rsid w:val="00F46729"/>
    <w:rsid w:val="00F503E2"/>
    <w:rsid w:val="00F52E66"/>
    <w:rsid w:val="00F653CE"/>
    <w:rsid w:val="00F66244"/>
    <w:rsid w:val="00F7316E"/>
    <w:rsid w:val="00F809C0"/>
    <w:rsid w:val="00FB3B5A"/>
    <w:rsid w:val="00FF28A1"/>
    <w:rsid w:val="00FF36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6D0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1E6284"/>
    <w:pPr>
      <w:bidi w:val="0"/>
      <w:spacing w:before="480" w:after="0" w:line="276" w:lineRule="auto"/>
      <w:contextualSpacing/>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4FE0"/>
    <w:pPr>
      <w:spacing w:after="0" w:line="240" w:lineRule="auto"/>
    </w:pPr>
    <w:rPr>
      <w:sz w:val="20"/>
      <w:szCs w:val="20"/>
    </w:rPr>
  </w:style>
  <w:style w:type="character" w:customStyle="1" w:styleId="a4">
    <w:name w:val="טקסט הערת שוליים תו"/>
    <w:basedOn w:val="a0"/>
    <w:link w:val="a3"/>
    <w:uiPriority w:val="99"/>
    <w:semiHidden/>
    <w:rsid w:val="00A44FE0"/>
    <w:rPr>
      <w:sz w:val="20"/>
      <w:szCs w:val="20"/>
    </w:rPr>
  </w:style>
  <w:style w:type="character" w:styleId="a5">
    <w:name w:val="footnote reference"/>
    <w:basedOn w:val="a0"/>
    <w:unhideWhenUsed/>
    <w:rsid w:val="00A44FE0"/>
    <w:rPr>
      <w:vertAlign w:val="superscript"/>
    </w:rPr>
  </w:style>
  <w:style w:type="character" w:styleId="a6">
    <w:name w:val="annotation reference"/>
    <w:basedOn w:val="a0"/>
    <w:uiPriority w:val="99"/>
    <w:semiHidden/>
    <w:unhideWhenUsed/>
    <w:rsid w:val="004C05BE"/>
    <w:rPr>
      <w:sz w:val="16"/>
      <w:szCs w:val="16"/>
    </w:rPr>
  </w:style>
  <w:style w:type="paragraph" w:styleId="a7">
    <w:name w:val="annotation text"/>
    <w:basedOn w:val="a"/>
    <w:link w:val="a8"/>
    <w:uiPriority w:val="99"/>
    <w:semiHidden/>
    <w:unhideWhenUsed/>
    <w:rsid w:val="004C05BE"/>
    <w:pPr>
      <w:spacing w:line="240" w:lineRule="auto"/>
    </w:pPr>
    <w:rPr>
      <w:sz w:val="20"/>
      <w:szCs w:val="20"/>
    </w:rPr>
  </w:style>
  <w:style w:type="character" w:customStyle="1" w:styleId="a8">
    <w:name w:val="טקסט הערה תו"/>
    <w:basedOn w:val="a0"/>
    <w:link w:val="a7"/>
    <w:uiPriority w:val="99"/>
    <w:semiHidden/>
    <w:rsid w:val="004C05BE"/>
    <w:rPr>
      <w:sz w:val="20"/>
      <w:szCs w:val="20"/>
    </w:rPr>
  </w:style>
  <w:style w:type="paragraph" w:styleId="a9">
    <w:name w:val="annotation subject"/>
    <w:basedOn w:val="a7"/>
    <w:next w:val="a7"/>
    <w:link w:val="aa"/>
    <w:uiPriority w:val="99"/>
    <w:semiHidden/>
    <w:unhideWhenUsed/>
    <w:rsid w:val="004C05BE"/>
    <w:rPr>
      <w:b/>
      <w:bCs/>
    </w:rPr>
  </w:style>
  <w:style w:type="character" w:customStyle="1" w:styleId="aa">
    <w:name w:val="נושא הערה תו"/>
    <w:basedOn w:val="a8"/>
    <w:link w:val="a9"/>
    <w:uiPriority w:val="99"/>
    <w:semiHidden/>
    <w:rsid w:val="004C05BE"/>
    <w:rPr>
      <w:b/>
      <w:bCs/>
      <w:sz w:val="20"/>
      <w:szCs w:val="20"/>
    </w:rPr>
  </w:style>
  <w:style w:type="paragraph" w:styleId="ab">
    <w:name w:val="Balloon Text"/>
    <w:basedOn w:val="a"/>
    <w:link w:val="ac"/>
    <w:uiPriority w:val="99"/>
    <w:semiHidden/>
    <w:unhideWhenUsed/>
    <w:rsid w:val="004C05BE"/>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4C05BE"/>
    <w:rPr>
      <w:rFonts w:ascii="Tahoma" w:hAnsi="Tahoma" w:cs="Tahoma"/>
      <w:sz w:val="18"/>
      <w:szCs w:val="18"/>
    </w:rPr>
  </w:style>
  <w:style w:type="character" w:styleId="Hyperlink">
    <w:name w:val="Hyperlink"/>
    <w:basedOn w:val="a0"/>
    <w:uiPriority w:val="99"/>
    <w:unhideWhenUsed/>
    <w:rsid w:val="00515038"/>
    <w:rPr>
      <w:color w:val="0563C1" w:themeColor="hyperlink"/>
      <w:u w:val="single"/>
    </w:rPr>
  </w:style>
  <w:style w:type="paragraph" w:styleId="ad">
    <w:name w:val="Revision"/>
    <w:hidden/>
    <w:uiPriority w:val="99"/>
    <w:semiHidden/>
    <w:rsid w:val="007D4046"/>
    <w:pPr>
      <w:spacing w:after="0" w:line="240" w:lineRule="auto"/>
    </w:pPr>
  </w:style>
  <w:style w:type="paragraph" w:styleId="ae">
    <w:name w:val="List Paragraph"/>
    <w:basedOn w:val="a"/>
    <w:uiPriority w:val="34"/>
    <w:qFormat/>
    <w:rsid w:val="00F46729"/>
    <w:pPr>
      <w:ind w:left="720"/>
      <w:contextualSpacing/>
    </w:pPr>
  </w:style>
  <w:style w:type="character" w:styleId="FollowedHyperlink">
    <w:name w:val="FollowedHyperlink"/>
    <w:basedOn w:val="a0"/>
    <w:uiPriority w:val="99"/>
    <w:semiHidden/>
    <w:unhideWhenUsed/>
    <w:rsid w:val="00A043B7"/>
    <w:rPr>
      <w:color w:val="954F72" w:themeColor="followedHyperlink"/>
      <w:u w:val="single"/>
    </w:rPr>
  </w:style>
  <w:style w:type="paragraph" w:styleId="af">
    <w:name w:val="header"/>
    <w:basedOn w:val="a"/>
    <w:link w:val="af0"/>
    <w:uiPriority w:val="99"/>
    <w:unhideWhenUsed/>
    <w:rsid w:val="001E6284"/>
    <w:pPr>
      <w:tabs>
        <w:tab w:val="center" w:pos="4153"/>
        <w:tab w:val="right" w:pos="8306"/>
      </w:tabs>
      <w:spacing w:after="0" w:line="240" w:lineRule="auto"/>
    </w:pPr>
  </w:style>
  <w:style w:type="character" w:customStyle="1" w:styleId="af0">
    <w:name w:val="כותרת עליונה תו"/>
    <w:basedOn w:val="a0"/>
    <w:link w:val="af"/>
    <w:uiPriority w:val="99"/>
    <w:rsid w:val="001E6284"/>
  </w:style>
  <w:style w:type="paragraph" w:styleId="af1">
    <w:name w:val="footer"/>
    <w:basedOn w:val="a"/>
    <w:link w:val="af2"/>
    <w:uiPriority w:val="99"/>
    <w:unhideWhenUsed/>
    <w:rsid w:val="001E6284"/>
    <w:pPr>
      <w:tabs>
        <w:tab w:val="center" w:pos="4153"/>
        <w:tab w:val="right" w:pos="8306"/>
      </w:tabs>
      <w:spacing w:after="0" w:line="240" w:lineRule="auto"/>
    </w:pPr>
  </w:style>
  <w:style w:type="character" w:customStyle="1" w:styleId="af2">
    <w:name w:val="כותרת תחתונה תו"/>
    <w:basedOn w:val="a0"/>
    <w:link w:val="af1"/>
    <w:uiPriority w:val="99"/>
    <w:rsid w:val="001E6284"/>
  </w:style>
  <w:style w:type="character" w:customStyle="1" w:styleId="10">
    <w:name w:val="כותרת 1 תו"/>
    <w:basedOn w:val="a0"/>
    <w:link w:val="1"/>
    <w:uiPriority w:val="9"/>
    <w:rsid w:val="001E6284"/>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82579">
      <w:bodyDiv w:val="1"/>
      <w:marLeft w:val="0"/>
      <w:marRight w:val="0"/>
      <w:marTop w:val="0"/>
      <w:marBottom w:val="0"/>
      <w:divBdr>
        <w:top w:val="none" w:sz="0" w:space="0" w:color="auto"/>
        <w:left w:val="none" w:sz="0" w:space="0" w:color="auto"/>
        <w:bottom w:val="none" w:sz="0" w:space="0" w:color="auto"/>
        <w:right w:val="none" w:sz="0" w:space="0" w:color="auto"/>
      </w:divBdr>
    </w:div>
    <w:div w:id="18733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payments-oversight@boi.org.il" TargetMode="External"/><Relationship Id="rId1" Type="http://schemas.openxmlformats.org/officeDocument/2006/relationships/hyperlink" Target="https://www.boi.org.il/publications/pressreleases/5553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2F4-BB7A-43C2-9985-F68E11C1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2072</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2023-11-19T07:28:00Z</dcterms:created>
  <dcterms:modified xsi:type="dcterms:W3CDTF">2023-11-19T07:29:00Z</dcterms:modified>
</cp:coreProperties>
</file>