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343"/>
        <w:gridCol w:w="2596"/>
        <w:gridCol w:w="3591"/>
      </w:tblGrid>
      <w:tr w:rsidR="007B0B92" w:rsidRPr="00620EDD" w:rsidTr="007B0B92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B92" w:rsidRPr="00564D56" w:rsidRDefault="007B0B92" w:rsidP="007B0B92">
            <w:pPr>
              <w:pStyle w:val="a7"/>
              <w:spacing w:line="360" w:lineRule="auto"/>
              <w:ind w:left="501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64D56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64D56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64D56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64D56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7B0B92" w:rsidRPr="00A67536" w:rsidRDefault="007B0B92" w:rsidP="007B0B92">
            <w:pPr>
              <w:pStyle w:val="a7"/>
              <w:spacing w:line="360" w:lineRule="auto"/>
              <w:ind w:left="501" w:right="-101"/>
              <w:jc w:val="center"/>
            </w:pPr>
            <w:r w:rsidRPr="00564D56">
              <w:rPr>
                <w:rFonts w:cs="David"/>
                <w:sz w:val="24"/>
                <w:szCs w:val="24"/>
                <w:rtl/>
              </w:rPr>
              <w:t>דו</w:t>
            </w:r>
            <w:r w:rsidRPr="00564D56">
              <w:rPr>
                <w:rFonts w:cs="David" w:hint="cs"/>
                <w:sz w:val="24"/>
                <w:szCs w:val="24"/>
                <w:rtl/>
              </w:rPr>
              <w:t>בר</w:t>
            </w:r>
            <w:r w:rsidRPr="00564D56">
              <w:rPr>
                <w:rFonts w:cs="David"/>
                <w:sz w:val="24"/>
                <w:szCs w:val="24"/>
                <w:rtl/>
              </w:rPr>
              <w:t>ות</w:t>
            </w:r>
            <w:r w:rsidRPr="00564D56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0B92" w:rsidRPr="00A67536" w:rsidRDefault="007B0B92" w:rsidP="007B0B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096D94" wp14:editId="1DBDA9D3">
                  <wp:extent cx="841248" cy="841248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59" cy="83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B92" w:rsidRPr="00A3441C" w:rsidRDefault="007B0B92" w:rsidP="007B0B92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3D1D3D">
              <w:rPr>
                <w:rFonts w:cs="David" w:hint="eastAsia"/>
                <w:rtl/>
              </w:rPr>
              <w:t>‏</w:t>
            </w:r>
            <w:r w:rsidRPr="00A3441C">
              <w:rPr>
                <w:rFonts w:cs="David" w:hint="cs"/>
                <w:sz w:val="24"/>
                <w:szCs w:val="24"/>
                <w:rtl/>
              </w:rPr>
              <w:t>ירושלים,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ט' באייר</w:t>
            </w:r>
            <w:r w:rsidRPr="00A3441C">
              <w:rPr>
                <w:rFonts w:cs="David"/>
                <w:sz w:val="24"/>
                <w:szCs w:val="24"/>
                <w:rtl/>
              </w:rPr>
              <w:t xml:space="preserve">, </w:t>
            </w:r>
            <w:r>
              <w:rPr>
                <w:rFonts w:cs="David" w:hint="cs"/>
                <w:sz w:val="24"/>
                <w:szCs w:val="24"/>
                <w:rtl/>
              </w:rPr>
              <w:t>תשפ"א</w:t>
            </w:r>
          </w:p>
          <w:p w:rsidR="007B0B92" w:rsidRPr="00620EDD" w:rsidRDefault="007B0B92" w:rsidP="007B0B92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21</w:t>
            </w:r>
            <w:r w:rsidRPr="00A3441C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באפריל</w:t>
            </w:r>
            <w:r w:rsidRPr="00A3441C">
              <w:rPr>
                <w:rFonts w:cs="David" w:hint="cs"/>
                <w:sz w:val="24"/>
                <w:szCs w:val="24"/>
                <w:rtl/>
              </w:rPr>
              <w:t xml:space="preserve"> 20</w:t>
            </w:r>
            <w:r>
              <w:rPr>
                <w:rFonts w:cs="David" w:hint="cs"/>
                <w:sz w:val="24"/>
                <w:szCs w:val="24"/>
                <w:rtl/>
              </w:rPr>
              <w:t>21</w:t>
            </w:r>
          </w:p>
        </w:tc>
      </w:tr>
    </w:tbl>
    <w:p w:rsidR="007B0B92" w:rsidRPr="007104F2" w:rsidRDefault="007B0B92" w:rsidP="007B0B92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:rsidR="007B0B92" w:rsidRPr="00341A16" w:rsidRDefault="007B0B92" w:rsidP="007B0B92">
      <w:pPr>
        <w:spacing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341A16">
        <w:rPr>
          <w:rFonts w:asciiTheme="minorBidi" w:hAnsiTheme="minorBidi" w:cs="David" w:hint="cs"/>
          <w:sz w:val="24"/>
          <w:szCs w:val="24"/>
          <w:rtl/>
        </w:rPr>
        <w:t>הודעה לעיתונות:</w:t>
      </w:r>
    </w:p>
    <w:p w:rsidR="001038C4" w:rsidRDefault="001038C4" w:rsidP="00757746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פעילות בכרטיסי חיוב בשנת 2020</w:t>
      </w:r>
      <w:r w:rsidR="004631BB">
        <w:rPr>
          <w:rFonts w:ascii="David" w:hAnsi="David" w:cs="David" w:hint="cs"/>
          <w:b/>
          <w:bCs/>
          <w:sz w:val="28"/>
          <w:szCs w:val="28"/>
          <w:rtl/>
        </w:rPr>
        <w:t xml:space="preserve"> ובמהלך משבר הקורונה </w:t>
      </w:r>
    </w:p>
    <w:p w:rsidR="00550ADF" w:rsidRDefault="00550ADF" w:rsidP="00145CBB">
      <w:pPr>
        <w:pStyle w:val="a7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סך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העסקאות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בכרטיסי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החיוב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בישראל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בשנת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2020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הסתכמו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ב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-347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מיליארד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ש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"ח,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ירידה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של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1.1% בהשוואה לשנת 2019.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זאת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כאשר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קצב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הגידול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הממוצע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בשלוש</w:t>
      </w:r>
      <w:r w:rsidR="00145CBB"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השנים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45CBB">
        <w:rPr>
          <w:rFonts w:ascii="David" w:hAnsi="David" w:cs="David" w:hint="cs"/>
          <w:b/>
          <w:bCs/>
          <w:sz w:val="24"/>
          <w:szCs w:val="24"/>
          <w:rtl/>
        </w:rPr>
        <w:t xml:space="preserve">שלפני-כן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היה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מעל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b/>
          <w:bCs/>
          <w:sz w:val="24"/>
          <w:szCs w:val="24"/>
          <w:rtl/>
        </w:rPr>
        <w:t>ל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>-8%</w:t>
      </w:r>
      <w:r w:rsidR="00757746">
        <w:rPr>
          <w:rFonts w:hint="cs"/>
          <w:b/>
          <w:bCs/>
          <w:sz w:val="28"/>
          <w:szCs w:val="28"/>
          <w:rtl/>
        </w:rPr>
        <w:t>.</w:t>
      </w:r>
    </w:p>
    <w:p w:rsidR="00C528DA" w:rsidRDefault="00C528DA" w:rsidP="007A6112">
      <w:pPr>
        <w:pStyle w:val="a7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A6112">
        <w:rPr>
          <w:rFonts w:ascii="David" w:hAnsi="David" w:cs="David"/>
          <w:b/>
          <w:bCs/>
          <w:sz w:val="24"/>
          <w:szCs w:val="24"/>
          <w:rtl/>
        </w:rPr>
        <w:t>קבוצת היישובים השייכת למחוז ירושלים חוותה את הירידה הגדולה ביותר בפעילות כרטיסי החיוב כתוצאה מהסגרים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שהוטלו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 w:rsidRPr="003E219C">
        <w:rPr>
          <w:rFonts w:ascii="David" w:hAnsi="David" w:cs="David"/>
          <w:b/>
          <w:bCs/>
          <w:sz w:val="24"/>
          <w:szCs w:val="24"/>
          <w:rtl/>
        </w:rPr>
        <w:t>הירידה הקטנה ביותר</w:t>
      </w:r>
      <w:r w:rsidRPr="00C528D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בפעילות נרשמה ב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>מחוז תל-</w:t>
      </w:r>
      <w:r>
        <w:rPr>
          <w:rFonts w:ascii="David" w:hAnsi="David" w:cs="David" w:hint="cs"/>
          <w:b/>
          <w:bCs/>
          <w:sz w:val="24"/>
          <w:szCs w:val="24"/>
          <w:rtl/>
        </w:rPr>
        <w:t>אביב</w:t>
      </w:r>
      <w:r w:rsidRPr="007A6112">
        <w:rPr>
          <w:rFonts w:ascii="David" w:hAnsi="David" w:cs="David"/>
          <w:b/>
          <w:bCs/>
          <w:sz w:val="24"/>
          <w:szCs w:val="24"/>
          <w:rtl/>
        </w:rPr>
        <w:t xml:space="preserve">. </w:t>
      </w:r>
    </w:p>
    <w:p w:rsidR="00C528DA" w:rsidRDefault="00C528DA" w:rsidP="007A6112">
      <w:pPr>
        <w:pStyle w:val="a7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A6112">
        <w:rPr>
          <w:rFonts w:ascii="David" w:hAnsi="David" w:cs="David"/>
          <w:b/>
          <w:bCs/>
          <w:sz w:val="24"/>
          <w:szCs w:val="24"/>
          <w:rtl/>
        </w:rPr>
        <w:t>בטווח שבין הסגרים ניכרת התאוששות ברמת העסקאות בכל המחוזות וזאת בהשוואה לרמת העסקאות בחודשים המקבילים בשנת 2019</w:t>
      </w:r>
      <w:r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4631BB" w:rsidRPr="007A6112" w:rsidRDefault="004631BB" w:rsidP="005F187F">
      <w:pPr>
        <w:pStyle w:val="a7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A6112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מחוזות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cs"/>
          <w:b/>
          <w:bCs/>
          <w:sz w:val="24"/>
          <w:szCs w:val="24"/>
          <w:rtl/>
        </w:rPr>
        <w:t>תל אביב</w:t>
      </w:r>
      <w:r w:rsidR="005762C7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5F187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762C7">
        <w:rPr>
          <w:rFonts w:ascii="David" w:hAnsi="David" w:cs="David" w:hint="cs"/>
          <w:b/>
          <w:bCs/>
          <w:sz w:val="24"/>
          <w:szCs w:val="24"/>
          <w:rtl/>
        </w:rPr>
        <w:t xml:space="preserve">ירושלים </w:t>
      </w:r>
      <w:r w:rsidR="005F187F">
        <w:rPr>
          <w:rFonts w:ascii="David" w:hAnsi="David" w:cs="David" w:hint="cs"/>
          <w:b/>
          <w:bCs/>
          <w:sz w:val="24"/>
          <w:szCs w:val="24"/>
          <w:rtl/>
        </w:rPr>
        <w:t>ומרכז</w:t>
      </w:r>
      <w:r w:rsidR="00C528DA" w:rsidRPr="007A61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המאופיינים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cs"/>
          <w:b/>
          <w:bCs/>
          <w:sz w:val="24"/>
          <w:szCs w:val="24"/>
          <w:rtl/>
        </w:rPr>
        <w:t xml:space="preserve">גם בשגרה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בשיעור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גבוה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של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עסקאות</w:t>
      </w:r>
      <w:r w:rsidR="00C528DA" w:rsidRPr="007A6112">
        <w:rPr>
          <w:rFonts w:ascii="David" w:hAnsi="David" w:cs="David" w:hint="cs"/>
          <w:b/>
          <w:bCs/>
          <w:sz w:val="24"/>
          <w:szCs w:val="24"/>
          <w:rtl/>
        </w:rPr>
        <w:t xml:space="preserve">  מרחוק (באופן מקוון או טלפוני),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חלה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עלייה ניכרת בתקופת הסגרים ברכישות </w:t>
      </w:r>
      <w:r w:rsidRPr="007A6112">
        <w:rPr>
          <w:rFonts w:ascii="David" w:hAnsi="David" w:cs="David" w:hint="cs"/>
          <w:b/>
          <w:bCs/>
          <w:sz w:val="24"/>
          <w:szCs w:val="24"/>
          <w:rtl/>
        </w:rPr>
        <w:t>אלו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עלייה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מתונה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יותר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התרחשה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בכל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יתר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528DA" w:rsidRPr="007A6112">
        <w:rPr>
          <w:rFonts w:ascii="David" w:hAnsi="David" w:cs="David" w:hint="eastAsia"/>
          <w:b/>
          <w:bCs/>
          <w:sz w:val="24"/>
          <w:szCs w:val="24"/>
          <w:rtl/>
        </w:rPr>
        <w:t>המחוזות</w:t>
      </w:r>
      <w:r w:rsidR="00C528DA" w:rsidRPr="007A6112">
        <w:rPr>
          <w:rFonts w:ascii="David" w:hAnsi="David" w:cs="David"/>
          <w:b/>
          <w:bCs/>
          <w:sz w:val="24"/>
          <w:szCs w:val="24"/>
          <w:rtl/>
        </w:rPr>
        <w:t>.</w:t>
      </w:r>
      <w:r w:rsidRPr="007A61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528DA" w:rsidRDefault="00C528DA" w:rsidP="007A611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F2D47" w:rsidRPr="00B820E9" w:rsidRDefault="007F2D47" w:rsidP="007F2D47">
      <w:pPr>
        <w:shd w:val="clear" w:color="auto" w:fill="FFFFFF"/>
        <w:spacing w:after="150" w:line="277" w:lineRule="atLeast"/>
        <w:ind w:left="360"/>
        <w:jc w:val="both"/>
        <w:rPr>
          <w:rFonts w:ascii="Arial" w:eastAsia="Times New Roman" w:hAnsi="Arial" w:cs="Arial"/>
          <w:sz w:val="23"/>
          <w:szCs w:val="23"/>
        </w:rPr>
      </w:pPr>
      <w:r w:rsidRPr="00B820E9">
        <w:rPr>
          <w:rFonts w:ascii="David" w:eastAsia="Times New Roman" w:hAnsi="David" w:cs="David"/>
          <w:sz w:val="24"/>
          <w:szCs w:val="24"/>
          <w:rtl/>
        </w:rPr>
        <w:t>מנהל מחלקת מערכות תשלומים וסליקה בבנק ישראל, מר עודד סלומי:</w:t>
      </w:r>
    </w:p>
    <w:p w:rsidR="00B820E9" w:rsidRPr="00B820E9" w:rsidRDefault="007B0B92" w:rsidP="007B0B92">
      <w:pPr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"במהלך המשבר</w:t>
      </w:r>
      <w:r w:rsidR="00CB163C">
        <w:rPr>
          <w:rFonts w:ascii="David" w:hAnsi="David" w:cs="David" w:hint="cs"/>
          <w:sz w:val="24"/>
          <w:szCs w:val="24"/>
          <w:rtl/>
        </w:rPr>
        <w:t xml:space="preserve"> רכישות שנעשות בדרך-כלל באופן</w:t>
      </w:r>
      <w:r>
        <w:rPr>
          <w:rFonts w:ascii="David" w:hAnsi="David" w:cs="David" w:hint="cs"/>
          <w:sz w:val="24"/>
          <w:szCs w:val="24"/>
          <w:rtl/>
        </w:rPr>
        <w:t xml:space="preserve"> פיזי, עם כרטיס חיוב בבית עסק,</w:t>
      </w:r>
      <w:r w:rsidR="00CB163C">
        <w:rPr>
          <w:rFonts w:ascii="David" w:hAnsi="David" w:cs="David" w:hint="cs"/>
          <w:sz w:val="24"/>
          <w:szCs w:val="24"/>
          <w:rtl/>
        </w:rPr>
        <w:t xml:space="preserve"> עברו </w:t>
      </w:r>
      <w:r w:rsidR="00757746">
        <w:rPr>
          <w:rFonts w:ascii="David" w:hAnsi="David" w:cs="David" w:hint="cs"/>
          <w:sz w:val="24"/>
          <w:szCs w:val="24"/>
          <w:rtl/>
        </w:rPr>
        <w:t>להתבצע</w:t>
      </w:r>
      <w:r w:rsidR="00CB163C">
        <w:rPr>
          <w:rFonts w:ascii="David" w:hAnsi="David" w:cs="David" w:hint="cs"/>
          <w:sz w:val="24"/>
          <w:szCs w:val="24"/>
          <w:rtl/>
        </w:rPr>
        <w:t xml:space="preserve"> דרך יי</w:t>
      </w:r>
      <w:r w:rsidR="00984497">
        <w:rPr>
          <w:rFonts w:ascii="David" w:hAnsi="David" w:cs="David" w:hint="cs"/>
          <w:sz w:val="24"/>
          <w:szCs w:val="24"/>
          <w:rtl/>
        </w:rPr>
        <w:t xml:space="preserve">שומון, אתר אינטרנט או טלפונית. </w:t>
      </w:r>
      <w:r w:rsidR="00CB163C">
        <w:rPr>
          <w:rFonts w:ascii="David" w:hAnsi="David" w:cs="David" w:hint="cs"/>
          <w:sz w:val="24"/>
          <w:szCs w:val="24"/>
          <w:rtl/>
        </w:rPr>
        <w:t>אמנם ראינו ירידות מהותיות במחזורים</w:t>
      </w:r>
      <w:r w:rsidR="009979D0">
        <w:rPr>
          <w:rFonts w:ascii="David" w:hAnsi="David" w:cs="David" w:hint="cs"/>
          <w:sz w:val="24"/>
          <w:szCs w:val="24"/>
          <w:rtl/>
        </w:rPr>
        <w:t xml:space="preserve"> בתקופות הסגרים</w:t>
      </w:r>
      <w:r w:rsidR="00CB163C">
        <w:rPr>
          <w:rFonts w:ascii="David" w:hAnsi="David" w:cs="David" w:hint="cs"/>
          <w:sz w:val="24"/>
          <w:szCs w:val="24"/>
          <w:rtl/>
        </w:rPr>
        <w:t xml:space="preserve">, אך המערכות אפשרו לתשלומים להמשיך להתרחש.  כשיצאנו מהסגרים, הרבה צרכנים </w:t>
      </w:r>
      <w:r w:rsidR="009979D0">
        <w:rPr>
          <w:rFonts w:ascii="David" w:hAnsi="David" w:cs="David" w:hint="cs"/>
          <w:sz w:val="24"/>
          <w:szCs w:val="24"/>
          <w:rtl/>
        </w:rPr>
        <w:t xml:space="preserve">שילמו </w:t>
      </w:r>
      <w:r w:rsidR="00CB163C">
        <w:rPr>
          <w:rFonts w:ascii="David" w:hAnsi="David" w:cs="David" w:hint="cs"/>
          <w:sz w:val="24"/>
          <w:szCs w:val="24"/>
          <w:rtl/>
        </w:rPr>
        <w:t xml:space="preserve">עם כרטיסי החיוב הפלסטיים </w:t>
      </w:r>
      <w:r w:rsidR="009979D0">
        <w:rPr>
          <w:rFonts w:ascii="David" w:hAnsi="David" w:cs="David" w:hint="cs"/>
          <w:sz w:val="24"/>
          <w:szCs w:val="24"/>
          <w:rtl/>
        </w:rPr>
        <w:t>בתשלום ללא מגע</w:t>
      </w:r>
      <w:r w:rsidR="00CB163C">
        <w:rPr>
          <w:rFonts w:ascii="David" w:hAnsi="David" w:cs="David" w:hint="cs"/>
          <w:sz w:val="24"/>
          <w:szCs w:val="24"/>
          <w:rtl/>
        </w:rPr>
        <w:t xml:space="preserve">, בעזרת טכנולוגיית ה </w:t>
      </w:r>
      <w:r w:rsidR="00CB163C">
        <w:rPr>
          <w:rFonts w:ascii="David" w:hAnsi="David" w:cs="David" w:hint="cs"/>
          <w:sz w:val="24"/>
          <w:szCs w:val="24"/>
        </w:rPr>
        <w:t>EMV</w:t>
      </w:r>
      <w:r w:rsidR="00CB163C">
        <w:rPr>
          <w:rFonts w:ascii="David" w:hAnsi="David" w:cs="David" w:hint="cs"/>
          <w:sz w:val="24"/>
          <w:szCs w:val="24"/>
          <w:rtl/>
        </w:rPr>
        <w:t xml:space="preserve"> החדשה שהובלנו את המשק להטמיע</w:t>
      </w:r>
      <w:r w:rsidR="00984497">
        <w:rPr>
          <w:rFonts w:ascii="David" w:hAnsi="David" w:cs="David" w:hint="cs"/>
          <w:sz w:val="24"/>
          <w:szCs w:val="24"/>
          <w:rtl/>
        </w:rPr>
        <w:t xml:space="preserve">. </w:t>
      </w:r>
      <w:r w:rsidR="009979D0">
        <w:rPr>
          <w:rFonts w:ascii="David" w:hAnsi="David" w:cs="David" w:hint="cs"/>
          <w:sz w:val="24"/>
          <w:szCs w:val="24"/>
          <w:rtl/>
        </w:rPr>
        <w:t>כך, מחזור כרטיסי החיוב בישראל בשנת 2020 ירד ב 1.1% בלבד, למר</w:t>
      </w:r>
      <w:r w:rsidR="00984497">
        <w:rPr>
          <w:rFonts w:ascii="David" w:hAnsi="David" w:cs="David" w:hint="cs"/>
          <w:sz w:val="24"/>
          <w:szCs w:val="24"/>
          <w:rtl/>
        </w:rPr>
        <w:t xml:space="preserve">ות הסגרים ולמרות משבר הקורונה. </w:t>
      </w:r>
      <w:r w:rsidR="00CB163C">
        <w:rPr>
          <w:rFonts w:ascii="David" w:hAnsi="David" w:cs="David" w:hint="cs"/>
          <w:sz w:val="24"/>
          <w:szCs w:val="24"/>
          <w:rtl/>
        </w:rPr>
        <w:t xml:space="preserve">לאורך כל הדרך </w:t>
      </w:r>
      <w:r w:rsidR="00B820E9" w:rsidRPr="00B820E9">
        <w:rPr>
          <w:rFonts w:ascii="David" w:hAnsi="David" w:cs="David"/>
          <w:sz w:val="24"/>
          <w:szCs w:val="24"/>
          <w:rtl/>
        </w:rPr>
        <w:t xml:space="preserve">בנק ישראל </w:t>
      </w:r>
      <w:r w:rsidR="00CB163C">
        <w:rPr>
          <w:rFonts w:ascii="David" w:hAnsi="David" w:cs="David" w:hint="cs"/>
          <w:sz w:val="24"/>
          <w:szCs w:val="24"/>
          <w:rtl/>
        </w:rPr>
        <w:t>פעל ו</w:t>
      </w:r>
      <w:r w:rsidR="00B820E9" w:rsidRPr="00B820E9">
        <w:rPr>
          <w:rFonts w:ascii="David" w:hAnsi="David" w:cs="David"/>
          <w:sz w:val="24"/>
          <w:szCs w:val="24"/>
          <w:rtl/>
        </w:rPr>
        <w:t>פועל רבות על מנת למנף את</w:t>
      </w:r>
      <w:r w:rsidR="00B820E9">
        <w:rPr>
          <w:rFonts w:ascii="David" w:hAnsi="David" w:cs="David"/>
          <w:sz w:val="24"/>
          <w:szCs w:val="24"/>
          <w:rtl/>
        </w:rPr>
        <w:t xml:space="preserve"> הנתונים הכמותיים הנאספים מכלל </w:t>
      </w:r>
      <w:r w:rsidR="00B820E9" w:rsidRPr="00B820E9">
        <w:rPr>
          <w:rFonts w:ascii="David" w:hAnsi="David" w:cs="David"/>
          <w:sz w:val="24"/>
          <w:szCs w:val="24"/>
          <w:rtl/>
        </w:rPr>
        <w:t xml:space="preserve">מערכות התשלומים המבוקרות </w:t>
      </w:r>
      <w:r w:rsidR="009979D0">
        <w:rPr>
          <w:rFonts w:ascii="David" w:hAnsi="David" w:cs="David" w:hint="cs"/>
          <w:sz w:val="24"/>
          <w:szCs w:val="24"/>
          <w:rtl/>
        </w:rPr>
        <w:t xml:space="preserve">במדינה, כדי </w:t>
      </w:r>
      <w:r w:rsidR="00B820E9" w:rsidRPr="00B820E9">
        <w:rPr>
          <w:rFonts w:ascii="David" w:hAnsi="David" w:cs="David"/>
          <w:sz w:val="24"/>
          <w:szCs w:val="24"/>
          <w:rtl/>
        </w:rPr>
        <w:t xml:space="preserve"> </w:t>
      </w:r>
      <w:r w:rsidR="009979D0">
        <w:rPr>
          <w:rFonts w:ascii="David" w:hAnsi="David" w:cs="David" w:hint="cs"/>
          <w:sz w:val="24"/>
          <w:szCs w:val="24"/>
          <w:rtl/>
        </w:rPr>
        <w:t>ל</w:t>
      </w:r>
      <w:r w:rsidR="00B820E9" w:rsidRPr="00B820E9">
        <w:rPr>
          <w:rFonts w:ascii="David" w:hAnsi="David" w:cs="David"/>
          <w:sz w:val="24"/>
          <w:szCs w:val="24"/>
          <w:rtl/>
        </w:rPr>
        <w:t xml:space="preserve">סייע בקבלת החלטות בתקופת המשבר. </w:t>
      </w:r>
      <w:r w:rsidR="00B820E9">
        <w:rPr>
          <w:rFonts w:ascii="David" w:hAnsi="David" w:cs="David" w:hint="cs"/>
          <w:sz w:val="24"/>
          <w:szCs w:val="24"/>
          <w:rtl/>
        </w:rPr>
        <w:t>"</w:t>
      </w:r>
    </w:p>
    <w:p w:rsidR="007F2D47" w:rsidRPr="00B820E9" w:rsidRDefault="007F2D47" w:rsidP="00B820E9">
      <w:pPr>
        <w:shd w:val="clear" w:color="auto" w:fill="FFFFFF"/>
        <w:spacing w:after="150" w:line="277" w:lineRule="atLeast"/>
        <w:ind w:left="360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</w:p>
    <w:p w:rsidR="007A6112" w:rsidRDefault="007A6112" w:rsidP="007A611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A6112" w:rsidRDefault="007A6112" w:rsidP="007A611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F0467B" w:rsidRDefault="00F0467B" w:rsidP="007A611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A6112" w:rsidRPr="007A6112" w:rsidRDefault="007A6112" w:rsidP="007A611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B0B92" w:rsidRDefault="007B0B92" w:rsidP="004832B7">
      <w:pPr>
        <w:rPr>
          <w:rFonts w:ascii="David" w:hAnsi="David" w:cs="David"/>
          <w:b/>
          <w:bCs/>
          <w:color w:val="000000" w:themeColor="text1"/>
          <w:sz w:val="26"/>
          <w:szCs w:val="26"/>
          <w:rtl/>
        </w:rPr>
      </w:pPr>
    </w:p>
    <w:p w:rsidR="001038C4" w:rsidRPr="007A6112" w:rsidRDefault="001038C4" w:rsidP="004832B7">
      <w:pPr>
        <w:rPr>
          <w:rFonts w:ascii="David" w:hAnsi="David" w:cs="David"/>
          <w:b/>
          <w:bCs/>
          <w:color w:val="000000" w:themeColor="text1"/>
          <w:sz w:val="26"/>
          <w:szCs w:val="26"/>
          <w:rtl/>
        </w:rPr>
      </w:pPr>
      <w:r w:rsidRPr="007A6112">
        <w:rPr>
          <w:rFonts w:ascii="David" w:hAnsi="David" w:cs="David" w:hint="cs"/>
          <w:b/>
          <w:bCs/>
          <w:color w:val="000000" w:themeColor="text1"/>
          <w:sz w:val="26"/>
          <w:szCs w:val="26"/>
          <w:rtl/>
        </w:rPr>
        <w:t>הקדמה</w:t>
      </w:r>
    </w:p>
    <w:p w:rsidR="004832B7" w:rsidRPr="007A6112" w:rsidRDefault="001038C4" w:rsidP="007A6112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</w:rPr>
      </w:pPr>
      <w:r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בניתוח להלן נבחנו היקפי הפעילות בכרטיסי החיוב בישראל בשנת 2020 </w:t>
      </w:r>
      <w:r w:rsidR="00A276A6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>בהשוואה</w:t>
      </w:r>
      <w:r w:rsidR="00A276A6" w:rsidRPr="007A6112">
        <w:rPr>
          <w:rFonts w:ascii="David" w:hAnsi="David" w:cs="David"/>
          <w:color w:val="000000" w:themeColor="text1"/>
          <w:sz w:val="24"/>
          <w:szCs w:val="24"/>
        </w:rPr>
        <w:t xml:space="preserve"> </w:t>
      </w:r>
      <w:r w:rsidR="00A276A6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>ל</w:t>
      </w:r>
      <w:r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סך </w:t>
      </w:r>
      <w:r w:rsidRPr="007A6112">
        <w:rPr>
          <w:rFonts w:ascii="David" w:hAnsi="David" w:cs="David" w:hint="eastAsia"/>
          <w:color w:val="000000" w:themeColor="text1"/>
          <w:sz w:val="24"/>
          <w:szCs w:val="24"/>
          <w:rtl/>
        </w:rPr>
        <w:t>הפעילות</w:t>
      </w:r>
      <w:r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color w:val="000000" w:themeColor="text1"/>
          <w:sz w:val="24"/>
          <w:szCs w:val="24"/>
          <w:rtl/>
        </w:rPr>
        <w:t>ביחס</w:t>
      </w:r>
      <w:r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לשנים</w:t>
      </w:r>
      <w:r w:rsidRPr="007A6112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Pr="007A6112">
        <w:rPr>
          <w:rFonts w:ascii="David" w:hAnsi="David" w:cs="David" w:hint="eastAsia"/>
          <w:color w:val="000000" w:themeColor="text1"/>
          <w:sz w:val="24"/>
          <w:szCs w:val="24"/>
          <w:rtl/>
        </w:rPr>
        <w:t>קודמות</w:t>
      </w:r>
      <w:r w:rsidR="004832B7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A276A6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>ובהשוואה ל</w:t>
      </w:r>
      <w:r w:rsidR="00DD5E79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>פעילות</w:t>
      </w:r>
      <w:r w:rsidR="004832B7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A276A6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בשנת 2019 </w:t>
      </w:r>
      <w:r w:rsidR="004832B7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>בכרטיסי חיוב</w:t>
      </w:r>
      <w:r w:rsidR="00DD5E79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לפי מחוזות</w:t>
      </w:r>
      <w:r w:rsidR="00A276A6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  <w:r w:rsidR="00DD5E79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105127" w:rsidRDefault="00105127" w:rsidP="004832B7">
      <w:pPr>
        <w:rPr>
          <w:rFonts w:ascii="David" w:hAnsi="David" w:cs="David"/>
          <w:b/>
          <w:bCs/>
          <w:color w:val="000000" w:themeColor="text1"/>
          <w:sz w:val="26"/>
          <w:szCs w:val="26"/>
          <w:rtl/>
        </w:rPr>
      </w:pPr>
    </w:p>
    <w:p w:rsidR="001038C4" w:rsidRPr="007A6112" w:rsidRDefault="001038C4" w:rsidP="004832B7">
      <w:pPr>
        <w:rPr>
          <w:rFonts w:ascii="David" w:hAnsi="David" w:cs="David"/>
          <w:b/>
          <w:bCs/>
          <w:color w:val="000000" w:themeColor="text1"/>
          <w:sz w:val="26"/>
          <w:szCs w:val="26"/>
          <w:rtl/>
        </w:rPr>
      </w:pPr>
      <w:r w:rsidRPr="007A6112">
        <w:rPr>
          <w:rFonts w:ascii="David" w:hAnsi="David" w:cs="David" w:hint="cs"/>
          <w:b/>
          <w:bCs/>
          <w:color w:val="000000" w:themeColor="text1"/>
          <w:sz w:val="26"/>
          <w:szCs w:val="26"/>
          <w:rtl/>
        </w:rPr>
        <w:t>נתונים</w:t>
      </w:r>
      <w:r w:rsidR="00BF50B8" w:rsidRPr="007A6112">
        <w:rPr>
          <w:rStyle w:val="aa"/>
          <w:rFonts w:ascii="David" w:hAnsi="David" w:cs="David"/>
          <w:color w:val="000000" w:themeColor="text1"/>
          <w:sz w:val="24"/>
          <w:szCs w:val="24"/>
          <w:rtl/>
        </w:rPr>
        <w:footnoteReference w:id="1"/>
      </w:r>
    </w:p>
    <w:p w:rsidR="00310200" w:rsidRPr="007A6112" w:rsidRDefault="001038C4" w:rsidP="00661876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נתוני כרטיסי החיוב </w:t>
      </w:r>
      <w:r w:rsidR="004832B7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המופיעים במסמך זה </w:t>
      </w:r>
      <w:r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>מייצגים סיכום חודשי של כלל העסקאות שבוצעו במסופי התשלום בבתי העסק בישראל בהתאם לכתובת רישום היישוב של בתי העסק. כלל הנתונים</w:t>
      </w:r>
      <w:r w:rsidR="004832B7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שבאמצעותם בוצע הניתוח מטה</w:t>
      </w:r>
      <w:r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משקפים את העסקאות שבוצעו בבתי עסק בתחומי ישראל בלבד</w:t>
      </w:r>
      <w:r w:rsidR="00A276A6" w:rsidRPr="007A6112">
        <w:rPr>
          <w:rStyle w:val="aa"/>
          <w:rFonts w:ascii="David" w:hAnsi="David" w:cs="David"/>
          <w:color w:val="000000" w:themeColor="text1"/>
          <w:sz w:val="24"/>
          <w:szCs w:val="24"/>
          <w:rtl/>
        </w:rPr>
        <w:footnoteReference w:id="2"/>
      </w:r>
      <w:r w:rsidR="00A276A6" w:rsidRPr="007A6112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</w:p>
    <w:p w:rsidR="004832B7" w:rsidRPr="007A6112" w:rsidRDefault="004832B7" w:rsidP="004832B7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</w:p>
    <w:p w:rsidR="001A16DA" w:rsidRPr="007A6112" w:rsidRDefault="001038C4" w:rsidP="007A6112">
      <w:pPr>
        <w:rPr>
          <w:rFonts w:ascii="David" w:hAnsi="David" w:cs="David"/>
          <w:b/>
          <w:bCs/>
          <w:color w:val="000000" w:themeColor="text1"/>
          <w:sz w:val="26"/>
          <w:szCs w:val="26"/>
        </w:rPr>
      </w:pPr>
      <w:r w:rsidRPr="007A6112">
        <w:rPr>
          <w:rFonts w:ascii="David" w:hAnsi="David" w:cs="David" w:hint="cs"/>
          <w:b/>
          <w:bCs/>
          <w:color w:val="000000" w:themeColor="text1"/>
          <w:sz w:val="26"/>
          <w:szCs w:val="26"/>
          <w:rtl/>
        </w:rPr>
        <w:t xml:space="preserve"> ניתוח הפעילות בכרטיסי חיוב בשנת 2020</w:t>
      </w:r>
    </w:p>
    <w:p w:rsidR="004832B7" w:rsidRPr="004832B7" w:rsidRDefault="004832B7" w:rsidP="00310200">
      <w:pPr>
        <w:spacing w:line="360" w:lineRule="auto"/>
        <w:jc w:val="both"/>
        <w:rPr>
          <w:rFonts w:ascii="David" w:hAnsi="David" w:cs="David"/>
          <w:noProof/>
          <w:color w:val="002060"/>
          <w:sz w:val="24"/>
          <w:szCs w:val="24"/>
          <w:u w:val="single"/>
          <w:rtl/>
        </w:rPr>
      </w:pPr>
      <w:r w:rsidRPr="007A6112">
        <w:rPr>
          <w:rFonts w:ascii="David" w:hAnsi="David" w:cs="David" w:hint="cs"/>
          <w:color w:val="000000" w:themeColor="text1"/>
          <w:sz w:val="24"/>
          <w:szCs w:val="24"/>
          <w:u w:val="single"/>
          <w:rtl/>
        </w:rPr>
        <w:t xml:space="preserve">סך </w:t>
      </w:r>
      <w:r w:rsidRPr="007A6112">
        <w:rPr>
          <w:rFonts w:ascii="David" w:hAnsi="David" w:cs="David" w:hint="eastAsia"/>
          <w:color w:val="000000" w:themeColor="text1"/>
          <w:sz w:val="24"/>
          <w:szCs w:val="24"/>
          <w:u w:val="single"/>
          <w:rtl/>
        </w:rPr>
        <w:t>הפעילות</w:t>
      </w:r>
      <w:r w:rsidRPr="007A6112">
        <w:rPr>
          <w:rFonts w:ascii="David" w:hAnsi="David" w:cs="David" w:hint="cs"/>
          <w:color w:val="000000" w:themeColor="text1"/>
          <w:sz w:val="24"/>
          <w:szCs w:val="24"/>
          <w:u w:val="single"/>
          <w:rtl/>
        </w:rPr>
        <w:t xml:space="preserve"> </w:t>
      </w:r>
      <w:r w:rsidRPr="007A6112">
        <w:rPr>
          <w:rFonts w:ascii="David" w:hAnsi="David" w:cs="David" w:hint="eastAsia"/>
          <w:color w:val="000000" w:themeColor="text1"/>
          <w:sz w:val="24"/>
          <w:szCs w:val="24"/>
          <w:u w:val="single"/>
          <w:rtl/>
        </w:rPr>
        <w:t>ביחס</w:t>
      </w:r>
      <w:r w:rsidRPr="007A6112">
        <w:rPr>
          <w:rFonts w:ascii="David" w:hAnsi="David" w:cs="David" w:hint="cs"/>
          <w:color w:val="000000" w:themeColor="text1"/>
          <w:sz w:val="24"/>
          <w:szCs w:val="24"/>
          <w:u w:val="single"/>
          <w:rtl/>
        </w:rPr>
        <w:t xml:space="preserve"> לשנים</w:t>
      </w:r>
      <w:r w:rsidRPr="007A6112">
        <w:rPr>
          <w:rFonts w:ascii="David" w:hAnsi="David" w:cs="David"/>
          <w:color w:val="000000" w:themeColor="text1"/>
          <w:sz w:val="24"/>
          <w:szCs w:val="24"/>
          <w:u w:val="single"/>
          <w:rtl/>
        </w:rPr>
        <w:t xml:space="preserve"> </w:t>
      </w:r>
      <w:r w:rsidRPr="007A6112">
        <w:rPr>
          <w:rFonts w:ascii="David" w:hAnsi="David" w:cs="David" w:hint="eastAsia"/>
          <w:color w:val="000000" w:themeColor="text1"/>
          <w:sz w:val="24"/>
          <w:szCs w:val="24"/>
          <w:u w:val="single"/>
          <w:rtl/>
        </w:rPr>
        <w:t>קודמות</w:t>
      </w:r>
      <w:r w:rsidRPr="007A6112">
        <w:rPr>
          <w:rFonts w:ascii="David" w:hAnsi="David" w:cs="David" w:hint="cs"/>
          <w:color w:val="000000" w:themeColor="text1"/>
          <w:sz w:val="24"/>
          <w:szCs w:val="24"/>
          <w:u w:val="single"/>
          <w:rtl/>
        </w:rPr>
        <w:t xml:space="preserve"> </w:t>
      </w:r>
    </w:p>
    <w:p w:rsidR="00A276A6" w:rsidRDefault="00A276A6" w:rsidP="00145CBB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 w:rsidRPr="00F92914">
        <w:rPr>
          <w:rFonts w:ascii="David" w:hAnsi="David" w:cs="David" w:hint="cs"/>
          <w:noProof/>
          <w:sz w:val="24"/>
          <w:szCs w:val="24"/>
          <w:rtl/>
        </w:rPr>
        <w:t xml:space="preserve">סך העסקאות בכרטיסי החיוב בישראל בשנת 2020 הסתכמו </w:t>
      </w:r>
      <w:r>
        <w:rPr>
          <w:rFonts w:ascii="David" w:hAnsi="David" w:cs="David" w:hint="cs"/>
          <w:noProof/>
          <w:sz w:val="24"/>
          <w:szCs w:val="24"/>
          <w:rtl/>
        </w:rPr>
        <w:t>ב-347</w:t>
      </w:r>
      <w:r w:rsidRPr="00F92914">
        <w:rPr>
          <w:rFonts w:ascii="David" w:hAnsi="David" w:cs="David" w:hint="cs"/>
          <w:noProof/>
          <w:sz w:val="24"/>
          <w:szCs w:val="24"/>
          <w:rtl/>
        </w:rPr>
        <w:t xml:space="preserve"> מיליארד </w:t>
      </w:r>
      <w:r>
        <w:rPr>
          <w:rFonts w:ascii="David" w:hAnsi="David" w:cs="David" w:hint="cs"/>
          <w:noProof/>
          <w:sz w:val="24"/>
          <w:szCs w:val="24"/>
          <w:rtl/>
        </w:rPr>
        <w:t>ש"ח,</w:t>
      </w:r>
      <w:r w:rsidRPr="00F92914">
        <w:rPr>
          <w:rFonts w:ascii="David" w:hAnsi="David" w:cs="David" w:hint="cs"/>
          <w:noProof/>
          <w:sz w:val="24"/>
          <w:szCs w:val="24"/>
          <w:rtl/>
        </w:rPr>
        <w:t xml:space="preserve"> וביחס לשנת 2019 חלה ירידה של </w:t>
      </w:r>
      <w:r>
        <w:rPr>
          <w:rFonts w:ascii="David" w:hAnsi="David" w:cs="David" w:hint="cs"/>
          <w:noProof/>
          <w:sz w:val="24"/>
          <w:szCs w:val="24"/>
          <w:rtl/>
        </w:rPr>
        <w:t>1.1%</w:t>
      </w:r>
      <w:r w:rsidRPr="00F92914">
        <w:rPr>
          <w:rFonts w:ascii="David" w:hAnsi="David" w:cs="David" w:hint="cs"/>
          <w:noProof/>
          <w:sz w:val="24"/>
          <w:szCs w:val="24"/>
          <w:rtl/>
        </w:rPr>
        <w:t>.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זאת כאשר קצב הגידול הממוצע בשלוש</w:t>
      </w:r>
      <w:r w:rsidR="00145CBB">
        <w:rPr>
          <w:rFonts w:ascii="David" w:hAnsi="David" w:cs="David" w:hint="cs"/>
          <w:noProof/>
          <w:sz w:val="24"/>
          <w:szCs w:val="24"/>
          <w:rtl/>
        </w:rPr>
        <w:t>ת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השנים </w:t>
      </w:r>
      <w:r w:rsidR="00145CBB">
        <w:rPr>
          <w:rFonts w:ascii="David" w:hAnsi="David" w:cs="David" w:hint="cs"/>
          <w:noProof/>
          <w:sz w:val="24"/>
          <w:szCs w:val="24"/>
          <w:rtl/>
        </w:rPr>
        <w:t>שלפני-כן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היה מעל ל-8% (תרשים 1).</w:t>
      </w:r>
    </w:p>
    <w:p w:rsidR="007A6112" w:rsidRDefault="00105127" w:rsidP="00105127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68F7F460">
            <wp:extent cx="5273675" cy="2962910"/>
            <wp:effectExtent l="0" t="0" r="3175" b="889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2418" w:rsidRDefault="00C22418" w:rsidP="001038C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05127" w:rsidRDefault="00105127" w:rsidP="001038C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05127" w:rsidRDefault="00105127" w:rsidP="001038C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05127" w:rsidRDefault="00105127" w:rsidP="001038C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22DA2" w:rsidRDefault="00A276A6" w:rsidP="0010512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בבחינת </w:t>
      </w:r>
      <w:r w:rsidR="001038C4" w:rsidRPr="005A3F22">
        <w:rPr>
          <w:rFonts w:ascii="David" w:hAnsi="David" w:cs="David" w:hint="cs"/>
          <w:sz w:val="24"/>
          <w:szCs w:val="24"/>
          <w:rtl/>
        </w:rPr>
        <w:t>סך העסקאות בכרטיסי חיוב לפי חודשים משנת 201</w:t>
      </w:r>
      <w:r w:rsidR="008B0726">
        <w:rPr>
          <w:rFonts w:ascii="David" w:hAnsi="David" w:cs="David" w:hint="cs"/>
          <w:sz w:val="24"/>
          <w:szCs w:val="24"/>
          <w:rtl/>
        </w:rPr>
        <w:t>3</w:t>
      </w:r>
      <w:r w:rsidR="001038C4" w:rsidRPr="005A3F22">
        <w:rPr>
          <w:rFonts w:ascii="David" w:hAnsi="David" w:cs="David" w:hint="cs"/>
          <w:sz w:val="24"/>
          <w:szCs w:val="24"/>
          <w:rtl/>
        </w:rPr>
        <w:t xml:space="preserve"> </w:t>
      </w:r>
      <w:r w:rsidR="008B0726">
        <w:rPr>
          <w:rFonts w:ascii="David" w:hAnsi="David" w:cs="David" w:hint="cs"/>
          <w:sz w:val="24"/>
          <w:szCs w:val="24"/>
          <w:rtl/>
        </w:rPr>
        <w:t xml:space="preserve">ועד </w:t>
      </w:r>
      <w:r w:rsidR="001038C4" w:rsidRPr="005A3F22">
        <w:rPr>
          <w:rFonts w:ascii="David" w:hAnsi="David" w:cs="David" w:hint="cs"/>
          <w:sz w:val="24"/>
          <w:szCs w:val="24"/>
          <w:rtl/>
        </w:rPr>
        <w:t>לשנת 2020</w:t>
      </w:r>
      <w:r w:rsidR="001038C4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עולה כי</w:t>
      </w:r>
      <w:r w:rsidR="001038C4">
        <w:rPr>
          <w:rFonts w:ascii="David" w:hAnsi="David" w:cs="David" w:hint="cs"/>
          <w:sz w:val="24"/>
          <w:szCs w:val="24"/>
          <w:rtl/>
        </w:rPr>
        <w:t xml:space="preserve"> </w:t>
      </w:r>
      <w:r w:rsidR="001038C4" w:rsidRPr="005A3F22">
        <w:rPr>
          <w:rFonts w:ascii="David" w:hAnsi="David" w:cs="David" w:hint="cs"/>
          <w:sz w:val="24"/>
          <w:szCs w:val="24"/>
          <w:rtl/>
        </w:rPr>
        <w:t>בשיאו של הסגר הראשון (אפריל 2020) נצפתה הירידה הגבו</w:t>
      </w:r>
      <w:r w:rsidR="00AF1DEF">
        <w:rPr>
          <w:rFonts w:ascii="David" w:hAnsi="David" w:cs="David" w:hint="cs"/>
          <w:sz w:val="24"/>
          <w:szCs w:val="24"/>
          <w:rtl/>
        </w:rPr>
        <w:t>ה</w:t>
      </w:r>
      <w:r w:rsidR="001038C4" w:rsidRPr="005A3F22">
        <w:rPr>
          <w:rFonts w:ascii="David" w:hAnsi="David" w:cs="David" w:hint="cs"/>
          <w:sz w:val="24"/>
          <w:szCs w:val="24"/>
          <w:rtl/>
        </w:rPr>
        <w:t>ה ביותר בפעילות בכל שנת 2020</w:t>
      </w:r>
      <w:r w:rsidR="001038C4">
        <w:rPr>
          <w:rFonts w:ascii="David" w:hAnsi="David" w:cs="David" w:hint="cs"/>
          <w:sz w:val="24"/>
          <w:szCs w:val="24"/>
          <w:rtl/>
        </w:rPr>
        <w:t>,</w:t>
      </w:r>
      <w:r w:rsidR="001038C4" w:rsidRPr="005A3F22">
        <w:rPr>
          <w:rFonts w:ascii="David" w:hAnsi="David" w:cs="David" w:hint="cs"/>
          <w:sz w:val="24"/>
          <w:szCs w:val="24"/>
          <w:rtl/>
        </w:rPr>
        <w:t xml:space="preserve"> </w:t>
      </w:r>
      <w:r w:rsidR="001038C4">
        <w:rPr>
          <w:rFonts w:ascii="David" w:hAnsi="David" w:cs="David" w:hint="cs"/>
          <w:sz w:val="24"/>
          <w:szCs w:val="24"/>
          <w:rtl/>
        </w:rPr>
        <w:t>ו</w:t>
      </w:r>
      <w:r w:rsidR="001038C4" w:rsidRPr="005A3F22">
        <w:rPr>
          <w:rFonts w:ascii="David" w:hAnsi="David" w:cs="David" w:hint="cs"/>
          <w:sz w:val="24"/>
          <w:szCs w:val="24"/>
          <w:rtl/>
        </w:rPr>
        <w:t xml:space="preserve">בהשוואה לחודשי אפריל </w:t>
      </w:r>
      <w:r w:rsidR="001038C4">
        <w:rPr>
          <w:rFonts w:ascii="David" w:hAnsi="David" w:cs="David" w:hint="cs"/>
          <w:sz w:val="24"/>
          <w:szCs w:val="24"/>
          <w:rtl/>
        </w:rPr>
        <w:t>מ</w:t>
      </w:r>
      <w:r w:rsidR="001038C4" w:rsidRPr="005A3F22">
        <w:rPr>
          <w:rFonts w:ascii="David" w:hAnsi="David" w:cs="David" w:hint="cs"/>
          <w:sz w:val="24"/>
          <w:szCs w:val="24"/>
          <w:rtl/>
        </w:rPr>
        <w:t>שנים קודמות, רמת העסקאות בחודש אפריל 2020 דומה לרמת העסקאות שנצפתה בחודש אפריל 2015.</w:t>
      </w:r>
    </w:p>
    <w:p w:rsidR="001038C4" w:rsidRPr="005A3F22" w:rsidRDefault="001038C4" w:rsidP="00FF76D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A3F22">
        <w:rPr>
          <w:rFonts w:ascii="David" w:hAnsi="David" w:cs="David" w:hint="cs"/>
          <w:sz w:val="24"/>
          <w:szCs w:val="24"/>
          <w:rtl/>
        </w:rPr>
        <w:t xml:space="preserve">בתקופת הסגר השני (ספטמבר ואוקטובר 2020) </w:t>
      </w:r>
      <w:r w:rsidR="00FF76DB">
        <w:rPr>
          <w:rFonts w:ascii="David" w:hAnsi="David" w:cs="David" w:hint="cs"/>
          <w:sz w:val="24"/>
          <w:szCs w:val="24"/>
          <w:rtl/>
        </w:rPr>
        <w:t>נצפתה</w:t>
      </w:r>
      <w:r w:rsidRPr="005A3F22">
        <w:rPr>
          <w:rFonts w:ascii="David" w:hAnsi="David" w:cs="David" w:hint="cs"/>
          <w:sz w:val="24"/>
          <w:szCs w:val="24"/>
          <w:rtl/>
        </w:rPr>
        <w:t xml:space="preserve"> ירידה מתונה יותר בפעילות</w:t>
      </w:r>
      <w:r w:rsidR="00FF76DB">
        <w:rPr>
          <w:rFonts w:ascii="David" w:hAnsi="David" w:cs="David" w:hint="cs"/>
          <w:sz w:val="24"/>
          <w:szCs w:val="24"/>
          <w:rtl/>
        </w:rPr>
        <w:t xml:space="preserve"> בהשוואה לסגר הראשון</w:t>
      </w:r>
      <w:r w:rsidRPr="005A3F22">
        <w:rPr>
          <w:rFonts w:ascii="David" w:hAnsi="David" w:cs="David" w:hint="cs"/>
          <w:sz w:val="24"/>
          <w:szCs w:val="24"/>
          <w:rtl/>
        </w:rPr>
        <w:t>. רמת העסקאות ב</w:t>
      </w:r>
      <w:r w:rsidR="006F3E45">
        <w:rPr>
          <w:rFonts w:ascii="David" w:hAnsi="David" w:cs="David" w:hint="cs"/>
          <w:sz w:val="24"/>
          <w:szCs w:val="24"/>
          <w:rtl/>
        </w:rPr>
        <w:t>שיא</w:t>
      </w:r>
      <w:r w:rsidRPr="005A3F22">
        <w:rPr>
          <w:rFonts w:ascii="David" w:hAnsi="David" w:cs="David" w:hint="cs"/>
          <w:sz w:val="24"/>
          <w:szCs w:val="24"/>
          <w:rtl/>
        </w:rPr>
        <w:t xml:space="preserve"> הסגר השני בחודש אוקטובר 2020 דומה לרמת העסקאות שנצפתה בחודש אוקטובר </w:t>
      </w:r>
      <w:r>
        <w:rPr>
          <w:rFonts w:ascii="David" w:hAnsi="David" w:cs="David" w:hint="cs"/>
          <w:sz w:val="24"/>
          <w:szCs w:val="24"/>
          <w:rtl/>
        </w:rPr>
        <w:t>2017</w:t>
      </w:r>
      <w:r>
        <w:rPr>
          <w:rStyle w:val="aa"/>
          <w:rFonts w:ascii="David" w:hAnsi="David" w:cs="David"/>
          <w:sz w:val="24"/>
          <w:szCs w:val="24"/>
          <w:rtl/>
        </w:rPr>
        <w:footnoteReference w:id="3"/>
      </w:r>
      <w:r w:rsidR="00A276A6">
        <w:rPr>
          <w:rFonts w:ascii="David" w:hAnsi="David" w:cs="David" w:hint="cs"/>
          <w:sz w:val="24"/>
          <w:szCs w:val="24"/>
          <w:rtl/>
        </w:rPr>
        <w:t xml:space="preserve"> (</w:t>
      </w:r>
      <w:r w:rsidR="00A276A6" w:rsidRPr="00A276A6">
        <w:rPr>
          <w:rFonts w:ascii="David" w:hAnsi="David" w:cs="David"/>
          <w:sz w:val="24"/>
          <w:szCs w:val="24"/>
          <w:rtl/>
        </w:rPr>
        <w:t>תרשים 2</w:t>
      </w:r>
      <w:r w:rsidR="00A276A6"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1038C4" w:rsidRPr="00C52686" w:rsidRDefault="000F1CA2" w:rsidP="0001217D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ייתכן כי תוצאות אלו</w:t>
      </w:r>
      <w:r w:rsidR="0001493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F50B8" w:rsidRPr="00C52686">
        <w:rPr>
          <w:rFonts w:ascii="David" w:hAnsi="David" w:cs="David" w:hint="cs"/>
          <w:b/>
          <w:bCs/>
          <w:sz w:val="24"/>
          <w:szCs w:val="24"/>
          <w:rtl/>
        </w:rPr>
        <w:t>מעידות</w:t>
      </w:r>
      <w:r w:rsidR="006D19E7">
        <w:rPr>
          <w:rFonts w:ascii="David" w:hAnsi="David" w:cs="David" w:hint="cs"/>
          <w:b/>
          <w:bCs/>
          <w:sz w:val="24"/>
          <w:szCs w:val="24"/>
          <w:rtl/>
        </w:rPr>
        <w:t xml:space="preserve"> על </w:t>
      </w:r>
      <w:r w:rsidR="0001493C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1038C4" w:rsidRPr="001038C4">
        <w:rPr>
          <w:rFonts w:ascii="David" w:hAnsi="David" w:cs="David" w:hint="cs"/>
          <w:b/>
          <w:bCs/>
          <w:sz w:val="24"/>
          <w:szCs w:val="24"/>
          <w:rtl/>
        </w:rPr>
        <w:t>תאמות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038C4" w:rsidRPr="001038C4">
        <w:rPr>
          <w:rFonts w:ascii="David" w:hAnsi="David" w:cs="David" w:hint="cs"/>
          <w:b/>
          <w:bCs/>
          <w:sz w:val="24"/>
          <w:szCs w:val="24"/>
          <w:rtl/>
        </w:rPr>
        <w:t>שהצליח לעשות המשק</w:t>
      </w:r>
      <w:r w:rsidR="0001493C">
        <w:rPr>
          <w:rFonts w:ascii="David" w:hAnsi="David" w:cs="David" w:hint="cs"/>
          <w:b/>
          <w:bCs/>
          <w:sz w:val="24"/>
          <w:szCs w:val="24"/>
          <w:rtl/>
        </w:rPr>
        <w:t xml:space="preserve"> הישראלי, על מנת</w:t>
      </w:r>
      <w:r w:rsidR="008B0726">
        <w:rPr>
          <w:rFonts w:ascii="David" w:hAnsi="David" w:cs="David" w:hint="cs"/>
          <w:b/>
          <w:bCs/>
          <w:sz w:val="24"/>
          <w:szCs w:val="24"/>
          <w:rtl/>
        </w:rPr>
        <w:t xml:space="preserve"> להמשיך ולפעול בצל מגפת הקורונה ו</w:t>
      </w:r>
      <w:r w:rsidR="001038C4" w:rsidRPr="001038C4">
        <w:rPr>
          <w:rFonts w:ascii="David" w:hAnsi="David" w:cs="David" w:hint="cs"/>
          <w:b/>
          <w:bCs/>
          <w:sz w:val="24"/>
          <w:szCs w:val="24"/>
          <w:rtl/>
        </w:rPr>
        <w:t>מגבלות</w:t>
      </w:r>
      <w:r w:rsidR="0001493C">
        <w:rPr>
          <w:rFonts w:ascii="David" w:hAnsi="David" w:cs="David" w:hint="cs"/>
          <w:b/>
          <w:bCs/>
          <w:sz w:val="24"/>
          <w:szCs w:val="24"/>
          <w:rtl/>
        </w:rPr>
        <w:t>יה.</w:t>
      </w:r>
    </w:p>
    <w:p w:rsidR="001038C4" w:rsidRDefault="00C22418" w:rsidP="001038C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-584571</wp:posOffset>
            </wp:positionH>
            <wp:positionV relativeFrom="paragraph">
              <wp:posOffset>174221</wp:posOffset>
            </wp:positionV>
            <wp:extent cx="6007687" cy="3409216"/>
            <wp:effectExtent l="0" t="0" r="0" b="127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687" cy="3409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8C4" w:rsidRDefault="001038C4" w:rsidP="001038C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038C4" w:rsidRDefault="001038C4" w:rsidP="001038C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038C4" w:rsidRDefault="001038C4" w:rsidP="001038C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DD205B" w:rsidRDefault="00DD205B" w:rsidP="00612E55">
      <w:pPr>
        <w:spacing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DD205B" w:rsidRDefault="00DD205B" w:rsidP="00612E55">
      <w:pPr>
        <w:spacing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DD205B" w:rsidRDefault="00DD205B" w:rsidP="00612E55">
      <w:pPr>
        <w:spacing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DD205B" w:rsidRDefault="00DD205B" w:rsidP="00612E55">
      <w:pPr>
        <w:spacing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0F1CA2" w:rsidRDefault="000F1CA2" w:rsidP="00612E55">
      <w:pPr>
        <w:spacing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1F5EA2" w:rsidRDefault="001F5EA2" w:rsidP="00612E55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u w:val="single"/>
          <w:rtl/>
        </w:rPr>
      </w:pPr>
    </w:p>
    <w:p w:rsidR="001F5EA2" w:rsidRDefault="001F5EA2" w:rsidP="00612E55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u w:val="single"/>
          <w:rtl/>
        </w:rPr>
      </w:pPr>
    </w:p>
    <w:p w:rsidR="001F5EA2" w:rsidRDefault="001F5EA2" w:rsidP="00612E55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u w:val="single"/>
          <w:rtl/>
        </w:rPr>
      </w:pPr>
    </w:p>
    <w:p w:rsidR="001F5EA2" w:rsidRDefault="001F5EA2" w:rsidP="00612E55">
      <w:pPr>
        <w:spacing w:line="360" w:lineRule="auto"/>
        <w:jc w:val="both"/>
        <w:rPr>
          <w:rFonts w:ascii="David" w:hAnsi="David" w:cs="David"/>
          <w:color w:val="002060"/>
          <w:sz w:val="24"/>
          <w:szCs w:val="24"/>
          <w:u w:val="single"/>
          <w:rtl/>
        </w:rPr>
      </w:pPr>
    </w:p>
    <w:p w:rsidR="009A570A" w:rsidRDefault="009A570A" w:rsidP="00612E55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u w:val="single"/>
        </w:rPr>
      </w:pPr>
    </w:p>
    <w:p w:rsidR="009A570A" w:rsidRDefault="009A570A" w:rsidP="00612E55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u w:val="single"/>
        </w:rPr>
      </w:pPr>
    </w:p>
    <w:p w:rsidR="009A570A" w:rsidRDefault="009A570A" w:rsidP="00612E55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u w:val="single"/>
        </w:rPr>
      </w:pPr>
    </w:p>
    <w:p w:rsidR="009A570A" w:rsidRDefault="009A570A" w:rsidP="00612E55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u w:val="single"/>
        </w:rPr>
      </w:pPr>
    </w:p>
    <w:p w:rsidR="00612E55" w:rsidRPr="007A6112" w:rsidRDefault="00DD205B" w:rsidP="00612E55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u w:val="single"/>
          <w:rtl/>
        </w:rPr>
      </w:pPr>
      <w:r w:rsidRPr="007A6112">
        <w:rPr>
          <w:rFonts w:ascii="David" w:hAnsi="David" w:cs="David" w:hint="cs"/>
          <w:color w:val="000000" w:themeColor="text1"/>
          <w:sz w:val="24"/>
          <w:szCs w:val="24"/>
          <w:u w:val="single"/>
          <w:rtl/>
        </w:rPr>
        <w:t>עסקאות</w:t>
      </w:r>
      <w:r w:rsidR="001038C4" w:rsidRPr="007A6112">
        <w:rPr>
          <w:rFonts w:ascii="David" w:hAnsi="David" w:cs="David" w:hint="cs"/>
          <w:color w:val="000000" w:themeColor="text1"/>
          <w:sz w:val="24"/>
          <w:szCs w:val="24"/>
          <w:u w:val="single"/>
          <w:rtl/>
        </w:rPr>
        <w:t xml:space="preserve"> בכרטיסי חיוב לפי מחוזות בישראל</w:t>
      </w:r>
    </w:p>
    <w:p w:rsidR="00D12659" w:rsidRDefault="00661876" w:rsidP="00C2241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בבחינת </w:t>
      </w:r>
      <w:r w:rsidR="00612E55">
        <w:rPr>
          <w:rFonts w:ascii="David" w:hAnsi="David" w:cs="David" w:hint="cs"/>
          <w:sz w:val="24"/>
          <w:szCs w:val="24"/>
          <w:rtl/>
        </w:rPr>
        <w:t>סך העסקאות החודשי בכרטיסי חיוב בחלוקה למחוזות בישראל</w:t>
      </w:r>
      <w:r w:rsidR="00C22418">
        <w:rPr>
          <w:rFonts w:ascii="David" w:hAnsi="David" w:cs="David" w:hint="cs"/>
          <w:sz w:val="24"/>
          <w:szCs w:val="24"/>
          <w:rtl/>
        </w:rPr>
        <w:t xml:space="preserve"> </w:t>
      </w:r>
      <w:r w:rsidR="00612E55">
        <w:rPr>
          <w:rFonts w:ascii="David" w:hAnsi="David" w:cs="David" w:hint="cs"/>
          <w:sz w:val="24"/>
          <w:szCs w:val="24"/>
          <w:rtl/>
        </w:rPr>
        <w:t>עולה כי הירידות הגבוהות ביותר בפעילות</w:t>
      </w:r>
      <w:r w:rsidR="00D12659">
        <w:rPr>
          <w:rFonts w:ascii="David" w:hAnsi="David" w:cs="David" w:hint="cs"/>
          <w:sz w:val="24"/>
          <w:szCs w:val="24"/>
          <w:rtl/>
        </w:rPr>
        <w:t xml:space="preserve"> כרטיסי החיוב בסגר הראשון נצפו ב</w:t>
      </w:r>
      <w:r w:rsidR="000F1CA2">
        <w:rPr>
          <w:rFonts w:ascii="David" w:hAnsi="David" w:cs="David" w:hint="cs"/>
          <w:sz w:val="24"/>
          <w:szCs w:val="24"/>
          <w:rtl/>
        </w:rPr>
        <w:t>קבוצת ה</w:t>
      </w:r>
      <w:r w:rsidR="001A16DA">
        <w:rPr>
          <w:rFonts w:ascii="David" w:hAnsi="David" w:cs="David" w:hint="cs"/>
          <w:sz w:val="24"/>
          <w:szCs w:val="24"/>
          <w:rtl/>
        </w:rPr>
        <w:t xml:space="preserve">יישובים </w:t>
      </w:r>
      <w:r>
        <w:rPr>
          <w:rFonts w:ascii="David" w:hAnsi="David" w:cs="David" w:hint="cs"/>
          <w:sz w:val="24"/>
          <w:szCs w:val="24"/>
          <w:rtl/>
        </w:rPr>
        <w:t xml:space="preserve">השייכים </w:t>
      </w:r>
      <w:r w:rsidR="00D12659">
        <w:rPr>
          <w:rFonts w:ascii="David" w:hAnsi="David" w:cs="David" w:hint="cs"/>
          <w:sz w:val="24"/>
          <w:szCs w:val="24"/>
          <w:rtl/>
        </w:rPr>
        <w:t>ל</w:t>
      </w:r>
      <w:r w:rsidR="00612E55">
        <w:rPr>
          <w:rFonts w:ascii="David" w:hAnsi="David" w:cs="David" w:hint="cs"/>
          <w:sz w:val="24"/>
          <w:szCs w:val="24"/>
          <w:rtl/>
        </w:rPr>
        <w:t>מחוז</w:t>
      </w:r>
      <w:r w:rsidR="00D12659">
        <w:rPr>
          <w:rFonts w:ascii="David" w:hAnsi="David" w:cs="David" w:hint="cs"/>
          <w:sz w:val="24"/>
          <w:szCs w:val="24"/>
          <w:rtl/>
        </w:rPr>
        <w:t xml:space="preserve"> ירושלים (</w:t>
      </w:r>
      <w:r>
        <w:rPr>
          <w:rFonts w:ascii="David" w:hAnsi="David" w:cs="David" w:hint="cs"/>
          <w:sz w:val="24"/>
          <w:szCs w:val="24"/>
          <w:rtl/>
        </w:rPr>
        <w:t>כ-37%-</w:t>
      </w:r>
      <w:r w:rsidR="00D12659">
        <w:rPr>
          <w:rFonts w:ascii="David" w:hAnsi="David" w:cs="David" w:hint="cs"/>
          <w:sz w:val="24"/>
          <w:szCs w:val="24"/>
          <w:rtl/>
        </w:rPr>
        <w:t>) ו</w:t>
      </w:r>
      <w:r w:rsidR="001A16DA">
        <w:rPr>
          <w:rFonts w:ascii="David" w:hAnsi="David" w:cs="David" w:hint="cs"/>
          <w:sz w:val="24"/>
          <w:szCs w:val="24"/>
          <w:rtl/>
        </w:rPr>
        <w:t>בקבוצת היישובים השייכת ל</w:t>
      </w:r>
      <w:r w:rsidR="00D12659">
        <w:rPr>
          <w:rFonts w:ascii="David" w:hAnsi="David" w:cs="David" w:hint="cs"/>
          <w:sz w:val="24"/>
          <w:szCs w:val="24"/>
          <w:rtl/>
        </w:rPr>
        <w:t>מחוז חיפה (</w:t>
      </w:r>
      <w:r>
        <w:rPr>
          <w:rFonts w:ascii="David" w:hAnsi="David" w:cs="David" w:hint="cs"/>
          <w:sz w:val="24"/>
          <w:szCs w:val="24"/>
          <w:rtl/>
        </w:rPr>
        <w:t>כ-</w:t>
      </w:r>
      <w:r w:rsidR="007C3D71">
        <w:rPr>
          <w:rFonts w:ascii="David" w:hAnsi="David" w:cs="David" w:hint="cs"/>
          <w:sz w:val="24"/>
          <w:szCs w:val="24"/>
          <w:rtl/>
        </w:rPr>
        <w:t>30%-</w:t>
      </w:r>
      <w:r w:rsidR="00D12659">
        <w:rPr>
          <w:rFonts w:ascii="David" w:hAnsi="David" w:cs="David" w:hint="cs"/>
          <w:sz w:val="24"/>
          <w:szCs w:val="24"/>
          <w:rtl/>
        </w:rPr>
        <w:t>).</w:t>
      </w:r>
      <w:r w:rsidR="007C3D71">
        <w:rPr>
          <w:rFonts w:ascii="David" w:hAnsi="David" w:cs="David" w:hint="cs"/>
          <w:sz w:val="24"/>
          <w:szCs w:val="24"/>
          <w:rtl/>
        </w:rPr>
        <w:t xml:space="preserve"> ב</w:t>
      </w:r>
      <w:r w:rsidR="001A16DA">
        <w:rPr>
          <w:rFonts w:ascii="David" w:hAnsi="David" w:cs="David" w:hint="cs"/>
          <w:sz w:val="24"/>
          <w:szCs w:val="24"/>
          <w:rtl/>
        </w:rPr>
        <w:t xml:space="preserve">מחוז תל-אביב </w:t>
      </w:r>
      <w:r>
        <w:rPr>
          <w:rFonts w:ascii="David" w:hAnsi="David" w:cs="David" w:hint="cs"/>
          <w:sz w:val="24"/>
          <w:szCs w:val="24"/>
          <w:rtl/>
        </w:rPr>
        <w:t xml:space="preserve">והמרכז נצפו ירידות נמוכות יותר </w:t>
      </w:r>
      <w:r w:rsidR="001A16DA">
        <w:rPr>
          <w:rFonts w:ascii="David" w:hAnsi="David" w:cs="David" w:hint="cs"/>
          <w:sz w:val="24"/>
          <w:szCs w:val="24"/>
          <w:rtl/>
        </w:rPr>
        <w:t>(</w:t>
      </w:r>
      <w:r>
        <w:rPr>
          <w:rFonts w:ascii="David" w:hAnsi="David" w:cs="David" w:hint="cs"/>
          <w:sz w:val="24"/>
          <w:szCs w:val="24"/>
          <w:rtl/>
        </w:rPr>
        <w:t>כ-20%</w:t>
      </w:r>
      <w:r w:rsidR="00757746">
        <w:rPr>
          <w:rFonts w:ascii="David" w:hAnsi="David" w:cs="David" w:hint="cs"/>
          <w:sz w:val="24"/>
          <w:szCs w:val="24"/>
          <w:rtl/>
        </w:rPr>
        <w:t>-</w:t>
      </w:r>
      <w:r w:rsidR="001A16DA">
        <w:rPr>
          <w:rFonts w:ascii="David" w:hAnsi="David" w:cs="David" w:hint="cs"/>
          <w:sz w:val="24"/>
          <w:szCs w:val="24"/>
          <w:rtl/>
        </w:rPr>
        <w:t>)</w:t>
      </w:r>
      <w:r w:rsidR="00BF50B8">
        <w:rPr>
          <w:rFonts w:ascii="David" w:hAnsi="David" w:cs="David" w:hint="cs"/>
          <w:sz w:val="24"/>
          <w:szCs w:val="24"/>
          <w:rtl/>
        </w:rPr>
        <w:t>.</w:t>
      </w:r>
    </w:p>
    <w:p w:rsidR="007C3D71" w:rsidRDefault="00661876" w:rsidP="0066187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בסגר השני </w:t>
      </w:r>
      <w:r w:rsidR="007C3D71">
        <w:rPr>
          <w:rFonts w:ascii="David" w:hAnsi="David" w:cs="David" w:hint="cs"/>
          <w:sz w:val="24"/>
          <w:szCs w:val="24"/>
          <w:rtl/>
        </w:rPr>
        <w:t xml:space="preserve">הירידות הגבוהות ביותר בפעילות כרטיסי החיוב </w:t>
      </w:r>
      <w:r w:rsidR="001A16DA">
        <w:rPr>
          <w:rFonts w:ascii="David" w:hAnsi="David" w:cs="David" w:hint="cs"/>
          <w:sz w:val="24"/>
          <w:szCs w:val="24"/>
          <w:rtl/>
        </w:rPr>
        <w:t>נצפו ב</w:t>
      </w:r>
      <w:r w:rsidR="007C3D71">
        <w:rPr>
          <w:rFonts w:ascii="David" w:hAnsi="David" w:cs="David" w:hint="cs"/>
          <w:sz w:val="24"/>
          <w:szCs w:val="24"/>
          <w:rtl/>
        </w:rPr>
        <w:t xml:space="preserve">מחוז ירושלים </w:t>
      </w:r>
      <w:r>
        <w:rPr>
          <w:rFonts w:ascii="David" w:hAnsi="David" w:cs="David" w:hint="cs"/>
          <w:sz w:val="24"/>
          <w:szCs w:val="24"/>
          <w:rtl/>
        </w:rPr>
        <w:t>(כ-25%</w:t>
      </w:r>
      <w:r w:rsidR="007C3D71">
        <w:rPr>
          <w:rFonts w:ascii="David" w:hAnsi="David" w:cs="David" w:hint="cs"/>
          <w:sz w:val="24"/>
          <w:szCs w:val="24"/>
          <w:rtl/>
        </w:rPr>
        <w:t>-)</w:t>
      </w:r>
      <w:r>
        <w:rPr>
          <w:rFonts w:ascii="David" w:hAnsi="David" w:cs="David" w:hint="cs"/>
          <w:sz w:val="24"/>
          <w:szCs w:val="24"/>
          <w:rtl/>
        </w:rPr>
        <w:t>, בדומה לסגר הראשון,</w:t>
      </w:r>
      <w:r w:rsidR="007C3D71">
        <w:rPr>
          <w:rFonts w:ascii="David" w:hAnsi="David" w:cs="David" w:hint="cs"/>
          <w:sz w:val="24"/>
          <w:szCs w:val="24"/>
          <w:rtl/>
        </w:rPr>
        <w:t xml:space="preserve"> ו</w:t>
      </w:r>
      <w:r>
        <w:rPr>
          <w:rFonts w:ascii="David" w:hAnsi="David" w:cs="David" w:hint="cs"/>
          <w:sz w:val="24"/>
          <w:szCs w:val="24"/>
          <w:rtl/>
        </w:rPr>
        <w:t>ב</w:t>
      </w:r>
      <w:r w:rsidR="007C3D71">
        <w:rPr>
          <w:rFonts w:ascii="David" w:hAnsi="David" w:cs="David" w:hint="cs"/>
          <w:sz w:val="24"/>
          <w:szCs w:val="24"/>
          <w:rtl/>
        </w:rPr>
        <w:t>מחוז דרום (</w:t>
      </w:r>
      <w:r>
        <w:rPr>
          <w:rFonts w:ascii="David" w:hAnsi="David" w:cs="David" w:hint="cs"/>
          <w:sz w:val="24"/>
          <w:szCs w:val="24"/>
          <w:rtl/>
        </w:rPr>
        <w:t>כ-20%</w:t>
      </w:r>
      <w:r w:rsidR="00757746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).</w:t>
      </w:r>
      <w:r w:rsidR="007C3D71">
        <w:rPr>
          <w:rFonts w:ascii="David" w:hAnsi="David" w:cs="David" w:hint="cs"/>
          <w:sz w:val="24"/>
          <w:szCs w:val="24"/>
          <w:rtl/>
        </w:rPr>
        <w:t xml:space="preserve"> ירידות נמוכ</w:t>
      </w:r>
      <w:r w:rsidR="001A16DA">
        <w:rPr>
          <w:rFonts w:ascii="David" w:hAnsi="David" w:cs="David" w:hint="cs"/>
          <w:sz w:val="24"/>
          <w:szCs w:val="24"/>
          <w:rtl/>
        </w:rPr>
        <w:t xml:space="preserve">ות יותר </w:t>
      </w:r>
      <w:r>
        <w:rPr>
          <w:rFonts w:ascii="David" w:hAnsi="David" w:cs="David" w:hint="cs"/>
          <w:sz w:val="24"/>
          <w:szCs w:val="24"/>
          <w:rtl/>
        </w:rPr>
        <w:t xml:space="preserve">בפעילות </w:t>
      </w:r>
      <w:r w:rsidR="001A16DA">
        <w:rPr>
          <w:rFonts w:ascii="David" w:hAnsi="David" w:cs="David" w:hint="cs"/>
          <w:sz w:val="24"/>
          <w:szCs w:val="24"/>
          <w:rtl/>
        </w:rPr>
        <w:t>נצפו ב</w:t>
      </w:r>
      <w:r w:rsidR="007C3D71">
        <w:rPr>
          <w:rFonts w:ascii="David" w:hAnsi="David" w:cs="David" w:hint="cs"/>
          <w:sz w:val="24"/>
          <w:szCs w:val="24"/>
          <w:rtl/>
        </w:rPr>
        <w:t>מחוז תל-אביב (</w:t>
      </w:r>
      <w:r>
        <w:rPr>
          <w:rFonts w:ascii="David" w:hAnsi="David" w:cs="David" w:hint="cs"/>
          <w:sz w:val="24"/>
          <w:szCs w:val="24"/>
          <w:rtl/>
        </w:rPr>
        <w:t>כ-8%</w:t>
      </w:r>
      <w:r w:rsidR="007C3D71">
        <w:rPr>
          <w:rFonts w:ascii="David" w:hAnsi="David" w:cs="David" w:hint="cs"/>
          <w:sz w:val="24"/>
          <w:szCs w:val="24"/>
          <w:rtl/>
        </w:rPr>
        <w:t>) ובמחוז יהודה ושומרון (9%-).</w:t>
      </w:r>
    </w:p>
    <w:p w:rsidR="00575602" w:rsidRPr="00310200" w:rsidRDefault="00024589" w:rsidP="00661876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946804</wp:posOffset>
            </wp:positionV>
            <wp:extent cx="7260609" cy="2735161"/>
            <wp:effectExtent l="0" t="0" r="0" b="825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609" cy="2735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2675">
        <w:rPr>
          <w:rFonts w:ascii="David" w:hAnsi="David" w:cs="David" w:hint="cs"/>
          <w:b/>
          <w:bCs/>
          <w:sz w:val="24"/>
          <w:szCs w:val="24"/>
          <w:rtl/>
        </w:rPr>
        <w:t>במצטבר</w:t>
      </w:r>
      <w:r w:rsidR="001A16DA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C61E4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A16DA">
        <w:rPr>
          <w:rFonts w:ascii="David" w:hAnsi="David" w:cs="David" w:hint="cs"/>
          <w:b/>
          <w:bCs/>
          <w:sz w:val="24"/>
          <w:szCs w:val="24"/>
          <w:rtl/>
        </w:rPr>
        <w:t>קבוצת היישובים השייכת</w:t>
      </w:r>
      <w:r w:rsidR="00720ECB" w:rsidRPr="00712535">
        <w:rPr>
          <w:rFonts w:ascii="David" w:hAnsi="David" w:cs="David" w:hint="cs"/>
          <w:b/>
          <w:bCs/>
          <w:sz w:val="24"/>
          <w:szCs w:val="24"/>
          <w:rtl/>
        </w:rPr>
        <w:t xml:space="preserve"> למחוז ירושלים חוו</w:t>
      </w:r>
      <w:r w:rsidR="001A16DA">
        <w:rPr>
          <w:rFonts w:ascii="David" w:hAnsi="David" w:cs="David" w:hint="cs"/>
          <w:b/>
          <w:bCs/>
          <w:sz w:val="24"/>
          <w:szCs w:val="24"/>
          <w:rtl/>
        </w:rPr>
        <w:t>תה</w:t>
      </w:r>
      <w:r w:rsidR="00720ECB" w:rsidRPr="00712535">
        <w:rPr>
          <w:rFonts w:ascii="David" w:hAnsi="David" w:cs="David" w:hint="cs"/>
          <w:b/>
          <w:bCs/>
          <w:sz w:val="24"/>
          <w:szCs w:val="24"/>
          <w:rtl/>
        </w:rPr>
        <w:t xml:space="preserve"> את ה</w:t>
      </w:r>
      <w:r w:rsidR="00860ECD" w:rsidRPr="00712535">
        <w:rPr>
          <w:rFonts w:ascii="David" w:hAnsi="David" w:cs="David" w:hint="cs"/>
          <w:b/>
          <w:bCs/>
          <w:sz w:val="24"/>
          <w:szCs w:val="24"/>
          <w:rtl/>
        </w:rPr>
        <w:t>ירידה</w:t>
      </w:r>
      <w:r w:rsidR="00720ECB" w:rsidRPr="00712535">
        <w:rPr>
          <w:rFonts w:ascii="David" w:hAnsi="David" w:cs="David" w:hint="cs"/>
          <w:b/>
          <w:bCs/>
          <w:sz w:val="24"/>
          <w:szCs w:val="24"/>
          <w:rtl/>
        </w:rPr>
        <w:t xml:space="preserve"> הגדולה ביותר בפעיל</w:t>
      </w:r>
      <w:r w:rsidR="00AC4112" w:rsidRPr="00712535">
        <w:rPr>
          <w:rFonts w:ascii="David" w:hAnsi="David" w:cs="David" w:hint="cs"/>
          <w:b/>
          <w:bCs/>
          <w:sz w:val="24"/>
          <w:szCs w:val="24"/>
          <w:rtl/>
        </w:rPr>
        <w:t>ות כרטיסי החיוב כתוצאה מהסגרים</w:t>
      </w:r>
      <w:r w:rsidR="001A16D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354E44">
        <w:rPr>
          <w:rFonts w:ascii="David" w:hAnsi="David" w:cs="David" w:hint="cs"/>
          <w:b/>
          <w:bCs/>
          <w:sz w:val="24"/>
          <w:szCs w:val="24"/>
          <w:rtl/>
        </w:rPr>
        <w:t xml:space="preserve">בנוסף, </w:t>
      </w:r>
      <w:r w:rsidR="00575602">
        <w:rPr>
          <w:rFonts w:ascii="David" w:hAnsi="David" w:cs="David" w:hint="cs"/>
          <w:b/>
          <w:bCs/>
          <w:sz w:val="24"/>
          <w:szCs w:val="24"/>
          <w:rtl/>
        </w:rPr>
        <w:t xml:space="preserve">בטווח שבין הסגרים ניכרת התאוששות ברמת העסקאות בכל </w:t>
      </w:r>
      <w:r w:rsidR="00354E44">
        <w:rPr>
          <w:rFonts w:ascii="David" w:hAnsi="David" w:cs="David" w:hint="cs"/>
          <w:b/>
          <w:bCs/>
          <w:sz w:val="24"/>
          <w:szCs w:val="24"/>
          <w:rtl/>
        </w:rPr>
        <w:t xml:space="preserve">המחוזות </w:t>
      </w:r>
      <w:r w:rsidR="00661876">
        <w:rPr>
          <w:rFonts w:ascii="David" w:hAnsi="David" w:cs="David" w:hint="cs"/>
          <w:b/>
          <w:bCs/>
          <w:sz w:val="24"/>
          <w:szCs w:val="24"/>
          <w:rtl/>
        </w:rPr>
        <w:t xml:space="preserve">וזאת בהשוואה </w:t>
      </w:r>
      <w:r w:rsidR="00354E44">
        <w:rPr>
          <w:rFonts w:ascii="David" w:hAnsi="David" w:cs="David" w:hint="cs"/>
          <w:b/>
          <w:bCs/>
          <w:sz w:val="24"/>
          <w:szCs w:val="24"/>
          <w:rtl/>
        </w:rPr>
        <w:t>לרמת העסקאות</w:t>
      </w:r>
      <w:r w:rsidR="00A85892">
        <w:rPr>
          <w:rFonts w:ascii="David" w:hAnsi="David" w:cs="David" w:hint="cs"/>
          <w:b/>
          <w:bCs/>
          <w:sz w:val="24"/>
          <w:szCs w:val="24"/>
          <w:rtl/>
        </w:rPr>
        <w:t xml:space="preserve"> בחודשים המקבילים</w:t>
      </w:r>
      <w:r w:rsidR="00354E44">
        <w:rPr>
          <w:rFonts w:ascii="David" w:hAnsi="David" w:cs="David" w:hint="cs"/>
          <w:b/>
          <w:bCs/>
          <w:sz w:val="24"/>
          <w:szCs w:val="24"/>
          <w:rtl/>
        </w:rPr>
        <w:t xml:space="preserve"> בשנת</w:t>
      </w:r>
      <w:r w:rsidR="002B7154">
        <w:rPr>
          <w:rFonts w:ascii="David" w:hAnsi="David" w:cs="David" w:hint="cs"/>
          <w:b/>
          <w:bCs/>
          <w:sz w:val="24"/>
          <w:szCs w:val="24"/>
          <w:rtl/>
        </w:rPr>
        <w:t xml:space="preserve"> 2019</w:t>
      </w:r>
      <w:r w:rsidR="00661876" w:rsidRPr="00661876">
        <w:rPr>
          <w:rFonts w:ascii="David" w:hAnsi="David" w:cs="David" w:hint="cs"/>
          <w:sz w:val="24"/>
          <w:szCs w:val="24"/>
          <w:rtl/>
        </w:rPr>
        <w:t xml:space="preserve"> </w:t>
      </w:r>
      <w:r w:rsidR="00661876">
        <w:rPr>
          <w:rFonts w:ascii="David" w:hAnsi="David" w:cs="David" w:hint="cs"/>
          <w:sz w:val="24"/>
          <w:szCs w:val="24"/>
          <w:rtl/>
        </w:rPr>
        <w:t>(תרשים 3)</w:t>
      </w:r>
      <w:r w:rsidR="00354E44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A8589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DD205B" w:rsidRDefault="00DD205B" w:rsidP="007C3D71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DD205B" w:rsidRDefault="00DD205B" w:rsidP="007C3D71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DD205B" w:rsidRDefault="00DD205B" w:rsidP="007C3D71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DD205B" w:rsidRDefault="00DD205B" w:rsidP="007C3D71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DD205B" w:rsidRDefault="00DD205B" w:rsidP="007C3D71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BF50B8" w:rsidRDefault="00BF50B8" w:rsidP="007C3D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F50B8" w:rsidRDefault="00BF50B8" w:rsidP="007C3D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F50B8" w:rsidRDefault="00BF50B8" w:rsidP="007C3D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A570A" w:rsidRDefault="009A570A" w:rsidP="00FA1AF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2B7154" w:rsidRDefault="00732171" w:rsidP="007B0B9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נתון</w:t>
      </w:r>
      <w:r w:rsidR="0066187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נוסף שיכול</w:t>
      </w:r>
      <w:r w:rsidR="00661876">
        <w:rPr>
          <w:rFonts w:ascii="David" w:hAnsi="David" w:cs="David" w:hint="cs"/>
          <w:sz w:val="24"/>
          <w:szCs w:val="24"/>
          <w:rtl/>
        </w:rPr>
        <w:t xml:space="preserve"> להעיד </w:t>
      </w:r>
      <w:r w:rsidR="00464EAC">
        <w:rPr>
          <w:rFonts w:ascii="David" w:hAnsi="David" w:cs="David" w:hint="cs"/>
          <w:sz w:val="24"/>
          <w:szCs w:val="24"/>
          <w:rtl/>
        </w:rPr>
        <w:t>על</w:t>
      </w:r>
      <w:r w:rsidR="0066187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הסתגלות המשק לנוכח מגבלות התנועה</w:t>
      </w:r>
      <w:r w:rsidR="00661876">
        <w:rPr>
          <w:rFonts w:ascii="David" w:hAnsi="David" w:cs="David" w:hint="cs"/>
          <w:sz w:val="24"/>
          <w:szCs w:val="24"/>
          <w:rtl/>
        </w:rPr>
        <w:t xml:space="preserve"> הינו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661876">
        <w:rPr>
          <w:rFonts w:ascii="David" w:hAnsi="David" w:cs="David" w:hint="cs"/>
          <w:sz w:val="24"/>
          <w:szCs w:val="24"/>
          <w:rtl/>
        </w:rPr>
        <w:t>עלייה בשיעור העסקאות בכרטיס לא-נוכח</w:t>
      </w:r>
      <w:r w:rsidR="00661876">
        <w:rPr>
          <w:rStyle w:val="aa"/>
          <w:rFonts w:ascii="David" w:hAnsi="David" w:cs="David"/>
          <w:sz w:val="24"/>
          <w:szCs w:val="24"/>
          <w:rtl/>
        </w:rPr>
        <w:footnoteReference w:id="4"/>
      </w:r>
      <w:r>
        <w:rPr>
          <w:rFonts w:ascii="David" w:hAnsi="David" w:cs="David" w:hint="cs"/>
          <w:sz w:val="24"/>
          <w:szCs w:val="24"/>
          <w:rtl/>
        </w:rPr>
        <w:t xml:space="preserve"> בתקופות הסגרים</w:t>
      </w:r>
      <w:r w:rsidR="005F187F" w:rsidRPr="005F187F">
        <w:rPr>
          <w:rFonts w:ascii="David" w:hAnsi="David" w:cs="David" w:hint="cs"/>
          <w:sz w:val="24"/>
          <w:szCs w:val="24"/>
          <w:rtl/>
        </w:rPr>
        <w:t xml:space="preserve"> </w:t>
      </w:r>
      <w:r w:rsidR="005F187F">
        <w:rPr>
          <w:rFonts w:ascii="David" w:hAnsi="David" w:cs="David" w:hint="cs"/>
          <w:sz w:val="24"/>
          <w:szCs w:val="24"/>
          <w:rtl/>
        </w:rPr>
        <w:t>(תרשים 4).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64EAC">
        <w:rPr>
          <w:rFonts w:ascii="David" w:hAnsi="David" w:cs="David" w:hint="cs"/>
          <w:sz w:val="24"/>
          <w:szCs w:val="24"/>
          <w:rtl/>
        </w:rPr>
        <w:t xml:space="preserve">מניתוח </w:t>
      </w:r>
      <w:r w:rsidR="00354E44">
        <w:rPr>
          <w:rFonts w:ascii="David" w:hAnsi="David" w:cs="David" w:hint="cs"/>
          <w:sz w:val="24"/>
          <w:szCs w:val="24"/>
          <w:rtl/>
        </w:rPr>
        <w:t xml:space="preserve">לפי </w:t>
      </w:r>
      <w:r w:rsidR="00464EAC">
        <w:rPr>
          <w:rFonts w:ascii="David" w:hAnsi="David" w:cs="David" w:hint="cs"/>
          <w:sz w:val="24"/>
          <w:szCs w:val="24"/>
          <w:rtl/>
        </w:rPr>
        <w:t>ה</w:t>
      </w:r>
      <w:r w:rsidR="00E0565B">
        <w:rPr>
          <w:rFonts w:ascii="David" w:hAnsi="David" w:cs="David" w:hint="cs"/>
          <w:sz w:val="24"/>
          <w:szCs w:val="24"/>
          <w:rtl/>
        </w:rPr>
        <w:t xml:space="preserve">מחוזות </w:t>
      </w:r>
      <w:r w:rsidR="00464EAC">
        <w:rPr>
          <w:rFonts w:ascii="David" w:hAnsi="David" w:cs="David" w:hint="cs"/>
          <w:sz w:val="24"/>
          <w:szCs w:val="24"/>
          <w:rtl/>
        </w:rPr>
        <w:t xml:space="preserve">השונים </w:t>
      </w:r>
      <w:r w:rsidR="00354E44">
        <w:rPr>
          <w:rFonts w:ascii="David" w:hAnsi="David" w:cs="David" w:hint="cs"/>
          <w:sz w:val="24"/>
          <w:szCs w:val="24"/>
          <w:rtl/>
        </w:rPr>
        <w:t>ניתן לראות ש</w:t>
      </w:r>
      <w:r>
        <w:rPr>
          <w:rFonts w:ascii="David" w:hAnsi="David" w:cs="David" w:hint="cs"/>
          <w:sz w:val="24"/>
          <w:szCs w:val="24"/>
          <w:rtl/>
        </w:rPr>
        <w:t>שיעור העסקאות בכרטיס לא נוכח עלה בכל המחוזות בתקופת הסגרים, כאשר ב</w:t>
      </w:r>
      <w:r w:rsidR="00354E44">
        <w:rPr>
          <w:rFonts w:ascii="David" w:hAnsi="David" w:cs="David" w:hint="cs"/>
          <w:sz w:val="24"/>
          <w:szCs w:val="24"/>
          <w:rtl/>
        </w:rPr>
        <w:t xml:space="preserve">קבוצות היישובים </w:t>
      </w:r>
      <w:r w:rsidR="00464EAC">
        <w:rPr>
          <w:rFonts w:ascii="David" w:hAnsi="David" w:cs="David" w:hint="cs"/>
          <w:sz w:val="24"/>
          <w:szCs w:val="24"/>
          <w:rtl/>
        </w:rPr>
        <w:t xml:space="preserve">השייכים </w:t>
      </w:r>
      <w:r w:rsidR="00354E44">
        <w:rPr>
          <w:rFonts w:ascii="David" w:hAnsi="David" w:cs="David" w:hint="cs"/>
          <w:sz w:val="24"/>
          <w:szCs w:val="24"/>
          <w:rtl/>
        </w:rPr>
        <w:t>למחוזות</w:t>
      </w:r>
      <w:r w:rsidR="00464EAC">
        <w:rPr>
          <w:rFonts w:ascii="David" w:hAnsi="David" w:cs="David" w:hint="cs"/>
          <w:sz w:val="24"/>
          <w:szCs w:val="24"/>
          <w:rtl/>
        </w:rPr>
        <w:t xml:space="preserve"> המאופיינים בשגרה בשיעור גבוה של עסקאות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7B0B92">
        <w:rPr>
          <w:rFonts w:ascii="David" w:hAnsi="David" w:cs="David" w:hint="cs"/>
          <w:sz w:val="24"/>
          <w:szCs w:val="24"/>
          <w:rtl/>
        </w:rPr>
        <w:t>מרחוק</w:t>
      </w:r>
      <w:r>
        <w:rPr>
          <w:rFonts w:ascii="David" w:hAnsi="David" w:cs="David" w:hint="cs"/>
          <w:sz w:val="24"/>
          <w:szCs w:val="24"/>
          <w:rtl/>
        </w:rPr>
        <w:t xml:space="preserve"> (תל אביב</w:t>
      </w:r>
      <w:r w:rsidR="00233146">
        <w:rPr>
          <w:rFonts w:ascii="David" w:hAnsi="David" w:cs="David" w:hint="cs"/>
          <w:sz w:val="24"/>
          <w:szCs w:val="24"/>
          <w:rtl/>
        </w:rPr>
        <w:t xml:space="preserve"> ירושלים</w:t>
      </w:r>
      <w:r>
        <w:rPr>
          <w:rFonts w:ascii="David" w:hAnsi="David" w:cs="David" w:hint="cs"/>
          <w:sz w:val="24"/>
          <w:szCs w:val="24"/>
          <w:rtl/>
        </w:rPr>
        <w:t xml:space="preserve"> ומרכז</w:t>
      </w:r>
      <w:r w:rsidR="005F187F">
        <w:rPr>
          <w:rFonts w:ascii="David" w:hAnsi="David" w:cs="David" w:hint="cs"/>
          <w:sz w:val="24"/>
          <w:szCs w:val="24"/>
          <w:rtl/>
        </w:rPr>
        <w:t xml:space="preserve">) - חלה עלייה </w:t>
      </w:r>
      <w:r w:rsidR="00464EAC">
        <w:rPr>
          <w:rFonts w:ascii="David" w:hAnsi="David" w:cs="David" w:hint="cs"/>
          <w:sz w:val="24"/>
          <w:szCs w:val="24"/>
          <w:rtl/>
        </w:rPr>
        <w:t>ברכישות מרחוק</w:t>
      </w:r>
      <w:r w:rsidR="005F187F">
        <w:rPr>
          <w:rFonts w:ascii="David" w:hAnsi="David" w:cs="David" w:hint="cs"/>
          <w:sz w:val="24"/>
          <w:szCs w:val="24"/>
          <w:rtl/>
        </w:rPr>
        <w:t xml:space="preserve"> (כ-10%)</w:t>
      </w:r>
      <w:r w:rsidR="00464EAC">
        <w:rPr>
          <w:rFonts w:ascii="David" w:hAnsi="David" w:cs="David" w:hint="cs"/>
          <w:sz w:val="24"/>
          <w:szCs w:val="24"/>
          <w:rtl/>
        </w:rPr>
        <w:t xml:space="preserve">. עלייה מתונה יותר התרחשה </w:t>
      </w:r>
      <w:r w:rsidR="00233146">
        <w:rPr>
          <w:rFonts w:ascii="David" w:hAnsi="David" w:cs="David" w:hint="cs"/>
          <w:sz w:val="24"/>
          <w:szCs w:val="24"/>
          <w:rtl/>
        </w:rPr>
        <w:t>ב</w:t>
      </w:r>
      <w:r w:rsidR="00464EAC">
        <w:rPr>
          <w:rFonts w:ascii="David" w:hAnsi="David" w:cs="David" w:hint="cs"/>
          <w:sz w:val="24"/>
          <w:szCs w:val="24"/>
          <w:rtl/>
        </w:rPr>
        <w:t xml:space="preserve">יתר </w:t>
      </w:r>
      <w:r w:rsidR="005F187F">
        <w:rPr>
          <w:rFonts w:ascii="David" w:hAnsi="David" w:cs="David" w:hint="cs"/>
          <w:sz w:val="24"/>
          <w:szCs w:val="24"/>
          <w:rtl/>
        </w:rPr>
        <w:t xml:space="preserve">המחוזות (כ-5%). בנוסף </w:t>
      </w:r>
      <w:r w:rsidR="002B7154">
        <w:rPr>
          <w:rFonts w:ascii="David" w:hAnsi="David" w:cs="David" w:hint="cs"/>
          <w:sz w:val="24"/>
          <w:szCs w:val="24"/>
          <w:rtl/>
        </w:rPr>
        <w:t xml:space="preserve">ניתן להבחין במגמת העלייה על פני הזמן בשיעור העסקאות </w:t>
      </w:r>
      <w:r w:rsidR="005F187F">
        <w:rPr>
          <w:rFonts w:ascii="David" w:hAnsi="David" w:cs="David" w:hint="cs"/>
          <w:sz w:val="24"/>
          <w:szCs w:val="24"/>
          <w:rtl/>
        </w:rPr>
        <w:t xml:space="preserve">בכרטיס לא נוכח במחוזות תל-אביב </w:t>
      </w:r>
      <w:r w:rsidR="005762C7">
        <w:rPr>
          <w:rFonts w:ascii="David" w:hAnsi="David" w:cs="David" w:hint="cs"/>
          <w:sz w:val="24"/>
          <w:szCs w:val="24"/>
          <w:rtl/>
        </w:rPr>
        <w:t xml:space="preserve">ירושלים </w:t>
      </w:r>
      <w:r w:rsidR="005F187F">
        <w:rPr>
          <w:rFonts w:ascii="David" w:hAnsi="David" w:cs="David" w:hint="cs"/>
          <w:sz w:val="24"/>
          <w:szCs w:val="24"/>
          <w:rtl/>
        </w:rPr>
        <w:t>והמרכז</w:t>
      </w:r>
      <w:r w:rsidR="009A570A">
        <w:rPr>
          <w:rFonts w:ascii="David" w:hAnsi="David" w:cs="David" w:hint="cs"/>
          <w:sz w:val="24"/>
          <w:szCs w:val="24"/>
          <w:rtl/>
        </w:rPr>
        <w:t>.</w:t>
      </w:r>
      <w:r w:rsidR="00AE17D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5F187F" w:rsidRDefault="005F187F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5F187F" w:rsidRDefault="00984497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-573261</wp:posOffset>
            </wp:positionH>
            <wp:positionV relativeFrom="paragraph">
              <wp:posOffset>104644</wp:posOffset>
            </wp:positionV>
            <wp:extent cx="6173398" cy="2457954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98" cy="2457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187F" w:rsidRDefault="005F187F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5F187F" w:rsidRDefault="005F187F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5F187F" w:rsidRPr="00B22DA2" w:rsidRDefault="005F187F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5F187F" w:rsidRPr="00B22DA2" w:rsidRDefault="005F187F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7A6112" w:rsidRDefault="007A6112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5F187F" w:rsidRDefault="005F187F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7A6112" w:rsidRDefault="007A6112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7A6112" w:rsidRDefault="007A6112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7A6112" w:rsidRDefault="007A6112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310200" w:rsidRDefault="00310200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310200" w:rsidRPr="00310200" w:rsidRDefault="00310200" w:rsidP="00E0565B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12535" w:rsidRDefault="00712535" w:rsidP="007C3D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12535" w:rsidRDefault="00712535" w:rsidP="007C3D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12535" w:rsidRDefault="00712535" w:rsidP="007C3D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F50B8" w:rsidRDefault="00BF50B8" w:rsidP="007C3D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F3E45" w:rsidRDefault="006F3E45" w:rsidP="007C3D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F3E45" w:rsidRDefault="006F3E45" w:rsidP="0023314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6F3E45" w:rsidSect="00992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42" w:rsidRDefault="00833A42" w:rsidP="001038C4">
      <w:pPr>
        <w:spacing w:after="0" w:line="240" w:lineRule="auto"/>
      </w:pPr>
      <w:r>
        <w:separator/>
      </w:r>
    </w:p>
  </w:endnote>
  <w:endnote w:type="continuationSeparator" w:id="0">
    <w:p w:rsidR="00833A42" w:rsidRDefault="00833A42" w:rsidP="0010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42" w:rsidRDefault="00833A42" w:rsidP="001038C4">
      <w:pPr>
        <w:spacing w:after="0" w:line="240" w:lineRule="auto"/>
      </w:pPr>
      <w:r>
        <w:separator/>
      </w:r>
    </w:p>
  </w:footnote>
  <w:footnote w:type="continuationSeparator" w:id="0">
    <w:p w:rsidR="00833A42" w:rsidRDefault="00833A42" w:rsidP="001038C4">
      <w:pPr>
        <w:spacing w:after="0" w:line="240" w:lineRule="auto"/>
      </w:pPr>
      <w:r>
        <w:continuationSeparator/>
      </w:r>
    </w:p>
  </w:footnote>
  <w:footnote w:id="1">
    <w:p w:rsidR="00BF50B8" w:rsidRDefault="00BF50B8" w:rsidP="00BF50B8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rtl/>
        </w:rPr>
        <w:t>מקור כלל הנתונים: שירותי בנק אוטומטיים (שב"א) ועיבודי בנק ישראל.</w:t>
      </w:r>
    </w:p>
  </w:footnote>
  <w:footnote w:id="2">
    <w:p w:rsidR="00A276A6" w:rsidRDefault="00A276A6" w:rsidP="00A276A6">
      <w:pPr>
        <w:pStyle w:val="a8"/>
        <w:rPr>
          <w:rtl/>
        </w:rPr>
      </w:pPr>
      <w:r>
        <w:rPr>
          <w:rStyle w:val="aa"/>
        </w:rPr>
        <w:footnoteRef/>
      </w:r>
      <w:r w:rsidRPr="00A276A6">
        <w:rPr>
          <w:rFonts w:hint="cs"/>
          <w:rtl/>
        </w:rPr>
        <w:t xml:space="preserve"> </w:t>
      </w:r>
      <w:r w:rsidRPr="007A6112">
        <w:rPr>
          <w:rFonts w:ascii="David" w:hAnsi="David" w:cs="David" w:hint="eastAsia"/>
          <w:rtl/>
        </w:rPr>
        <w:t>עסקאות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חובה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וזכות</w:t>
      </w:r>
      <w:r w:rsidRPr="007A6112">
        <w:rPr>
          <w:rFonts w:ascii="David" w:hAnsi="David" w:cs="David"/>
          <w:rtl/>
        </w:rPr>
        <w:t xml:space="preserve">, </w:t>
      </w:r>
      <w:r w:rsidRPr="007A6112">
        <w:rPr>
          <w:rFonts w:ascii="David" w:hAnsi="David" w:cs="David" w:hint="eastAsia"/>
          <w:rtl/>
        </w:rPr>
        <w:t>ללא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עסקאות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מחזיקי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כרטיס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חיוב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שהונפק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על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ידי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נותן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שירות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תשלום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מישראל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בחוץ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לארץ</w:t>
      </w:r>
      <w:r w:rsidRPr="007A6112">
        <w:rPr>
          <w:rFonts w:ascii="David" w:hAnsi="David" w:cs="David"/>
          <w:rtl/>
        </w:rPr>
        <w:t xml:space="preserve">, </w:t>
      </w:r>
      <w:r w:rsidRPr="007A6112">
        <w:rPr>
          <w:rFonts w:ascii="David" w:hAnsi="David" w:cs="David" w:hint="eastAsia"/>
          <w:rtl/>
        </w:rPr>
        <w:t>או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ברכישה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מקוונת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בבתי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עסק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מחוץ</w:t>
      </w:r>
      <w:r w:rsidRPr="007A6112">
        <w:rPr>
          <w:rFonts w:ascii="David" w:hAnsi="David" w:cs="David"/>
          <w:rtl/>
        </w:rPr>
        <w:t xml:space="preserve"> </w:t>
      </w:r>
      <w:r w:rsidRPr="007A6112">
        <w:rPr>
          <w:rFonts w:ascii="David" w:hAnsi="David" w:cs="David" w:hint="eastAsia"/>
          <w:rtl/>
        </w:rPr>
        <w:t>לארץ</w:t>
      </w:r>
      <w:r w:rsidRPr="007A6112">
        <w:rPr>
          <w:rFonts w:ascii="David" w:hAnsi="David" w:cs="David"/>
          <w:rtl/>
        </w:rPr>
        <w:t>.</w:t>
      </w:r>
    </w:p>
  </w:footnote>
  <w:footnote w:id="3">
    <w:p w:rsidR="001038C4" w:rsidRPr="006675D2" w:rsidRDefault="001038C4" w:rsidP="005C2EA7">
      <w:pPr>
        <w:pStyle w:val="a8"/>
        <w:jc w:val="both"/>
        <w:rPr>
          <w:rFonts w:ascii="David" w:hAnsi="David" w:cs="David"/>
          <w:rtl/>
        </w:rPr>
      </w:pPr>
      <w:r w:rsidRPr="006675D2">
        <w:rPr>
          <w:rStyle w:val="aa"/>
          <w:rFonts w:ascii="David" w:hAnsi="David" w:cs="David"/>
        </w:rPr>
        <w:footnoteRef/>
      </w:r>
      <w:r w:rsidR="00FF76DB">
        <w:rPr>
          <w:rFonts w:ascii="David" w:hAnsi="David" w:cs="David"/>
          <w:rtl/>
        </w:rPr>
        <w:t xml:space="preserve"> מנתוני העסקאות בכרטיסי החיוב </w:t>
      </w:r>
      <w:r w:rsidR="00FF76DB">
        <w:rPr>
          <w:rFonts w:ascii="David" w:hAnsi="David" w:cs="David" w:hint="cs"/>
          <w:rtl/>
        </w:rPr>
        <w:t xml:space="preserve">של </w:t>
      </w:r>
      <w:r w:rsidRPr="006675D2">
        <w:rPr>
          <w:rFonts w:ascii="David" w:hAnsi="David" w:cs="David"/>
          <w:rtl/>
        </w:rPr>
        <w:t xml:space="preserve">ינואר 2021 </w:t>
      </w:r>
      <w:r w:rsidR="00FF76DB">
        <w:rPr>
          <w:rFonts w:ascii="David" w:hAnsi="David" w:cs="David" w:hint="cs"/>
          <w:rtl/>
        </w:rPr>
        <w:t xml:space="preserve">(אינן מופיעות במסמך זה) </w:t>
      </w:r>
      <w:r w:rsidRPr="006675D2">
        <w:rPr>
          <w:rFonts w:ascii="David" w:hAnsi="David" w:cs="David"/>
          <w:rtl/>
        </w:rPr>
        <w:t xml:space="preserve">עולה כי רמת העסקאות </w:t>
      </w:r>
      <w:r w:rsidR="00C52686">
        <w:rPr>
          <w:rFonts w:ascii="David" w:hAnsi="David" w:cs="David" w:hint="cs"/>
          <w:rtl/>
        </w:rPr>
        <w:t xml:space="preserve">בסיום הסגר השלישי </w:t>
      </w:r>
      <w:r w:rsidRPr="006675D2">
        <w:rPr>
          <w:rFonts w:ascii="David" w:hAnsi="David" w:cs="David"/>
          <w:rtl/>
        </w:rPr>
        <w:t>זהה ל</w:t>
      </w:r>
      <w:r w:rsidR="008B0726">
        <w:rPr>
          <w:rFonts w:ascii="David" w:hAnsi="David" w:cs="David" w:hint="cs"/>
          <w:rtl/>
        </w:rPr>
        <w:t>רמת העסקאות ב</w:t>
      </w:r>
      <w:r w:rsidRPr="006675D2">
        <w:rPr>
          <w:rFonts w:ascii="David" w:hAnsi="David" w:cs="David"/>
          <w:rtl/>
        </w:rPr>
        <w:t>ינואר 2019.</w:t>
      </w:r>
      <w:r w:rsidR="00712535">
        <w:rPr>
          <w:rFonts w:ascii="David" w:hAnsi="David" w:cs="David" w:hint="cs"/>
          <w:rtl/>
        </w:rPr>
        <w:t xml:space="preserve"> </w:t>
      </w:r>
      <w:r w:rsidR="00F05AE8">
        <w:rPr>
          <w:rFonts w:ascii="David" w:hAnsi="David" w:cs="David" w:hint="cs"/>
          <w:rtl/>
        </w:rPr>
        <w:t xml:space="preserve">דהיינו בהשוואה לנתוני החודשים בשנים הקודמות </w:t>
      </w:r>
      <w:r w:rsidR="00F05AE8">
        <w:rPr>
          <w:rFonts w:ascii="David" w:hAnsi="David" w:cs="David"/>
          <w:rtl/>
        </w:rPr>
        <w:t>–</w:t>
      </w:r>
      <w:r w:rsidR="00F05AE8">
        <w:rPr>
          <w:rFonts w:ascii="David" w:hAnsi="David" w:cs="David" w:hint="cs"/>
          <w:rtl/>
        </w:rPr>
        <w:t xml:space="preserve"> רמת העסקאות בכל סגר משתפרת.</w:t>
      </w:r>
    </w:p>
  </w:footnote>
  <w:footnote w:id="4">
    <w:p w:rsidR="00661876" w:rsidRPr="005A1F8D" w:rsidRDefault="00661876" w:rsidP="00661876">
      <w:pPr>
        <w:pStyle w:val="a8"/>
        <w:spacing w:line="276" w:lineRule="auto"/>
        <w:jc w:val="both"/>
        <w:rPr>
          <w:rFonts w:ascii="David" w:hAnsi="David" w:cs="David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 w:rsidRPr="005A1F8D">
        <w:rPr>
          <w:rFonts w:ascii="David" w:hAnsi="David" w:cs="David"/>
          <w:rtl/>
        </w:rPr>
        <w:t xml:space="preserve">עסקה בכרטיס נוכח: עסקה המבוצעת בנוכחות פיזית של כרטיס </w:t>
      </w:r>
      <w:r>
        <w:rPr>
          <w:rFonts w:ascii="David" w:hAnsi="David" w:cs="David" w:hint="cs"/>
          <w:rtl/>
        </w:rPr>
        <w:t>ה</w:t>
      </w:r>
      <w:r w:rsidRPr="005A1F8D">
        <w:rPr>
          <w:rFonts w:ascii="David" w:hAnsi="David" w:cs="David"/>
          <w:rtl/>
        </w:rPr>
        <w:t>חיוב במסוף בית העסק.</w:t>
      </w:r>
    </w:p>
    <w:p w:rsidR="00661876" w:rsidRPr="00E0565B" w:rsidRDefault="00661876" w:rsidP="00661876">
      <w:pPr>
        <w:pStyle w:val="a8"/>
        <w:jc w:val="both"/>
        <w:rPr>
          <w:rFonts w:ascii="David" w:hAnsi="David" w:cs="David"/>
          <w:rtl/>
        </w:rPr>
      </w:pPr>
      <w:r w:rsidRPr="005A1F8D">
        <w:rPr>
          <w:rFonts w:ascii="David" w:hAnsi="David" w:cs="David"/>
          <w:rtl/>
        </w:rPr>
        <w:t xml:space="preserve">  עסקה בכרטיס לא נוכח: עסקה שאינה מבוצעת בנוכחות פיזית של כרטיס חיוב במסוף בית העסק</w:t>
      </w:r>
      <w:r>
        <w:rPr>
          <w:rFonts w:ascii="David" w:hAnsi="David" w:cs="David" w:hint="cs"/>
          <w:rtl/>
        </w:rPr>
        <w:t>.</w:t>
      </w:r>
      <w:r w:rsidRPr="005A1F8D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קבוצה זו כוללת </w:t>
      </w:r>
      <w:r w:rsidRPr="005A1F8D">
        <w:rPr>
          <w:rFonts w:ascii="David" w:hAnsi="David" w:cs="David"/>
          <w:rtl/>
        </w:rPr>
        <w:t>עסקאות טלפוניות ו</w:t>
      </w:r>
      <w:r>
        <w:rPr>
          <w:rFonts w:ascii="David" w:hAnsi="David" w:cs="David" w:hint="cs"/>
          <w:rtl/>
        </w:rPr>
        <w:t xml:space="preserve">עסקאות </w:t>
      </w:r>
      <w:r w:rsidRPr="005A1F8D">
        <w:rPr>
          <w:rFonts w:ascii="David" w:hAnsi="David" w:cs="David"/>
          <w:rtl/>
        </w:rPr>
        <w:t>ב</w:t>
      </w:r>
      <w:r>
        <w:rPr>
          <w:rFonts w:ascii="David" w:hAnsi="David" w:cs="David" w:hint="cs"/>
          <w:rtl/>
        </w:rPr>
        <w:t xml:space="preserve">מסופי </w:t>
      </w:r>
      <w:r w:rsidRPr="005A1F8D">
        <w:rPr>
          <w:rFonts w:ascii="David" w:hAnsi="David" w:cs="David"/>
          <w:rtl/>
        </w:rPr>
        <w:t>רכישה מקוונים ברשת האינטרנט.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A20"/>
    <w:multiLevelType w:val="hybridMultilevel"/>
    <w:tmpl w:val="F3F229B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3140CB8"/>
    <w:multiLevelType w:val="hybridMultilevel"/>
    <w:tmpl w:val="4726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370"/>
    <w:multiLevelType w:val="multilevel"/>
    <w:tmpl w:val="53F0717C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ED0EA1"/>
    <w:multiLevelType w:val="hybridMultilevel"/>
    <w:tmpl w:val="C602F798"/>
    <w:lvl w:ilvl="0" w:tplc="926A93DA">
      <w:numFmt w:val="bullet"/>
      <w:lvlText w:val="-"/>
      <w:lvlJc w:val="left"/>
      <w:pPr>
        <w:ind w:left="420" w:hanging="360"/>
      </w:pPr>
      <w:rPr>
        <w:rFonts w:ascii="David" w:hAnsi="David" w:cs="David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33F5116"/>
    <w:multiLevelType w:val="hybridMultilevel"/>
    <w:tmpl w:val="E9842B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4D2CFB"/>
    <w:multiLevelType w:val="hybridMultilevel"/>
    <w:tmpl w:val="A5D6A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A510BA"/>
    <w:multiLevelType w:val="hybridMultilevel"/>
    <w:tmpl w:val="87F2E5B0"/>
    <w:lvl w:ilvl="0" w:tplc="FBF6BD24">
      <w:numFmt w:val="bullet"/>
      <w:lvlText w:val="-"/>
      <w:lvlJc w:val="left"/>
      <w:pPr>
        <w:ind w:left="4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3D323E6"/>
    <w:multiLevelType w:val="hybridMultilevel"/>
    <w:tmpl w:val="C02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246F1"/>
    <w:multiLevelType w:val="hybridMultilevel"/>
    <w:tmpl w:val="8970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C4"/>
    <w:rsid w:val="000107C8"/>
    <w:rsid w:val="0001217D"/>
    <w:rsid w:val="0001493C"/>
    <w:rsid w:val="00024589"/>
    <w:rsid w:val="00035ECC"/>
    <w:rsid w:val="0004261F"/>
    <w:rsid w:val="00061869"/>
    <w:rsid w:val="00072E58"/>
    <w:rsid w:val="000C2C32"/>
    <w:rsid w:val="000D724A"/>
    <w:rsid w:val="000F1CA2"/>
    <w:rsid w:val="001038C4"/>
    <w:rsid w:val="00105127"/>
    <w:rsid w:val="00111875"/>
    <w:rsid w:val="00141A54"/>
    <w:rsid w:val="00145CBB"/>
    <w:rsid w:val="001852B6"/>
    <w:rsid w:val="00194CD3"/>
    <w:rsid w:val="001A16DA"/>
    <w:rsid w:val="001B1935"/>
    <w:rsid w:val="001F5EA2"/>
    <w:rsid w:val="0022676D"/>
    <w:rsid w:val="00233146"/>
    <w:rsid w:val="00256DF8"/>
    <w:rsid w:val="002B7154"/>
    <w:rsid w:val="002F0720"/>
    <w:rsid w:val="002F0FFA"/>
    <w:rsid w:val="002F3ABD"/>
    <w:rsid w:val="00301DEA"/>
    <w:rsid w:val="00310200"/>
    <w:rsid w:val="003174D4"/>
    <w:rsid w:val="003321CB"/>
    <w:rsid w:val="00354E44"/>
    <w:rsid w:val="00372A2F"/>
    <w:rsid w:val="003749DE"/>
    <w:rsid w:val="003B15E7"/>
    <w:rsid w:val="003B743C"/>
    <w:rsid w:val="003E1476"/>
    <w:rsid w:val="00411B75"/>
    <w:rsid w:val="004631BB"/>
    <w:rsid w:val="00464EAC"/>
    <w:rsid w:val="004832B7"/>
    <w:rsid w:val="00496581"/>
    <w:rsid w:val="004D2047"/>
    <w:rsid w:val="004F2825"/>
    <w:rsid w:val="0053727D"/>
    <w:rsid w:val="00541829"/>
    <w:rsid w:val="00550ADF"/>
    <w:rsid w:val="00575602"/>
    <w:rsid w:val="005762C7"/>
    <w:rsid w:val="005C2EA7"/>
    <w:rsid w:val="005F187F"/>
    <w:rsid w:val="006015F0"/>
    <w:rsid w:val="00612E55"/>
    <w:rsid w:val="006164E7"/>
    <w:rsid w:val="00661876"/>
    <w:rsid w:val="006655F8"/>
    <w:rsid w:val="006675D2"/>
    <w:rsid w:val="00670CAC"/>
    <w:rsid w:val="006754D1"/>
    <w:rsid w:val="006A0449"/>
    <w:rsid w:val="006B0013"/>
    <w:rsid w:val="006B68A4"/>
    <w:rsid w:val="006C7FB9"/>
    <w:rsid w:val="006D19E7"/>
    <w:rsid w:val="006E71A4"/>
    <w:rsid w:val="006F3E45"/>
    <w:rsid w:val="00712535"/>
    <w:rsid w:val="00720ECB"/>
    <w:rsid w:val="00732171"/>
    <w:rsid w:val="00734754"/>
    <w:rsid w:val="00757746"/>
    <w:rsid w:val="007A6112"/>
    <w:rsid w:val="007B0B92"/>
    <w:rsid w:val="007C3D71"/>
    <w:rsid w:val="007F2D47"/>
    <w:rsid w:val="008320B1"/>
    <w:rsid w:val="00833A42"/>
    <w:rsid w:val="00860ECD"/>
    <w:rsid w:val="008828A3"/>
    <w:rsid w:val="008878BF"/>
    <w:rsid w:val="008B0726"/>
    <w:rsid w:val="009336EF"/>
    <w:rsid w:val="00944B2D"/>
    <w:rsid w:val="00984497"/>
    <w:rsid w:val="009929C6"/>
    <w:rsid w:val="00992F75"/>
    <w:rsid w:val="00993EC4"/>
    <w:rsid w:val="009979D0"/>
    <w:rsid w:val="009A570A"/>
    <w:rsid w:val="009F152F"/>
    <w:rsid w:val="00A276A6"/>
    <w:rsid w:val="00A31AA9"/>
    <w:rsid w:val="00A8116E"/>
    <w:rsid w:val="00A822E7"/>
    <w:rsid w:val="00A85892"/>
    <w:rsid w:val="00AC4112"/>
    <w:rsid w:val="00AD2D1D"/>
    <w:rsid w:val="00AE17D1"/>
    <w:rsid w:val="00AF1DEF"/>
    <w:rsid w:val="00B12675"/>
    <w:rsid w:val="00B22DA2"/>
    <w:rsid w:val="00B35168"/>
    <w:rsid w:val="00B820E9"/>
    <w:rsid w:val="00B82421"/>
    <w:rsid w:val="00BB052E"/>
    <w:rsid w:val="00BB1E8F"/>
    <w:rsid w:val="00BB7988"/>
    <w:rsid w:val="00BC3D8D"/>
    <w:rsid w:val="00BC42D5"/>
    <w:rsid w:val="00BD0FAD"/>
    <w:rsid w:val="00BD574E"/>
    <w:rsid w:val="00BF50B8"/>
    <w:rsid w:val="00BF7E24"/>
    <w:rsid w:val="00C22418"/>
    <w:rsid w:val="00C43297"/>
    <w:rsid w:val="00C52686"/>
    <w:rsid w:val="00C528DA"/>
    <w:rsid w:val="00C61E45"/>
    <w:rsid w:val="00C822C7"/>
    <w:rsid w:val="00CB163C"/>
    <w:rsid w:val="00CD7004"/>
    <w:rsid w:val="00CE5C5C"/>
    <w:rsid w:val="00D01BD9"/>
    <w:rsid w:val="00D12659"/>
    <w:rsid w:val="00D44994"/>
    <w:rsid w:val="00D513BD"/>
    <w:rsid w:val="00DB0B9B"/>
    <w:rsid w:val="00DC2DD0"/>
    <w:rsid w:val="00DD205B"/>
    <w:rsid w:val="00DD5E79"/>
    <w:rsid w:val="00E0565B"/>
    <w:rsid w:val="00E40C33"/>
    <w:rsid w:val="00EB23A7"/>
    <w:rsid w:val="00F0467B"/>
    <w:rsid w:val="00F05AE8"/>
    <w:rsid w:val="00F50B96"/>
    <w:rsid w:val="00F535CF"/>
    <w:rsid w:val="00FA1AF0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59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38C4"/>
  </w:style>
  <w:style w:type="paragraph" w:styleId="a5">
    <w:name w:val="footer"/>
    <w:basedOn w:val="a"/>
    <w:link w:val="a6"/>
    <w:uiPriority w:val="99"/>
    <w:unhideWhenUsed/>
    <w:rsid w:val="00103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38C4"/>
  </w:style>
  <w:style w:type="paragraph" w:styleId="a7">
    <w:name w:val="List Paragraph"/>
    <w:basedOn w:val="a"/>
    <w:uiPriority w:val="34"/>
    <w:qFormat/>
    <w:rsid w:val="001038C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038C4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1038C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038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44B2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944B2D"/>
    <w:rPr>
      <w:rFonts w:ascii="Tahoma" w:hAnsi="Tahoma" w:cs="Tahoma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6187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1876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66187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1876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661876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661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A78D81-06CC-468B-8620-C732F9A9FEE4}"/>
</file>

<file path=customXml/itemProps2.xml><?xml version="1.0" encoding="utf-8"?>
<ds:datastoreItem xmlns:ds="http://schemas.openxmlformats.org/officeDocument/2006/customXml" ds:itemID="{21A79875-F4A2-4E51-9066-5F97426DB4DB}"/>
</file>

<file path=customXml/itemProps3.xml><?xml version="1.0" encoding="utf-8"?>
<ds:datastoreItem xmlns:ds="http://schemas.openxmlformats.org/officeDocument/2006/customXml" ds:itemID="{B287ECDB-BA37-4A08-9CD3-B7EC920CC8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2021-04-21T07:00:00Z</dcterms:created>
  <dcterms:modified xsi:type="dcterms:W3CDTF">2021-04-21T07:00:00Z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