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0C" w:rsidRPr="002E424B" w:rsidRDefault="00A8350C" w:rsidP="00A8350C">
      <w:pPr>
        <w:bidi/>
        <w:rPr>
          <w:rFonts w:ascii="Calibri" w:hAnsi="Calibri" w:cs="Calibri" w:hint="default"/>
        </w:rPr>
      </w:pPr>
      <w:bookmarkStart w:id="0" w:name="_GoBack"/>
      <w:bookmarkEnd w:id="0"/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17000" w:rsidRPr="002E424B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2E424B" w:rsidRDefault="00317000" w:rsidP="00A71B81">
            <w:pPr>
              <w:bidi/>
              <w:spacing w:line="360" w:lineRule="auto"/>
              <w:jc w:val="center"/>
              <w:rPr>
                <w:rFonts w:ascii="Calibri" w:hAnsi="Calibri" w:cs="Calibri" w:hint="default"/>
                <w:b/>
                <w:bCs/>
                <w:sz w:val="28"/>
                <w:szCs w:val="28"/>
              </w:rPr>
            </w:pPr>
            <w:r w:rsidRPr="002E424B">
              <w:rPr>
                <w:rFonts w:ascii="Calibri" w:hAnsi="Calibri" w:cs="Calibr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:rsidR="00317000" w:rsidRPr="002E424B" w:rsidRDefault="00317000" w:rsidP="00A71B81">
            <w:pPr>
              <w:bidi/>
              <w:spacing w:line="360" w:lineRule="auto"/>
              <w:ind w:right="-101"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317000" w:rsidRPr="002E424B" w:rsidRDefault="0095765F" w:rsidP="00A71B81">
            <w:pPr>
              <w:bidi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noProof/>
                <w:lang w:eastAsia="en-US"/>
              </w:rPr>
              <w:drawing>
                <wp:inline distT="0" distB="0" distL="0" distR="0" wp14:anchorId="3C26B4ED" wp14:editId="33F7C8AE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2E424B" w:rsidRDefault="00317000" w:rsidP="00565902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ירושלים, </w:t>
            </w:r>
            <w:r w:rsidR="00565902">
              <w:rPr>
                <w:rFonts w:ascii="Calibri" w:hAnsi="Calibri" w:cs="Calibri"/>
                <w:rtl/>
              </w:rPr>
              <w:t>י</w:t>
            </w:r>
            <w:r w:rsidR="00BA7707">
              <w:rPr>
                <w:rFonts w:ascii="Calibri" w:hAnsi="Calibri" w:cs="Calibri"/>
                <w:rtl/>
              </w:rPr>
              <w:t>"</w:t>
            </w:r>
            <w:r w:rsidR="00565902">
              <w:rPr>
                <w:rFonts w:ascii="Calibri" w:hAnsi="Calibri" w:cs="Calibri"/>
                <w:rtl/>
              </w:rPr>
              <w:t>ב</w:t>
            </w:r>
            <w:r w:rsidR="00BA7707">
              <w:rPr>
                <w:rFonts w:ascii="Calibri" w:hAnsi="Calibri" w:cs="Calibri"/>
                <w:rtl/>
              </w:rPr>
              <w:t xml:space="preserve"> </w:t>
            </w:r>
            <w:r w:rsidR="002713A8">
              <w:rPr>
                <w:rFonts w:ascii="Calibri" w:hAnsi="Calibri" w:cs="Calibri"/>
                <w:rtl/>
              </w:rPr>
              <w:t>א</w:t>
            </w:r>
            <w:r w:rsidR="00565902">
              <w:rPr>
                <w:rFonts w:ascii="Calibri" w:hAnsi="Calibri" w:cs="Calibri"/>
                <w:rtl/>
              </w:rPr>
              <w:t>ייר</w:t>
            </w:r>
            <w:r w:rsidR="00030A90">
              <w:rPr>
                <w:rFonts w:ascii="Calibri" w:hAnsi="Calibri" w:cs="Calibri"/>
                <w:rtl/>
              </w:rPr>
              <w:t>,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</w:t>
            </w:r>
            <w:proofErr w:type="spellStart"/>
            <w:r w:rsidR="00A42218" w:rsidRPr="002E424B">
              <w:rPr>
                <w:rFonts w:ascii="Calibri" w:hAnsi="Calibri" w:cs="Calibri" w:hint="default"/>
                <w:rtl/>
              </w:rPr>
              <w:t>התשפ"</w:t>
            </w:r>
            <w:r w:rsidR="00696E52">
              <w:rPr>
                <w:rFonts w:ascii="Calibri" w:hAnsi="Calibri" w:cs="Calibri"/>
                <w:rtl/>
              </w:rPr>
              <w:t>ו</w:t>
            </w:r>
            <w:proofErr w:type="spellEnd"/>
          </w:p>
          <w:p w:rsidR="00317000" w:rsidRPr="002E424B" w:rsidRDefault="00317000" w:rsidP="00565902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‏‏</w:t>
            </w:r>
            <w:r w:rsidR="00565902">
              <w:rPr>
                <w:rFonts w:ascii="Calibri" w:hAnsi="Calibri" w:cs="Calibri"/>
                <w:rtl/>
              </w:rPr>
              <w:t>29</w:t>
            </w:r>
            <w:r w:rsidR="008B2D9F">
              <w:rPr>
                <w:rFonts w:ascii="Calibri" w:hAnsi="Calibri" w:cs="Calibri"/>
                <w:rtl/>
              </w:rPr>
              <w:t xml:space="preserve"> </w:t>
            </w:r>
            <w:r w:rsidR="00565902">
              <w:rPr>
                <w:rFonts w:ascii="Calibri" w:hAnsi="Calibri" w:cs="Calibri"/>
                <w:rtl/>
              </w:rPr>
              <w:t>אפריל</w:t>
            </w:r>
            <w:r w:rsidR="008B2D9F" w:rsidRPr="002E424B">
              <w:rPr>
                <w:rFonts w:ascii="Calibri" w:hAnsi="Calibri" w:cs="Calibri" w:hint="default"/>
                <w:rtl/>
              </w:rPr>
              <w:t xml:space="preserve"> </w:t>
            </w:r>
            <w:r w:rsidR="00F30A02" w:rsidRPr="002E424B">
              <w:rPr>
                <w:rFonts w:ascii="Calibri" w:hAnsi="Calibri" w:cs="Calibri" w:hint="default"/>
                <w:rtl/>
              </w:rPr>
              <w:t>202</w:t>
            </w:r>
            <w:r w:rsidR="00B35B99">
              <w:rPr>
                <w:rFonts w:ascii="Calibri" w:hAnsi="Calibri" w:cs="Calibri"/>
                <w:rtl/>
              </w:rPr>
              <w:t>6</w:t>
            </w:r>
          </w:p>
        </w:tc>
      </w:tr>
    </w:tbl>
    <w:p w:rsidR="00317000" w:rsidRPr="002E424B" w:rsidRDefault="00317000" w:rsidP="00196CE1">
      <w:pPr>
        <w:bidi/>
        <w:spacing w:before="240" w:line="360" w:lineRule="auto"/>
        <w:ind w:right="-102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rtl/>
        </w:rPr>
        <w:t>הודעה לעיתונות:</w:t>
      </w:r>
    </w:p>
    <w:p w:rsidR="006E6D23" w:rsidRDefault="006E6D23" w:rsidP="008B2D9F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8D3688" w:rsidRPr="002E424B" w:rsidRDefault="007D133B" w:rsidP="00565902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ה</w:t>
      </w:r>
      <w:r w:rsidR="00D74ED2"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מדד </w:t>
      </w: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החודשי לפעילות המשק </w:t>
      </w:r>
      <w:r w:rsidR="00CC377B">
        <w:rPr>
          <w:rFonts w:ascii="Calibri" w:hAnsi="Calibri" w:cs="Calibri"/>
          <w:b/>
          <w:bCs/>
          <w:sz w:val="28"/>
          <w:szCs w:val="28"/>
          <w:rtl/>
        </w:rPr>
        <w:t xml:space="preserve">בחודש </w:t>
      </w:r>
      <w:r w:rsidR="00565902">
        <w:rPr>
          <w:rFonts w:ascii="Calibri" w:hAnsi="Calibri" w:cs="Calibri"/>
          <w:b/>
          <w:bCs/>
          <w:sz w:val="28"/>
          <w:szCs w:val="28"/>
          <w:rtl/>
        </w:rPr>
        <w:t>מרץ</w:t>
      </w:r>
      <w:r w:rsidR="00EC181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565902">
        <w:rPr>
          <w:rFonts w:ascii="Calibri" w:hAnsi="Calibri" w:cs="Calibri"/>
          <w:b/>
          <w:bCs/>
          <w:sz w:val="28"/>
          <w:szCs w:val="28"/>
          <w:rtl/>
        </w:rPr>
        <w:t>ירד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B14DA7">
        <w:rPr>
          <w:rFonts w:ascii="Calibri" w:hAnsi="Calibri" w:cs="Calibri"/>
          <w:b/>
          <w:bCs/>
          <w:sz w:val="28"/>
          <w:szCs w:val="28"/>
          <w:rtl/>
        </w:rPr>
        <w:t xml:space="preserve">ב- 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>0.</w:t>
      </w:r>
      <w:r w:rsidR="00FE041A">
        <w:rPr>
          <w:rFonts w:ascii="Calibri" w:hAnsi="Calibri" w:cs="Calibri"/>
          <w:b/>
          <w:bCs/>
          <w:sz w:val="28"/>
          <w:szCs w:val="28"/>
          <w:rtl/>
        </w:rPr>
        <w:t>2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 xml:space="preserve"> אחוז.</w:t>
      </w:r>
      <w:r w:rsidR="003C18C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3E5BD0" w:rsidRPr="002E424B" w:rsidRDefault="003E5BD0" w:rsidP="00EB6B6C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</w:p>
    <w:p w:rsidR="00215DAB" w:rsidRPr="000625CE" w:rsidRDefault="00215DAB" w:rsidP="00CC55CB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0625CE">
        <w:rPr>
          <w:rFonts w:ascii="Calibri" w:hAnsi="Calibri" w:cs="Calibri" w:hint="default"/>
          <w:rtl/>
        </w:rPr>
        <w:t>המדד החודשי לפעילות המשק</w:t>
      </w:r>
      <w:r>
        <w:rPr>
          <w:rStyle w:val="a6"/>
          <w:rFonts w:ascii="Calibri" w:hAnsi="Calibri" w:cs="Calibri" w:hint="default"/>
          <w:rtl/>
        </w:rPr>
        <w:footnoteReference w:id="1"/>
      </w:r>
      <w:r w:rsidRPr="000625CE">
        <w:rPr>
          <w:rFonts w:ascii="Calibri" w:hAnsi="Calibri" w:cs="Calibri" w:hint="default"/>
          <w:rtl/>
        </w:rPr>
        <w:t xml:space="preserve"> בחודש </w:t>
      </w:r>
      <w:r w:rsidR="00565902">
        <w:rPr>
          <w:rFonts w:ascii="Calibri" w:hAnsi="Calibri" w:cs="Calibri"/>
          <w:rtl/>
        </w:rPr>
        <w:t>מרץ</w:t>
      </w:r>
      <w:r w:rsidR="00030A90">
        <w:rPr>
          <w:rFonts w:ascii="Calibri" w:hAnsi="Calibri" w:cs="Calibri"/>
          <w:rtl/>
        </w:rPr>
        <w:t xml:space="preserve"> </w:t>
      </w:r>
      <w:r w:rsidR="00565902">
        <w:rPr>
          <w:rFonts w:ascii="Calibri" w:hAnsi="Calibri" w:cs="Calibri"/>
          <w:rtl/>
        </w:rPr>
        <w:t>ירד</w:t>
      </w:r>
      <w:r w:rsidR="00816A59">
        <w:rPr>
          <w:rFonts w:ascii="Calibri" w:hAnsi="Calibri" w:cs="Calibri"/>
          <w:rtl/>
        </w:rPr>
        <w:t xml:space="preserve"> </w:t>
      </w:r>
      <w:r w:rsidR="00030A90">
        <w:rPr>
          <w:rFonts w:ascii="Calibri" w:hAnsi="Calibri" w:cs="Calibri"/>
          <w:rtl/>
        </w:rPr>
        <w:t>ב-0.</w:t>
      </w:r>
      <w:r w:rsidR="00FE041A">
        <w:rPr>
          <w:rFonts w:ascii="Calibri" w:hAnsi="Calibri" w:cs="Calibri"/>
          <w:rtl/>
        </w:rPr>
        <w:t>2</w:t>
      </w:r>
      <w:r w:rsidR="00030A90">
        <w:rPr>
          <w:rFonts w:ascii="Calibri" w:hAnsi="Calibri" w:cs="Calibri"/>
          <w:rtl/>
        </w:rPr>
        <w:t xml:space="preserve"> אחוז</w:t>
      </w:r>
      <w:r w:rsidR="00FE041A">
        <w:rPr>
          <w:rFonts w:ascii="Calibri" w:hAnsi="Calibri" w:cs="Calibri"/>
          <w:rtl/>
        </w:rPr>
        <w:t xml:space="preserve">. </w:t>
      </w:r>
      <w:r w:rsidR="000E710C" w:rsidRPr="000625CE">
        <w:rPr>
          <w:rFonts w:ascii="Calibri" w:hAnsi="Calibri" w:cs="Calibri"/>
          <w:rtl/>
        </w:rPr>
        <w:t xml:space="preserve">המדד משקף את אומדן הצמיחה </w:t>
      </w:r>
      <w:r w:rsidR="00E71CFE" w:rsidRPr="000625CE">
        <w:rPr>
          <w:rFonts w:ascii="Calibri" w:hAnsi="Calibri" w:cs="Calibri"/>
          <w:rtl/>
        </w:rPr>
        <w:t xml:space="preserve">החודשית </w:t>
      </w:r>
      <w:r w:rsidR="00842D26">
        <w:rPr>
          <w:rFonts w:ascii="Calibri" w:hAnsi="Calibri" w:cs="Calibri"/>
          <w:rtl/>
        </w:rPr>
        <w:t xml:space="preserve">הממוצעת </w:t>
      </w:r>
      <w:r w:rsidR="000E710C" w:rsidRPr="000625CE">
        <w:rPr>
          <w:rFonts w:ascii="Calibri" w:hAnsi="Calibri" w:cs="Calibri"/>
          <w:rtl/>
        </w:rPr>
        <w:t>בשל</w:t>
      </w:r>
      <w:r w:rsidR="00187A32">
        <w:rPr>
          <w:rFonts w:ascii="Calibri" w:hAnsi="Calibri" w:cs="Calibri"/>
          <w:rtl/>
        </w:rPr>
        <w:t>ו</w:t>
      </w:r>
      <w:r w:rsidR="000E710C" w:rsidRPr="000625CE">
        <w:rPr>
          <w:rFonts w:ascii="Calibri" w:hAnsi="Calibri" w:cs="Calibri"/>
          <w:rtl/>
        </w:rPr>
        <w:t xml:space="preserve">שת החודשים </w:t>
      </w:r>
      <w:r w:rsidR="00ED29E7">
        <w:rPr>
          <w:rFonts w:ascii="Calibri" w:hAnsi="Calibri" w:cs="Calibri"/>
          <w:rtl/>
        </w:rPr>
        <w:t>ינואר</w:t>
      </w:r>
      <w:r w:rsidR="000E710C" w:rsidRPr="000625CE">
        <w:rPr>
          <w:rFonts w:ascii="Calibri" w:hAnsi="Calibri" w:cs="Calibri"/>
          <w:rtl/>
        </w:rPr>
        <w:t xml:space="preserve"> עד </w:t>
      </w:r>
      <w:r w:rsidR="00ED29E7">
        <w:rPr>
          <w:rFonts w:ascii="Calibri" w:hAnsi="Calibri" w:cs="Calibri"/>
          <w:rtl/>
        </w:rPr>
        <w:t>מרץ</w:t>
      </w:r>
      <w:r w:rsidR="00C05EDF">
        <w:rPr>
          <w:rFonts w:ascii="Calibri" w:hAnsi="Calibri" w:cs="Calibri"/>
          <w:rtl/>
        </w:rPr>
        <w:t xml:space="preserve">, והוא </w:t>
      </w:r>
      <w:r w:rsidR="00EB4CD5">
        <w:rPr>
          <w:rFonts w:ascii="Calibri" w:hAnsi="Calibri" w:cs="Calibri"/>
          <w:rtl/>
        </w:rPr>
        <w:t xml:space="preserve">מבטא </w:t>
      </w:r>
      <w:r w:rsidR="00C05EDF">
        <w:rPr>
          <w:rFonts w:ascii="Calibri" w:hAnsi="Calibri" w:cs="Calibri"/>
          <w:rtl/>
        </w:rPr>
        <w:t>את ההשלכות הכלכליות של מבצע "שאגת הארי", שהחל ב-28 בפברואר.</w:t>
      </w:r>
      <w:r w:rsidR="003441EE">
        <w:rPr>
          <w:rFonts w:ascii="Calibri" w:hAnsi="Calibri" w:cs="Calibri"/>
          <w:rtl/>
        </w:rPr>
        <w:t xml:space="preserve"> </w:t>
      </w:r>
      <w:r w:rsidR="002449CB" w:rsidRPr="000D345B">
        <w:rPr>
          <w:rFonts w:ascii="Calibri" w:hAnsi="Calibri" w:cs="Calibri"/>
          <w:rtl/>
        </w:rPr>
        <w:t xml:space="preserve">להערכתנו, ובהסתמך על הניסיון מאירועים דומים בעבר, </w:t>
      </w:r>
      <w:r w:rsidR="009D0657" w:rsidRPr="000D345B">
        <w:rPr>
          <w:rFonts w:ascii="Calibri" w:hAnsi="Calibri" w:cs="Calibri"/>
          <w:rtl/>
        </w:rPr>
        <w:t>המדד החודש הוא אומדן חסר</w:t>
      </w:r>
      <w:r w:rsidR="002449CB" w:rsidRPr="000D345B">
        <w:rPr>
          <w:rFonts w:ascii="Calibri" w:hAnsi="Calibri" w:cs="Calibri"/>
          <w:rtl/>
        </w:rPr>
        <w:t xml:space="preserve"> לירידה</w:t>
      </w:r>
      <w:r w:rsidR="009D0657" w:rsidRPr="000D345B">
        <w:rPr>
          <w:rFonts w:ascii="Calibri" w:hAnsi="Calibri" w:cs="Calibri"/>
          <w:rtl/>
        </w:rPr>
        <w:t xml:space="preserve"> בגלל הנתונים </w:t>
      </w:r>
      <w:r w:rsidR="002449CB" w:rsidRPr="000D345B">
        <w:rPr>
          <w:rFonts w:ascii="Calibri" w:hAnsi="Calibri" w:cs="Calibri"/>
          <w:rtl/>
        </w:rPr>
        <w:t xml:space="preserve">שעדין </w:t>
      </w:r>
      <w:r w:rsidR="009D0657" w:rsidRPr="000D345B">
        <w:rPr>
          <w:rFonts w:ascii="Calibri" w:hAnsi="Calibri" w:cs="Calibri"/>
          <w:rtl/>
        </w:rPr>
        <w:t xml:space="preserve">חסרים </w:t>
      </w:r>
      <w:r w:rsidR="002449CB" w:rsidRPr="000D345B">
        <w:rPr>
          <w:rFonts w:ascii="Calibri" w:hAnsi="Calibri" w:cs="Calibri"/>
          <w:rtl/>
        </w:rPr>
        <w:t>ל</w:t>
      </w:r>
      <w:r w:rsidR="00D75556" w:rsidRPr="000D345B">
        <w:rPr>
          <w:rFonts w:ascii="Calibri" w:hAnsi="Calibri" w:cs="Calibri"/>
          <w:rtl/>
        </w:rPr>
        <w:t>חלק מהאינדיקטורים</w:t>
      </w:r>
      <w:r w:rsidR="002449CB" w:rsidRPr="000D345B">
        <w:rPr>
          <w:rFonts w:ascii="Calibri" w:hAnsi="Calibri" w:cs="Calibri"/>
          <w:rtl/>
        </w:rPr>
        <w:t xml:space="preserve"> בחודש מרץ</w:t>
      </w:r>
      <w:r w:rsidR="00D75556" w:rsidRPr="000D345B">
        <w:rPr>
          <w:rFonts w:ascii="Calibri" w:hAnsi="Calibri" w:cs="Calibri"/>
          <w:rtl/>
        </w:rPr>
        <w:t>.</w:t>
      </w:r>
      <w:r w:rsidR="00D75556">
        <w:rPr>
          <w:rFonts w:ascii="Calibri" w:hAnsi="Calibri" w:cs="Calibri"/>
          <w:rtl/>
        </w:rPr>
        <w:t xml:space="preserve"> </w:t>
      </w:r>
      <w:r w:rsidRPr="000625CE">
        <w:rPr>
          <w:rFonts w:ascii="Calibri" w:hAnsi="Calibri" w:cs="Calibri" w:hint="default"/>
          <w:rtl/>
        </w:rPr>
        <w:t>המדד הושפע</w:t>
      </w:r>
      <w:r w:rsidRPr="000625CE">
        <w:rPr>
          <w:rFonts w:ascii="Calibri" w:hAnsi="Calibri" w:cs="Calibri"/>
          <w:rtl/>
        </w:rPr>
        <w:t xml:space="preserve"> </w:t>
      </w:r>
      <w:r w:rsidR="003303E0" w:rsidRPr="000625CE">
        <w:rPr>
          <w:rFonts w:ascii="Calibri" w:hAnsi="Calibri" w:cs="Calibri"/>
          <w:rtl/>
        </w:rPr>
        <w:t>ל</w:t>
      </w:r>
      <w:r w:rsidR="002F4F3F">
        <w:rPr>
          <w:rFonts w:ascii="Calibri" w:hAnsi="Calibri" w:cs="Calibri"/>
          <w:rtl/>
        </w:rPr>
        <w:t xml:space="preserve">רעה </w:t>
      </w:r>
      <w:r w:rsidR="00A37611">
        <w:rPr>
          <w:rFonts w:ascii="Calibri" w:hAnsi="Calibri" w:cs="Calibri"/>
          <w:rtl/>
        </w:rPr>
        <w:t>מ</w:t>
      </w:r>
      <w:r w:rsidR="00433841">
        <w:rPr>
          <w:rFonts w:ascii="Calibri" w:hAnsi="Calibri" w:cs="Calibri"/>
          <w:rtl/>
        </w:rPr>
        <w:t xml:space="preserve">נתוני </w:t>
      </w:r>
      <w:r w:rsidR="00FA4CEC">
        <w:rPr>
          <w:rFonts w:ascii="Calibri" w:hAnsi="Calibri" w:cs="Calibri"/>
          <w:rtl/>
        </w:rPr>
        <w:t xml:space="preserve">רכישות בכרטיסי אשראי בחודש מרץ, מנתוני מדדי המסחר הקמעוני והייצור התעשייתי של תשומות לבנייה בחודש פברואר, מנתוני </w:t>
      </w:r>
      <w:r w:rsidR="00EB4CD5">
        <w:rPr>
          <w:rFonts w:ascii="Calibri" w:hAnsi="Calibri" w:cs="Calibri"/>
          <w:rtl/>
        </w:rPr>
        <w:t>ה</w:t>
      </w:r>
      <w:r w:rsidR="00925977">
        <w:rPr>
          <w:rFonts w:ascii="Calibri" w:hAnsi="Calibri" w:cs="Calibri"/>
          <w:rtl/>
        </w:rPr>
        <w:t xml:space="preserve">יצוא של סחורות בתעשיות הטכנולוגיה המעורבת עילית בחודשים פברואר ומרץ, </w:t>
      </w:r>
      <w:r w:rsidR="00DC16CC">
        <w:rPr>
          <w:rFonts w:ascii="Calibri" w:hAnsi="Calibri" w:cs="Calibri"/>
          <w:rtl/>
        </w:rPr>
        <w:t xml:space="preserve">מנתוני </w:t>
      </w:r>
      <w:r w:rsidR="00EB4CD5">
        <w:rPr>
          <w:rFonts w:ascii="Calibri" w:hAnsi="Calibri" w:cs="Calibri"/>
          <w:rtl/>
        </w:rPr>
        <w:t>הי</w:t>
      </w:r>
      <w:r w:rsidR="00DC16CC">
        <w:rPr>
          <w:rFonts w:ascii="Calibri" w:hAnsi="Calibri" w:cs="Calibri"/>
          <w:rtl/>
        </w:rPr>
        <w:t>צוא של סחורות בתעשייה בחודש פברואר, מנתוני יבוא הסחורות בחודש מרץ, מנתוני שוק העבודה לגבי משרות פנויות בחודשים פברואר ומרץ ולגבי מספר המועסקים בפועל בחודש פברואר</w:t>
      </w:r>
      <w:r w:rsidR="009B1BC5">
        <w:rPr>
          <w:rFonts w:ascii="Calibri" w:hAnsi="Calibri" w:cs="Calibri"/>
          <w:rtl/>
        </w:rPr>
        <w:t xml:space="preserve">. מנגד </w:t>
      </w:r>
      <w:r w:rsidR="00DC16CC">
        <w:rPr>
          <w:rFonts w:ascii="Calibri" w:hAnsi="Calibri" w:cs="Calibri"/>
          <w:rtl/>
        </w:rPr>
        <w:t>המדד הכללי בבורסה בתל אביב בחודשים האחרונים</w:t>
      </w:r>
      <w:r w:rsidR="009B1BC5">
        <w:rPr>
          <w:rFonts w:ascii="Calibri" w:hAnsi="Calibri" w:cs="Calibri"/>
          <w:rtl/>
        </w:rPr>
        <w:t xml:space="preserve"> מיתן את הירידה במדד. </w:t>
      </w:r>
      <w:r w:rsidR="00000525" w:rsidRPr="000625CE">
        <w:rPr>
          <w:rFonts w:ascii="Calibri" w:hAnsi="Calibri" w:cs="Calibri"/>
          <w:rtl/>
        </w:rPr>
        <w:t>(לוחות 1 ו-2)</w:t>
      </w:r>
      <w:r w:rsidRPr="000625CE">
        <w:rPr>
          <w:rFonts w:ascii="Calibri" w:hAnsi="Calibri" w:cs="Calibri"/>
          <w:rtl/>
        </w:rPr>
        <w:t xml:space="preserve">. </w:t>
      </w:r>
    </w:p>
    <w:p w:rsidR="00BE290D" w:rsidRPr="002E424B" w:rsidRDefault="00BE290D" w:rsidP="005E0B73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קצב הגידול של המדד </w:t>
      </w:r>
      <w:r w:rsidR="00C05EDF">
        <w:rPr>
          <w:rFonts w:ascii="Calibri" w:hAnsi="Calibri" w:cs="Calibri"/>
          <w:rtl/>
        </w:rPr>
        <w:t xml:space="preserve">מצוי </w:t>
      </w:r>
      <w:r w:rsidR="00990E19">
        <w:rPr>
          <w:rFonts w:ascii="Calibri" w:hAnsi="Calibri" w:cs="Calibri"/>
          <w:rtl/>
        </w:rPr>
        <w:t>מ</w:t>
      </w:r>
      <w:r w:rsidR="005E0B73">
        <w:rPr>
          <w:rFonts w:ascii="Calibri" w:hAnsi="Calibri" w:cs="Calibri"/>
          <w:rtl/>
        </w:rPr>
        <w:t xml:space="preserve">תחת </w:t>
      </w:r>
      <w:r w:rsidR="002C7E3F">
        <w:rPr>
          <w:rFonts w:ascii="Calibri" w:hAnsi="Calibri" w:cs="Calibri"/>
          <w:rtl/>
        </w:rPr>
        <w:t>ל</w:t>
      </w:r>
      <w:r>
        <w:rPr>
          <w:rFonts w:ascii="Calibri" w:hAnsi="Calibri" w:cs="Calibri"/>
          <w:rtl/>
        </w:rPr>
        <w:t xml:space="preserve">מגמה ארוכת הטווח של הצמיחה (כ-0.3). </w:t>
      </w:r>
    </w:p>
    <w:p w:rsidR="005A16D8" w:rsidRDefault="00144AC2" w:rsidP="009B1BC5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המדד </w:t>
      </w:r>
      <w:r w:rsidR="009B1BC5">
        <w:rPr>
          <w:rFonts w:ascii="Calibri" w:hAnsi="Calibri" w:cs="Calibri"/>
          <w:rtl/>
        </w:rPr>
        <w:t>בחודשים</w:t>
      </w:r>
      <w:r w:rsidR="00990E19">
        <w:rPr>
          <w:rFonts w:ascii="Calibri" w:hAnsi="Calibri" w:cs="Calibri"/>
          <w:rtl/>
        </w:rPr>
        <w:t xml:space="preserve"> האחרונים </w:t>
      </w:r>
      <w:r>
        <w:rPr>
          <w:rFonts w:ascii="Calibri" w:hAnsi="Calibri" w:cs="Calibri"/>
          <w:rtl/>
        </w:rPr>
        <w:t xml:space="preserve">עודכן כלפי </w:t>
      </w:r>
      <w:r w:rsidR="00590A76">
        <w:rPr>
          <w:rFonts w:ascii="Calibri" w:hAnsi="Calibri" w:cs="Calibri"/>
          <w:rtl/>
        </w:rPr>
        <w:t>מטה</w:t>
      </w:r>
      <w:r w:rsidR="00300FCC">
        <w:rPr>
          <w:rFonts w:ascii="Calibri" w:hAnsi="Calibri" w:cs="Calibri"/>
          <w:rtl/>
        </w:rPr>
        <w:t xml:space="preserve"> </w:t>
      </w:r>
      <w:r w:rsidR="001C34F7">
        <w:rPr>
          <w:rFonts w:ascii="Calibri" w:hAnsi="Calibri" w:cs="Calibri"/>
          <w:rtl/>
        </w:rPr>
        <w:t xml:space="preserve">עם </w:t>
      </w:r>
      <w:r>
        <w:rPr>
          <w:rFonts w:ascii="Calibri" w:hAnsi="Calibri" w:cs="Calibri"/>
          <w:rtl/>
        </w:rPr>
        <w:t xml:space="preserve">השלמת הנתונים </w:t>
      </w:r>
      <w:r w:rsidR="00C05EDF">
        <w:rPr>
          <w:rFonts w:ascii="Calibri" w:hAnsi="Calibri" w:cs="Calibri"/>
          <w:rtl/>
        </w:rPr>
        <w:t>שהיו חסרים</w:t>
      </w:r>
      <w:r>
        <w:rPr>
          <w:rFonts w:ascii="Calibri" w:hAnsi="Calibri" w:cs="Calibri"/>
          <w:rtl/>
        </w:rPr>
        <w:t xml:space="preserve"> </w:t>
      </w:r>
      <w:r w:rsidR="00C05EDF">
        <w:rPr>
          <w:rFonts w:ascii="Calibri" w:hAnsi="Calibri" w:cs="Calibri"/>
          <w:rtl/>
        </w:rPr>
        <w:t>בגרסה הקודמת</w:t>
      </w:r>
      <w:r w:rsidR="009B1BC5">
        <w:rPr>
          <w:rFonts w:ascii="Calibri" w:hAnsi="Calibri" w:cs="Calibri"/>
          <w:rtl/>
        </w:rPr>
        <w:t xml:space="preserve"> והעדכון כלפי מטה של נתוני הצמיחה לרביע האחרון של 2025.</w:t>
      </w:r>
      <w:r w:rsidR="005A16D8">
        <w:rPr>
          <w:rFonts w:ascii="Calibri" w:hAnsi="Calibri" w:cs="Calibri"/>
          <w:rtl/>
        </w:rPr>
        <w:t xml:space="preserve"> </w:t>
      </w:r>
    </w:p>
    <w:p w:rsidR="00A5046D" w:rsidRDefault="005A16D8" w:rsidP="005A16D8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 </w:t>
      </w:r>
      <w:r w:rsidR="003A7033" w:rsidRPr="002E424B">
        <w:rPr>
          <w:rFonts w:ascii="Calibri" w:hAnsi="Calibri" w:cs="Calibri" w:hint="default"/>
          <w:rtl/>
        </w:rPr>
        <w:t xml:space="preserve">איור 1 מציג את נתוני המדד בשנתיים האחרונות, לוח 1 מציג את תרומת רכיבי המדד לאומדן הכולל </w:t>
      </w:r>
      <w:r w:rsidR="003A7033">
        <w:rPr>
          <w:rFonts w:ascii="Calibri" w:hAnsi="Calibri" w:cs="Calibri"/>
          <w:rtl/>
        </w:rPr>
        <w:t>ו</w:t>
      </w:r>
      <w:r w:rsidR="003A7033" w:rsidRPr="002E424B">
        <w:rPr>
          <w:rFonts w:ascii="Calibri" w:hAnsi="Calibri" w:cs="Calibri" w:hint="default"/>
          <w:rtl/>
        </w:rPr>
        <w:t>העדכונים לאחור במדד</w:t>
      </w:r>
      <w:r w:rsidR="003A7033">
        <w:rPr>
          <w:rFonts w:ascii="Calibri" w:hAnsi="Calibri" w:cs="Calibri"/>
          <w:rtl/>
        </w:rPr>
        <w:t xml:space="preserve">, ולוח 2 מציג את אחוז </w:t>
      </w:r>
      <w:r w:rsidR="003A7033" w:rsidRPr="002E424B">
        <w:rPr>
          <w:rFonts w:ascii="Calibri" w:hAnsi="Calibri" w:cs="Calibri" w:hint="default"/>
          <w:rtl/>
        </w:rPr>
        <w:t xml:space="preserve">השינוי </w:t>
      </w:r>
      <w:r w:rsidR="003A7033">
        <w:rPr>
          <w:rFonts w:ascii="Calibri" w:hAnsi="Calibri" w:cs="Calibri"/>
          <w:rtl/>
        </w:rPr>
        <w:t xml:space="preserve">החודשי </w:t>
      </w:r>
      <w:r w:rsidR="003A7033" w:rsidRPr="002E424B">
        <w:rPr>
          <w:rFonts w:ascii="Calibri" w:hAnsi="Calibri" w:cs="Calibri" w:hint="default"/>
          <w:rtl/>
        </w:rPr>
        <w:t>ב</w:t>
      </w:r>
      <w:r w:rsidR="003A7033">
        <w:rPr>
          <w:rFonts w:ascii="Calibri" w:hAnsi="Calibri" w:cs="Calibri"/>
          <w:rtl/>
        </w:rPr>
        <w:t>רכיבי המדד</w:t>
      </w:r>
      <w:r w:rsidR="003A7033" w:rsidRPr="002E424B">
        <w:rPr>
          <w:rFonts w:ascii="Calibri" w:hAnsi="Calibri" w:cs="Calibri" w:hint="default"/>
          <w:rtl/>
        </w:rPr>
        <w:t xml:space="preserve">. </w:t>
      </w:r>
    </w:p>
    <w:p w:rsidR="009B635B" w:rsidRDefault="009B635B" w:rsidP="00CB2A2A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9B635B" w:rsidRDefault="009B635B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C348B3" w:rsidRDefault="00C348B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E76A9E" w:rsidRDefault="00E76A9E" w:rsidP="001A48AF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A245A7" w:rsidRPr="001613B4" w:rsidRDefault="00F45C42" w:rsidP="00E76A9E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1613B4">
        <w:rPr>
          <w:rFonts w:ascii="Calibri" w:hAnsi="Calibri" w:cs="Calibri"/>
          <w:b/>
          <w:bCs/>
          <w:sz w:val="28"/>
          <w:szCs w:val="28"/>
          <w:rtl/>
        </w:rPr>
        <w:t>איור 1: המדד החודשי לפעילות המשק</w:t>
      </w:r>
    </w:p>
    <w:p w:rsidR="00F45C42" w:rsidRDefault="00F45C42" w:rsidP="00A245A7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F45C42" w:rsidRPr="00313101" w:rsidRDefault="00D954C8" w:rsidP="00313101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D954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13101" w:rsidRPr="00313101">
        <w:rPr>
          <w:rFonts w:ascii="Calibri" w:hAnsi="Calibri" w:cs="Calibri"/>
          <w:b/>
          <w:bCs/>
          <w:noProof/>
          <w:sz w:val="28"/>
          <w:szCs w:val="28"/>
          <w:lang w:eastAsia="en-US"/>
        </w:rPr>
        <w:drawing>
          <wp:inline distT="0" distB="0" distL="0" distR="0" wp14:anchorId="52A16511" wp14:editId="40ADA5A4">
            <wp:extent cx="5550010" cy="3872285"/>
            <wp:effectExtent l="0" t="0" r="12700" b="13970"/>
            <wp:docPr id="5" name="תרשים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45C42" w:rsidRDefault="00F45C42" w:rsidP="00F45C42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619E6" w:rsidRPr="00CB2A2A" w:rsidRDefault="003619E6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A24717">
        <w:rPr>
          <w:rFonts w:ascii="Calibri" w:hAnsi="Calibri" w:cs="Calibri" w:hint="default"/>
          <w:b/>
          <w:bCs/>
          <w:sz w:val="28"/>
          <w:szCs w:val="28"/>
          <w:rtl/>
        </w:rPr>
        <w:t xml:space="preserve">לוח </w:t>
      </w:r>
      <w:r w:rsidRPr="00CB2A2A">
        <w:rPr>
          <w:rFonts w:ascii="Calibri" w:hAnsi="Calibri" w:cs="Calibri" w:hint="default"/>
          <w:b/>
          <w:bCs/>
          <w:rtl/>
        </w:rPr>
        <w:t>1: תרומת</w:t>
      </w:r>
      <w:r w:rsidR="00E82A4C" w:rsidRPr="00CB2A2A">
        <w:rPr>
          <w:rFonts w:ascii="Calibri" w:hAnsi="Calibri" w:cs="Calibri"/>
          <w:b/>
          <w:bCs/>
          <w:rtl/>
        </w:rPr>
        <w:t>*</w:t>
      </w:r>
      <w:r w:rsidRPr="00CB2A2A">
        <w:rPr>
          <w:rFonts w:ascii="Calibri" w:hAnsi="Calibri" w:cs="Calibri" w:hint="default"/>
          <w:b/>
          <w:bCs/>
          <w:rtl/>
        </w:rPr>
        <w:t xml:space="preserve"> רכיבי המדד לאומדן הכולל בחודשים האחרונים, לפי הקבצות</w:t>
      </w:r>
    </w:p>
    <w:p w:rsidR="00CB2A2A" w:rsidRPr="00CB2A2A" w:rsidRDefault="00CB2A2A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CB2A2A">
        <w:rPr>
          <w:rFonts w:ascii="Calibri" w:hAnsi="Calibri" w:cs="Calibri"/>
          <w:b/>
          <w:bCs/>
          <w:rtl/>
        </w:rPr>
        <w:t>(נקודות אחוז)</w:t>
      </w:r>
    </w:p>
    <w:p w:rsidR="00CB2A2A" w:rsidRDefault="00E17B4B" w:rsidP="00666DF1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b/>
          <w:bCs/>
          <w:i/>
          <w:rtl/>
        </w:rPr>
      </w:pPr>
      <w:r w:rsidRPr="00E17B4B">
        <w:rPr>
          <w:rFonts w:hint="default"/>
          <w:noProof/>
          <w:rtl/>
          <w:lang w:eastAsia="en-US"/>
        </w:rPr>
        <w:drawing>
          <wp:inline distT="0" distB="0" distL="0" distR="0">
            <wp:extent cx="4293870" cy="280670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A2A" w:rsidRPr="00616773">
        <w:rPr>
          <w:rFonts w:ascii="Calibri" w:hAnsi="Calibri" w:cs="Calibri" w:hint="default"/>
          <w:b/>
          <w:bCs/>
          <w:i/>
          <w:rtl/>
        </w:rPr>
        <w:t xml:space="preserve"> </w:t>
      </w:r>
    </w:p>
    <w:p w:rsidR="003619E6" w:rsidRDefault="003619E6" w:rsidP="00CB2A2A">
      <w:pPr>
        <w:autoSpaceDE w:val="0"/>
        <w:autoSpaceDN w:val="0"/>
        <w:bidi/>
        <w:adjustRightInd w:val="0"/>
        <w:jc w:val="center"/>
        <w:rPr>
          <w:rFonts w:hint="default"/>
          <w:b/>
          <w:bCs/>
          <w:i/>
          <w:rtl/>
        </w:rPr>
      </w:pPr>
    </w:p>
    <w:p w:rsidR="003619E6" w:rsidRPr="00BD7373" w:rsidRDefault="00E82A4C" w:rsidP="00AA2BBA">
      <w:pPr>
        <w:bidi/>
        <w:jc w:val="both"/>
        <w:rPr>
          <w:rFonts w:hint="default"/>
          <w:sz w:val="20"/>
          <w:szCs w:val="20"/>
        </w:rPr>
      </w:pPr>
      <w:r w:rsidRPr="00BD7373">
        <w:rPr>
          <w:rFonts w:ascii="Calibri" w:hAnsi="Calibri" w:cs="Calibri"/>
          <w:i/>
          <w:sz w:val="20"/>
          <w:szCs w:val="20"/>
          <w:rtl/>
        </w:rPr>
        <w:t xml:space="preserve">* 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הלוח מציג את התרומה של כל קבוצת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למדד החודשי, כך שהאומדן החודשי מהווה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סכום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של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תרומת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כל אחד מהרכיבים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המפורט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בלוח. חלק מהנתונים הגולמיים משפיעים על האומדן החודשי בפיגור או על אומדני כמה חודשים.</w:t>
      </w:r>
    </w:p>
    <w:p w:rsidR="00E17B4B" w:rsidRDefault="00E17B4B" w:rsidP="00215F79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1829AC" w:rsidRPr="002E424B" w:rsidRDefault="001829AC" w:rsidP="00E17B4B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לוח 2: השינויים ברכיבי המדד בחודשים האחרונים</w:t>
      </w:r>
    </w:p>
    <w:p w:rsidR="001829AC" w:rsidRDefault="001829AC" w:rsidP="00595A38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i/>
          <w:rtl/>
        </w:rPr>
        <w:t xml:space="preserve">(שיעורי שינוי חודשיים באחוזים, </w:t>
      </w:r>
      <w:proofErr w:type="spellStart"/>
      <w:r w:rsidRPr="002E424B">
        <w:rPr>
          <w:rFonts w:ascii="Calibri" w:hAnsi="Calibri" w:cs="Calibri" w:hint="default"/>
          <w:i/>
          <w:rtl/>
        </w:rPr>
        <w:t>מנוכ</w:t>
      </w:r>
      <w:r w:rsidR="00136A65">
        <w:rPr>
          <w:rFonts w:ascii="Calibri" w:hAnsi="Calibri" w:cs="Calibri"/>
          <w:i/>
          <w:rtl/>
        </w:rPr>
        <w:t>י</w:t>
      </w:r>
      <w:proofErr w:type="spellEnd"/>
      <w:r w:rsidRPr="002E424B">
        <w:rPr>
          <w:rFonts w:ascii="Calibri" w:hAnsi="Calibri" w:cs="Calibri" w:hint="default"/>
          <w:i/>
          <w:rtl/>
        </w:rPr>
        <w:t xml:space="preserve"> עונתיות)</w:t>
      </w:r>
    </w:p>
    <w:p w:rsidR="009F5836" w:rsidRDefault="009F5836" w:rsidP="009F5836">
      <w:pPr>
        <w:autoSpaceDE w:val="0"/>
        <w:autoSpaceDN w:val="0"/>
        <w:bidi/>
        <w:adjustRightInd w:val="0"/>
        <w:jc w:val="center"/>
        <w:rPr>
          <w:rFonts w:hint="default"/>
          <w:rtl/>
        </w:rPr>
      </w:pPr>
    </w:p>
    <w:p w:rsidR="00CE7E9C" w:rsidRDefault="00CE7E9C" w:rsidP="00CE7E9C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</w:p>
    <w:p w:rsidR="00553799" w:rsidRDefault="00BE3E13" w:rsidP="00E663D4">
      <w:pPr>
        <w:pStyle w:val="af7"/>
        <w:spacing w:after="240" w:line="276" w:lineRule="auto"/>
        <w:ind w:left="-6"/>
        <w:rPr>
          <w:rFonts w:ascii="Calibri" w:hAnsi="Calibri" w:cs="Calibri"/>
          <w:b/>
          <w:bCs/>
          <w:sz w:val="20"/>
          <w:szCs w:val="20"/>
          <w:rtl/>
        </w:rPr>
      </w:pPr>
      <w:r w:rsidRPr="00BE3E13">
        <w:rPr>
          <w:noProof/>
          <w:rtl/>
        </w:rPr>
        <w:drawing>
          <wp:inline distT="0" distB="0" distL="0" distR="0">
            <wp:extent cx="5278120" cy="4681918"/>
            <wp:effectExtent l="0" t="0" r="0" b="444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68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576" w:rsidRPr="00B57576" w:rsidRDefault="00B57576" w:rsidP="00E663D4">
      <w:pPr>
        <w:pStyle w:val="af7"/>
        <w:spacing w:after="240" w:line="276" w:lineRule="auto"/>
        <w:ind w:left="-6"/>
        <w:rPr>
          <w:rFonts w:ascii="Calibri" w:hAnsi="Calibri" w:cs="Calibri"/>
          <w:sz w:val="20"/>
          <w:szCs w:val="20"/>
        </w:rPr>
      </w:pPr>
      <w:r w:rsidRPr="00B57576">
        <w:rPr>
          <w:rFonts w:ascii="Calibri" w:hAnsi="Calibri" w:cs="Calibri"/>
          <w:b/>
          <w:bCs/>
          <w:sz w:val="20"/>
          <w:szCs w:val="20"/>
          <w:rtl/>
        </w:rPr>
        <w:t>המקור:</w:t>
      </w:r>
      <w:r w:rsidRPr="00B57576">
        <w:rPr>
          <w:rFonts w:ascii="Calibri" w:hAnsi="Calibri" w:cs="Calibri"/>
          <w:sz w:val="20"/>
          <w:szCs w:val="20"/>
          <w:rtl/>
        </w:rPr>
        <w:t xml:space="preserve"> הלשכה המרכזית לסטטיסטיקה, שב"א, משרד האוצר, </w:t>
      </w:r>
      <w:proofErr w:type="spellStart"/>
      <w:r w:rsidRPr="00B57576">
        <w:rPr>
          <w:rFonts w:ascii="Calibri" w:hAnsi="Calibri" w:cs="Calibri"/>
          <w:sz w:val="20"/>
          <w:szCs w:val="20"/>
          <w:rtl/>
        </w:rPr>
        <w:t>בלומברג</w:t>
      </w:r>
      <w:proofErr w:type="spellEnd"/>
      <w:r w:rsidRPr="00B57576">
        <w:rPr>
          <w:rFonts w:ascii="Calibri" w:hAnsi="Calibri" w:cs="Calibri"/>
          <w:sz w:val="20"/>
          <w:szCs w:val="20"/>
          <w:rtl/>
        </w:rPr>
        <w:t xml:space="preserve">, מנהל הדלק, נתוני בנק ישראל ועיבודי בנק ישראל. לפירוט מלא של המקור לכל סדרה – ראו את המסמך המתודולוגי </w:t>
      </w:r>
      <w:r w:rsidR="00E663D4">
        <w:rPr>
          <w:rFonts w:ascii="Calibri" w:hAnsi="Calibri" w:cs="Calibri" w:hint="cs"/>
          <w:sz w:val="20"/>
          <w:szCs w:val="20"/>
          <w:rtl/>
        </w:rPr>
        <w:t xml:space="preserve">שפורסם </w:t>
      </w:r>
      <w:r w:rsidRPr="00B57576">
        <w:rPr>
          <w:rFonts w:ascii="Calibri" w:hAnsi="Calibri" w:cs="Calibri"/>
          <w:sz w:val="20"/>
          <w:szCs w:val="20"/>
          <w:rtl/>
        </w:rPr>
        <w:t>ב</w:t>
      </w:r>
      <w:r w:rsidR="00E663D4">
        <w:rPr>
          <w:rFonts w:ascii="Calibri" w:hAnsi="Calibri" w:cs="Calibri" w:hint="cs"/>
          <w:sz w:val="20"/>
          <w:szCs w:val="20"/>
          <w:rtl/>
        </w:rPr>
        <w:t>אתר הבנק.</w:t>
      </w:r>
    </w:p>
    <w:p w:rsidR="00B57576" w:rsidRPr="00B57576" w:rsidRDefault="00B57576" w:rsidP="00B57576">
      <w:pPr>
        <w:autoSpaceDE w:val="0"/>
        <w:autoSpaceDN w:val="0"/>
        <w:bidi/>
        <w:adjustRightInd w:val="0"/>
        <w:jc w:val="both"/>
        <w:rPr>
          <w:rStyle w:val="a6"/>
          <w:rFonts w:ascii="Calibri" w:hAnsi="Calibri" w:cs="Calibri" w:hint="default"/>
          <w:rtl/>
        </w:rPr>
      </w:pPr>
    </w:p>
    <w:sectPr w:rsidR="00B57576" w:rsidRPr="00B57576" w:rsidSect="004C0AA3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EF" w:rsidRDefault="002D47EF">
      <w:pPr>
        <w:rPr>
          <w:rFonts w:hint="default"/>
        </w:rPr>
      </w:pPr>
      <w:r>
        <w:separator/>
      </w:r>
    </w:p>
  </w:endnote>
  <w:endnote w:type="continuationSeparator" w:id="0">
    <w:p w:rsidR="002D47EF" w:rsidRDefault="002D47E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EF" w:rsidRDefault="002D47EF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:rsidR="002D47EF" w:rsidRDefault="002D47EF">
      <w:pPr>
        <w:rPr>
          <w:rFonts w:hint="default"/>
        </w:rPr>
      </w:pPr>
      <w:r>
        <w:continuationSeparator/>
      </w:r>
    </w:p>
  </w:footnote>
  <w:footnote w:id="1">
    <w:p w:rsidR="00215DAB" w:rsidRPr="006E70CF" w:rsidRDefault="00215DAB" w:rsidP="00243746">
      <w:pPr>
        <w:pStyle w:val="a4"/>
        <w:rPr>
          <w:rFonts w:asciiTheme="minorHAnsi" w:hAnsiTheme="minorHAnsi" w:cstheme="minorHAnsi"/>
          <w:i/>
          <w:iCs w:val="0"/>
        </w:rPr>
      </w:pPr>
      <w:r w:rsidRPr="006E70CF">
        <w:rPr>
          <w:rStyle w:val="a6"/>
          <w:rFonts w:asciiTheme="minorHAnsi" w:hAnsiTheme="minorHAnsi" w:cstheme="minorHAnsi"/>
          <w:i/>
          <w:iCs w:val="0"/>
        </w:rPr>
        <w:footnoteRef/>
      </w:r>
      <w:r w:rsidRPr="006E70CF">
        <w:rPr>
          <w:rFonts w:asciiTheme="minorHAnsi" w:hAnsiTheme="minorHAnsi" w:cstheme="minorHAnsi"/>
          <w:i/>
          <w:iCs w:val="0"/>
          <w:rtl/>
        </w:rPr>
        <w:t xml:space="preserve"> המדד החודשי לפעילות המשק משקף את הממוצע התלת-חודשי של אומדן קצב הצמיחה החודשי בתוצר. האומדן מבוסס על מודל שפותח בבנק ישראל (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גינקר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 xml:space="preserve"> 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וסוחוי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>, 2021)</w:t>
      </w:r>
      <w:r w:rsidR="00243746" w:rsidRPr="006E70CF">
        <w:rPr>
          <w:rFonts w:asciiTheme="minorHAnsi" w:hAnsiTheme="minorHAnsi" w:cstheme="minorHAnsi"/>
          <w:i/>
          <w:iCs w:val="0"/>
          <w:rtl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F26"/>
    <w:multiLevelType w:val="hybridMultilevel"/>
    <w:tmpl w:val="3FCE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E1D"/>
    <w:multiLevelType w:val="hybridMultilevel"/>
    <w:tmpl w:val="D5F001F4"/>
    <w:lvl w:ilvl="0" w:tplc="C3B47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4AE"/>
    <w:multiLevelType w:val="hybridMultilevel"/>
    <w:tmpl w:val="9398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064"/>
    <w:rsid w:val="00000525"/>
    <w:rsid w:val="00000FA2"/>
    <w:rsid w:val="0000170D"/>
    <w:rsid w:val="00001DD7"/>
    <w:rsid w:val="00001E13"/>
    <w:rsid w:val="0000375E"/>
    <w:rsid w:val="00003856"/>
    <w:rsid w:val="00004E38"/>
    <w:rsid w:val="0000567C"/>
    <w:rsid w:val="0000573F"/>
    <w:rsid w:val="00006CB6"/>
    <w:rsid w:val="00006DCF"/>
    <w:rsid w:val="000103C0"/>
    <w:rsid w:val="00010746"/>
    <w:rsid w:val="0001081A"/>
    <w:rsid w:val="000111EE"/>
    <w:rsid w:val="00011503"/>
    <w:rsid w:val="00013EBB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2632"/>
    <w:rsid w:val="000236C4"/>
    <w:rsid w:val="00024F28"/>
    <w:rsid w:val="000267DD"/>
    <w:rsid w:val="0002749B"/>
    <w:rsid w:val="00030A90"/>
    <w:rsid w:val="00031468"/>
    <w:rsid w:val="00032222"/>
    <w:rsid w:val="00032246"/>
    <w:rsid w:val="00032B5B"/>
    <w:rsid w:val="000358FB"/>
    <w:rsid w:val="00035DD4"/>
    <w:rsid w:val="0003621D"/>
    <w:rsid w:val="00036E24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A4E"/>
    <w:rsid w:val="00046D6C"/>
    <w:rsid w:val="00047043"/>
    <w:rsid w:val="00047397"/>
    <w:rsid w:val="00050050"/>
    <w:rsid w:val="000500BD"/>
    <w:rsid w:val="00050A15"/>
    <w:rsid w:val="0005277D"/>
    <w:rsid w:val="00052964"/>
    <w:rsid w:val="000533F0"/>
    <w:rsid w:val="00053955"/>
    <w:rsid w:val="000540D7"/>
    <w:rsid w:val="000544C3"/>
    <w:rsid w:val="00055509"/>
    <w:rsid w:val="00055715"/>
    <w:rsid w:val="0005596A"/>
    <w:rsid w:val="00057779"/>
    <w:rsid w:val="0005777D"/>
    <w:rsid w:val="00060A05"/>
    <w:rsid w:val="00061702"/>
    <w:rsid w:val="000625CE"/>
    <w:rsid w:val="000626E7"/>
    <w:rsid w:val="00062AC5"/>
    <w:rsid w:val="00062FFE"/>
    <w:rsid w:val="0006311E"/>
    <w:rsid w:val="00063AA0"/>
    <w:rsid w:val="00063BEE"/>
    <w:rsid w:val="000651D6"/>
    <w:rsid w:val="00067515"/>
    <w:rsid w:val="000678BB"/>
    <w:rsid w:val="00067D1B"/>
    <w:rsid w:val="00070381"/>
    <w:rsid w:val="00070419"/>
    <w:rsid w:val="00070B0F"/>
    <w:rsid w:val="00071592"/>
    <w:rsid w:val="0007178F"/>
    <w:rsid w:val="00071831"/>
    <w:rsid w:val="00072FA9"/>
    <w:rsid w:val="0007306E"/>
    <w:rsid w:val="00073A1F"/>
    <w:rsid w:val="00075529"/>
    <w:rsid w:val="00075B47"/>
    <w:rsid w:val="00077780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7CA9"/>
    <w:rsid w:val="00093736"/>
    <w:rsid w:val="00093B6F"/>
    <w:rsid w:val="00094E1C"/>
    <w:rsid w:val="00095A4A"/>
    <w:rsid w:val="00096819"/>
    <w:rsid w:val="00096C4B"/>
    <w:rsid w:val="00096DF5"/>
    <w:rsid w:val="000971CA"/>
    <w:rsid w:val="000A023D"/>
    <w:rsid w:val="000A2340"/>
    <w:rsid w:val="000A24A6"/>
    <w:rsid w:val="000A258A"/>
    <w:rsid w:val="000A291B"/>
    <w:rsid w:val="000A2C5F"/>
    <w:rsid w:val="000A409C"/>
    <w:rsid w:val="000A52CA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28B"/>
    <w:rsid w:val="000B441E"/>
    <w:rsid w:val="000B4AD7"/>
    <w:rsid w:val="000B4C78"/>
    <w:rsid w:val="000B4ED1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D7A"/>
    <w:rsid w:val="000C77B7"/>
    <w:rsid w:val="000D26DA"/>
    <w:rsid w:val="000D298D"/>
    <w:rsid w:val="000D2D62"/>
    <w:rsid w:val="000D345B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7F"/>
    <w:rsid w:val="000E710C"/>
    <w:rsid w:val="000F022C"/>
    <w:rsid w:val="000F0302"/>
    <w:rsid w:val="000F16A4"/>
    <w:rsid w:val="000F2091"/>
    <w:rsid w:val="000F2903"/>
    <w:rsid w:val="000F3401"/>
    <w:rsid w:val="000F398C"/>
    <w:rsid w:val="000F3C31"/>
    <w:rsid w:val="000F3D48"/>
    <w:rsid w:val="000F44D1"/>
    <w:rsid w:val="000F6D88"/>
    <w:rsid w:val="000F6F52"/>
    <w:rsid w:val="000F72CD"/>
    <w:rsid w:val="001007C1"/>
    <w:rsid w:val="00100A59"/>
    <w:rsid w:val="001018B1"/>
    <w:rsid w:val="00101B51"/>
    <w:rsid w:val="00101BE4"/>
    <w:rsid w:val="00103621"/>
    <w:rsid w:val="00103A67"/>
    <w:rsid w:val="00106467"/>
    <w:rsid w:val="0011195C"/>
    <w:rsid w:val="001124C1"/>
    <w:rsid w:val="001125C2"/>
    <w:rsid w:val="00112DB5"/>
    <w:rsid w:val="00114229"/>
    <w:rsid w:val="00114A91"/>
    <w:rsid w:val="001164A7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A9D"/>
    <w:rsid w:val="00127DD3"/>
    <w:rsid w:val="00130514"/>
    <w:rsid w:val="00131547"/>
    <w:rsid w:val="00131790"/>
    <w:rsid w:val="00132419"/>
    <w:rsid w:val="00132EEC"/>
    <w:rsid w:val="00133C0F"/>
    <w:rsid w:val="00133EB9"/>
    <w:rsid w:val="00135463"/>
    <w:rsid w:val="00136A65"/>
    <w:rsid w:val="001370F1"/>
    <w:rsid w:val="00137B76"/>
    <w:rsid w:val="00137E1E"/>
    <w:rsid w:val="00137F3E"/>
    <w:rsid w:val="0014020D"/>
    <w:rsid w:val="00140234"/>
    <w:rsid w:val="00142998"/>
    <w:rsid w:val="00142A73"/>
    <w:rsid w:val="00142D20"/>
    <w:rsid w:val="001437CB"/>
    <w:rsid w:val="00143E4B"/>
    <w:rsid w:val="001440F2"/>
    <w:rsid w:val="00144AC2"/>
    <w:rsid w:val="00145665"/>
    <w:rsid w:val="001456B4"/>
    <w:rsid w:val="00145F71"/>
    <w:rsid w:val="00146544"/>
    <w:rsid w:val="00146D38"/>
    <w:rsid w:val="00147F4E"/>
    <w:rsid w:val="001504B9"/>
    <w:rsid w:val="00150909"/>
    <w:rsid w:val="001511D9"/>
    <w:rsid w:val="00152DFF"/>
    <w:rsid w:val="0015322E"/>
    <w:rsid w:val="00153A4B"/>
    <w:rsid w:val="0015449A"/>
    <w:rsid w:val="0015528E"/>
    <w:rsid w:val="00155813"/>
    <w:rsid w:val="00155A06"/>
    <w:rsid w:val="00155C82"/>
    <w:rsid w:val="00155CDE"/>
    <w:rsid w:val="00156761"/>
    <w:rsid w:val="00157C03"/>
    <w:rsid w:val="00157D11"/>
    <w:rsid w:val="00160F55"/>
    <w:rsid w:val="00160FA0"/>
    <w:rsid w:val="001613B4"/>
    <w:rsid w:val="00162EC4"/>
    <w:rsid w:val="00163AAE"/>
    <w:rsid w:val="00163CDB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2BBC"/>
    <w:rsid w:val="00172E77"/>
    <w:rsid w:val="001736DE"/>
    <w:rsid w:val="00174962"/>
    <w:rsid w:val="00174E08"/>
    <w:rsid w:val="00175DD0"/>
    <w:rsid w:val="001766BC"/>
    <w:rsid w:val="00177501"/>
    <w:rsid w:val="00177880"/>
    <w:rsid w:val="00181016"/>
    <w:rsid w:val="0018181B"/>
    <w:rsid w:val="001829AC"/>
    <w:rsid w:val="00182CA2"/>
    <w:rsid w:val="00184370"/>
    <w:rsid w:val="00184841"/>
    <w:rsid w:val="00185E3B"/>
    <w:rsid w:val="00186455"/>
    <w:rsid w:val="001869FE"/>
    <w:rsid w:val="0018702A"/>
    <w:rsid w:val="00187A32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6CE1"/>
    <w:rsid w:val="0019744F"/>
    <w:rsid w:val="00197FD0"/>
    <w:rsid w:val="001A0633"/>
    <w:rsid w:val="001A08DD"/>
    <w:rsid w:val="001A187D"/>
    <w:rsid w:val="001A29B0"/>
    <w:rsid w:val="001A2A8F"/>
    <w:rsid w:val="001A2AAB"/>
    <w:rsid w:val="001A48AF"/>
    <w:rsid w:val="001A514F"/>
    <w:rsid w:val="001A6286"/>
    <w:rsid w:val="001A6BBC"/>
    <w:rsid w:val="001A6D5C"/>
    <w:rsid w:val="001A7FDD"/>
    <w:rsid w:val="001B1C28"/>
    <w:rsid w:val="001B3206"/>
    <w:rsid w:val="001B4C87"/>
    <w:rsid w:val="001B4E40"/>
    <w:rsid w:val="001B6B70"/>
    <w:rsid w:val="001B7AF1"/>
    <w:rsid w:val="001C03B4"/>
    <w:rsid w:val="001C07C4"/>
    <w:rsid w:val="001C0C78"/>
    <w:rsid w:val="001C0F81"/>
    <w:rsid w:val="001C12F5"/>
    <w:rsid w:val="001C2200"/>
    <w:rsid w:val="001C276F"/>
    <w:rsid w:val="001C2E66"/>
    <w:rsid w:val="001C34F7"/>
    <w:rsid w:val="001C4785"/>
    <w:rsid w:val="001C4C58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13F9"/>
    <w:rsid w:val="001F2A3E"/>
    <w:rsid w:val="001F2BB1"/>
    <w:rsid w:val="001F368B"/>
    <w:rsid w:val="001F3E4A"/>
    <w:rsid w:val="001F44DA"/>
    <w:rsid w:val="001F4C5D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6BC"/>
    <w:rsid w:val="00211975"/>
    <w:rsid w:val="00211BA4"/>
    <w:rsid w:val="00211F5C"/>
    <w:rsid w:val="002123B0"/>
    <w:rsid w:val="0021263D"/>
    <w:rsid w:val="002133BD"/>
    <w:rsid w:val="00213692"/>
    <w:rsid w:val="00215650"/>
    <w:rsid w:val="0021585A"/>
    <w:rsid w:val="00215DAB"/>
    <w:rsid w:val="00215F79"/>
    <w:rsid w:val="00215FC3"/>
    <w:rsid w:val="002161C3"/>
    <w:rsid w:val="00220CF0"/>
    <w:rsid w:val="00221946"/>
    <w:rsid w:val="00222C27"/>
    <w:rsid w:val="00222C44"/>
    <w:rsid w:val="0022308C"/>
    <w:rsid w:val="002234D3"/>
    <w:rsid w:val="00223684"/>
    <w:rsid w:val="00223A80"/>
    <w:rsid w:val="00223E6D"/>
    <w:rsid w:val="00223EF1"/>
    <w:rsid w:val="00230265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37E7B"/>
    <w:rsid w:val="002432C6"/>
    <w:rsid w:val="00243746"/>
    <w:rsid w:val="002449CB"/>
    <w:rsid w:val="00245C4B"/>
    <w:rsid w:val="00246A9F"/>
    <w:rsid w:val="0024798B"/>
    <w:rsid w:val="00247B25"/>
    <w:rsid w:val="00250901"/>
    <w:rsid w:val="002517A7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906"/>
    <w:rsid w:val="00257050"/>
    <w:rsid w:val="00257B64"/>
    <w:rsid w:val="00261CD9"/>
    <w:rsid w:val="0026262E"/>
    <w:rsid w:val="002627B3"/>
    <w:rsid w:val="00262E65"/>
    <w:rsid w:val="0026303D"/>
    <w:rsid w:val="00263836"/>
    <w:rsid w:val="0026428E"/>
    <w:rsid w:val="00264982"/>
    <w:rsid w:val="002655D9"/>
    <w:rsid w:val="00265EE0"/>
    <w:rsid w:val="002662EC"/>
    <w:rsid w:val="002713A8"/>
    <w:rsid w:val="0027202D"/>
    <w:rsid w:val="00272200"/>
    <w:rsid w:val="00273254"/>
    <w:rsid w:val="002758EE"/>
    <w:rsid w:val="00275D2F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DD7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23B2"/>
    <w:rsid w:val="002A3858"/>
    <w:rsid w:val="002A3CB1"/>
    <w:rsid w:val="002A3CC0"/>
    <w:rsid w:val="002A4786"/>
    <w:rsid w:val="002A4DFE"/>
    <w:rsid w:val="002A59C3"/>
    <w:rsid w:val="002A5E5A"/>
    <w:rsid w:val="002A61C0"/>
    <w:rsid w:val="002A67C2"/>
    <w:rsid w:val="002A6F20"/>
    <w:rsid w:val="002A7AEE"/>
    <w:rsid w:val="002B2AA5"/>
    <w:rsid w:val="002B38A4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DDF"/>
    <w:rsid w:val="002C5E09"/>
    <w:rsid w:val="002C6B69"/>
    <w:rsid w:val="002C7E3F"/>
    <w:rsid w:val="002D2280"/>
    <w:rsid w:val="002D318B"/>
    <w:rsid w:val="002D319E"/>
    <w:rsid w:val="002D3A3D"/>
    <w:rsid w:val="002D4723"/>
    <w:rsid w:val="002D47EF"/>
    <w:rsid w:val="002D4FAA"/>
    <w:rsid w:val="002D7B53"/>
    <w:rsid w:val="002E0237"/>
    <w:rsid w:val="002E1E6D"/>
    <w:rsid w:val="002E2292"/>
    <w:rsid w:val="002E275F"/>
    <w:rsid w:val="002E27AC"/>
    <w:rsid w:val="002E34BA"/>
    <w:rsid w:val="002E3B5A"/>
    <w:rsid w:val="002E3C0E"/>
    <w:rsid w:val="002E3F53"/>
    <w:rsid w:val="002E424B"/>
    <w:rsid w:val="002E4508"/>
    <w:rsid w:val="002E45F7"/>
    <w:rsid w:val="002E4792"/>
    <w:rsid w:val="002E48CD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065A"/>
    <w:rsid w:val="002F1B33"/>
    <w:rsid w:val="002F1D97"/>
    <w:rsid w:val="002F1E1C"/>
    <w:rsid w:val="002F21D3"/>
    <w:rsid w:val="002F4F3F"/>
    <w:rsid w:val="002F5E11"/>
    <w:rsid w:val="002F6AEC"/>
    <w:rsid w:val="002F7487"/>
    <w:rsid w:val="002F75EB"/>
    <w:rsid w:val="002F7B47"/>
    <w:rsid w:val="00300FCC"/>
    <w:rsid w:val="00301D5D"/>
    <w:rsid w:val="00302025"/>
    <w:rsid w:val="003020FF"/>
    <w:rsid w:val="00302302"/>
    <w:rsid w:val="00302534"/>
    <w:rsid w:val="003039BB"/>
    <w:rsid w:val="0030417A"/>
    <w:rsid w:val="003044D4"/>
    <w:rsid w:val="003051E6"/>
    <w:rsid w:val="00307F1F"/>
    <w:rsid w:val="00310969"/>
    <w:rsid w:val="00311311"/>
    <w:rsid w:val="0031240D"/>
    <w:rsid w:val="003129A0"/>
    <w:rsid w:val="00313101"/>
    <w:rsid w:val="003138CA"/>
    <w:rsid w:val="00314033"/>
    <w:rsid w:val="00314D4F"/>
    <w:rsid w:val="00317000"/>
    <w:rsid w:val="00317583"/>
    <w:rsid w:val="00317DC4"/>
    <w:rsid w:val="0032101C"/>
    <w:rsid w:val="0032134D"/>
    <w:rsid w:val="00321967"/>
    <w:rsid w:val="003239C3"/>
    <w:rsid w:val="00323D6D"/>
    <w:rsid w:val="00323E9C"/>
    <w:rsid w:val="00324D41"/>
    <w:rsid w:val="0032570F"/>
    <w:rsid w:val="00325A92"/>
    <w:rsid w:val="0032684F"/>
    <w:rsid w:val="00326B53"/>
    <w:rsid w:val="00327383"/>
    <w:rsid w:val="003303E0"/>
    <w:rsid w:val="003307E1"/>
    <w:rsid w:val="003308DF"/>
    <w:rsid w:val="00331314"/>
    <w:rsid w:val="00331573"/>
    <w:rsid w:val="00334202"/>
    <w:rsid w:val="003347A9"/>
    <w:rsid w:val="0033484C"/>
    <w:rsid w:val="0033489E"/>
    <w:rsid w:val="00334B33"/>
    <w:rsid w:val="00337116"/>
    <w:rsid w:val="00340679"/>
    <w:rsid w:val="00340E02"/>
    <w:rsid w:val="003424F7"/>
    <w:rsid w:val="00342FD8"/>
    <w:rsid w:val="0034416D"/>
    <w:rsid w:val="003441EE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19E6"/>
    <w:rsid w:val="0036209A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949"/>
    <w:rsid w:val="003701BD"/>
    <w:rsid w:val="003702EF"/>
    <w:rsid w:val="00370523"/>
    <w:rsid w:val="00370A1D"/>
    <w:rsid w:val="00370C69"/>
    <w:rsid w:val="00372BC3"/>
    <w:rsid w:val="00372C94"/>
    <w:rsid w:val="003733E2"/>
    <w:rsid w:val="00374378"/>
    <w:rsid w:val="00374E57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BF3"/>
    <w:rsid w:val="0038785A"/>
    <w:rsid w:val="00387A15"/>
    <w:rsid w:val="00390820"/>
    <w:rsid w:val="0039249A"/>
    <w:rsid w:val="00394783"/>
    <w:rsid w:val="00394C1F"/>
    <w:rsid w:val="00395100"/>
    <w:rsid w:val="003967FD"/>
    <w:rsid w:val="00396D0C"/>
    <w:rsid w:val="003973CA"/>
    <w:rsid w:val="00397589"/>
    <w:rsid w:val="00397633"/>
    <w:rsid w:val="003A02EC"/>
    <w:rsid w:val="003A06C6"/>
    <w:rsid w:val="003A0B92"/>
    <w:rsid w:val="003A420F"/>
    <w:rsid w:val="003A47D8"/>
    <w:rsid w:val="003A5076"/>
    <w:rsid w:val="003A5EF6"/>
    <w:rsid w:val="003A6D1D"/>
    <w:rsid w:val="003A7033"/>
    <w:rsid w:val="003B019A"/>
    <w:rsid w:val="003B21DD"/>
    <w:rsid w:val="003B21E6"/>
    <w:rsid w:val="003B2809"/>
    <w:rsid w:val="003B358C"/>
    <w:rsid w:val="003B3BEB"/>
    <w:rsid w:val="003B4071"/>
    <w:rsid w:val="003B6291"/>
    <w:rsid w:val="003B6FCB"/>
    <w:rsid w:val="003C02C2"/>
    <w:rsid w:val="003C041A"/>
    <w:rsid w:val="003C10EF"/>
    <w:rsid w:val="003C1496"/>
    <w:rsid w:val="003C14C4"/>
    <w:rsid w:val="003C18CE"/>
    <w:rsid w:val="003C1AAB"/>
    <w:rsid w:val="003C1AEC"/>
    <w:rsid w:val="003C255F"/>
    <w:rsid w:val="003C298E"/>
    <w:rsid w:val="003C321B"/>
    <w:rsid w:val="003C4DA5"/>
    <w:rsid w:val="003C56BC"/>
    <w:rsid w:val="003C7CF2"/>
    <w:rsid w:val="003D004C"/>
    <w:rsid w:val="003D1031"/>
    <w:rsid w:val="003D1772"/>
    <w:rsid w:val="003D1993"/>
    <w:rsid w:val="003D270D"/>
    <w:rsid w:val="003D2DEB"/>
    <w:rsid w:val="003D3275"/>
    <w:rsid w:val="003D368A"/>
    <w:rsid w:val="003D51FF"/>
    <w:rsid w:val="003D64B3"/>
    <w:rsid w:val="003D66E6"/>
    <w:rsid w:val="003D71B4"/>
    <w:rsid w:val="003D743E"/>
    <w:rsid w:val="003E0A92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D8F"/>
    <w:rsid w:val="003F4556"/>
    <w:rsid w:val="003F4570"/>
    <w:rsid w:val="003F461E"/>
    <w:rsid w:val="003F4D63"/>
    <w:rsid w:val="003F5E7E"/>
    <w:rsid w:val="003F6700"/>
    <w:rsid w:val="003F7298"/>
    <w:rsid w:val="003F72D4"/>
    <w:rsid w:val="004000B3"/>
    <w:rsid w:val="00402501"/>
    <w:rsid w:val="00404123"/>
    <w:rsid w:val="00404C18"/>
    <w:rsid w:val="0040599F"/>
    <w:rsid w:val="00406D35"/>
    <w:rsid w:val="00410367"/>
    <w:rsid w:val="0041095A"/>
    <w:rsid w:val="004110D4"/>
    <w:rsid w:val="004116C5"/>
    <w:rsid w:val="00411E83"/>
    <w:rsid w:val="0041236C"/>
    <w:rsid w:val="00412821"/>
    <w:rsid w:val="00412E47"/>
    <w:rsid w:val="00413597"/>
    <w:rsid w:val="00413F5C"/>
    <w:rsid w:val="00414F66"/>
    <w:rsid w:val="004153F0"/>
    <w:rsid w:val="0041554E"/>
    <w:rsid w:val="00415EBF"/>
    <w:rsid w:val="0041618B"/>
    <w:rsid w:val="004175FE"/>
    <w:rsid w:val="0042056C"/>
    <w:rsid w:val="0042069B"/>
    <w:rsid w:val="004225E1"/>
    <w:rsid w:val="0042261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841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0A39"/>
    <w:rsid w:val="00451420"/>
    <w:rsid w:val="00451A0B"/>
    <w:rsid w:val="00452040"/>
    <w:rsid w:val="00452476"/>
    <w:rsid w:val="00454AB2"/>
    <w:rsid w:val="00454D9A"/>
    <w:rsid w:val="0045542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D5B"/>
    <w:rsid w:val="00473F08"/>
    <w:rsid w:val="0047538B"/>
    <w:rsid w:val="00476AA3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4720"/>
    <w:rsid w:val="004947E5"/>
    <w:rsid w:val="004955C5"/>
    <w:rsid w:val="00495EF2"/>
    <w:rsid w:val="00496A12"/>
    <w:rsid w:val="00497D37"/>
    <w:rsid w:val="004A17F0"/>
    <w:rsid w:val="004A2187"/>
    <w:rsid w:val="004A3C18"/>
    <w:rsid w:val="004A4173"/>
    <w:rsid w:val="004A5157"/>
    <w:rsid w:val="004A5786"/>
    <w:rsid w:val="004A627F"/>
    <w:rsid w:val="004A7335"/>
    <w:rsid w:val="004A74C8"/>
    <w:rsid w:val="004B13BD"/>
    <w:rsid w:val="004B1E9D"/>
    <w:rsid w:val="004B2D30"/>
    <w:rsid w:val="004B3612"/>
    <w:rsid w:val="004B380E"/>
    <w:rsid w:val="004B40F8"/>
    <w:rsid w:val="004B4AC0"/>
    <w:rsid w:val="004B4DC6"/>
    <w:rsid w:val="004B550C"/>
    <w:rsid w:val="004B558C"/>
    <w:rsid w:val="004B6ADA"/>
    <w:rsid w:val="004C0AA3"/>
    <w:rsid w:val="004C1FB8"/>
    <w:rsid w:val="004C2108"/>
    <w:rsid w:val="004C24E9"/>
    <w:rsid w:val="004C45A5"/>
    <w:rsid w:val="004C4839"/>
    <w:rsid w:val="004C4EAB"/>
    <w:rsid w:val="004C56B1"/>
    <w:rsid w:val="004C61D1"/>
    <w:rsid w:val="004C6A3D"/>
    <w:rsid w:val="004D068C"/>
    <w:rsid w:val="004D0940"/>
    <w:rsid w:val="004D215F"/>
    <w:rsid w:val="004D2CF7"/>
    <w:rsid w:val="004D346D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4FC0"/>
    <w:rsid w:val="004E6A2E"/>
    <w:rsid w:val="004E74D6"/>
    <w:rsid w:val="004E7D8A"/>
    <w:rsid w:val="004F0D3F"/>
    <w:rsid w:val="004F0E8B"/>
    <w:rsid w:val="004F2038"/>
    <w:rsid w:val="004F203F"/>
    <w:rsid w:val="004F2656"/>
    <w:rsid w:val="004F2E99"/>
    <w:rsid w:val="004F2EBE"/>
    <w:rsid w:val="004F44B7"/>
    <w:rsid w:val="004F550D"/>
    <w:rsid w:val="004F5512"/>
    <w:rsid w:val="004F5B46"/>
    <w:rsid w:val="004F6DD3"/>
    <w:rsid w:val="005012AA"/>
    <w:rsid w:val="00501481"/>
    <w:rsid w:val="00502738"/>
    <w:rsid w:val="00503CFC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612"/>
    <w:rsid w:val="0051696C"/>
    <w:rsid w:val="00516A65"/>
    <w:rsid w:val="00520417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3D2"/>
    <w:rsid w:val="00542988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3799"/>
    <w:rsid w:val="00553B31"/>
    <w:rsid w:val="00554B0E"/>
    <w:rsid w:val="00555302"/>
    <w:rsid w:val="0055530B"/>
    <w:rsid w:val="00556BBB"/>
    <w:rsid w:val="00556C6C"/>
    <w:rsid w:val="00557FEB"/>
    <w:rsid w:val="005601D2"/>
    <w:rsid w:val="005604B4"/>
    <w:rsid w:val="00560900"/>
    <w:rsid w:val="0056157C"/>
    <w:rsid w:val="00565902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A76"/>
    <w:rsid w:val="00590C13"/>
    <w:rsid w:val="005911CF"/>
    <w:rsid w:val="00592298"/>
    <w:rsid w:val="005929CE"/>
    <w:rsid w:val="00595A38"/>
    <w:rsid w:val="005960E5"/>
    <w:rsid w:val="0059706C"/>
    <w:rsid w:val="0059746D"/>
    <w:rsid w:val="005977EE"/>
    <w:rsid w:val="00597B16"/>
    <w:rsid w:val="005A09A7"/>
    <w:rsid w:val="005A14CC"/>
    <w:rsid w:val="005A16D8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0B37"/>
    <w:rsid w:val="005B14F5"/>
    <w:rsid w:val="005B4E20"/>
    <w:rsid w:val="005B5414"/>
    <w:rsid w:val="005B6F0F"/>
    <w:rsid w:val="005B7C44"/>
    <w:rsid w:val="005C08B9"/>
    <w:rsid w:val="005C11F7"/>
    <w:rsid w:val="005C1B1E"/>
    <w:rsid w:val="005C21F9"/>
    <w:rsid w:val="005C27B5"/>
    <w:rsid w:val="005C2A4F"/>
    <w:rsid w:val="005C3E2F"/>
    <w:rsid w:val="005C3E92"/>
    <w:rsid w:val="005C4227"/>
    <w:rsid w:val="005C52A0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6675"/>
    <w:rsid w:val="005D763D"/>
    <w:rsid w:val="005D7B45"/>
    <w:rsid w:val="005E0B73"/>
    <w:rsid w:val="005E0F78"/>
    <w:rsid w:val="005E2115"/>
    <w:rsid w:val="005E3874"/>
    <w:rsid w:val="005E3FEC"/>
    <w:rsid w:val="005E4468"/>
    <w:rsid w:val="005E45FD"/>
    <w:rsid w:val="005E589A"/>
    <w:rsid w:val="005E6F69"/>
    <w:rsid w:val="005E7F99"/>
    <w:rsid w:val="005F0544"/>
    <w:rsid w:val="005F22C9"/>
    <w:rsid w:val="005F2A4F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B2F"/>
    <w:rsid w:val="0060337B"/>
    <w:rsid w:val="006034A5"/>
    <w:rsid w:val="006038C9"/>
    <w:rsid w:val="00604AD7"/>
    <w:rsid w:val="00604B7D"/>
    <w:rsid w:val="00604D92"/>
    <w:rsid w:val="00606357"/>
    <w:rsid w:val="006064FB"/>
    <w:rsid w:val="0060658E"/>
    <w:rsid w:val="006071FE"/>
    <w:rsid w:val="00607C9F"/>
    <w:rsid w:val="006100AE"/>
    <w:rsid w:val="006104D3"/>
    <w:rsid w:val="006119CE"/>
    <w:rsid w:val="00612071"/>
    <w:rsid w:val="006130A5"/>
    <w:rsid w:val="006140F6"/>
    <w:rsid w:val="006142F6"/>
    <w:rsid w:val="00614397"/>
    <w:rsid w:val="00614733"/>
    <w:rsid w:val="00616396"/>
    <w:rsid w:val="00616773"/>
    <w:rsid w:val="006173A1"/>
    <w:rsid w:val="0061789C"/>
    <w:rsid w:val="00620223"/>
    <w:rsid w:val="006211DC"/>
    <w:rsid w:val="00621D5A"/>
    <w:rsid w:val="0062251D"/>
    <w:rsid w:val="00623D2D"/>
    <w:rsid w:val="00623DD5"/>
    <w:rsid w:val="0062438B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246B"/>
    <w:rsid w:val="0063280B"/>
    <w:rsid w:val="00632B26"/>
    <w:rsid w:val="00633016"/>
    <w:rsid w:val="00633D65"/>
    <w:rsid w:val="00633FE5"/>
    <w:rsid w:val="00634D40"/>
    <w:rsid w:val="0063501A"/>
    <w:rsid w:val="00635107"/>
    <w:rsid w:val="00635380"/>
    <w:rsid w:val="006354CB"/>
    <w:rsid w:val="006358A6"/>
    <w:rsid w:val="00635CF0"/>
    <w:rsid w:val="006361E9"/>
    <w:rsid w:val="006368D1"/>
    <w:rsid w:val="00636F65"/>
    <w:rsid w:val="00637C2C"/>
    <w:rsid w:val="00637C3E"/>
    <w:rsid w:val="00641E2C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E12"/>
    <w:rsid w:val="006520EF"/>
    <w:rsid w:val="006521DB"/>
    <w:rsid w:val="0065225C"/>
    <w:rsid w:val="006532CC"/>
    <w:rsid w:val="0065446E"/>
    <w:rsid w:val="006568B6"/>
    <w:rsid w:val="0065737C"/>
    <w:rsid w:val="00657874"/>
    <w:rsid w:val="00657B42"/>
    <w:rsid w:val="00660538"/>
    <w:rsid w:val="00663F01"/>
    <w:rsid w:val="00664908"/>
    <w:rsid w:val="00666DF1"/>
    <w:rsid w:val="0066727D"/>
    <w:rsid w:val="00670215"/>
    <w:rsid w:val="00670DCD"/>
    <w:rsid w:val="00670EE2"/>
    <w:rsid w:val="0067262C"/>
    <w:rsid w:val="006726F9"/>
    <w:rsid w:val="006731ED"/>
    <w:rsid w:val="00674E20"/>
    <w:rsid w:val="00676C6C"/>
    <w:rsid w:val="00677F1B"/>
    <w:rsid w:val="006807A0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59"/>
    <w:rsid w:val="00686DB4"/>
    <w:rsid w:val="00687312"/>
    <w:rsid w:val="00687937"/>
    <w:rsid w:val="00690D07"/>
    <w:rsid w:val="006929E6"/>
    <w:rsid w:val="00694163"/>
    <w:rsid w:val="00695C45"/>
    <w:rsid w:val="006963E9"/>
    <w:rsid w:val="00696B4C"/>
    <w:rsid w:val="00696E52"/>
    <w:rsid w:val="006A009E"/>
    <w:rsid w:val="006A0BD6"/>
    <w:rsid w:val="006A0DEE"/>
    <w:rsid w:val="006A4A1A"/>
    <w:rsid w:val="006A5A9B"/>
    <w:rsid w:val="006A60A3"/>
    <w:rsid w:val="006A64CB"/>
    <w:rsid w:val="006A69E7"/>
    <w:rsid w:val="006A6D4F"/>
    <w:rsid w:val="006B0344"/>
    <w:rsid w:val="006B23C3"/>
    <w:rsid w:val="006B2CFD"/>
    <w:rsid w:val="006B5231"/>
    <w:rsid w:val="006B55B2"/>
    <w:rsid w:val="006B7321"/>
    <w:rsid w:val="006B7483"/>
    <w:rsid w:val="006B79A5"/>
    <w:rsid w:val="006C1C80"/>
    <w:rsid w:val="006C1F84"/>
    <w:rsid w:val="006C67FE"/>
    <w:rsid w:val="006C6F78"/>
    <w:rsid w:val="006C71C8"/>
    <w:rsid w:val="006C72CF"/>
    <w:rsid w:val="006C7E39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E6D23"/>
    <w:rsid w:val="006E70CF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4C8D"/>
    <w:rsid w:val="00706D3B"/>
    <w:rsid w:val="007075D2"/>
    <w:rsid w:val="00707708"/>
    <w:rsid w:val="0071005F"/>
    <w:rsid w:val="007120D8"/>
    <w:rsid w:val="00712E63"/>
    <w:rsid w:val="0071468D"/>
    <w:rsid w:val="00715078"/>
    <w:rsid w:val="007154F7"/>
    <w:rsid w:val="007207D8"/>
    <w:rsid w:val="00721016"/>
    <w:rsid w:val="0072173F"/>
    <w:rsid w:val="00722FB7"/>
    <w:rsid w:val="0072492F"/>
    <w:rsid w:val="00724E9E"/>
    <w:rsid w:val="00725D45"/>
    <w:rsid w:val="00727471"/>
    <w:rsid w:val="0072788A"/>
    <w:rsid w:val="007301F3"/>
    <w:rsid w:val="007309A4"/>
    <w:rsid w:val="00730BD4"/>
    <w:rsid w:val="00731919"/>
    <w:rsid w:val="00733884"/>
    <w:rsid w:val="00733BD8"/>
    <w:rsid w:val="00733D10"/>
    <w:rsid w:val="007356E3"/>
    <w:rsid w:val="00735BA0"/>
    <w:rsid w:val="00743C4A"/>
    <w:rsid w:val="00743D6F"/>
    <w:rsid w:val="007459E0"/>
    <w:rsid w:val="00747258"/>
    <w:rsid w:val="00747283"/>
    <w:rsid w:val="00747B88"/>
    <w:rsid w:val="00750DCB"/>
    <w:rsid w:val="0075121F"/>
    <w:rsid w:val="007519D7"/>
    <w:rsid w:val="0075206D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A51"/>
    <w:rsid w:val="00756F8B"/>
    <w:rsid w:val="00757085"/>
    <w:rsid w:val="00760588"/>
    <w:rsid w:val="0076191E"/>
    <w:rsid w:val="00762C7E"/>
    <w:rsid w:val="00762FBE"/>
    <w:rsid w:val="00763663"/>
    <w:rsid w:val="00764297"/>
    <w:rsid w:val="007659B2"/>
    <w:rsid w:val="00765D93"/>
    <w:rsid w:val="00766777"/>
    <w:rsid w:val="00766865"/>
    <w:rsid w:val="00767F43"/>
    <w:rsid w:val="00770541"/>
    <w:rsid w:val="007707FE"/>
    <w:rsid w:val="007744E2"/>
    <w:rsid w:val="00774FBA"/>
    <w:rsid w:val="00775451"/>
    <w:rsid w:val="007759FF"/>
    <w:rsid w:val="00775AAA"/>
    <w:rsid w:val="0077600D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0E31"/>
    <w:rsid w:val="007910B9"/>
    <w:rsid w:val="0079165A"/>
    <w:rsid w:val="00793856"/>
    <w:rsid w:val="00793B93"/>
    <w:rsid w:val="007949D3"/>
    <w:rsid w:val="00794D83"/>
    <w:rsid w:val="00794FBA"/>
    <w:rsid w:val="007956F8"/>
    <w:rsid w:val="00795878"/>
    <w:rsid w:val="00796240"/>
    <w:rsid w:val="00796C5F"/>
    <w:rsid w:val="00796DA2"/>
    <w:rsid w:val="007A082D"/>
    <w:rsid w:val="007A0A45"/>
    <w:rsid w:val="007A0FDF"/>
    <w:rsid w:val="007A1978"/>
    <w:rsid w:val="007A2ADB"/>
    <w:rsid w:val="007A3142"/>
    <w:rsid w:val="007A35BC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63D"/>
    <w:rsid w:val="007B2885"/>
    <w:rsid w:val="007B3B10"/>
    <w:rsid w:val="007B49BB"/>
    <w:rsid w:val="007B785D"/>
    <w:rsid w:val="007B7AA0"/>
    <w:rsid w:val="007C0412"/>
    <w:rsid w:val="007C0512"/>
    <w:rsid w:val="007C082F"/>
    <w:rsid w:val="007C0A48"/>
    <w:rsid w:val="007C1275"/>
    <w:rsid w:val="007C12C8"/>
    <w:rsid w:val="007C16A7"/>
    <w:rsid w:val="007C1A2C"/>
    <w:rsid w:val="007C1C46"/>
    <w:rsid w:val="007C24DF"/>
    <w:rsid w:val="007C4A95"/>
    <w:rsid w:val="007C4B2E"/>
    <w:rsid w:val="007C4C72"/>
    <w:rsid w:val="007C53C2"/>
    <w:rsid w:val="007C5B15"/>
    <w:rsid w:val="007C7219"/>
    <w:rsid w:val="007C7D74"/>
    <w:rsid w:val="007D0F02"/>
    <w:rsid w:val="007D133B"/>
    <w:rsid w:val="007D2B5F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689D"/>
    <w:rsid w:val="007E7984"/>
    <w:rsid w:val="007F0BDB"/>
    <w:rsid w:val="007F1238"/>
    <w:rsid w:val="007F19C7"/>
    <w:rsid w:val="007F19FF"/>
    <w:rsid w:val="007F2B68"/>
    <w:rsid w:val="007F43EB"/>
    <w:rsid w:val="007F49D5"/>
    <w:rsid w:val="007F5EC9"/>
    <w:rsid w:val="007F6960"/>
    <w:rsid w:val="007F731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5438"/>
    <w:rsid w:val="00816923"/>
    <w:rsid w:val="00816A59"/>
    <w:rsid w:val="00817AFB"/>
    <w:rsid w:val="00817C9C"/>
    <w:rsid w:val="00817CDA"/>
    <w:rsid w:val="008209BA"/>
    <w:rsid w:val="00820EF7"/>
    <w:rsid w:val="00822947"/>
    <w:rsid w:val="008236D9"/>
    <w:rsid w:val="00823A4D"/>
    <w:rsid w:val="00824208"/>
    <w:rsid w:val="00824814"/>
    <w:rsid w:val="0082528E"/>
    <w:rsid w:val="008256C9"/>
    <w:rsid w:val="00825EEE"/>
    <w:rsid w:val="00827864"/>
    <w:rsid w:val="00827C28"/>
    <w:rsid w:val="00827D11"/>
    <w:rsid w:val="00827FBA"/>
    <w:rsid w:val="00832AFD"/>
    <w:rsid w:val="00833BE3"/>
    <w:rsid w:val="00834D42"/>
    <w:rsid w:val="00834FE7"/>
    <w:rsid w:val="00835062"/>
    <w:rsid w:val="00835D0B"/>
    <w:rsid w:val="0083650D"/>
    <w:rsid w:val="00837077"/>
    <w:rsid w:val="00837CE1"/>
    <w:rsid w:val="00837D8E"/>
    <w:rsid w:val="0084160A"/>
    <w:rsid w:val="00841660"/>
    <w:rsid w:val="00841D0F"/>
    <w:rsid w:val="00841F1A"/>
    <w:rsid w:val="00842253"/>
    <w:rsid w:val="00842802"/>
    <w:rsid w:val="00842B35"/>
    <w:rsid w:val="00842D26"/>
    <w:rsid w:val="00844C75"/>
    <w:rsid w:val="0084527B"/>
    <w:rsid w:val="0084571E"/>
    <w:rsid w:val="00847624"/>
    <w:rsid w:val="00847E90"/>
    <w:rsid w:val="0085166D"/>
    <w:rsid w:val="008516BF"/>
    <w:rsid w:val="00852627"/>
    <w:rsid w:val="00853A3A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66E45"/>
    <w:rsid w:val="00871679"/>
    <w:rsid w:val="008716ED"/>
    <w:rsid w:val="00871A28"/>
    <w:rsid w:val="008724CD"/>
    <w:rsid w:val="00873F3A"/>
    <w:rsid w:val="00874852"/>
    <w:rsid w:val="00874F26"/>
    <w:rsid w:val="00880DC4"/>
    <w:rsid w:val="00880EEE"/>
    <w:rsid w:val="00882D0A"/>
    <w:rsid w:val="00882F11"/>
    <w:rsid w:val="00885465"/>
    <w:rsid w:val="008857BA"/>
    <w:rsid w:val="00886BC1"/>
    <w:rsid w:val="0088732A"/>
    <w:rsid w:val="0089002E"/>
    <w:rsid w:val="00890F55"/>
    <w:rsid w:val="008928FE"/>
    <w:rsid w:val="00892E19"/>
    <w:rsid w:val="008967E1"/>
    <w:rsid w:val="00897CDE"/>
    <w:rsid w:val="008A02CE"/>
    <w:rsid w:val="008A07D4"/>
    <w:rsid w:val="008A0F3D"/>
    <w:rsid w:val="008A1F4D"/>
    <w:rsid w:val="008A23D5"/>
    <w:rsid w:val="008A2EB7"/>
    <w:rsid w:val="008A525E"/>
    <w:rsid w:val="008B021B"/>
    <w:rsid w:val="008B130A"/>
    <w:rsid w:val="008B142B"/>
    <w:rsid w:val="008B1E38"/>
    <w:rsid w:val="008B1EBB"/>
    <w:rsid w:val="008B2752"/>
    <w:rsid w:val="008B277E"/>
    <w:rsid w:val="008B2D9F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C7E8D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D68"/>
    <w:rsid w:val="008E2026"/>
    <w:rsid w:val="008E2503"/>
    <w:rsid w:val="008E3593"/>
    <w:rsid w:val="008E36F1"/>
    <w:rsid w:val="008E384C"/>
    <w:rsid w:val="008E429F"/>
    <w:rsid w:val="008E4348"/>
    <w:rsid w:val="008E4C73"/>
    <w:rsid w:val="008E58F4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90111A"/>
    <w:rsid w:val="0090134F"/>
    <w:rsid w:val="00901653"/>
    <w:rsid w:val="00901682"/>
    <w:rsid w:val="009033C1"/>
    <w:rsid w:val="0090558F"/>
    <w:rsid w:val="009059A7"/>
    <w:rsid w:val="00906834"/>
    <w:rsid w:val="00907898"/>
    <w:rsid w:val="0091095D"/>
    <w:rsid w:val="00910AE5"/>
    <w:rsid w:val="009111F9"/>
    <w:rsid w:val="009118DB"/>
    <w:rsid w:val="0091273D"/>
    <w:rsid w:val="00912FF8"/>
    <w:rsid w:val="0091430A"/>
    <w:rsid w:val="00915673"/>
    <w:rsid w:val="0092019B"/>
    <w:rsid w:val="009208C8"/>
    <w:rsid w:val="00920DF3"/>
    <w:rsid w:val="00921B68"/>
    <w:rsid w:val="00921E58"/>
    <w:rsid w:val="0092219D"/>
    <w:rsid w:val="009230AA"/>
    <w:rsid w:val="00923253"/>
    <w:rsid w:val="00923419"/>
    <w:rsid w:val="00923AB7"/>
    <w:rsid w:val="00925977"/>
    <w:rsid w:val="0092696D"/>
    <w:rsid w:val="00926D7C"/>
    <w:rsid w:val="0092709C"/>
    <w:rsid w:val="009274F5"/>
    <w:rsid w:val="00927698"/>
    <w:rsid w:val="00927C12"/>
    <w:rsid w:val="00927DD1"/>
    <w:rsid w:val="009307ED"/>
    <w:rsid w:val="00930ABC"/>
    <w:rsid w:val="009319F7"/>
    <w:rsid w:val="00932031"/>
    <w:rsid w:val="009340CE"/>
    <w:rsid w:val="009347AE"/>
    <w:rsid w:val="00936160"/>
    <w:rsid w:val="009369EE"/>
    <w:rsid w:val="00936DB7"/>
    <w:rsid w:val="0093708D"/>
    <w:rsid w:val="00941C7D"/>
    <w:rsid w:val="00941F6A"/>
    <w:rsid w:val="0094301D"/>
    <w:rsid w:val="00943319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33CA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3806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0E19"/>
    <w:rsid w:val="00992121"/>
    <w:rsid w:val="00992A13"/>
    <w:rsid w:val="0099312A"/>
    <w:rsid w:val="00993490"/>
    <w:rsid w:val="009934C3"/>
    <w:rsid w:val="009943D7"/>
    <w:rsid w:val="00994579"/>
    <w:rsid w:val="009946E8"/>
    <w:rsid w:val="009949F2"/>
    <w:rsid w:val="00996416"/>
    <w:rsid w:val="009977D3"/>
    <w:rsid w:val="009A0A9E"/>
    <w:rsid w:val="009A1354"/>
    <w:rsid w:val="009A15A4"/>
    <w:rsid w:val="009A2FAD"/>
    <w:rsid w:val="009A3FB6"/>
    <w:rsid w:val="009A460F"/>
    <w:rsid w:val="009A5166"/>
    <w:rsid w:val="009A6E5B"/>
    <w:rsid w:val="009A794F"/>
    <w:rsid w:val="009B09C5"/>
    <w:rsid w:val="009B1BC5"/>
    <w:rsid w:val="009B20D8"/>
    <w:rsid w:val="009B24B3"/>
    <w:rsid w:val="009B3C05"/>
    <w:rsid w:val="009B5C08"/>
    <w:rsid w:val="009B635B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70A"/>
    <w:rsid w:val="009C4B76"/>
    <w:rsid w:val="009C52B8"/>
    <w:rsid w:val="009C5ADA"/>
    <w:rsid w:val="009C680F"/>
    <w:rsid w:val="009C725E"/>
    <w:rsid w:val="009D0657"/>
    <w:rsid w:val="009D0A65"/>
    <w:rsid w:val="009D17CA"/>
    <w:rsid w:val="009D196E"/>
    <w:rsid w:val="009D200B"/>
    <w:rsid w:val="009D23D0"/>
    <w:rsid w:val="009D2A21"/>
    <w:rsid w:val="009D3D30"/>
    <w:rsid w:val="009D3DDC"/>
    <w:rsid w:val="009D4B8C"/>
    <w:rsid w:val="009D4D02"/>
    <w:rsid w:val="009D4F53"/>
    <w:rsid w:val="009D5C03"/>
    <w:rsid w:val="009D7101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F02"/>
    <w:rsid w:val="009F550E"/>
    <w:rsid w:val="009F5789"/>
    <w:rsid w:val="009F57F5"/>
    <w:rsid w:val="009F5836"/>
    <w:rsid w:val="009F5B2C"/>
    <w:rsid w:val="009F6107"/>
    <w:rsid w:val="009F61C2"/>
    <w:rsid w:val="009F7838"/>
    <w:rsid w:val="009F7EAA"/>
    <w:rsid w:val="00A00434"/>
    <w:rsid w:val="00A007EF"/>
    <w:rsid w:val="00A01317"/>
    <w:rsid w:val="00A01565"/>
    <w:rsid w:val="00A020A4"/>
    <w:rsid w:val="00A02AE2"/>
    <w:rsid w:val="00A04336"/>
    <w:rsid w:val="00A04F00"/>
    <w:rsid w:val="00A06866"/>
    <w:rsid w:val="00A07256"/>
    <w:rsid w:val="00A07E09"/>
    <w:rsid w:val="00A11045"/>
    <w:rsid w:val="00A11346"/>
    <w:rsid w:val="00A118D7"/>
    <w:rsid w:val="00A1195E"/>
    <w:rsid w:val="00A11F7C"/>
    <w:rsid w:val="00A13CA8"/>
    <w:rsid w:val="00A146C8"/>
    <w:rsid w:val="00A15727"/>
    <w:rsid w:val="00A1605D"/>
    <w:rsid w:val="00A1797A"/>
    <w:rsid w:val="00A17ED6"/>
    <w:rsid w:val="00A22161"/>
    <w:rsid w:val="00A230F6"/>
    <w:rsid w:val="00A23BB3"/>
    <w:rsid w:val="00A24214"/>
    <w:rsid w:val="00A243A0"/>
    <w:rsid w:val="00A245A7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D9F"/>
    <w:rsid w:val="00A34FDB"/>
    <w:rsid w:val="00A3545D"/>
    <w:rsid w:val="00A35F6B"/>
    <w:rsid w:val="00A361DB"/>
    <w:rsid w:val="00A36650"/>
    <w:rsid w:val="00A36EB3"/>
    <w:rsid w:val="00A3746E"/>
    <w:rsid w:val="00A37611"/>
    <w:rsid w:val="00A40DAC"/>
    <w:rsid w:val="00A40F49"/>
    <w:rsid w:val="00A42218"/>
    <w:rsid w:val="00A42A06"/>
    <w:rsid w:val="00A437B2"/>
    <w:rsid w:val="00A44923"/>
    <w:rsid w:val="00A44E44"/>
    <w:rsid w:val="00A45B02"/>
    <w:rsid w:val="00A4608C"/>
    <w:rsid w:val="00A47B61"/>
    <w:rsid w:val="00A5046D"/>
    <w:rsid w:val="00A504F3"/>
    <w:rsid w:val="00A509FA"/>
    <w:rsid w:val="00A522B9"/>
    <w:rsid w:val="00A5238E"/>
    <w:rsid w:val="00A52633"/>
    <w:rsid w:val="00A52E61"/>
    <w:rsid w:val="00A53139"/>
    <w:rsid w:val="00A53637"/>
    <w:rsid w:val="00A539BA"/>
    <w:rsid w:val="00A54DF1"/>
    <w:rsid w:val="00A54FCF"/>
    <w:rsid w:val="00A5525F"/>
    <w:rsid w:val="00A558D6"/>
    <w:rsid w:val="00A60DCD"/>
    <w:rsid w:val="00A61B16"/>
    <w:rsid w:val="00A61B6E"/>
    <w:rsid w:val="00A64C82"/>
    <w:rsid w:val="00A64EF2"/>
    <w:rsid w:val="00A65029"/>
    <w:rsid w:val="00A650DB"/>
    <w:rsid w:val="00A659DC"/>
    <w:rsid w:val="00A66173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66F7"/>
    <w:rsid w:val="00A77878"/>
    <w:rsid w:val="00A802C5"/>
    <w:rsid w:val="00A81CA5"/>
    <w:rsid w:val="00A8350C"/>
    <w:rsid w:val="00A83ABE"/>
    <w:rsid w:val="00A83D85"/>
    <w:rsid w:val="00A83DCC"/>
    <w:rsid w:val="00A84B99"/>
    <w:rsid w:val="00A854AD"/>
    <w:rsid w:val="00A858BA"/>
    <w:rsid w:val="00A85A58"/>
    <w:rsid w:val="00A85CD4"/>
    <w:rsid w:val="00A8615A"/>
    <w:rsid w:val="00A90B96"/>
    <w:rsid w:val="00A9182E"/>
    <w:rsid w:val="00A91E60"/>
    <w:rsid w:val="00A91EE9"/>
    <w:rsid w:val="00A91FB8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54A"/>
    <w:rsid w:val="00AA2ADB"/>
    <w:rsid w:val="00AA2B29"/>
    <w:rsid w:val="00AA2BBA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A8C"/>
    <w:rsid w:val="00AB6A8D"/>
    <w:rsid w:val="00AC0061"/>
    <w:rsid w:val="00AC03D9"/>
    <w:rsid w:val="00AC040B"/>
    <w:rsid w:val="00AC0671"/>
    <w:rsid w:val="00AC2647"/>
    <w:rsid w:val="00AC36D3"/>
    <w:rsid w:val="00AC3AB3"/>
    <w:rsid w:val="00AC3AD1"/>
    <w:rsid w:val="00AC51B7"/>
    <w:rsid w:val="00AC54A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0F5"/>
    <w:rsid w:val="00AD52E4"/>
    <w:rsid w:val="00AD56CD"/>
    <w:rsid w:val="00AD57EA"/>
    <w:rsid w:val="00AD5AD5"/>
    <w:rsid w:val="00AD6A3D"/>
    <w:rsid w:val="00AD6F41"/>
    <w:rsid w:val="00AD7721"/>
    <w:rsid w:val="00AE01B1"/>
    <w:rsid w:val="00AE04FF"/>
    <w:rsid w:val="00AE06C6"/>
    <w:rsid w:val="00AE08E1"/>
    <w:rsid w:val="00AE172D"/>
    <w:rsid w:val="00AE3023"/>
    <w:rsid w:val="00AE3711"/>
    <w:rsid w:val="00AE5151"/>
    <w:rsid w:val="00AE527B"/>
    <w:rsid w:val="00AE5DC8"/>
    <w:rsid w:val="00AE6461"/>
    <w:rsid w:val="00AE7BEE"/>
    <w:rsid w:val="00AE7E22"/>
    <w:rsid w:val="00AE7EF1"/>
    <w:rsid w:val="00AF125A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47B0"/>
    <w:rsid w:val="00B04916"/>
    <w:rsid w:val="00B04CA1"/>
    <w:rsid w:val="00B0595A"/>
    <w:rsid w:val="00B061D2"/>
    <w:rsid w:val="00B06A13"/>
    <w:rsid w:val="00B06EC0"/>
    <w:rsid w:val="00B07B44"/>
    <w:rsid w:val="00B106DC"/>
    <w:rsid w:val="00B113B0"/>
    <w:rsid w:val="00B12169"/>
    <w:rsid w:val="00B1243A"/>
    <w:rsid w:val="00B12A6C"/>
    <w:rsid w:val="00B13427"/>
    <w:rsid w:val="00B13460"/>
    <w:rsid w:val="00B13573"/>
    <w:rsid w:val="00B14030"/>
    <w:rsid w:val="00B14DA7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301DB"/>
    <w:rsid w:val="00B30547"/>
    <w:rsid w:val="00B306D4"/>
    <w:rsid w:val="00B32DF1"/>
    <w:rsid w:val="00B3511E"/>
    <w:rsid w:val="00B3597D"/>
    <w:rsid w:val="00B35B99"/>
    <w:rsid w:val="00B36671"/>
    <w:rsid w:val="00B37B43"/>
    <w:rsid w:val="00B40412"/>
    <w:rsid w:val="00B41C43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23FB"/>
    <w:rsid w:val="00B53921"/>
    <w:rsid w:val="00B55EF9"/>
    <w:rsid w:val="00B57576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59E"/>
    <w:rsid w:val="00B73BF7"/>
    <w:rsid w:val="00B74C33"/>
    <w:rsid w:val="00B7720F"/>
    <w:rsid w:val="00B77B2E"/>
    <w:rsid w:val="00B77C09"/>
    <w:rsid w:val="00B77C8A"/>
    <w:rsid w:val="00B81FB5"/>
    <w:rsid w:val="00B820F7"/>
    <w:rsid w:val="00B82F98"/>
    <w:rsid w:val="00B83C1C"/>
    <w:rsid w:val="00B83CC8"/>
    <w:rsid w:val="00B84288"/>
    <w:rsid w:val="00B84C3B"/>
    <w:rsid w:val="00B84CB6"/>
    <w:rsid w:val="00B84E4A"/>
    <w:rsid w:val="00B8656A"/>
    <w:rsid w:val="00B86951"/>
    <w:rsid w:val="00B92956"/>
    <w:rsid w:val="00B92A5D"/>
    <w:rsid w:val="00B92C99"/>
    <w:rsid w:val="00B9331A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F54"/>
    <w:rsid w:val="00BA62D3"/>
    <w:rsid w:val="00BA732A"/>
    <w:rsid w:val="00BA7707"/>
    <w:rsid w:val="00BB18D2"/>
    <w:rsid w:val="00BB3087"/>
    <w:rsid w:val="00BB30B1"/>
    <w:rsid w:val="00BB3B77"/>
    <w:rsid w:val="00BB46E4"/>
    <w:rsid w:val="00BB5FDE"/>
    <w:rsid w:val="00BB6743"/>
    <w:rsid w:val="00BB71BA"/>
    <w:rsid w:val="00BB7919"/>
    <w:rsid w:val="00BB7A56"/>
    <w:rsid w:val="00BB7FBA"/>
    <w:rsid w:val="00BC0260"/>
    <w:rsid w:val="00BC05B5"/>
    <w:rsid w:val="00BC14D4"/>
    <w:rsid w:val="00BC22B4"/>
    <w:rsid w:val="00BC2D3F"/>
    <w:rsid w:val="00BC31F7"/>
    <w:rsid w:val="00BC33BE"/>
    <w:rsid w:val="00BC5A50"/>
    <w:rsid w:val="00BC6214"/>
    <w:rsid w:val="00BC645F"/>
    <w:rsid w:val="00BC7E84"/>
    <w:rsid w:val="00BD030C"/>
    <w:rsid w:val="00BD04EC"/>
    <w:rsid w:val="00BD0644"/>
    <w:rsid w:val="00BD20AE"/>
    <w:rsid w:val="00BD284A"/>
    <w:rsid w:val="00BD36C8"/>
    <w:rsid w:val="00BD3C18"/>
    <w:rsid w:val="00BD4472"/>
    <w:rsid w:val="00BD5673"/>
    <w:rsid w:val="00BD7373"/>
    <w:rsid w:val="00BD7A9F"/>
    <w:rsid w:val="00BE006E"/>
    <w:rsid w:val="00BE0145"/>
    <w:rsid w:val="00BE1EA7"/>
    <w:rsid w:val="00BE290D"/>
    <w:rsid w:val="00BE2D6C"/>
    <w:rsid w:val="00BE3064"/>
    <w:rsid w:val="00BE3E13"/>
    <w:rsid w:val="00BE4DB5"/>
    <w:rsid w:val="00BE5B62"/>
    <w:rsid w:val="00BE5F92"/>
    <w:rsid w:val="00BE640D"/>
    <w:rsid w:val="00BF2400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5E3"/>
    <w:rsid w:val="00C016B2"/>
    <w:rsid w:val="00C0214B"/>
    <w:rsid w:val="00C03B2D"/>
    <w:rsid w:val="00C04683"/>
    <w:rsid w:val="00C05569"/>
    <w:rsid w:val="00C05EDF"/>
    <w:rsid w:val="00C0702C"/>
    <w:rsid w:val="00C0709C"/>
    <w:rsid w:val="00C1153F"/>
    <w:rsid w:val="00C1265E"/>
    <w:rsid w:val="00C139AC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103"/>
    <w:rsid w:val="00C224AE"/>
    <w:rsid w:val="00C2319B"/>
    <w:rsid w:val="00C24073"/>
    <w:rsid w:val="00C24B55"/>
    <w:rsid w:val="00C25575"/>
    <w:rsid w:val="00C27871"/>
    <w:rsid w:val="00C27C48"/>
    <w:rsid w:val="00C303D0"/>
    <w:rsid w:val="00C30598"/>
    <w:rsid w:val="00C305AC"/>
    <w:rsid w:val="00C31E72"/>
    <w:rsid w:val="00C31FA7"/>
    <w:rsid w:val="00C32D88"/>
    <w:rsid w:val="00C332F1"/>
    <w:rsid w:val="00C336E6"/>
    <w:rsid w:val="00C33B20"/>
    <w:rsid w:val="00C34841"/>
    <w:rsid w:val="00C348B3"/>
    <w:rsid w:val="00C348EB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47D9E"/>
    <w:rsid w:val="00C51D8A"/>
    <w:rsid w:val="00C51F38"/>
    <w:rsid w:val="00C5270E"/>
    <w:rsid w:val="00C527A7"/>
    <w:rsid w:val="00C52C86"/>
    <w:rsid w:val="00C5608F"/>
    <w:rsid w:val="00C56F95"/>
    <w:rsid w:val="00C57A6E"/>
    <w:rsid w:val="00C57CC8"/>
    <w:rsid w:val="00C60AFF"/>
    <w:rsid w:val="00C60DBC"/>
    <w:rsid w:val="00C61360"/>
    <w:rsid w:val="00C61AE0"/>
    <w:rsid w:val="00C62AA0"/>
    <w:rsid w:val="00C6551B"/>
    <w:rsid w:val="00C65670"/>
    <w:rsid w:val="00C66D6E"/>
    <w:rsid w:val="00C67644"/>
    <w:rsid w:val="00C703BC"/>
    <w:rsid w:val="00C7092C"/>
    <w:rsid w:val="00C71FD7"/>
    <w:rsid w:val="00C72559"/>
    <w:rsid w:val="00C72733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2DAE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356C"/>
    <w:rsid w:val="00CA44BB"/>
    <w:rsid w:val="00CA467C"/>
    <w:rsid w:val="00CA5D71"/>
    <w:rsid w:val="00CA712F"/>
    <w:rsid w:val="00CA76BA"/>
    <w:rsid w:val="00CA781E"/>
    <w:rsid w:val="00CB03D4"/>
    <w:rsid w:val="00CB0DEA"/>
    <w:rsid w:val="00CB1608"/>
    <w:rsid w:val="00CB2708"/>
    <w:rsid w:val="00CB2A2A"/>
    <w:rsid w:val="00CB2FF7"/>
    <w:rsid w:val="00CB31A8"/>
    <w:rsid w:val="00CB32A3"/>
    <w:rsid w:val="00CB3657"/>
    <w:rsid w:val="00CB37B1"/>
    <w:rsid w:val="00CB3A06"/>
    <w:rsid w:val="00CB42B6"/>
    <w:rsid w:val="00CB5AD1"/>
    <w:rsid w:val="00CB5E47"/>
    <w:rsid w:val="00CB6DA3"/>
    <w:rsid w:val="00CB7603"/>
    <w:rsid w:val="00CB77D0"/>
    <w:rsid w:val="00CC0647"/>
    <w:rsid w:val="00CC11AF"/>
    <w:rsid w:val="00CC14E6"/>
    <w:rsid w:val="00CC2D50"/>
    <w:rsid w:val="00CC377B"/>
    <w:rsid w:val="00CC3CD6"/>
    <w:rsid w:val="00CC41D5"/>
    <w:rsid w:val="00CC4442"/>
    <w:rsid w:val="00CC47CF"/>
    <w:rsid w:val="00CC485C"/>
    <w:rsid w:val="00CC4C78"/>
    <w:rsid w:val="00CC4C79"/>
    <w:rsid w:val="00CC5551"/>
    <w:rsid w:val="00CC55A0"/>
    <w:rsid w:val="00CC55CB"/>
    <w:rsid w:val="00CC600D"/>
    <w:rsid w:val="00CC6596"/>
    <w:rsid w:val="00CC75E5"/>
    <w:rsid w:val="00CC7A15"/>
    <w:rsid w:val="00CD09AA"/>
    <w:rsid w:val="00CD0ABC"/>
    <w:rsid w:val="00CD0DAA"/>
    <w:rsid w:val="00CD0FF4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1626"/>
    <w:rsid w:val="00CE213E"/>
    <w:rsid w:val="00CE28C9"/>
    <w:rsid w:val="00CE3883"/>
    <w:rsid w:val="00CE3E97"/>
    <w:rsid w:val="00CE422F"/>
    <w:rsid w:val="00CE518C"/>
    <w:rsid w:val="00CE5588"/>
    <w:rsid w:val="00CE655B"/>
    <w:rsid w:val="00CE65F5"/>
    <w:rsid w:val="00CE6E6C"/>
    <w:rsid w:val="00CE7E9C"/>
    <w:rsid w:val="00CF02A0"/>
    <w:rsid w:val="00CF0724"/>
    <w:rsid w:val="00CF1104"/>
    <w:rsid w:val="00CF19A6"/>
    <w:rsid w:val="00CF1CB6"/>
    <w:rsid w:val="00CF3643"/>
    <w:rsid w:val="00CF3D74"/>
    <w:rsid w:val="00CF46A5"/>
    <w:rsid w:val="00CF5472"/>
    <w:rsid w:val="00CF62A5"/>
    <w:rsid w:val="00D00B68"/>
    <w:rsid w:val="00D02A49"/>
    <w:rsid w:val="00D03252"/>
    <w:rsid w:val="00D04428"/>
    <w:rsid w:val="00D0470D"/>
    <w:rsid w:val="00D04C6F"/>
    <w:rsid w:val="00D0552A"/>
    <w:rsid w:val="00D05C7C"/>
    <w:rsid w:val="00D05DBC"/>
    <w:rsid w:val="00D0788A"/>
    <w:rsid w:val="00D07C77"/>
    <w:rsid w:val="00D10B46"/>
    <w:rsid w:val="00D10F24"/>
    <w:rsid w:val="00D11208"/>
    <w:rsid w:val="00D1135C"/>
    <w:rsid w:val="00D114B6"/>
    <w:rsid w:val="00D11930"/>
    <w:rsid w:val="00D11C81"/>
    <w:rsid w:val="00D13F11"/>
    <w:rsid w:val="00D15020"/>
    <w:rsid w:val="00D1578D"/>
    <w:rsid w:val="00D17708"/>
    <w:rsid w:val="00D178B1"/>
    <w:rsid w:val="00D2253B"/>
    <w:rsid w:val="00D22F14"/>
    <w:rsid w:val="00D24589"/>
    <w:rsid w:val="00D24C1F"/>
    <w:rsid w:val="00D25269"/>
    <w:rsid w:val="00D2584B"/>
    <w:rsid w:val="00D267AB"/>
    <w:rsid w:val="00D2761E"/>
    <w:rsid w:val="00D31011"/>
    <w:rsid w:val="00D31741"/>
    <w:rsid w:val="00D31E49"/>
    <w:rsid w:val="00D32174"/>
    <w:rsid w:val="00D32880"/>
    <w:rsid w:val="00D33569"/>
    <w:rsid w:val="00D340C5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8FE"/>
    <w:rsid w:val="00D43E2B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052B"/>
    <w:rsid w:val="00D6124B"/>
    <w:rsid w:val="00D61419"/>
    <w:rsid w:val="00D614E8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4ED2"/>
    <w:rsid w:val="00D75556"/>
    <w:rsid w:val="00D75CDB"/>
    <w:rsid w:val="00D7610D"/>
    <w:rsid w:val="00D76298"/>
    <w:rsid w:val="00D76BD1"/>
    <w:rsid w:val="00D7708B"/>
    <w:rsid w:val="00D773DF"/>
    <w:rsid w:val="00D8195D"/>
    <w:rsid w:val="00D8234C"/>
    <w:rsid w:val="00D8257F"/>
    <w:rsid w:val="00D827E4"/>
    <w:rsid w:val="00D840AB"/>
    <w:rsid w:val="00D84220"/>
    <w:rsid w:val="00D84249"/>
    <w:rsid w:val="00D859E2"/>
    <w:rsid w:val="00D85C66"/>
    <w:rsid w:val="00D85F19"/>
    <w:rsid w:val="00D863AE"/>
    <w:rsid w:val="00D86400"/>
    <w:rsid w:val="00D877EA"/>
    <w:rsid w:val="00D879C4"/>
    <w:rsid w:val="00D901D3"/>
    <w:rsid w:val="00D90B1A"/>
    <w:rsid w:val="00D91A5C"/>
    <w:rsid w:val="00D920B6"/>
    <w:rsid w:val="00D9251C"/>
    <w:rsid w:val="00D92783"/>
    <w:rsid w:val="00D92F02"/>
    <w:rsid w:val="00D933B6"/>
    <w:rsid w:val="00D93B8F"/>
    <w:rsid w:val="00D9463E"/>
    <w:rsid w:val="00D9490F"/>
    <w:rsid w:val="00D94EB2"/>
    <w:rsid w:val="00D95319"/>
    <w:rsid w:val="00D954C8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4E7B"/>
    <w:rsid w:val="00DA4EFD"/>
    <w:rsid w:val="00DA659F"/>
    <w:rsid w:val="00DA6EBF"/>
    <w:rsid w:val="00DA707D"/>
    <w:rsid w:val="00DA71E5"/>
    <w:rsid w:val="00DA7613"/>
    <w:rsid w:val="00DA7689"/>
    <w:rsid w:val="00DB0108"/>
    <w:rsid w:val="00DB05D0"/>
    <w:rsid w:val="00DB2467"/>
    <w:rsid w:val="00DB2C5A"/>
    <w:rsid w:val="00DB39A9"/>
    <w:rsid w:val="00DB5993"/>
    <w:rsid w:val="00DB59A4"/>
    <w:rsid w:val="00DB6236"/>
    <w:rsid w:val="00DB6353"/>
    <w:rsid w:val="00DB661D"/>
    <w:rsid w:val="00DB6EFC"/>
    <w:rsid w:val="00DC06B4"/>
    <w:rsid w:val="00DC084B"/>
    <w:rsid w:val="00DC0901"/>
    <w:rsid w:val="00DC158E"/>
    <w:rsid w:val="00DC16CC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571"/>
    <w:rsid w:val="00DD2919"/>
    <w:rsid w:val="00DD345B"/>
    <w:rsid w:val="00DD353C"/>
    <w:rsid w:val="00DD381C"/>
    <w:rsid w:val="00DD3D9D"/>
    <w:rsid w:val="00DD3F5F"/>
    <w:rsid w:val="00DD7A99"/>
    <w:rsid w:val="00DE02DA"/>
    <w:rsid w:val="00DE040F"/>
    <w:rsid w:val="00DE1BF4"/>
    <w:rsid w:val="00DE1F2C"/>
    <w:rsid w:val="00DE2437"/>
    <w:rsid w:val="00DE24A6"/>
    <w:rsid w:val="00DE27AA"/>
    <w:rsid w:val="00DE2913"/>
    <w:rsid w:val="00DE4153"/>
    <w:rsid w:val="00DE4183"/>
    <w:rsid w:val="00DE486F"/>
    <w:rsid w:val="00DE631A"/>
    <w:rsid w:val="00DE700F"/>
    <w:rsid w:val="00DE7084"/>
    <w:rsid w:val="00DE7994"/>
    <w:rsid w:val="00DF00F0"/>
    <w:rsid w:val="00DF2397"/>
    <w:rsid w:val="00DF241A"/>
    <w:rsid w:val="00DF2488"/>
    <w:rsid w:val="00DF3F91"/>
    <w:rsid w:val="00DF490B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2A7B"/>
    <w:rsid w:val="00E03F95"/>
    <w:rsid w:val="00E05007"/>
    <w:rsid w:val="00E06B5C"/>
    <w:rsid w:val="00E06D24"/>
    <w:rsid w:val="00E07BF8"/>
    <w:rsid w:val="00E102A2"/>
    <w:rsid w:val="00E103E1"/>
    <w:rsid w:val="00E1098A"/>
    <w:rsid w:val="00E10F85"/>
    <w:rsid w:val="00E10F93"/>
    <w:rsid w:val="00E11C2B"/>
    <w:rsid w:val="00E1452D"/>
    <w:rsid w:val="00E14F74"/>
    <w:rsid w:val="00E15157"/>
    <w:rsid w:val="00E15684"/>
    <w:rsid w:val="00E16EBB"/>
    <w:rsid w:val="00E17439"/>
    <w:rsid w:val="00E17B4B"/>
    <w:rsid w:val="00E17D14"/>
    <w:rsid w:val="00E208AD"/>
    <w:rsid w:val="00E2442A"/>
    <w:rsid w:val="00E24A78"/>
    <w:rsid w:val="00E24EBA"/>
    <w:rsid w:val="00E25272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1BE7"/>
    <w:rsid w:val="00E32D54"/>
    <w:rsid w:val="00E336A9"/>
    <w:rsid w:val="00E338BB"/>
    <w:rsid w:val="00E3419C"/>
    <w:rsid w:val="00E34623"/>
    <w:rsid w:val="00E34A20"/>
    <w:rsid w:val="00E34D88"/>
    <w:rsid w:val="00E36855"/>
    <w:rsid w:val="00E36C62"/>
    <w:rsid w:val="00E3743C"/>
    <w:rsid w:val="00E37D91"/>
    <w:rsid w:val="00E40973"/>
    <w:rsid w:val="00E409FC"/>
    <w:rsid w:val="00E41A4E"/>
    <w:rsid w:val="00E42422"/>
    <w:rsid w:val="00E4399D"/>
    <w:rsid w:val="00E43F02"/>
    <w:rsid w:val="00E448BA"/>
    <w:rsid w:val="00E454D7"/>
    <w:rsid w:val="00E45E6C"/>
    <w:rsid w:val="00E4600F"/>
    <w:rsid w:val="00E46013"/>
    <w:rsid w:val="00E46939"/>
    <w:rsid w:val="00E46CF7"/>
    <w:rsid w:val="00E46F29"/>
    <w:rsid w:val="00E47295"/>
    <w:rsid w:val="00E50738"/>
    <w:rsid w:val="00E50C20"/>
    <w:rsid w:val="00E5239A"/>
    <w:rsid w:val="00E53863"/>
    <w:rsid w:val="00E53B0E"/>
    <w:rsid w:val="00E55264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428"/>
    <w:rsid w:val="00E64B87"/>
    <w:rsid w:val="00E6547C"/>
    <w:rsid w:val="00E65A3E"/>
    <w:rsid w:val="00E663D4"/>
    <w:rsid w:val="00E70167"/>
    <w:rsid w:val="00E703F7"/>
    <w:rsid w:val="00E71331"/>
    <w:rsid w:val="00E71CFE"/>
    <w:rsid w:val="00E73743"/>
    <w:rsid w:val="00E74988"/>
    <w:rsid w:val="00E74CCC"/>
    <w:rsid w:val="00E74D54"/>
    <w:rsid w:val="00E75081"/>
    <w:rsid w:val="00E7551F"/>
    <w:rsid w:val="00E766FC"/>
    <w:rsid w:val="00E768E8"/>
    <w:rsid w:val="00E76A9E"/>
    <w:rsid w:val="00E76EE0"/>
    <w:rsid w:val="00E775A0"/>
    <w:rsid w:val="00E8004A"/>
    <w:rsid w:val="00E82A1E"/>
    <w:rsid w:val="00E82A4C"/>
    <w:rsid w:val="00E84169"/>
    <w:rsid w:val="00E84511"/>
    <w:rsid w:val="00E846BC"/>
    <w:rsid w:val="00E853C1"/>
    <w:rsid w:val="00E859F1"/>
    <w:rsid w:val="00E86053"/>
    <w:rsid w:val="00E86A2B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4902"/>
    <w:rsid w:val="00E951EB"/>
    <w:rsid w:val="00E9561E"/>
    <w:rsid w:val="00E95E61"/>
    <w:rsid w:val="00E969B2"/>
    <w:rsid w:val="00E972AE"/>
    <w:rsid w:val="00EA08F7"/>
    <w:rsid w:val="00EA13AA"/>
    <w:rsid w:val="00EA1B2B"/>
    <w:rsid w:val="00EA5392"/>
    <w:rsid w:val="00EA553D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4CD5"/>
    <w:rsid w:val="00EB550B"/>
    <w:rsid w:val="00EB6995"/>
    <w:rsid w:val="00EB6B6C"/>
    <w:rsid w:val="00EB6EA7"/>
    <w:rsid w:val="00EB786A"/>
    <w:rsid w:val="00EB7915"/>
    <w:rsid w:val="00EB7D30"/>
    <w:rsid w:val="00EC01F5"/>
    <w:rsid w:val="00EC08E4"/>
    <w:rsid w:val="00EC1813"/>
    <w:rsid w:val="00EC1B7E"/>
    <w:rsid w:val="00EC2F08"/>
    <w:rsid w:val="00EC3928"/>
    <w:rsid w:val="00EC4C24"/>
    <w:rsid w:val="00EC4E98"/>
    <w:rsid w:val="00EC51E3"/>
    <w:rsid w:val="00EC5FB3"/>
    <w:rsid w:val="00EC70DC"/>
    <w:rsid w:val="00EC7225"/>
    <w:rsid w:val="00EC777A"/>
    <w:rsid w:val="00ED0604"/>
    <w:rsid w:val="00ED29D4"/>
    <w:rsid w:val="00ED29E7"/>
    <w:rsid w:val="00ED3659"/>
    <w:rsid w:val="00ED3980"/>
    <w:rsid w:val="00ED3DCC"/>
    <w:rsid w:val="00ED42E1"/>
    <w:rsid w:val="00ED4573"/>
    <w:rsid w:val="00ED4C46"/>
    <w:rsid w:val="00ED564C"/>
    <w:rsid w:val="00EE2460"/>
    <w:rsid w:val="00EE3E4A"/>
    <w:rsid w:val="00EE48F6"/>
    <w:rsid w:val="00EE5849"/>
    <w:rsid w:val="00EE5947"/>
    <w:rsid w:val="00EE6848"/>
    <w:rsid w:val="00EE6864"/>
    <w:rsid w:val="00EE6C4D"/>
    <w:rsid w:val="00EF0201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AB1"/>
    <w:rsid w:val="00F02736"/>
    <w:rsid w:val="00F02C03"/>
    <w:rsid w:val="00F03622"/>
    <w:rsid w:val="00F04A74"/>
    <w:rsid w:val="00F06024"/>
    <w:rsid w:val="00F06C2F"/>
    <w:rsid w:val="00F07675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11DA"/>
    <w:rsid w:val="00F22A80"/>
    <w:rsid w:val="00F22B64"/>
    <w:rsid w:val="00F23B25"/>
    <w:rsid w:val="00F24320"/>
    <w:rsid w:val="00F24333"/>
    <w:rsid w:val="00F25874"/>
    <w:rsid w:val="00F269C2"/>
    <w:rsid w:val="00F26C10"/>
    <w:rsid w:val="00F2799E"/>
    <w:rsid w:val="00F30A02"/>
    <w:rsid w:val="00F31A47"/>
    <w:rsid w:val="00F3223B"/>
    <w:rsid w:val="00F33AA5"/>
    <w:rsid w:val="00F33C37"/>
    <w:rsid w:val="00F34178"/>
    <w:rsid w:val="00F35CA3"/>
    <w:rsid w:val="00F36084"/>
    <w:rsid w:val="00F36D55"/>
    <w:rsid w:val="00F37BDA"/>
    <w:rsid w:val="00F37C6B"/>
    <w:rsid w:val="00F40543"/>
    <w:rsid w:val="00F407A8"/>
    <w:rsid w:val="00F407DB"/>
    <w:rsid w:val="00F40E7E"/>
    <w:rsid w:val="00F42549"/>
    <w:rsid w:val="00F43457"/>
    <w:rsid w:val="00F434F2"/>
    <w:rsid w:val="00F45924"/>
    <w:rsid w:val="00F45C42"/>
    <w:rsid w:val="00F46470"/>
    <w:rsid w:val="00F4661F"/>
    <w:rsid w:val="00F469A6"/>
    <w:rsid w:val="00F4746E"/>
    <w:rsid w:val="00F51EB0"/>
    <w:rsid w:val="00F52A85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3F10"/>
    <w:rsid w:val="00F642AD"/>
    <w:rsid w:val="00F64BDC"/>
    <w:rsid w:val="00F666CF"/>
    <w:rsid w:val="00F668B2"/>
    <w:rsid w:val="00F67141"/>
    <w:rsid w:val="00F6732E"/>
    <w:rsid w:val="00F7073B"/>
    <w:rsid w:val="00F72085"/>
    <w:rsid w:val="00F72106"/>
    <w:rsid w:val="00F72D70"/>
    <w:rsid w:val="00F74191"/>
    <w:rsid w:val="00F748BF"/>
    <w:rsid w:val="00F75CB0"/>
    <w:rsid w:val="00F7730F"/>
    <w:rsid w:val="00F77A4D"/>
    <w:rsid w:val="00F8105E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4CEC"/>
    <w:rsid w:val="00FA59AC"/>
    <w:rsid w:val="00FA62DF"/>
    <w:rsid w:val="00FA6512"/>
    <w:rsid w:val="00FA7CCC"/>
    <w:rsid w:val="00FA7E54"/>
    <w:rsid w:val="00FB007C"/>
    <w:rsid w:val="00FB0D3B"/>
    <w:rsid w:val="00FB1989"/>
    <w:rsid w:val="00FB1FC8"/>
    <w:rsid w:val="00FB2AF2"/>
    <w:rsid w:val="00FB3845"/>
    <w:rsid w:val="00FB41B4"/>
    <w:rsid w:val="00FB4562"/>
    <w:rsid w:val="00FB457B"/>
    <w:rsid w:val="00FB4F49"/>
    <w:rsid w:val="00FB5973"/>
    <w:rsid w:val="00FB6DD2"/>
    <w:rsid w:val="00FC2369"/>
    <w:rsid w:val="00FC3075"/>
    <w:rsid w:val="00FC32D8"/>
    <w:rsid w:val="00FC487A"/>
    <w:rsid w:val="00FC5DA4"/>
    <w:rsid w:val="00FC627D"/>
    <w:rsid w:val="00FC7106"/>
    <w:rsid w:val="00FC7201"/>
    <w:rsid w:val="00FC7B44"/>
    <w:rsid w:val="00FD0045"/>
    <w:rsid w:val="00FD0196"/>
    <w:rsid w:val="00FD0A91"/>
    <w:rsid w:val="00FD14BD"/>
    <w:rsid w:val="00FD166F"/>
    <w:rsid w:val="00FD199A"/>
    <w:rsid w:val="00FD1B28"/>
    <w:rsid w:val="00FD2875"/>
    <w:rsid w:val="00FD2DC2"/>
    <w:rsid w:val="00FD4EE1"/>
    <w:rsid w:val="00FD52BD"/>
    <w:rsid w:val="00FD5DF3"/>
    <w:rsid w:val="00FD64AF"/>
    <w:rsid w:val="00FD797C"/>
    <w:rsid w:val="00FD7B72"/>
    <w:rsid w:val="00FE041A"/>
    <w:rsid w:val="00FE1622"/>
    <w:rsid w:val="00FE1A86"/>
    <w:rsid w:val="00FE1CA3"/>
    <w:rsid w:val="00FE3DE4"/>
    <w:rsid w:val="00FE3E00"/>
    <w:rsid w:val="00FE46BF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09"/>
    <w:rPr>
      <w:rFonts w:hint="cs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4">
    <w:name w:val="heading 4"/>
    <w:basedOn w:val="a"/>
    <w:next w:val="a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a4">
    <w:name w:val="footnote text"/>
    <w:basedOn w:val="a"/>
    <w:link w:val="a5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a6">
    <w:name w:val="footnote reference"/>
    <w:semiHidden/>
    <w:rsid w:val="002C5E09"/>
    <w:rPr>
      <w:vertAlign w:val="superscript"/>
    </w:rPr>
  </w:style>
  <w:style w:type="table" w:styleId="a7">
    <w:name w:val="Table Grid"/>
    <w:basedOn w:val="a1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semiHidden/>
    <w:rsid w:val="00915673"/>
    <w:rPr>
      <w:sz w:val="20"/>
      <w:szCs w:val="20"/>
    </w:rPr>
  </w:style>
  <w:style w:type="character" w:styleId="a9">
    <w:name w:val="endnote reference"/>
    <w:semiHidden/>
    <w:rsid w:val="00915673"/>
    <w:rPr>
      <w:vertAlign w:val="superscript"/>
    </w:rPr>
  </w:style>
  <w:style w:type="paragraph" w:styleId="aa">
    <w:name w:val="Balloon Text"/>
    <w:basedOn w:val="a"/>
    <w:semiHidden/>
    <w:rsid w:val="00F9140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F9140C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ae">
    <w:name w:val="annotation reference"/>
    <w:rsid w:val="003C1AEC"/>
    <w:rPr>
      <w:sz w:val="16"/>
      <w:szCs w:val="16"/>
    </w:rPr>
  </w:style>
  <w:style w:type="paragraph" w:styleId="af">
    <w:name w:val="annotation text"/>
    <w:basedOn w:val="a"/>
    <w:link w:val="af0"/>
    <w:rsid w:val="003C1AEC"/>
    <w:rPr>
      <w:sz w:val="20"/>
      <w:szCs w:val="20"/>
    </w:rPr>
  </w:style>
  <w:style w:type="character" w:customStyle="1" w:styleId="af0">
    <w:name w:val="טקסט הערה תו"/>
    <w:link w:val="af"/>
    <w:rsid w:val="003C1AEC"/>
    <w:rPr>
      <w:lang w:eastAsia="he-IL"/>
    </w:rPr>
  </w:style>
  <w:style w:type="paragraph" w:styleId="af1">
    <w:name w:val="annotation subject"/>
    <w:basedOn w:val="af"/>
    <w:next w:val="af"/>
    <w:link w:val="af2"/>
    <w:rsid w:val="003C1AEC"/>
    <w:rPr>
      <w:b/>
      <w:bCs/>
    </w:rPr>
  </w:style>
  <w:style w:type="character" w:customStyle="1" w:styleId="af2">
    <w:name w:val="נושא הערה תו"/>
    <w:link w:val="af1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ad">
    <w:name w:val="כותרת תחתונה תו"/>
    <w:basedOn w:val="a0"/>
    <w:link w:val="ac"/>
    <w:uiPriority w:val="99"/>
    <w:rsid w:val="00ED29D4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a0"/>
    <w:rsid w:val="003C10EF"/>
  </w:style>
  <w:style w:type="paragraph" w:styleId="af3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af4">
    <w:name w:val="Title"/>
    <w:basedOn w:val="a"/>
    <w:next w:val="a"/>
    <w:link w:val="af5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a0"/>
    <w:rsid w:val="00C97149"/>
  </w:style>
  <w:style w:type="paragraph" w:styleId="af6">
    <w:name w:val="List Paragraph"/>
    <w:basedOn w:val="a"/>
    <w:uiPriority w:val="34"/>
    <w:qFormat/>
    <w:rsid w:val="00D340C5"/>
    <w:pPr>
      <w:ind w:left="720"/>
      <w:contextualSpacing/>
    </w:pPr>
  </w:style>
  <w:style w:type="character" w:customStyle="1" w:styleId="a5">
    <w:name w:val="טקסט הערת שוליים תו"/>
    <w:basedOn w:val="a0"/>
    <w:link w:val="a4"/>
    <w:semiHidden/>
    <w:rsid w:val="00215DAB"/>
    <w:rPr>
      <w:rFonts w:cs="David"/>
      <w:iCs/>
      <w:lang w:eastAsia="he-IL"/>
    </w:rPr>
  </w:style>
  <w:style w:type="paragraph" w:styleId="NormalWeb">
    <w:name w:val="Normal (Web)"/>
    <w:basedOn w:val="a"/>
    <w:uiPriority w:val="99"/>
    <w:semiHidden/>
    <w:unhideWhenUsed/>
    <w:rsid w:val="00670DCD"/>
    <w:pPr>
      <w:spacing w:before="100" w:beforeAutospacing="1" w:after="100" w:afterAutospacing="1"/>
    </w:pPr>
    <w:rPr>
      <w:rFonts w:hint="default"/>
      <w:lang w:eastAsia="en-US"/>
    </w:rPr>
  </w:style>
  <w:style w:type="paragraph" w:customStyle="1" w:styleId="af7">
    <w:name w:val="טקסט רץ"/>
    <w:basedOn w:val="af6"/>
    <w:qFormat/>
    <w:rsid w:val="00B57576"/>
    <w:pPr>
      <w:bidi/>
      <w:ind w:left="-7"/>
      <w:jc w:val="both"/>
    </w:pPr>
    <w:rPr>
      <w:rFonts w:ascii="Assistant" w:hAnsi="Assistant" w:cs="Assistant" w:hint="default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789577069149881E-2"/>
          <c:y val="0.11676550506753407"/>
          <c:w val="0.86707789878755581"/>
          <c:h val="0.65486670157235194"/>
        </c:manualLayout>
      </c:layout>
      <c:barChart>
        <c:barDir val="col"/>
        <c:grouping val="clustered"/>
        <c:varyColors val="0"/>
        <c:ser>
          <c:idx val="6"/>
          <c:order val="0"/>
          <c:tx>
            <c:strRef>
              <c:f>[chartbook_TETA.xlsm]data_119!$B$5</c:f>
              <c:strCache>
                <c:ptCount val="1"/>
                <c:pt idx="0">
                  <c:v>אומדן המדד החודשי</c:v>
                </c:pt>
              </c:strCache>
            </c:strRef>
          </c:tx>
          <c:spPr>
            <a:solidFill>
              <a:srgbClr val="008DA3"/>
            </a:solidFill>
            <a:ln>
              <a:solidFill>
                <a:srgbClr val="357C32"/>
              </a:solidFill>
            </a:ln>
            <a:effectLst/>
          </c:spPr>
          <c:invertIfNegative val="0"/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45382</c:v>
                </c:pt>
                <c:pt idx="1">
                  <c:v>45412</c:v>
                </c:pt>
                <c:pt idx="2">
                  <c:v>45443</c:v>
                </c:pt>
                <c:pt idx="3">
                  <c:v>45473</c:v>
                </c:pt>
                <c:pt idx="4">
                  <c:v>45504</c:v>
                </c:pt>
                <c:pt idx="5">
                  <c:v>45535</c:v>
                </c:pt>
                <c:pt idx="6">
                  <c:v>45565</c:v>
                </c:pt>
                <c:pt idx="7">
                  <c:v>45596</c:v>
                </c:pt>
                <c:pt idx="8">
                  <c:v>45626</c:v>
                </c:pt>
                <c:pt idx="9">
                  <c:v>45657</c:v>
                </c:pt>
                <c:pt idx="10">
                  <c:v>45688</c:v>
                </c:pt>
                <c:pt idx="11">
                  <c:v>45716</c:v>
                </c:pt>
                <c:pt idx="12">
                  <c:v>45747</c:v>
                </c:pt>
                <c:pt idx="13">
                  <c:v>45777</c:v>
                </c:pt>
                <c:pt idx="14">
                  <c:v>45808</c:v>
                </c:pt>
                <c:pt idx="15">
                  <c:v>45838</c:v>
                </c:pt>
                <c:pt idx="16">
                  <c:v>45869</c:v>
                </c:pt>
                <c:pt idx="17">
                  <c:v>45900</c:v>
                </c:pt>
                <c:pt idx="18">
                  <c:v>45930</c:v>
                </c:pt>
                <c:pt idx="19">
                  <c:v>45961</c:v>
                </c:pt>
                <c:pt idx="20">
                  <c:v>45991</c:v>
                </c:pt>
                <c:pt idx="21">
                  <c:v>46022</c:v>
                </c:pt>
                <c:pt idx="22">
                  <c:v>46053</c:v>
                </c:pt>
                <c:pt idx="23">
                  <c:v>46081</c:v>
                </c:pt>
                <c:pt idx="24">
                  <c:v>46112</c:v>
                </c:pt>
              </c:numCache>
            </c:numRef>
          </c:cat>
          <c:val>
            <c:numRef>
              <c:f>[chartbook_TETA.xlsm]data_119!$B$6:$B$30</c:f>
              <c:numCache>
                <c:formatCode>General</c:formatCode>
                <c:ptCount val="25"/>
                <c:pt idx="0">
                  <c:v>0.82599999999999996</c:v>
                </c:pt>
                <c:pt idx="1">
                  <c:v>3.9E-2</c:v>
                </c:pt>
                <c:pt idx="2">
                  <c:v>0.24099999999999999</c:v>
                </c:pt>
                <c:pt idx="3">
                  <c:v>0.17499999999999999</c:v>
                </c:pt>
                <c:pt idx="4">
                  <c:v>0.65700000000000003</c:v>
                </c:pt>
                <c:pt idx="5">
                  <c:v>0.28499999999999998</c:v>
                </c:pt>
                <c:pt idx="6">
                  <c:v>0.14899999999999999</c:v>
                </c:pt>
                <c:pt idx="7">
                  <c:v>-0.27200000000000002</c:v>
                </c:pt>
                <c:pt idx="8">
                  <c:v>-9.2999999999999999E-2</c:v>
                </c:pt>
                <c:pt idx="9">
                  <c:v>0.65</c:v>
                </c:pt>
                <c:pt idx="10">
                  <c:v>0.33300000000000002</c:v>
                </c:pt>
                <c:pt idx="11">
                  <c:v>0.89900000000000002</c:v>
                </c:pt>
                <c:pt idx="12">
                  <c:v>0.22</c:v>
                </c:pt>
                <c:pt idx="13">
                  <c:v>0.36599999999999999</c:v>
                </c:pt>
                <c:pt idx="14">
                  <c:v>9.4E-2</c:v>
                </c:pt>
                <c:pt idx="15">
                  <c:v>-1.623</c:v>
                </c:pt>
                <c:pt idx="16">
                  <c:v>0.77500000000000002</c:v>
                </c:pt>
                <c:pt idx="17">
                  <c:v>0.13700000000000001</c:v>
                </c:pt>
                <c:pt idx="18">
                  <c:v>1.982</c:v>
                </c:pt>
                <c:pt idx="19">
                  <c:v>-0.10100000000000001</c:v>
                </c:pt>
                <c:pt idx="20">
                  <c:v>0.69399999999999995</c:v>
                </c:pt>
                <c:pt idx="21">
                  <c:v>0.216</c:v>
                </c:pt>
                <c:pt idx="22">
                  <c:v>0.57599999999999996</c:v>
                </c:pt>
                <c:pt idx="23">
                  <c:v>0.13200000000000001</c:v>
                </c:pt>
                <c:pt idx="24">
                  <c:v>-0.21199999999999999</c:v>
                </c:pt>
              </c:numCache>
            </c:numRef>
          </c:val>
          <c:extLst xmlns:a14="http://schemas.microsoft.com/office/drawing/2010/main" xmlns:wp="http://schemas.openxmlformats.org/drawingml/2006/wordprocessingDrawing" xmlns:w="http://schemas.openxmlformats.org/wordprocessingml/2006/main" xmlns:m="http://schemas.openxmlformats.org/officeDocument/2006/math" xmlns:c15="http://schemas.microsoft.com/office/drawing/2012/chart">
            <c:ext xmlns:c16="http://schemas.microsoft.com/office/drawing/2014/chart" uri="{C3380CC4-5D6E-409C-BE32-E72D297353CC}">
              <c16:uniqueId val="{00000000-9F80-4610-B4BC-04956AF2A9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"/>
        <c:axId val="673828768"/>
        <c:axId val="673807552"/>
      </c:barChart>
      <c:lineChart>
        <c:grouping val="standard"/>
        <c:varyColors val="0"/>
        <c:ser>
          <c:idx val="0"/>
          <c:order val="1"/>
          <c:tx>
            <c:strRef>
              <c:f>[chartbook_TETA.xlsm]data_119!$C$5</c:f>
              <c:strCache>
                <c:ptCount val="1"/>
                <c:pt idx="0">
                  <c:v>אומדן קודם</c:v>
                </c:pt>
              </c:strCache>
            </c:strRef>
          </c:tx>
          <c:spPr>
            <a:ln w="31750" cap="rnd">
              <a:noFill/>
              <a:round/>
            </a:ln>
            <a:effectLst/>
          </c:spPr>
          <c:marker>
            <c:symbol val="circle"/>
            <c:size val="6"/>
            <c:spPr>
              <a:solidFill>
                <a:srgbClr val="357C32"/>
              </a:solidFill>
              <a:ln w="22225">
                <a:noFill/>
                <a:round/>
              </a:ln>
              <a:effectLst/>
            </c:spPr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45382</c:v>
                </c:pt>
                <c:pt idx="1">
                  <c:v>45412</c:v>
                </c:pt>
                <c:pt idx="2">
                  <c:v>45443</c:v>
                </c:pt>
                <c:pt idx="3">
                  <c:v>45473</c:v>
                </c:pt>
                <c:pt idx="4">
                  <c:v>45504</c:v>
                </c:pt>
                <c:pt idx="5">
                  <c:v>45535</c:v>
                </c:pt>
                <c:pt idx="6">
                  <c:v>45565</c:v>
                </c:pt>
                <c:pt idx="7">
                  <c:v>45596</c:v>
                </c:pt>
                <c:pt idx="8">
                  <c:v>45626</c:v>
                </c:pt>
                <c:pt idx="9">
                  <c:v>45657</c:v>
                </c:pt>
                <c:pt idx="10">
                  <c:v>45688</c:v>
                </c:pt>
                <c:pt idx="11">
                  <c:v>45716</c:v>
                </c:pt>
                <c:pt idx="12">
                  <c:v>45747</c:v>
                </c:pt>
                <c:pt idx="13">
                  <c:v>45777</c:v>
                </c:pt>
                <c:pt idx="14">
                  <c:v>45808</c:v>
                </c:pt>
                <c:pt idx="15">
                  <c:v>45838</c:v>
                </c:pt>
                <c:pt idx="16">
                  <c:v>45869</c:v>
                </c:pt>
                <c:pt idx="17">
                  <c:v>45900</c:v>
                </c:pt>
                <c:pt idx="18">
                  <c:v>45930</c:v>
                </c:pt>
                <c:pt idx="19">
                  <c:v>45961</c:v>
                </c:pt>
                <c:pt idx="20">
                  <c:v>45991</c:v>
                </c:pt>
                <c:pt idx="21">
                  <c:v>46022</c:v>
                </c:pt>
                <c:pt idx="22">
                  <c:v>46053</c:v>
                </c:pt>
                <c:pt idx="23">
                  <c:v>46081</c:v>
                </c:pt>
                <c:pt idx="24">
                  <c:v>46112</c:v>
                </c:pt>
              </c:numCache>
            </c:numRef>
          </c:cat>
          <c:val>
            <c:numRef>
              <c:f>[chartbook_TETA.xlsm]data_119!$C$6:$C$30</c:f>
              <c:numCache>
                <c:formatCode>General</c:formatCode>
                <c:ptCount val="25"/>
                <c:pt idx="0">
                  <c:v>0.82199999999999995</c:v>
                </c:pt>
                <c:pt idx="1">
                  <c:v>3.2000000000000001E-2</c:v>
                </c:pt>
                <c:pt idx="2">
                  <c:v>0.26</c:v>
                </c:pt>
                <c:pt idx="3">
                  <c:v>0.20499999999999999</c:v>
                </c:pt>
                <c:pt idx="4">
                  <c:v>0.66500000000000004</c:v>
                </c:pt>
                <c:pt idx="5">
                  <c:v>0.26600000000000001</c:v>
                </c:pt>
                <c:pt idx="6">
                  <c:v>0.13100000000000001</c:v>
                </c:pt>
                <c:pt idx="7">
                  <c:v>-0.29099999999999998</c:v>
                </c:pt>
                <c:pt idx="8">
                  <c:v>-5.6000000000000001E-2</c:v>
                </c:pt>
                <c:pt idx="9">
                  <c:v>0.63100000000000001</c:v>
                </c:pt>
                <c:pt idx="10">
                  <c:v>0.37</c:v>
                </c:pt>
                <c:pt idx="11">
                  <c:v>0.85399999999999998</c:v>
                </c:pt>
                <c:pt idx="12">
                  <c:v>0.19400000000000001</c:v>
                </c:pt>
                <c:pt idx="13">
                  <c:v>0.33700000000000002</c:v>
                </c:pt>
                <c:pt idx="14">
                  <c:v>0.115</c:v>
                </c:pt>
                <c:pt idx="15">
                  <c:v>-1.5960000000000001</c:v>
                </c:pt>
                <c:pt idx="16">
                  <c:v>0.753</c:v>
                </c:pt>
                <c:pt idx="17">
                  <c:v>0.107</c:v>
                </c:pt>
                <c:pt idx="18">
                  <c:v>1.9950000000000001</c:v>
                </c:pt>
                <c:pt idx="19">
                  <c:v>-2.5000000000000001E-2</c:v>
                </c:pt>
                <c:pt idx="20">
                  <c:v>0.76200000000000001</c:v>
                </c:pt>
                <c:pt idx="21">
                  <c:v>0.28199999999999997</c:v>
                </c:pt>
                <c:pt idx="22">
                  <c:v>0.45900000000000002</c:v>
                </c:pt>
                <c:pt idx="23">
                  <c:v>0.16200000000000001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1-9F80-4610-B4BC-04956AF2A937}"/>
            </c:ext>
          </c:extLst>
        </c:ser>
        <c:ser>
          <c:idx val="1"/>
          <c:order val="2"/>
          <c:tx>
            <c:strRef>
              <c:f>[chartbook_TETA.xlsm]data_119!$D$5</c:f>
              <c:strCache>
                <c:ptCount val="1"/>
                <c:pt idx="0">
                  <c:v>ממוצע ארוך טווח</c:v>
                </c:pt>
              </c:strCache>
            </c:strRef>
          </c:tx>
          <c:spPr>
            <a:ln w="22225" cap="rnd">
              <a:solidFill>
                <a:srgbClr val="DA8F32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45382</c:v>
                </c:pt>
                <c:pt idx="1">
                  <c:v>45412</c:v>
                </c:pt>
                <c:pt idx="2">
                  <c:v>45443</c:v>
                </c:pt>
                <c:pt idx="3">
                  <c:v>45473</c:v>
                </c:pt>
                <c:pt idx="4">
                  <c:v>45504</c:v>
                </c:pt>
                <c:pt idx="5">
                  <c:v>45535</c:v>
                </c:pt>
                <c:pt idx="6">
                  <c:v>45565</c:v>
                </c:pt>
                <c:pt idx="7">
                  <c:v>45596</c:v>
                </c:pt>
                <c:pt idx="8">
                  <c:v>45626</c:v>
                </c:pt>
                <c:pt idx="9">
                  <c:v>45657</c:v>
                </c:pt>
                <c:pt idx="10">
                  <c:v>45688</c:v>
                </c:pt>
                <c:pt idx="11">
                  <c:v>45716</c:v>
                </c:pt>
                <c:pt idx="12">
                  <c:v>45747</c:v>
                </c:pt>
                <c:pt idx="13">
                  <c:v>45777</c:v>
                </c:pt>
                <c:pt idx="14">
                  <c:v>45808</c:v>
                </c:pt>
                <c:pt idx="15">
                  <c:v>45838</c:v>
                </c:pt>
                <c:pt idx="16">
                  <c:v>45869</c:v>
                </c:pt>
                <c:pt idx="17">
                  <c:v>45900</c:v>
                </c:pt>
                <c:pt idx="18">
                  <c:v>45930</c:v>
                </c:pt>
                <c:pt idx="19">
                  <c:v>45961</c:v>
                </c:pt>
                <c:pt idx="20">
                  <c:v>45991</c:v>
                </c:pt>
                <c:pt idx="21">
                  <c:v>46022</c:v>
                </c:pt>
                <c:pt idx="22">
                  <c:v>46053</c:v>
                </c:pt>
                <c:pt idx="23">
                  <c:v>46081</c:v>
                </c:pt>
                <c:pt idx="24">
                  <c:v>46112</c:v>
                </c:pt>
              </c:numCache>
            </c:numRef>
          </c:cat>
          <c:val>
            <c:numRef>
              <c:f>[chartbook_TETA.xlsm]data_119!$D$6:$D$30</c:f>
              <c:numCache>
                <c:formatCode>General</c:formatCode>
                <c:ptCount val="25"/>
                <c:pt idx="0">
                  <c:v>0.29499999999999998</c:v>
                </c:pt>
                <c:pt idx="1">
                  <c:v>0.29499999999999998</c:v>
                </c:pt>
                <c:pt idx="2">
                  <c:v>0.29499999999999998</c:v>
                </c:pt>
                <c:pt idx="3">
                  <c:v>0.29499999999999998</c:v>
                </c:pt>
                <c:pt idx="4">
                  <c:v>0.29499999999999998</c:v>
                </c:pt>
                <c:pt idx="5">
                  <c:v>0.29499999999999998</c:v>
                </c:pt>
                <c:pt idx="6">
                  <c:v>0.29499999999999998</c:v>
                </c:pt>
                <c:pt idx="7">
                  <c:v>0.29499999999999998</c:v>
                </c:pt>
                <c:pt idx="8">
                  <c:v>0.29499999999999998</c:v>
                </c:pt>
                <c:pt idx="9">
                  <c:v>0.29499999999999998</c:v>
                </c:pt>
                <c:pt idx="10">
                  <c:v>0.29499999999999998</c:v>
                </c:pt>
                <c:pt idx="11">
                  <c:v>0.29499999999999998</c:v>
                </c:pt>
                <c:pt idx="12">
                  <c:v>0.29499999999999998</c:v>
                </c:pt>
                <c:pt idx="13">
                  <c:v>0.29499999999999998</c:v>
                </c:pt>
                <c:pt idx="14">
                  <c:v>0.29499999999999998</c:v>
                </c:pt>
                <c:pt idx="15">
                  <c:v>0.29499999999999998</c:v>
                </c:pt>
                <c:pt idx="16">
                  <c:v>0.29499999999999998</c:v>
                </c:pt>
                <c:pt idx="17">
                  <c:v>0.29499999999999998</c:v>
                </c:pt>
                <c:pt idx="18">
                  <c:v>0.29499999999999998</c:v>
                </c:pt>
                <c:pt idx="19">
                  <c:v>0.29499999999999998</c:v>
                </c:pt>
                <c:pt idx="20">
                  <c:v>0.29499999999999998</c:v>
                </c:pt>
                <c:pt idx="21">
                  <c:v>0.29499999999999998</c:v>
                </c:pt>
                <c:pt idx="22">
                  <c:v>0.29499999999999998</c:v>
                </c:pt>
                <c:pt idx="23">
                  <c:v>0.29499999999999998</c:v>
                </c:pt>
                <c:pt idx="24">
                  <c:v>0.29499999999999998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2-9F80-4610-B4BC-04956AF2A937}"/>
            </c:ext>
          </c:extLst>
        </c:ser>
        <c:ser>
          <c:idx val="2"/>
          <c:order val="3"/>
          <c:tx>
            <c:v>אחוזון 25</c:v>
          </c:tx>
          <c:spPr>
            <a:ln w="19050" cap="rnd">
              <a:solidFill>
                <a:schemeClr val="tx1">
                  <a:lumMod val="65000"/>
                  <a:lumOff val="35000"/>
                </a:schemeClr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45382</c:v>
                </c:pt>
                <c:pt idx="1">
                  <c:v>45412</c:v>
                </c:pt>
                <c:pt idx="2">
                  <c:v>45443</c:v>
                </c:pt>
                <c:pt idx="3">
                  <c:v>45473</c:v>
                </c:pt>
                <c:pt idx="4">
                  <c:v>45504</c:v>
                </c:pt>
                <c:pt idx="5">
                  <c:v>45535</c:v>
                </c:pt>
                <c:pt idx="6">
                  <c:v>45565</c:v>
                </c:pt>
                <c:pt idx="7">
                  <c:v>45596</c:v>
                </c:pt>
                <c:pt idx="8">
                  <c:v>45626</c:v>
                </c:pt>
                <c:pt idx="9">
                  <c:v>45657</c:v>
                </c:pt>
                <c:pt idx="10">
                  <c:v>45688</c:v>
                </c:pt>
                <c:pt idx="11">
                  <c:v>45716</c:v>
                </c:pt>
                <c:pt idx="12">
                  <c:v>45747</c:v>
                </c:pt>
                <c:pt idx="13">
                  <c:v>45777</c:v>
                </c:pt>
                <c:pt idx="14">
                  <c:v>45808</c:v>
                </c:pt>
                <c:pt idx="15">
                  <c:v>45838</c:v>
                </c:pt>
                <c:pt idx="16">
                  <c:v>45869</c:v>
                </c:pt>
                <c:pt idx="17">
                  <c:v>45900</c:v>
                </c:pt>
                <c:pt idx="18">
                  <c:v>45930</c:v>
                </c:pt>
                <c:pt idx="19">
                  <c:v>45961</c:v>
                </c:pt>
                <c:pt idx="20">
                  <c:v>45991</c:v>
                </c:pt>
                <c:pt idx="21">
                  <c:v>46022</c:v>
                </c:pt>
                <c:pt idx="22">
                  <c:v>46053</c:v>
                </c:pt>
                <c:pt idx="23">
                  <c:v>46081</c:v>
                </c:pt>
                <c:pt idx="24">
                  <c:v>46112</c:v>
                </c:pt>
              </c:numCache>
            </c:numRef>
          </c:cat>
          <c:val>
            <c:numRef>
              <c:f>[chartbook_TETA.xlsm]data_119!$E$6:$E$30</c:f>
              <c:numCache>
                <c:formatCode>General</c:formatCode>
                <c:ptCount val="25"/>
                <c:pt idx="0">
                  <c:v>0.12</c:v>
                </c:pt>
                <c:pt idx="1">
                  <c:v>0.12</c:v>
                </c:pt>
                <c:pt idx="2">
                  <c:v>0.12</c:v>
                </c:pt>
                <c:pt idx="3">
                  <c:v>0.12</c:v>
                </c:pt>
                <c:pt idx="4">
                  <c:v>0.12</c:v>
                </c:pt>
                <c:pt idx="5">
                  <c:v>0.12</c:v>
                </c:pt>
                <c:pt idx="6">
                  <c:v>0.12</c:v>
                </c:pt>
                <c:pt idx="7">
                  <c:v>0.12</c:v>
                </c:pt>
                <c:pt idx="8">
                  <c:v>0.12</c:v>
                </c:pt>
                <c:pt idx="9">
                  <c:v>0.12</c:v>
                </c:pt>
                <c:pt idx="10">
                  <c:v>0.12</c:v>
                </c:pt>
                <c:pt idx="11">
                  <c:v>0.12</c:v>
                </c:pt>
                <c:pt idx="12">
                  <c:v>0.12</c:v>
                </c:pt>
                <c:pt idx="13">
                  <c:v>0.12</c:v>
                </c:pt>
                <c:pt idx="14">
                  <c:v>0.12</c:v>
                </c:pt>
                <c:pt idx="15">
                  <c:v>0.12</c:v>
                </c:pt>
                <c:pt idx="16">
                  <c:v>0.12</c:v>
                </c:pt>
                <c:pt idx="17">
                  <c:v>0.12</c:v>
                </c:pt>
                <c:pt idx="18">
                  <c:v>0.12</c:v>
                </c:pt>
                <c:pt idx="19">
                  <c:v>0.12</c:v>
                </c:pt>
                <c:pt idx="20">
                  <c:v>0.12</c:v>
                </c:pt>
                <c:pt idx="21">
                  <c:v>0.12</c:v>
                </c:pt>
                <c:pt idx="22">
                  <c:v>0.12</c:v>
                </c:pt>
                <c:pt idx="23">
                  <c:v>0.12</c:v>
                </c:pt>
                <c:pt idx="24">
                  <c:v>0.12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3-9F80-4610-B4BC-04956AF2A937}"/>
            </c:ext>
          </c:extLst>
        </c:ser>
        <c:ser>
          <c:idx val="3"/>
          <c:order val="4"/>
          <c:tx>
            <c:v>אחוזון 75</c:v>
          </c:tx>
          <c:spPr>
            <a:ln w="19050" cap="rnd">
              <a:solidFill>
                <a:schemeClr val="tx1">
                  <a:lumMod val="65000"/>
                  <a:lumOff val="35000"/>
                </a:schemeClr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[chartbook_TETA.xlsm]data_119!$A$6:$A$30</c:f>
              <c:numCache>
                <c:formatCode>m/d/yyyy</c:formatCode>
                <c:ptCount val="25"/>
                <c:pt idx="0">
                  <c:v>45382</c:v>
                </c:pt>
                <c:pt idx="1">
                  <c:v>45412</c:v>
                </c:pt>
                <c:pt idx="2">
                  <c:v>45443</c:v>
                </c:pt>
                <c:pt idx="3">
                  <c:v>45473</c:v>
                </c:pt>
                <c:pt idx="4">
                  <c:v>45504</c:v>
                </c:pt>
                <c:pt idx="5">
                  <c:v>45535</c:v>
                </c:pt>
                <c:pt idx="6">
                  <c:v>45565</c:v>
                </c:pt>
                <c:pt idx="7">
                  <c:v>45596</c:v>
                </c:pt>
                <c:pt idx="8">
                  <c:v>45626</c:v>
                </c:pt>
                <c:pt idx="9">
                  <c:v>45657</c:v>
                </c:pt>
                <c:pt idx="10">
                  <c:v>45688</c:v>
                </c:pt>
                <c:pt idx="11">
                  <c:v>45716</c:v>
                </c:pt>
                <c:pt idx="12">
                  <c:v>45747</c:v>
                </c:pt>
                <c:pt idx="13">
                  <c:v>45777</c:v>
                </c:pt>
                <c:pt idx="14">
                  <c:v>45808</c:v>
                </c:pt>
                <c:pt idx="15">
                  <c:v>45838</c:v>
                </c:pt>
                <c:pt idx="16">
                  <c:v>45869</c:v>
                </c:pt>
                <c:pt idx="17">
                  <c:v>45900</c:v>
                </c:pt>
                <c:pt idx="18">
                  <c:v>45930</c:v>
                </c:pt>
                <c:pt idx="19">
                  <c:v>45961</c:v>
                </c:pt>
                <c:pt idx="20">
                  <c:v>45991</c:v>
                </c:pt>
                <c:pt idx="21">
                  <c:v>46022</c:v>
                </c:pt>
                <c:pt idx="22">
                  <c:v>46053</c:v>
                </c:pt>
                <c:pt idx="23">
                  <c:v>46081</c:v>
                </c:pt>
                <c:pt idx="24">
                  <c:v>46112</c:v>
                </c:pt>
              </c:numCache>
            </c:numRef>
          </c:cat>
          <c:val>
            <c:numRef>
              <c:f>[chartbook_TETA.xlsm]data_119!$F$6:$F$30</c:f>
              <c:numCache>
                <c:formatCode>General</c:formatCode>
                <c:ptCount val="25"/>
                <c:pt idx="0">
                  <c:v>0.63</c:v>
                </c:pt>
                <c:pt idx="1">
                  <c:v>0.63</c:v>
                </c:pt>
                <c:pt idx="2">
                  <c:v>0.63</c:v>
                </c:pt>
                <c:pt idx="3">
                  <c:v>0.63</c:v>
                </c:pt>
                <c:pt idx="4">
                  <c:v>0.63</c:v>
                </c:pt>
                <c:pt idx="5">
                  <c:v>0.63</c:v>
                </c:pt>
                <c:pt idx="6">
                  <c:v>0.63</c:v>
                </c:pt>
                <c:pt idx="7">
                  <c:v>0.63</c:v>
                </c:pt>
                <c:pt idx="8">
                  <c:v>0.63</c:v>
                </c:pt>
                <c:pt idx="9">
                  <c:v>0.63</c:v>
                </c:pt>
                <c:pt idx="10">
                  <c:v>0.63</c:v>
                </c:pt>
                <c:pt idx="11">
                  <c:v>0.63</c:v>
                </c:pt>
                <c:pt idx="12">
                  <c:v>0.63</c:v>
                </c:pt>
                <c:pt idx="13">
                  <c:v>0.63</c:v>
                </c:pt>
                <c:pt idx="14">
                  <c:v>0.63</c:v>
                </c:pt>
                <c:pt idx="15">
                  <c:v>0.63</c:v>
                </c:pt>
                <c:pt idx="16">
                  <c:v>0.63</c:v>
                </c:pt>
                <c:pt idx="17">
                  <c:v>0.63</c:v>
                </c:pt>
                <c:pt idx="18">
                  <c:v>0.63</c:v>
                </c:pt>
                <c:pt idx="19">
                  <c:v>0.63</c:v>
                </c:pt>
                <c:pt idx="20">
                  <c:v>0.63</c:v>
                </c:pt>
                <c:pt idx="21">
                  <c:v>0.63</c:v>
                </c:pt>
                <c:pt idx="22">
                  <c:v>0.63</c:v>
                </c:pt>
                <c:pt idx="23">
                  <c:v>0.63</c:v>
                </c:pt>
                <c:pt idx="24">
                  <c:v>0.63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F80-4610-B4BC-04956AF2A9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3828768"/>
        <c:axId val="673807552"/>
        <c:extLst/>
      </c:lineChart>
      <c:dateAx>
        <c:axId val="673828768"/>
        <c:scaling>
          <c:orientation val="minMax"/>
        </c:scaling>
        <c:delete val="0"/>
        <c:axPos val="b"/>
        <c:numFmt formatCode="mm\-yy" sourceLinked="0"/>
        <c:majorTickMark val="none"/>
        <c:minorTickMark val="none"/>
        <c:tickLblPos val="low"/>
        <c:spPr>
          <a:noFill/>
          <a:ln w="0" cap="flat" cmpd="sng" algn="ctr">
            <a:solidFill>
              <a:schemeClr val="bg2">
                <a:lumMod val="75000"/>
                <a:alpha val="70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1200" b="0" i="0" u="none" strike="noStrike" kern="1200" baseline="0" smtId="4294967295">
                <a:solidFill>
                  <a:schemeClr val="tx2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673807552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673807552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65000"/>
                  <a:alpha val="70000"/>
                </a:schemeClr>
              </a:solidFill>
              <a:prstDash val="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 smtId="4294967295">
                    <a:solidFill>
                      <a:schemeClr val="tx2"/>
                    </a:solidFill>
                    <a:latin typeface="Calibri" panose="020F0502020204030204" pitchFamily="34" charset="0"/>
                    <a:ea typeface="+mn-ea"/>
                    <a:cs typeface="Calibri" panose="020F0502020204030204" pitchFamily="34" charset="0"/>
                  </a:defRPr>
                </a:pPr>
                <a:r>
                  <a:rPr lang="he-IL">
                    <a:latin typeface="Calibri" panose="020F0502020204030204" pitchFamily="34" charset="0"/>
                    <a:cs typeface="Calibri" panose="020F0502020204030204" pitchFamily="34" charset="0"/>
                  </a:rPr>
                  <a:t>%</a:t>
                </a:r>
                <a:endParaRPr lang="en-US">
                  <a:latin typeface="Calibri" panose="020F0502020204030204" pitchFamily="34" charset="0"/>
                  <a:cs typeface="Calibri" panose="020F0502020204030204" pitchFamily="34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 smtId="4294967295">
                  <a:solidFill>
                    <a:schemeClr val="tx2"/>
                  </a:solidFill>
                  <a:latin typeface="Calibri" panose="020F0502020204030204" pitchFamily="34" charset="0"/>
                  <a:ea typeface="+mn-ea"/>
                  <a:cs typeface="Calibri" panose="020F0502020204030204" pitchFamily="34" charset="0"/>
                </a:defRPr>
              </a:pPr>
              <a:endParaRPr lang="he-IL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 smtId="4294967295">
                <a:solidFill>
                  <a:schemeClr val="tx2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he-IL"/>
          </a:p>
        </c:txPr>
        <c:crossAx val="67382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5498925600728789E-3"/>
          <c:y val="0.89498421131093564"/>
          <c:w val="0.97652384632175981"/>
          <c:h val="8.43617439386341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 smtId="4294967295">
              <a:solidFill>
                <a:schemeClr val="tx2"/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 sz="1200" b="0" smtId="4294967295">
          <a:latin typeface="+mn-lt"/>
          <a:cs typeface="Segoe UI" panose="020B0502040204020203" pitchFamily="34" charset="0"/>
        </a:defRPr>
      </a:pPr>
      <a:endParaRPr lang="he-I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C8C5-C9F3-40C9-9D9E-DA4B295B21AB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F762B-9B1C-42A5-B2CA-F21FC07F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1603</Characters>
  <Application>Microsoft Office Word</Application>
  <DocSecurity>4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2026-04-29T11:50:00Z</dcterms:created>
  <dcterms:modified xsi:type="dcterms:W3CDTF">2026-04-29T11:50:00Z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