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991"/>
        <w:bidiVisual/>
        <w:tblW w:w="9530" w:type="dxa"/>
        <w:tblLayout w:type="fixed"/>
        <w:tblLook w:val="04A0" w:firstRow="1" w:lastRow="0" w:firstColumn="1" w:lastColumn="0" w:noHBand="0" w:noVBand="1"/>
      </w:tblPr>
      <w:tblGrid>
        <w:gridCol w:w="3343"/>
        <w:gridCol w:w="2596"/>
        <w:gridCol w:w="3591"/>
      </w:tblGrid>
      <w:tr w:rsidR="007623A0" w:rsidTr="006D4693">
        <w:tc>
          <w:tcPr>
            <w:tcW w:w="3343" w:type="dxa"/>
            <w:vAlign w:val="center"/>
            <w:hideMark/>
          </w:tcPr>
          <w:p w:rsidR="007623A0" w:rsidRPr="003A0B1F" w:rsidRDefault="007623A0" w:rsidP="006D4693">
            <w:pPr>
              <w:ind w:left="97"/>
              <w:rPr>
                <w:rFonts w:asciiTheme="minorHAnsi" w:hAnsiTheme="minorHAnsi" w:cstheme="minorHAnsi"/>
                <w:b/>
                <w:bCs/>
              </w:rPr>
            </w:pPr>
            <w:r w:rsidRPr="003A0B1F">
              <w:rPr>
                <w:rFonts w:asciiTheme="minorHAnsi" w:hAnsiTheme="minorHAnsi" w:cstheme="minorHAnsi"/>
                <w:b/>
                <w:bCs/>
                <w:sz w:val="28"/>
                <w:szCs w:val="28"/>
                <w:rtl/>
              </w:rPr>
              <w:t>בנק ישראל</w:t>
            </w:r>
          </w:p>
          <w:p w:rsidR="007623A0" w:rsidRPr="003A0B1F" w:rsidRDefault="007623A0" w:rsidP="006D4693">
            <w:pPr>
              <w:ind w:left="97" w:right="-101"/>
              <w:rPr>
                <w:rFonts w:asciiTheme="minorHAnsi" w:hAnsiTheme="minorHAnsi" w:cstheme="minorHAnsi"/>
              </w:rPr>
            </w:pPr>
            <w:r w:rsidRPr="003A0B1F">
              <w:rPr>
                <w:rFonts w:asciiTheme="minorHAnsi" w:hAnsiTheme="minorHAnsi" w:cstheme="minorHAnsi"/>
                <w:rtl/>
              </w:rPr>
              <w:t>דוברות והסברה כלכלית</w:t>
            </w:r>
          </w:p>
        </w:tc>
        <w:tc>
          <w:tcPr>
            <w:tcW w:w="2596" w:type="dxa"/>
            <w:shd w:val="clear" w:color="auto" w:fill="FFFFFF" w:themeFill="background1"/>
            <w:hideMark/>
          </w:tcPr>
          <w:p w:rsidR="007623A0" w:rsidRPr="003A0B1F" w:rsidRDefault="007623A0" w:rsidP="006D4693">
            <w:pPr>
              <w:rPr>
                <w:rFonts w:asciiTheme="minorHAnsi" w:hAnsiTheme="minorHAnsi" w:cstheme="minorHAnsi"/>
              </w:rPr>
            </w:pPr>
            <w:r w:rsidRPr="003A0B1F">
              <w:rPr>
                <w:rFonts w:asciiTheme="minorHAnsi" w:hAnsiTheme="minorHAnsi" w:cstheme="minorHAnsi"/>
                <w:noProof/>
              </w:rPr>
              <w:drawing>
                <wp:inline distT="0" distB="0" distL="0" distR="0" wp14:anchorId="3C423601" wp14:editId="531EAA1D">
                  <wp:extent cx="943610" cy="943610"/>
                  <wp:effectExtent l="0" t="0" r="8890" b="8890"/>
                  <wp:docPr id="3" name="תמונה 3" descr="לוגו בנק ישראל" title="לוגו"/>
                  <wp:cNvGraphicFramePr/>
                  <a:graphic xmlns:a="http://schemas.openxmlformats.org/drawingml/2006/main">
                    <a:graphicData uri="http://schemas.openxmlformats.org/drawingml/2006/picture">
                      <pic:pic xmlns:pic="http://schemas.openxmlformats.org/drawingml/2006/picture">
                        <pic:nvPicPr>
                          <pic:cNvPr id="3" name="תמונה 3" descr="לוגו בנק ישראל" title="לוגו"/>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pic:spPr>
                      </pic:pic>
                    </a:graphicData>
                  </a:graphic>
                </wp:inline>
              </w:drawing>
            </w:r>
          </w:p>
        </w:tc>
        <w:tc>
          <w:tcPr>
            <w:tcW w:w="3591" w:type="dxa"/>
            <w:vAlign w:val="center"/>
            <w:hideMark/>
          </w:tcPr>
          <w:p w:rsidR="007623A0" w:rsidRPr="003A0B1F" w:rsidRDefault="007623A0" w:rsidP="006D4693">
            <w:pPr>
              <w:bidi w:val="0"/>
              <w:rPr>
                <w:rFonts w:asciiTheme="minorHAnsi" w:hAnsiTheme="minorHAnsi" w:cstheme="minorHAnsi"/>
              </w:rPr>
            </w:pPr>
            <w:r>
              <w:rPr>
                <w:rFonts w:asciiTheme="minorHAnsi" w:hAnsiTheme="minorHAnsi" w:cstheme="minorHAnsi" w:hint="cs"/>
                <w:rtl/>
              </w:rPr>
              <w:t xml:space="preserve">ג' באדר א', תשפ"ד, </w:t>
            </w:r>
            <w:r w:rsidRPr="003A0B1F">
              <w:rPr>
                <w:rFonts w:asciiTheme="minorHAnsi" w:hAnsiTheme="minorHAnsi" w:cstheme="minorHAnsi"/>
                <w:rtl/>
              </w:rPr>
              <w:t>‏ירושלים</w:t>
            </w:r>
          </w:p>
          <w:p w:rsidR="007623A0" w:rsidRPr="003A0B1F" w:rsidRDefault="004C4982" w:rsidP="006D4693">
            <w:pPr>
              <w:bidi w:val="0"/>
              <w:rPr>
                <w:rFonts w:asciiTheme="minorHAnsi" w:hAnsiTheme="minorHAnsi" w:cstheme="minorHAnsi"/>
              </w:rPr>
            </w:pPr>
            <w:r>
              <w:rPr>
                <w:rFonts w:asciiTheme="minorHAnsi" w:hAnsiTheme="minorHAnsi" w:cstheme="minorHAnsi" w:hint="cs"/>
                <w:rtl/>
              </w:rPr>
              <w:t>12</w:t>
            </w:r>
            <w:r w:rsidR="007623A0" w:rsidRPr="003A0B1F">
              <w:rPr>
                <w:rFonts w:asciiTheme="minorHAnsi" w:hAnsiTheme="minorHAnsi" w:cstheme="minorHAnsi"/>
                <w:rtl/>
              </w:rPr>
              <w:t xml:space="preserve"> בפברואר 2024</w:t>
            </w:r>
          </w:p>
        </w:tc>
      </w:tr>
    </w:tbl>
    <w:p w:rsidR="00C20136" w:rsidRPr="007623A0" w:rsidRDefault="00C20136" w:rsidP="00C20136">
      <w:pPr>
        <w:jc w:val="left"/>
        <w:rPr>
          <w:rFonts w:asciiTheme="minorHAnsi" w:hAnsiTheme="minorHAnsi" w:cstheme="minorHAnsi"/>
          <w:rtl/>
        </w:rPr>
      </w:pPr>
    </w:p>
    <w:p w:rsidR="00C20136" w:rsidRPr="007623A0" w:rsidRDefault="00C20136" w:rsidP="00C20136">
      <w:pPr>
        <w:jc w:val="left"/>
        <w:rPr>
          <w:rFonts w:asciiTheme="minorHAnsi" w:hAnsiTheme="minorHAnsi" w:cstheme="minorHAnsi"/>
          <w:rtl/>
        </w:rPr>
      </w:pPr>
      <w:r w:rsidRPr="007623A0">
        <w:rPr>
          <w:rFonts w:asciiTheme="minorHAnsi" w:hAnsiTheme="minorHAnsi" w:cstheme="minorHAnsi"/>
          <w:rtl/>
        </w:rPr>
        <w:t>הודעה לעיתונות</w:t>
      </w:r>
      <w:r w:rsidR="007623A0">
        <w:rPr>
          <w:rFonts w:asciiTheme="minorHAnsi" w:hAnsiTheme="minorHAnsi" w:cstheme="minorHAnsi" w:hint="cs"/>
          <w:rtl/>
        </w:rPr>
        <w:t>:</w:t>
      </w:r>
    </w:p>
    <w:p w:rsidR="00C20136" w:rsidRPr="007623A0" w:rsidRDefault="00C20136" w:rsidP="00C20136">
      <w:pPr>
        <w:jc w:val="center"/>
        <w:rPr>
          <w:rFonts w:asciiTheme="minorHAnsi" w:hAnsiTheme="minorHAnsi" w:cstheme="minorHAnsi"/>
          <w:b/>
          <w:bCs/>
          <w:u w:val="single"/>
          <w:rtl/>
        </w:rPr>
      </w:pPr>
    </w:p>
    <w:p w:rsidR="00A30CBA" w:rsidRPr="007623A0" w:rsidRDefault="00496BBF" w:rsidP="00496BBF">
      <w:pPr>
        <w:jc w:val="center"/>
        <w:rPr>
          <w:rFonts w:asciiTheme="minorHAnsi" w:hAnsiTheme="minorHAnsi" w:cstheme="minorHAnsi"/>
          <w:b/>
          <w:bCs/>
          <w:sz w:val="28"/>
          <w:szCs w:val="28"/>
          <w:u w:val="single"/>
          <w:rtl/>
        </w:rPr>
      </w:pPr>
      <w:bookmarkStart w:id="0" w:name="_GoBack"/>
      <w:r w:rsidRPr="007623A0">
        <w:rPr>
          <w:rFonts w:asciiTheme="minorHAnsi" w:hAnsiTheme="minorHAnsi" w:cstheme="minorHAnsi"/>
          <w:b/>
          <w:bCs/>
          <w:sz w:val="28"/>
          <w:szCs w:val="28"/>
          <w:u w:val="single"/>
          <w:rtl/>
        </w:rPr>
        <w:t xml:space="preserve">במסגרת הגברת האכיפה הצרכנית הטיל </w:t>
      </w:r>
      <w:r w:rsidR="00C20136" w:rsidRPr="007623A0">
        <w:rPr>
          <w:rFonts w:asciiTheme="minorHAnsi" w:hAnsiTheme="minorHAnsi" w:cstheme="minorHAnsi"/>
          <w:b/>
          <w:bCs/>
          <w:sz w:val="28"/>
          <w:szCs w:val="28"/>
          <w:u w:val="single"/>
          <w:rtl/>
        </w:rPr>
        <w:t>הפיקוח על הבנקים  עיצומים כספיים על שני בנקים ועל חברת כרטיסי אשראי</w:t>
      </w:r>
    </w:p>
    <w:bookmarkEnd w:id="0"/>
    <w:p w:rsidR="00F75C74" w:rsidRPr="007623A0" w:rsidRDefault="00F75C74" w:rsidP="00496BBF">
      <w:pPr>
        <w:jc w:val="center"/>
        <w:rPr>
          <w:rFonts w:asciiTheme="minorHAnsi" w:hAnsiTheme="minorHAnsi" w:cstheme="minorHAnsi"/>
          <w:b/>
          <w:bCs/>
          <w:sz w:val="28"/>
          <w:szCs w:val="28"/>
          <w:u w:val="single"/>
          <w:rtl/>
        </w:rPr>
      </w:pPr>
    </w:p>
    <w:p w:rsidR="005B3692" w:rsidRPr="007623A0" w:rsidRDefault="00C20136" w:rsidP="00CE1CB2">
      <w:pPr>
        <w:rPr>
          <w:rFonts w:asciiTheme="minorHAnsi" w:hAnsiTheme="minorHAnsi" w:cstheme="minorHAnsi"/>
          <w:rtl/>
        </w:rPr>
      </w:pPr>
      <w:r w:rsidRPr="007623A0">
        <w:rPr>
          <w:rFonts w:asciiTheme="minorHAnsi" w:hAnsiTheme="minorHAnsi" w:cstheme="minorHAnsi"/>
          <w:rtl/>
        </w:rPr>
        <w:t xml:space="preserve">הפיקוח על הבנקים </w:t>
      </w:r>
      <w:r w:rsidR="00496BBF" w:rsidRPr="007623A0">
        <w:rPr>
          <w:rFonts w:asciiTheme="minorHAnsi" w:hAnsiTheme="minorHAnsi" w:cstheme="minorHAnsi"/>
          <w:rtl/>
        </w:rPr>
        <w:t>ביצע מג</w:t>
      </w:r>
      <w:r w:rsidR="005602AB" w:rsidRPr="007623A0">
        <w:rPr>
          <w:rFonts w:asciiTheme="minorHAnsi" w:hAnsiTheme="minorHAnsi" w:cstheme="minorHAnsi"/>
          <w:rtl/>
        </w:rPr>
        <w:t>ו</w:t>
      </w:r>
      <w:r w:rsidR="00496BBF" w:rsidRPr="007623A0">
        <w:rPr>
          <w:rFonts w:asciiTheme="minorHAnsi" w:hAnsiTheme="minorHAnsi" w:cstheme="minorHAnsi"/>
          <w:rtl/>
        </w:rPr>
        <w:t xml:space="preserve">ון </w:t>
      </w:r>
      <w:r w:rsidRPr="007623A0">
        <w:rPr>
          <w:rFonts w:asciiTheme="minorHAnsi" w:hAnsiTheme="minorHAnsi" w:cstheme="minorHAnsi"/>
          <w:rtl/>
        </w:rPr>
        <w:t>בקרות צרכניות</w:t>
      </w:r>
      <w:r w:rsidR="005B3692" w:rsidRPr="007623A0">
        <w:rPr>
          <w:rFonts w:asciiTheme="minorHAnsi" w:hAnsiTheme="minorHAnsi" w:cstheme="minorHAnsi"/>
          <w:rtl/>
        </w:rPr>
        <w:t xml:space="preserve"> </w:t>
      </w:r>
      <w:r w:rsidRPr="007623A0">
        <w:rPr>
          <w:rFonts w:asciiTheme="minorHAnsi" w:hAnsiTheme="minorHAnsi" w:cstheme="minorHAnsi"/>
          <w:rtl/>
        </w:rPr>
        <w:t xml:space="preserve">במטרה לבחון את תקינות ההתנהלות של הגופים </w:t>
      </w:r>
      <w:r w:rsidR="005B3692" w:rsidRPr="007623A0">
        <w:rPr>
          <w:rFonts w:asciiTheme="minorHAnsi" w:hAnsiTheme="minorHAnsi" w:cstheme="minorHAnsi"/>
          <w:rtl/>
        </w:rPr>
        <w:t xml:space="preserve">המפוקחים מול הלקוחות </w:t>
      </w:r>
      <w:r w:rsidR="00002A16" w:rsidRPr="007623A0">
        <w:rPr>
          <w:rFonts w:asciiTheme="minorHAnsi" w:hAnsiTheme="minorHAnsi" w:cstheme="minorHAnsi"/>
          <w:rtl/>
        </w:rPr>
        <w:t>ב</w:t>
      </w:r>
      <w:r w:rsidR="00496BBF" w:rsidRPr="007623A0">
        <w:rPr>
          <w:rFonts w:asciiTheme="minorHAnsi" w:hAnsiTheme="minorHAnsi" w:cstheme="minorHAnsi"/>
          <w:rtl/>
        </w:rPr>
        <w:t>ערוצי ה</w:t>
      </w:r>
      <w:r w:rsidR="005B3692" w:rsidRPr="007623A0">
        <w:rPr>
          <w:rFonts w:asciiTheme="minorHAnsi" w:hAnsiTheme="minorHAnsi" w:cstheme="minorHAnsi"/>
          <w:rtl/>
        </w:rPr>
        <w:t>שירות</w:t>
      </w:r>
      <w:r w:rsidR="00496BBF" w:rsidRPr="007623A0">
        <w:rPr>
          <w:rFonts w:asciiTheme="minorHAnsi" w:hAnsiTheme="minorHAnsi" w:cstheme="minorHAnsi"/>
          <w:rtl/>
        </w:rPr>
        <w:t xml:space="preserve"> </w:t>
      </w:r>
      <w:r w:rsidR="005602AB" w:rsidRPr="007623A0">
        <w:rPr>
          <w:rFonts w:asciiTheme="minorHAnsi" w:hAnsiTheme="minorHAnsi" w:cstheme="minorHAnsi"/>
          <w:rtl/>
        </w:rPr>
        <w:t xml:space="preserve">השונים </w:t>
      </w:r>
      <w:r w:rsidR="00496BBF" w:rsidRPr="007623A0">
        <w:rPr>
          <w:rFonts w:asciiTheme="minorHAnsi" w:hAnsiTheme="minorHAnsi" w:cstheme="minorHAnsi"/>
          <w:rtl/>
        </w:rPr>
        <w:t>ללקוח</w:t>
      </w:r>
      <w:r w:rsidRPr="007623A0">
        <w:rPr>
          <w:rFonts w:asciiTheme="minorHAnsi" w:hAnsiTheme="minorHAnsi" w:cstheme="minorHAnsi"/>
          <w:rtl/>
        </w:rPr>
        <w:t xml:space="preserve">. </w:t>
      </w:r>
      <w:r w:rsidR="005B3692" w:rsidRPr="007623A0">
        <w:rPr>
          <w:rFonts w:asciiTheme="minorHAnsi" w:hAnsiTheme="minorHAnsi" w:cstheme="minorHAnsi"/>
          <w:rtl/>
        </w:rPr>
        <w:t>תהליכי הבקרה נע</w:t>
      </w:r>
      <w:r w:rsidR="00496BBF" w:rsidRPr="007623A0">
        <w:rPr>
          <w:rFonts w:asciiTheme="minorHAnsi" w:hAnsiTheme="minorHAnsi" w:cstheme="minorHAnsi"/>
          <w:rtl/>
        </w:rPr>
        <w:t xml:space="preserve">רכו  על ידי </w:t>
      </w:r>
      <w:r w:rsidR="00592150" w:rsidRPr="007623A0">
        <w:rPr>
          <w:rFonts w:asciiTheme="minorHAnsi" w:hAnsiTheme="minorHAnsi" w:cstheme="minorHAnsi"/>
          <w:rtl/>
        </w:rPr>
        <w:t xml:space="preserve">בדיקות נתונים ומידע, ביצוע מדגם של תיקי לקוחות וכן על ידי </w:t>
      </w:r>
      <w:r w:rsidR="005602AB" w:rsidRPr="007623A0">
        <w:rPr>
          <w:rFonts w:asciiTheme="minorHAnsi" w:hAnsiTheme="minorHAnsi" w:cstheme="minorHAnsi"/>
          <w:rtl/>
        </w:rPr>
        <w:t xml:space="preserve">ביקורים של </w:t>
      </w:r>
      <w:r w:rsidR="00592150" w:rsidRPr="007623A0">
        <w:rPr>
          <w:rFonts w:asciiTheme="minorHAnsi" w:hAnsiTheme="minorHAnsi" w:cstheme="minorHAnsi"/>
          <w:rtl/>
        </w:rPr>
        <w:t>לקוח</w:t>
      </w:r>
      <w:r w:rsidR="005602AB" w:rsidRPr="007623A0">
        <w:rPr>
          <w:rFonts w:asciiTheme="minorHAnsi" w:hAnsiTheme="minorHAnsi" w:cstheme="minorHAnsi"/>
          <w:rtl/>
        </w:rPr>
        <w:t>ות</w:t>
      </w:r>
      <w:r w:rsidR="00592150" w:rsidRPr="007623A0">
        <w:rPr>
          <w:rFonts w:asciiTheme="minorHAnsi" w:hAnsiTheme="minorHAnsi" w:cstheme="minorHAnsi"/>
          <w:rtl/>
        </w:rPr>
        <w:t xml:space="preserve"> סמוי</w:t>
      </w:r>
      <w:r w:rsidR="005602AB" w:rsidRPr="007623A0">
        <w:rPr>
          <w:rFonts w:asciiTheme="minorHAnsi" w:hAnsiTheme="minorHAnsi" w:cstheme="minorHAnsi"/>
          <w:rtl/>
        </w:rPr>
        <w:t>ים</w:t>
      </w:r>
      <w:r w:rsidR="00592150" w:rsidRPr="007623A0">
        <w:rPr>
          <w:rFonts w:asciiTheme="minorHAnsi" w:hAnsiTheme="minorHAnsi" w:cstheme="minorHAnsi"/>
          <w:rtl/>
        </w:rPr>
        <w:t xml:space="preserve"> בשטח על ידי </w:t>
      </w:r>
      <w:r w:rsidR="005B3692" w:rsidRPr="007623A0">
        <w:rPr>
          <w:rFonts w:asciiTheme="minorHAnsi" w:hAnsiTheme="minorHAnsi" w:cstheme="minorHAnsi"/>
          <w:rtl/>
        </w:rPr>
        <w:t>צוותי הפיקוח על הבנקים.</w:t>
      </w:r>
      <w:r w:rsidRPr="007623A0">
        <w:rPr>
          <w:rFonts w:asciiTheme="minorHAnsi" w:hAnsiTheme="minorHAnsi" w:cstheme="minorHAnsi"/>
          <w:rtl/>
        </w:rPr>
        <w:t xml:space="preserve"> </w:t>
      </w:r>
      <w:r w:rsidR="005B3692" w:rsidRPr="007623A0">
        <w:rPr>
          <w:rFonts w:asciiTheme="minorHAnsi" w:hAnsiTheme="minorHAnsi" w:cstheme="minorHAnsi"/>
          <w:rtl/>
        </w:rPr>
        <w:t>הבקרות</w:t>
      </w:r>
      <w:r w:rsidRPr="007623A0">
        <w:rPr>
          <w:rFonts w:asciiTheme="minorHAnsi" w:hAnsiTheme="minorHAnsi" w:cstheme="minorHAnsi"/>
          <w:rtl/>
        </w:rPr>
        <w:t xml:space="preserve"> נערכו כחלק מתפיסת </w:t>
      </w:r>
      <w:r w:rsidR="005B3692" w:rsidRPr="007623A0">
        <w:rPr>
          <w:rFonts w:asciiTheme="minorHAnsi" w:hAnsiTheme="minorHAnsi" w:cstheme="minorHAnsi"/>
          <w:rtl/>
        </w:rPr>
        <w:t>הפיקוח לשיפור ההוגנות</w:t>
      </w:r>
      <w:r w:rsidR="005602AB" w:rsidRPr="007623A0">
        <w:rPr>
          <w:rFonts w:asciiTheme="minorHAnsi" w:hAnsiTheme="minorHAnsi" w:cstheme="minorHAnsi"/>
          <w:rtl/>
        </w:rPr>
        <w:t xml:space="preserve">, </w:t>
      </w:r>
      <w:r w:rsidR="00592150" w:rsidRPr="007623A0">
        <w:rPr>
          <w:rFonts w:asciiTheme="minorHAnsi" w:hAnsiTheme="minorHAnsi" w:cstheme="minorHAnsi"/>
          <w:rtl/>
        </w:rPr>
        <w:t>בין היתר</w:t>
      </w:r>
      <w:r w:rsidR="005602AB" w:rsidRPr="007623A0">
        <w:rPr>
          <w:rFonts w:asciiTheme="minorHAnsi" w:hAnsiTheme="minorHAnsi" w:cstheme="minorHAnsi"/>
          <w:rtl/>
        </w:rPr>
        <w:t>,</w:t>
      </w:r>
      <w:r w:rsidR="00592150" w:rsidRPr="007623A0">
        <w:rPr>
          <w:rFonts w:asciiTheme="minorHAnsi" w:hAnsiTheme="minorHAnsi" w:cstheme="minorHAnsi"/>
          <w:rtl/>
        </w:rPr>
        <w:t xml:space="preserve"> על ידי הגברת הבקרה והאכיפה הצרכנית.</w:t>
      </w:r>
    </w:p>
    <w:p w:rsidR="005B3692" w:rsidRPr="007623A0" w:rsidRDefault="005B3692" w:rsidP="005B3692">
      <w:pPr>
        <w:rPr>
          <w:rFonts w:asciiTheme="minorHAnsi" w:hAnsiTheme="minorHAnsi" w:cstheme="minorHAnsi"/>
          <w:rtl/>
        </w:rPr>
      </w:pPr>
    </w:p>
    <w:p w:rsidR="005B3692" w:rsidRPr="007623A0" w:rsidRDefault="005B3692" w:rsidP="005B3692">
      <w:pPr>
        <w:tabs>
          <w:tab w:val="clear" w:pos="567"/>
          <w:tab w:val="clear" w:pos="1134"/>
          <w:tab w:val="clear" w:pos="1814"/>
          <w:tab w:val="clear" w:pos="2665"/>
        </w:tabs>
        <w:rPr>
          <w:rFonts w:asciiTheme="minorHAnsi" w:hAnsiTheme="minorHAnsi" w:cstheme="minorHAnsi"/>
          <w:b/>
          <w:bCs/>
          <w:snapToGrid w:val="0"/>
          <w:rtl/>
        </w:rPr>
      </w:pPr>
      <w:r w:rsidRPr="007623A0">
        <w:rPr>
          <w:rFonts w:asciiTheme="minorHAnsi" w:hAnsiTheme="minorHAnsi" w:cstheme="minorHAnsi"/>
          <w:b/>
          <w:bCs/>
          <w:rtl/>
        </w:rPr>
        <w:t xml:space="preserve">המפקח על הבנקים, מר דניאל חחיאשוילי: </w:t>
      </w:r>
    </w:p>
    <w:p w:rsidR="005B3692" w:rsidRPr="007623A0" w:rsidRDefault="005B3692" w:rsidP="00CE1CB2">
      <w:pPr>
        <w:rPr>
          <w:rFonts w:asciiTheme="minorHAnsi" w:hAnsiTheme="minorHAnsi" w:cstheme="minorHAnsi"/>
          <w:rtl/>
          <w:lang w:eastAsia="he-IL"/>
        </w:rPr>
      </w:pPr>
      <w:r w:rsidRPr="007623A0">
        <w:rPr>
          <w:rFonts w:asciiTheme="minorHAnsi" w:hAnsiTheme="minorHAnsi" w:cstheme="minorHAnsi"/>
          <w:snapToGrid w:val="0"/>
          <w:rtl/>
        </w:rPr>
        <w:t xml:space="preserve">"הפיקוח על הבנקים רואה בהוגנות המערכת הבנקאית </w:t>
      </w:r>
      <w:r w:rsidR="00592150" w:rsidRPr="007623A0">
        <w:rPr>
          <w:rFonts w:asciiTheme="minorHAnsi" w:hAnsiTheme="minorHAnsi" w:cstheme="minorHAnsi"/>
          <w:snapToGrid w:val="0"/>
          <w:rtl/>
        </w:rPr>
        <w:t>בהתנהלות</w:t>
      </w:r>
      <w:r w:rsidR="005602AB" w:rsidRPr="007623A0">
        <w:rPr>
          <w:rFonts w:asciiTheme="minorHAnsi" w:hAnsiTheme="minorHAnsi" w:cstheme="minorHAnsi"/>
          <w:snapToGrid w:val="0"/>
          <w:rtl/>
        </w:rPr>
        <w:t>ה</w:t>
      </w:r>
      <w:r w:rsidR="00592150" w:rsidRPr="007623A0">
        <w:rPr>
          <w:rFonts w:asciiTheme="minorHAnsi" w:hAnsiTheme="minorHAnsi" w:cstheme="minorHAnsi"/>
          <w:snapToGrid w:val="0"/>
          <w:rtl/>
        </w:rPr>
        <w:t xml:space="preserve"> עם </w:t>
      </w:r>
      <w:r w:rsidRPr="007623A0">
        <w:rPr>
          <w:rFonts w:asciiTheme="minorHAnsi" w:hAnsiTheme="minorHAnsi" w:cstheme="minorHAnsi"/>
          <w:snapToGrid w:val="0"/>
          <w:rtl/>
        </w:rPr>
        <w:t>לקוחותיה ערך מרכזי בתפיסת תפקיד</w:t>
      </w:r>
      <w:r w:rsidR="00C633FC" w:rsidRPr="007623A0">
        <w:rPr>
          <w:rFonts w:asciiTheme="minorHAnsi" w:hAnsiTheme="minorHAnsi" w:cstheme="minorHAnsi"/>
          <w:snapToGrid w:val="0"/>
          <w:rtl/>
        </w:rPr>
        <w:t>ו</w:t>
      </w:r>
      <w:r w:rsidRPr="007623A0">
        <w:rPr>
          <w:rFonts w:asciiTheme="minorHAnsi" w:hAnsiTheme="minorHAnsi" w:cstheme="minorHAnsi"/>
          <w:snapToGrid w:val="0"/>
          <w:rtl/>
        </w:rPr>
        <w:t xml:space="preserve">. </w:t>
      </w:r>
      <w:r w:rsidR="00C633FC" w:rsidRPr="007623A0">
        <w:rPr>
          <w:rFonts w:asciiTheme="minorHAnsi" w:hAnsiTheme="minorHAnsi" w:cstheme="minorHAnsi"/>
          <w:snapToGrid w:val="0"/>
          <w:rtl/>
        </w:rPr>
        <w:t xml:space="preserve">אנו רואים חשיבות עליונה </w:t>
      </w:r>
      <w:r w:rsidR="00592150" w:rsidRPr="007623A0">
        <w:rPr>
          <w:rFonts w:asciiTheme="minorHAnsi" w:hAnsiTheme="minorHAnsi" w:cstheme="minorHAnsi"/>
          <w:snapToGrid w:val="0"/>
          <w:rtl/>
        </w:rPr>
        <w:t xml:space="preserve">בציות להוראות הדין הצרכני בדגש על </w:t>
      </w:r>
      <w:r w:rsidRPr="007623A0">
        <w:rPr>
          <w:rFonts w:asciiTheme="minorHAnsi" w:hAnsiTheme="minorHAnsi" w:cstheme="minorHAnsi"/>
          <w:snapToGrid w:val="0"/>
          <w:rtl/>
        </w:rPr>
        <w:t xml:space="preserve">שירות מקצועי, זמין ואיכותי ללקוחות בכל ערוצי השירות הבנקאיים. </w:t>
      </w:r>
      <w:r w:rsidRPr="007623A0">
        <w:rPr>
          <w:rFonts w:asciiTheme="minorHAnsi" w:hAnsiTheme="minorHAnsi" w:cstheme="minorHAnsi"/>
          <w:rtl/>
          <w:lang w:eastAsia="he-IL"/>
        </w:rPr>
        <w:t>נמשיך לפעול</w:t>
      </w:r>
      <w:r w:rsidR="00660F77" w:rsidRPr="007623A0">
        <w:rPr>
          <w:rFonts w:asciiTheme="minorHAnsi" w:hAnsiTheme="minorHAnsi" w:cstheme="minorHAnsi"/>
          <w:rtl/>
          <w:lang w:eastAsia="he-IL"/>
        </w:rPr>
        <w:t xml:space="preserve"> במגוון הכלים שברשותנו</w:t>
      </w:r>
      <w:r w:rsidRPr="007623A0">
        <w:rPr>
          <w:rFonts w:asciiTheme="minorHAnsi" w:hAnsiTheme="minorHAnsi" w:cstheme="minorHAnsi"/>
          <w:rtl/>
          <w:lang w:eastAsia="he-IL"/>
        </w:rPr>
        <w:t xml:space="preserve"> לאכיפת ההוראות </w:t>
      </w:r>
      <w:r w:rsidR="00592150" w:rsidRPr="007623A0">
        <w:rPr>
          <w:rFonts w:asciiTheme="minorHAnsi" w:hAnsiTheme="minorHAnsi" w:cstheme="minorHAnsi"/>
          <w:rtl/>
          <w:lang w:eastAsia="he-IL"/>
        </w:rPr>
        <w:t>ב</w:t>
      </w:r>
      <w:r w:rsidR="00CE1CB2" w:rsidRPr="007623A0">
        <w:rPr>
          <w:rFonts w:asciiTheme="minorHAnsi" w:hAnsiTheme="minorHAnsi" w:cstheme="minorHAnsi"/>
          <w:rtl/>
          <w:lang w:eastAsia="he-IL"/>
        </w:rPr>
        <w:t>שלל ה</w:t>
      </w:r>
      <w:r w:rsidR="00592150" w:rsidRPr="007623A0">
        <w:rPr>
          <w:rFonts w:asciiTheme="minorHAnsi" w:hAnsiTheme="minorHAnsi" w:cstheme="minorHAnsi"/>
          <w:rtl/>
          <w:lang w:eastAsia="he-IL"/>
        </w:rPr>
        <w:t>נושאים הצרכניים,</w:t>
      </w:r>
      <w:r w:rsidR="00660F77" w:rsidRPr="007623A0">
        <w:rPr>
          <w:rFonts w:asciiTheme="minorHAnsi" w:hAnsiTheme="minorHAnsi" w:cstheme="minorHAnsi"/>
          <w:rtl/>
          <w:lang w:eastAsia="he-IL"/>
        </w:rPr>
        <w:t xml:space="preserve"> זאת</w:t>
      </w:r>
      <w:r w:rsidRPr="007623A0">
        <w:rPr>
          <w:rFonts w:asciiTheme="minorHAnsi" w:hAnsiTheme="minorHAnsi" w:cstheme="minorHAnsi"/>
          <w:rtl/>
          <w:lang w:eastAsia="he-IL"/>
        </w:rPr>
        <w:t xml:space="preserve"> כחלק מפעילותנו </w:t>
      </w:r>
      <w:r w:rsidR="00CE1CB2" w:rsidRPr="007623A0">
        <w:rPr>
          <w:rFonts w:asciiTheme="minorHAnsi" w:hAnsiTheme="minorHAnsi" w:cstheme="minorHAnsi"/>
          <w:rtl/>
          <w:lang w:eastAsia="he-IL"/>
        </w:rPr>
        <w:t xml:space="preserve">להבטחת </w:t>
      </w:r>
      <w:r w:rsidRPr="007623A0">
        <w:rPr>
          <w:rFonts w:asciiTheme="minorHAnsi" w:hAnsiTheme="minorHAnsi" w:cstheme="minorHAnsi"/>
          <w:rtl/>
          <w:lang w:eastAsia="he-IL"/>
        </w:rPr>
        <w:t>תרבות ארגונית הוגנת במערכת</w:t>
      </w:r>
      <w:r w:rsidR="00660F77" w:rsidRPr="007623A0">
        <w:rPr>
          <w:rFonts w:asciiTheme="minorHAnsi" w:hAnsiTheme="minorHAnsi" w:cstheme="minorHAnsi"/>
          <w:rtl/>
          <w:lang w:eastAsia="he-IL"/>
        </w:rPr>
        <w:t xml:space="preserve"> הבנקאית</w:t>
      </w:r>
      <w:r w:rsidRPr="007623A0">
        <w:rPr>
          <w:rFonts w:asciiTheme="minorHAnsi" w:hAnsiTheme="minorHAnsi" w:cstheme="minorHAnsi"/>
          <w:rtl/>
          <w:lang w:eastAsia="he-IL"/>
        </w:rPr>
        <w:t xml:space="preserve">". </w:t>
      </w:r>
    </w:p>
    <w:p w:rsidR="005B3692" w:rsidRPr="007623A0" w:rsidRDefault="005B3692" w:rsidP="005B3692">
      <w:pPr>
        <w:rPr>
          <w:rFonts w:asciiTheme="minorHAnsi" w:hAnsiTheme="minorHAnsi" w:cstheme="minorHAnsi"/>
          <w:rtl/>
        </w:rPr>
      </w:pPr>
    </w:p>
    <w:p w:rsidR="00C20136" w:rsidRPr="007623A0" w:rsidRDefault="005602AB" w:rsidP="005602AB">
      <w:pPr>
        <w:rPr>
          <w:rFonts w:asciiTheme="minorHAnsi" w:hAnsiTheme="minorHAnsi" w:cstheme="minorHAnsi"/>
          <w:rtl/>
        </w:rPr>
      </w:pPr>
      <w:r w:rsidRPr="007623A0">
        <w:rPr>
          <w:rFonts w:asciiTheme="minorHAnsi" w:hAnsiTheme="minorHAnsi" w:cstheme="minorHAnsi"/>
          <w:rtl/>
        </w:rPr>
        <w:t xml:space="preserve">מתוך שורה של בקרות שנערכו, נמצאה התנהלות תקינה במגוון תחומים במערכת הבנקאית ולצד זאת, במקרים שבהם נמצאה הפרת הוראות הדין </w:t>
      </w:r>
      <w:r w:rsidR="00C20136" w:rsidRPr="007623A0">
        <w:rPr>
          <w:rFonts w:asciiTheme="minorHAnsi" w:hAnsiTheme="minorHAnsi" w:cstheme="minorHAnsi"/>
          <w:rtl/>
        </w:rPr>
        <w:t xml:space="preserve">הובילו </w:t>
      </w:r>
      <w:r w:rsidR="00CE1CB2" w:rsidRPr="007623A0">
        <w:rPr>
          <w:rFonts w:asciiTheme="minorHAnsi" w:hAnsiTheme="minorHAnsi" w:cstheme="minorHAnsi"/>
          <w:rtl/>
        </w:rPr>
        <w:t xml:space="preserve">ממצאי </w:t>
      </w:r>
      <w:r w:rsidRPr="007623A0">
        <w:rPr>
          <w:rFonts w:asciiTheme="minorHAnsi" w:hAnsiTheme="minorHAnsi" w:cstheme="minorHAnsi"/>
          <w:rtl/>
        </w:rPr>
        <w:t xml:space="preserve">הבקרות </w:t>
      </w:r>
      <w:r w:rsidR="00C20136" w:rsidRPr="007623A0">
        <w:rPr>
          <w:rFonts w:asciiTheme="minorHAnsi" w:hAnsiTheme="minorHAnsi" w:cstheme="minorHAnsi"/>
          <w:rtl/>
        </w:rPr>
        <w:t>ל</w:t>
      </w:r>
      <w:r w:rsidRPr="007623A0">
        <w:rPr>
          <w:rFonts w:asciiTheme="minorHAnsi" w:hAnsiTheme="minorHAnsi" w:cstheme="minorHAnsi"/>
          <w:rtl/>
        </w:rPr>
        <w:t xml:space="preserve">הטלת </w:t>
      </w:r>
      <w:r w:rsidR="00CE1CB2" w:rsidRPr="007623A0">
        <w:rPr>
          <w:rFonts w:asciiTheme="minorHAnsi" w:hAnsiTheme="minorHAnsi" w:cstheme="minorHAnsi"/>
          <w:rtl/>
        </w:rPr>
        <w:t>ה</w:t>
      </w:r>
      <w:r w:rsidR="00C20136" w:rsidRPr="007623A0">
        <w:rPr>
          <w:rFonts w:asciiTheme="minorHAnsi" w:hAnsiTheme="minorHAnsi" w:cstheme="minorHAnsi"/>
          <w:rtl/>
        </w:rPr>
        <w:t xml:space="preserve">עיצומים </w:t>
      </w:r>
      <w:r w:rsidR="00CE1CB2" w:rsidRPr="007623A0">
        <w:rPr>
          <w:rFonts w:asciiTheme="minorHAnsi" w:hAnsiTheme="minorHAnsi" w:cstheme="minorHAnsi"/>
          <w:rtl/>
        </w:rPr>
        <w:t>ה</w:t>
      </w:r>
      <w:r w:rsidR="00C20136" w:rsidRPr="007623A0">
        <w:rPr>
          <w:rFonts w:asciiTheme="minorHAnsi" w:hAnsiTheme="minorHAnsi" w:cstheme="minorHAnsi"/>
          <w:rtl/>
        </w:rPr>
        <w:t>כספיים</w:t>
      </w:r>
      <w:r w:rsidR="00CE1CB2" w:rsidRPr="007623A0">
        <w:rPr>
          <w:rFonts w:asciiTheme="minorHAnsi" w:hAnsiTheme="minorHAnsi" w:cstheme="minorHAnsi"/>
          <w:rtl/>
        </w:rPr>
        <w:t xml:space="preserve"> ע"י הפיקוח להלן</w:t>
      </w:r>
      <w:r w:rsidRPr="007623A0">
        <w:rPr>
          <w:rFonts w:asciiTheme="minorHAnsi" w:hAnsiTheme="minorHAnsi" w:cstheme="minorHAnsi"/>
          <w:rtl/>
        </w:rPr>
        <w:t>:</w:t>
      </w:r>
    </w:p>
    <w:p w:rsidR="0053552B" w:rsidRPr="007623A0" w:rsidRDefault="0053552B" w:rsidP="005602AB">
      <w:pPr>
        <w:rPr>
          <w:rFonts w:asciiTheme="minorHAnsi" w:hAnsiTheme="minorHAnsi" w:cstheme="minorHAnsi"/>
          <w:rtl/>
        </w:rPr>
      </w:pPr>
    </w:p>
    <w:p w:rsidR="005B3692" w:rsidRPr="007623A0" w:rsidRDefault="005B3692" w:rsidP="0053552B">
      <w:pPr>
        <w:pStyle w:val="a3"/>
        <w:numPr>
          <w:ilvl w:val="0"/>
          <w:numId w:val="2"/>
        </w:numPr>
        <w:rPr>
          <w:rFonts w:asciiTheme="minorHAnsi" w:hAnsiTheme="minorHAnsi" w:cstheme="minorHAnsi"/>
          <w:b/>
          <w:bCs/>
          <w:lang w:eastAsia="he-IL"/>
        </w:rPr>
      </w:pPr>
      <w:r w:rsidRPr="007623A0">
        <w:rPr>
          <w:rFonts w:asciiTheme="minorHAnsi" w:hAnsiTheme="minorHAnsi" w:cstheme="minorHAnsi"/>
          <w:b/>
          <w:bCs/>
          <w:rtl/>
          <w:lang w:eastAsia="he-IL"/>
        </w:rPr>
        <w:t>בנק הפועלים לא עמד בהוראת הפיקוח המחייבת הכנסת לקוחות לסניף וקבלת שירות מקצועי בשעות הפעילות, וזאת גם אם לא תיאמו תור מראש, וה</w:t>
      </w:r>
      <w:r w:rsidR="00F5589A" w:rsidRPr="007623A0">
        <w:rPr>
          <w:rFonts w:asciiTheme="minorHAnsi" w:hAnsiTheme="minorHAnsi" w:cstheme="minorHAnsi"/>
          <w:b/>
          <w:bCs/>
          <w:rtl/>
          <w:lang w:eastAsia="he-IL"/>
        </w:rPr>
        <w:t>ו</w:t>
      </w:r>
      <w:r w:rsidRPr="007623A0">
        <w:rPr>
          <w:rFonts w:asciiTheme="minorHAnsi" w:hAnsiTheme="minorHAnsi" w:cstheme="minorHAnsi"/>
          <w:b/>
          <w:bCs/>
          <w:rtl/>
          <w:lang w:eastAsia="he-IL"/>
        </w:rPr>
        <w:t xml:space="preserve">טל עליו עיצום כספי בסך 1,000,000 ש"ח בגין ההפרה. </w:t>
      </w:r>
    </w:p>
    <w:p w:rsidR="00CE1CB2" w:rsidRPr="007623A0" w:rsidRDefault="00CE1CB2" w:rsidP="0053552B">
      <w:pPr>
        <w:ind w:left="360"/>
        <w:rPr>
          <w:rFonts w:asciiTheme="minorHAnsi" w:hAnsiTheme="minorHAnsi" w:cstheme="minorHAnsi"/>
          <w:rtl/>
          <w:lang w:eastAsia="he-IL"/>
        </w:rPr>
      </w:pPr>
    </w:p>
    <w:p w:rsidR="0053552B" w:rsidRPr="007623A0" w:rsidRDefault="0053552B" w:rsidP="0053552B">
      <w:pPr>
        <w:ind w:left="360"/>
        <w:rPr>
          <w:rFonts w:asciiTheme="minorHAnsi" w:hAnsiTheme="minorHAnsi" w:cstheme="minorHAnsi"/>
          <w:rtl/>
          <w:lang w:eastAsia="he-IL"/>
        </w:rPr>
      </w:pPr>
      <w:r w:rsidRPr="007623A0">
        <w:rPr>
          <w:rFonts w:asciiTheme="minorHAnsi" w:hAnsiTheme="minorHAnsi" w:cstheme="minorHAnsi"/>
          <w:rtl/>
          <w:lang w:eastAsia="he-IL"/>
        </w:rPr>
        <w:lastRenderedPageBreak/>
        <w:t xml:space="preserve">בשנת 2023 ביצעו עובדי הפיקוח על הבנקים בדיקות סמויות בסניפי הבנקים השונים. אנשי הפיקוח יצאו לשטח וביקשו להיכנס לסניפים ולקבל שירות ללא קביעת תור. הצורך לבחינת הנושא עלה, בין היתר, בעקבות תלונות של לקוחות שהתקבלו בפיקוח על הבנקים, שהלינו על אי הכנסתם לסניפים ללא קביעת תור מראש. </w:t>
      </w:r>
    </w:p>
    <w:p w:rsidR="0053552B" w:rsidRPr="007623A0" w:rsidRDefault="0053552B" w:rsidP="0053552B">
      <w:pPr>
        <w:ind w:left="360"/>
        <w:rPr>
          <w:rFonts w:asciiTheme="minorHAnsi" w:hAnsiTheme="minorHAnsi" w:cstheme="minorHAnsi"/>
          <w:rtl/>
          <w:lang w:eastAsia="he-IL"/>
        </w:rPr>
      </w:pPr>
    </w:p>
    <w:p w:rsidR="0053552B" w:rsidRPr="007623A0" w:rsidRDefault="0053552B" w:rsidP="0053552B">
      <w:pPr>
        <w:ind w:left="360"/>
        <w:rPr>
          <w:rFonts w:asciiTheme="minorHAnsi" w:hAnsiTheme="minorHAnsi" w:cstheme="minorHAnsi"/>
          <w:rtl/>
          <w:lang w:eastAsia="he-IL"/>
        </w:rPr>
      </w:pPr>
      <w:r w:rsidRPr="007623A0">
        <w:rPr>
          <w:rFonts w:asciiTheme="minorHAnsi" w:hAnsiTheme="minorHAnsi" w:cstheme="minorHAnsi"/>
          <w:rtl/>
          <w:lang w:eastAsia="he-IL"/>
        </w:rPr>
        <w:t>במסגרת תהליכי בקרה צרכנית שביצע, הפיקוח על הבנקים מצא שבנק הפועלים לא עמד בהוראת הפיקוח</w:t>
      </w:r>
      <w:r w:rsidRPr="007623A0">
        <w:rPr>
          <w:rStyle w:val="a6"/>
          <w:rFonts w:asciiTheme="minorHAnsi" w:hAnsiTheme="minorHAnsi" w:cstheme="minorHAnsi"/>
          <w:b/>
          <w:bCs/>
          <w:rtl/>
          <w:lang w:eastAsia="he-IL"/>
        </w:rPr>
        <w:footnoteReference w:id="1"/>
      </w:r>
      <w:r w:rsidRPr="007623A0">
        <w:rPr>
          <w:rFonts w:asciiTheme="minorHAnsi" w:hAnsiTheme="minorHAnsi" w:cstheme="minorHAnsi"/>
          <w:rtl/>
          <w:lang w:eastAsia="he-IL"/>
        </w:rPr>
        <w:t xml:space="preserve"> המחייבת הכנסת לקוחות לסניף וקבלת שירות מקצועי בשעות הפעילות, וזאת גם אם לא תיאמו תור מראש. הבקרה העלתה הפרה מהותית בבנק הפועלים לאור המקרים בהם המבקרים הסמויים, אשר לא קבעו תור מראש, לא הוכנסו לסניפי בנק הפועלים. לאור ממצאים אלו הטיל עליו המפקח על הבנקים עיצום כספי בסך 1,000,000 ש"ח בגין ההפרה. </w:t>
      </w:r>
    </w:p>
    <w:p w:rsidR="0053552B" w:rsidRPr="007623A0" w:rsidRDefault="0053552B" w:rsidP="0053552B">
      <w:pPr>
        <w:ind w:left="360"/>
        <w:rPr>
          <w:rFonts w:asciiTheme="minorHAnsi" w:hAnsiTheme="minorHAnsi" w:cstheme="minorHAnsi"/>
          <w:rtl/>
          <w:lang w:eastAsia="he-IL"/>
        </w:rPr>
      </w:pPr>
      <w:r w:rsidRPr="007623A0">
        <w:rPr>
          <w:rFonts w:asciiTheme="minorHAnsi" w:hAnsiTheme="minorHAnsi" w:cstheme="minorHAnsi"/>
          <w:snapToGrid w:val="0"/>
          <w:rtl/>
        </w:rPr>
        <w:t>עמדת הפיקוח היא שאין כל מניעה שתאגיד בנקאי יפעיל מערכת לזימון תורים, שהינה מערכת יעילה ואפקטיבית לניהול מופע לקוחות, ואף ראוי כי התאגידים יקדמו מערכות אלה. עם זאת, על התאגידים הבנקאיים לאפשר כניסה חופשית ללקוחות אשר בחרו שלא לעשות שימוש במערכת שכזו.</w:t>
      </w:r>
    </w:p>
    <w:p w:rsidR="0053552B" w:rsidRPr="007623A0" w:rsidRDefault="0053552B" w:rsidP="0053552B">
      <w:pPr>
        <w:ind w:left="360"/>
        <w:rPr>
          <w:rFonts w:asciiTheme="minorHAnsi" w:hAnsiTheme="minorHAnsi" w:cstheme="minorHAnsi"/>
          <w:rtl/>
          <w:lang w:eastAsia="he-IL"/>
        </w:rPr>
      </w:pPr>
    </w:p>
    <w:p w:rsidR="0053552B" w:rsidRPr="007623A0" w:rsidRDefault="0053552B" w:rsidP="004C4982">
      <w:pPr>
        <w:ind w:left="360"/>
        <w:rPr>
          <w:rFonts w:asciiTheme="minorHAnsi" w:hAnsiTheme="minorHAnsi" w:cstheme="minorHAnsi"/>
          <w:rtl/>
          <w:lang w:eastAsia="he-IL"/>
        </w:rPr>
      </w:pPr>
      <w:r w:rsidRPr="007623A0">
        <w:rPr>
          <w:rFonts w:asciiTheme="minorHAnsi" w:hAnsiTheme="minorHAnsi" w:cstheme="minorHAnsi"/>
          <w:rtl/>
          <w:lang w:eastAsia="he-IL"/>
        </w:rPr>
        <w:t>לעיון בהחלטה ופירוט ההפרות שאותרו, שיקולי ההחלטה והטעמים להטלת העיצום ראו: החלטה בדבר הטלת עיצום כספי בגין הפרת</w:t>
      </w:r>
      <w:r w:rsidR="004C4982">
        <w:rPr>
          <w:rFonts w:asciiTheme="minorHAnsi" w:hAnsiTheme="minorHAnsi" w:cstheme="minorHAnsi"/>
          <w:rtl/>
          <w:lang w:eastAsia="he-IL"/>
        </w:rPr>
        <w:t xml:space="preserve"> הוראת ניהול בנקאי תקין מס' 401</w:t>
      </w:r>
      <w:r w:rsidR="004C4982">
        <w:rPr>
          <w:rFonts w:asciiTheme="minorHAnsi" w:hAnsiTheme="minorHAnsi" w:cstheme="minorHAnsi" w:hint="cs"/>
          <w:rtl/>
          <w:lang w:eastAsia="he-IL"/>
        </w:rPr>
        <w:t>.</w:t>
      </w:r>
    </w:p>
    <w:p w:rsidR="0053552B" w:rsidRPr="007623A0" w:rsidRDefault="0053552B" w:rsidP="0053552B">
      <w:pPr>
        <w:rPr>
          <w:rFonts w:asciiTheme="minorHAnsi" w:hAnsiTheme="minorHAnsi" w:cstheme="minorHAnsi"/>
          <w:rtl/>
          <w:lang w:eastAsia="he-IL"/>
        </w:rPr>
      </w:pPr>
    </w:p>
    <w:p w:rsidR="00DD7FD6" w:rsidRPr="007623A0" w:rsidRDefault="00DD7FD6" w:rsidP="00DD7FD6">
      <w:pPr>
        <w:pStyle w:val="a3"/>
        <w:numPr>
          <w:ilvl w:val="0"/>
          <w:numId w:val="2"/>
        </w:numPr>
        <w:rPr>
          <w:rFonts w:asciiTheme="minorHAnsi" w:hAnsiTheme="minorHAnsi" w:cstheme="minorHAnsi"/>
          <w:b/>
          <w:bCs/>
        </w:rPr>
      </w:pPr>
      <w:r w:rsidRPr="007623A0">
        <w:rPr>
          <w:rFonts w:asciiTheme="minorHAnsi" w:hAnsiTheme="minorHAnsi" w:cstheme="minorHAnsi"/>
          <w:b/>
          <w:bCs/>
          <w:rtl/>
        </w:rPr>
        <w:t>בנק לאומי לא עמד בהוראת הפיקוח בנושא גביית חובות והוטל עליו עיצום כספי בסך של 1,000</w:t>
      </w:r>
      <w:r w:rsidR="0053552B" w:rsidRPr="007623A0">
        <w:rPr>
          <w:rFonts w:asciiTheme="minorHAnsi" w:hAnsiTheme="minorHAnsi" w:cstheme="minorHAnsi"/>
          <w:b/>
          <w:bCs/>
          <w:rtl/>
        </w:rPr>
        <w:t>,000</w:t>
      </w:r>
      <w:r w:rsidRPr="007623A0">
        <w:rPr>
          <w:rFonts w:asciiTheme="minorHAnsi" w:hAnsiTheme="minorHAnsi" w:cstheme="minorHAnsi"/>
          <w:b/>
          <w:bCs/>
          <w:rtl/>
        </w:rPr>
        <w:t xml:space="preserve"> ש"ח בגין שתי הפרות. </w:t>
      </w:r>
    </w:p>
    <w:p w:rsidR="00CE1CB2" w:rsidRPr="007623A0" w:rsidRDefault="00CE1CB2" w:rsidP="00925E32">
      <w:pPr>
        <w:ind w:left="360"/>
        <w:rPr>
          <w:rFonts w:asciiTheme="minorHAnsi" w:hAnsiTheme="minorHAnsi" w:cstheme="minorHAnsi"/>
          <w:rtl/>
        </w:rPr>
      </w:pPr>
    </w:p>
    <w:p w:rsidR="0053552B" w:rsidRPr="007623A0" w:rsidRDefault="0053552B" w:rsidP="00925E32">
      <w:pPr>
        <w:ind w:left="360"/>
        <w:rPr>
          <w:rFonts w:asciiTheme="minorHAnsi" w:hAnsiTheme="minorHAnsi" w:cstheme="minorHAnsi"/>
          <w:rtl/>
        </w:rPr>
      </w:pPr>
      <w:r w:rsidRPr="007623A0">
        <w:rPr>
          <w:rFonts w:asciiTheme="minorHAnsi" w:hAnsiTheme="minorHAnsi" w:cstheme="minorHAnsi"/>
          <w:rtl/>
        </w:rPr>
        <w:t>במסגרת בקרה יזומה שביצע הפיקוח על הבנקים במספר תאגידים בנקאיים במערכת הבנקאית לבדיקת יישום החובות האמורות בהוראת</w:t>
      </w:r>
      <w:r w:rsidR="00925E32" w:rsidRPr="007623A0">
        <w:rPr>
          <w:rFonts w:asciiTheme="minorHAnsi" w:hAnsiTheme="minorHAnsi" w:cstheme="minorHAnsi"/>
          <w:rtl/>
        </w:rPr>
        <w:t xml:space="preserve"> הפיקוח</w:t>
      </w:r>
      <w:r w:rsidR="00925E32" w:rsidRPr="007623A0">
        <w:rPr>
          <w:rStyle w:val="a6"/>
          <w:rFonts w:asciiTheme="minorHAnsi" w:hAnsiTheme="minorHAnsi" w:cstheme="minorHAnsi"/>
          <w:rtl/>
        </w:rPr>
        <w:footnoteReference w:id="2"/>
      </w:r>
      <w:r w:rsidR="00925E32" w:rsidRPr="007623A0">
        <w:rPr>
          <w:rFonts w:asciiTheme="minorHAnsi" w:hAnsiTheme="minorHAnsi" w:cstheme="minorHAnsi"/>
          <w:rtl/>
        </w:rPr>
        <w:t xml:space="preserve"> בעניין גביית חובות מלקוחות </w:t>
      </w:r>
      <w:r w:rsidRPr="007623A0">
        <w:rPr>
          <w:rFonts w:asciiTheme="minorHAnsi" w:hAnsiTheme="minorHAnsi" w:cstheme="minorHAnsi"/>
          <w:rtl/>
        </w:rPr>
        <w:t xml:space="preserve">עלה כי בנק לאומי לא עמד בדרישות ההוראה. בהתאם, הפיקוח הטיל על הבנק עיצום כספי בסך 1,000,000 ש"ח בגין שתי הפרות בחובות הדיווח להוצאה לפועל, בהתאם לסעיפים 25 ו-26 להוראה: העיצום הכספי הוטל בגין מקרים בהם עלו ליקויים בדיווח להוצאה לפועל על תקבולים ששולמו על חשבון החוב ונרשמו בספרי הבנק, ובגין דיווח להוצאה לפועל בזמן שאינו סביר על הסדרי חוב שנערכו בין הבנק ללקוח. </w:t>
      </w:r>
    </w:p>
    <w:p w:rsidR="0053552B" w:rsidRPr="007623A0" w:rsidRDefault="0053552B" w:rsidP="0053552B">
      <w:pPr>
        <w:ind w:left="360"/>
        <w:rPr>
          <w:rFonts w:asciiTheme="minorHAnsi" w:hAnsiTheme="minorHAnsi" w:cstheme="minorHAnsi"/>
          <w:rtl/>
        </w:rPr>
      </w:pPr>
    </w:p>
    <w:p w:rsidR="0053552B" w:rsidRPr="007623A0" w:rsidRDefault="0053552B" w:rsidP="004C4982">
      <w:pPr>
        <w:ind w:left="360"/>
        <w:rPr>
          <w:rFonts w:asciiTheme="minorHAnsi" w:hAnsiTheme="minorHAnsi" w:cstheme="minorHAnsi"/>
          <w:rtl/>
        </w:rPr>
      </w:pPr>
      <w:r w:rsidRPr="007623A0">
        <w:rPr>
          <w:rFonts w:asciiTheme="minorHAnsi" w:hAnsiTheme="minorHAnsi" w:cstheme="minorHAnsi"/>
          <w:rtl/>
        </w:rPr>
        <w:lastRenderedPageBreak/>
        <w:t>לעיון בהחלטה ופירוט ההפרות שאותרו, שיקולי ההחלטה והטעמים להטלת העיצום תוך הפחתתו ראו: החלטה בדבר הטלת עיצום כספי בגין הפרת הוראת ניהול בנקאי תקין מס</w:t>
      </w:r>
      <w:r w:rsidR="004C4982">
        <w:rPr>
          <w:rFonts w:asciiTheme="minorHAnsi" w:hAnsiTheme="minorHAnsi" w:cstheme="minorHAnsi"/>
          <w:rtl/>
        </w:rPr>
        <w:t>' 450</w:t>
      </w:r>
      <w:r w:rsidR="004C4982">
        <w:rPr>
          <w:rFonts w:asciiTheme="minorHAnsi" w:hAnsiTheme="minorHAnsi" w:cstheme="minorHAnsi" w:hint="cs"/>
          <w:rtl/>
        </w:rPr>
        <w:t xml:space="preserve">. </w:t>
      </w:r>
      <w:r w:rsidR="00CE1CB2" w:rsidRPr="007623A0">
        <w:rPr>
          <w:rFonts w:asciiTheme="minorHAnsi" w:hAnsiTheme="minorHAnsi" w:cstheme="minorHAnsi"/>
          <w:rtl/>
        </w:rPr>
        <w:t>עוד יצוין כי כפועל יוצא מהבקרה הרוחבית הוטלו בשנת 2023 עיצומים כספיים על בנקים נוספים בגין הפרות דומות</w:t>
      </w:r>
      <w:r w:rsidR="00CE1CB2" w:rsidRPr="007623A0">
        <w:rPr>
          <w:rStyle w:val="a6"/>
          <w:rFonts w:asciiTheme="minorHAnsi" w:hAnsiTheme="minorHAnsi" w:cstheme="minorHAnsi"/>
          <w:rtl/>
        </w:rPr>
        <w:footnoteReference w:id="3"/>
      </w:r>
    </w:p>
    <w:p w:rsidR="0053552B" w:rsidRPr="007623A0" w:rsidRDefault="0053552B" w:rsidP="0053552B">
      <w:pPr>
        <w:rPr>
          <w:rFonts w:asciiTheme="minorHAnsi" w:hAnsiTheme="minorHAnsi" w:cstheme="minorHAnsi"/>
          <w:b/>
          <w:bCs/>
          <w:rtl/>
        </w:rPr>
      </w:pPr>
    </w:p>
    <w:p w:rsidR="00C20136" w:rsidRPr="007623A0" w:rsidRDefault="00F5589A" w:rsidP="005B3692">
      <w:pPr>
        <w:pStyle w:val="a3"/>
        <w:numPr>
          <w:ilvl w:val="0"/>
          <w:numId w:val="2"/>
        </w:numPr>
        <w:rPr>
          <w:rFonts w:asciiTheme="minorHAnsi" w:hAnsiTheme="minorHAnsi" w:cstheme="minorHAnsi"/>
          <w:b/>
          <w:bCs/>
        </w:rPr>
      </w:pPr>
      <w:r w:rsidRPr="007623A0">
        <w:rPr>
          <w:rFonts w:asciiTheme="minorHAnsi" w:hAnsiTheme="minorHAnsi" w:cstheme="minorHAnsi"/>
          <w:b/>
          <w:bCs/>
          <w:rtl/>
        </w:rPr>
        <w:t xml:space="preserve">חברת ישראכרט לא עמדה בהוראת החוק המחייבת מתן מענה אנושי במוקד הטלפוני בתוך 6 דקות בכל הנוגע לשירותי </w:t>
      </w:r>
      <w:r w:rsidRPr="007623A0">
        <w:rPr>
          <w:rFonts w:asciiTheme="minorHAnsi" w:hAnsiTheme="minorHAnsi" w:cstheme="minorHAnsi"/>
          <w:b/>
          <w:bCs/>
          <w:snapToGrid w:val="0"/>
          <w:rtl/>
        </w:rPr>
        <w:t>טיפול בתקלה, בירור חשבון וסיום התקשרות</w:t>
      </w:r>
      <w:r w:rsidRPr="007623A0">
        <w:rPr>
          <w:rFonts w:asciiTheme="minorHAnsi" w:hAnsiTheme="minorHAnsi" w:cstheme="minorHAnsi"/>
          <w:b/>
          <w:bCs/>
          <w:rtl/>
        </w:rPr>
        <w:t xml:space="preserve"> והוטל עליה עיצום כספי בסך של 250,000 ש"ח.</w:t>
      </w:r>
    </w:p>
    <w:p w:rsidR="00CE1CB2" w:rsidRPr="007623A0" w:rsidRDefault="00CE1CB2" w:rsidP="0053552B">
      <w:pPr>
        <w:ind w:left="360"/>
        <w:rPr>
          <w:rFonts w:asciiTheme="minorHAnsi" w:hAnsiTheme="minorHAnsi" w:cstheme="minorHAnsi"/>
          <w:rtl/>
        </w:rPr>
      </w:pPr>
    </w:p>
    <w:p w:rsidR="00C20136" w:rsidRPr="007623A0" w:rsidRDefault="0053552B" w:rsidP="004C4982">
      <w:pPr>
        <w:ind w:left="360"/>
        <w:rPr>
          <w:rFonts w:asciiTheme="minorHAnsi" w:hAnsiTheme="minorHAnsi" w:cstheme="minorHAnsi"/>
        </w:rPr>
      </w:pPr>
      <w:r w:rsidRPr="007623A0">
        <w:rPr>
          <w:rFonts w:asciiTheme="minorHAnsi" w:hAnsiTheme="minorHAnsi" w:cstheme="minorHAnsi"/>
          <w:rtl/>
        </w:rPr>
        <w:t>במסגרת תהליכי בקרה צרכנית שביצע הפיקוח, נמצא כי בין חודש דצמבר 2022 ועד לחודש יוני 2023 חברת ישראכרט לא עמדה בהוראות חוק הבנקאות</w:t>
      </w:r>
      <w:r w:rsidRPr="007623A0">
        <w:rPr>
          <w:rStyle w:val="a6"/>
          <w:rFonts w:asciiTheme="minorHAnsi" w:hAnsiTheme="minorHAnsi" w:cstheme="minorHAnsi"/>
          <w:rtl/>
          <w:lang w:eastAsia="he-IL"/>
        </w:rPr>
        <w:footnoteReference w:id="4"/>
      </w:r>
      <w:r w:rsidRPr="007623A0">
        <w:rPr>
          <w:rFonts w:asciiTheme="minorHAnsi" w:hAnsiTheme="minorHAnsi" w:cstheme="minorHAnsi"/>
          <w:rtl/>
        </w:rPr>
        <w:t>, כאשר נמצאו בתקופה זו חריגות מזמני ההמתנה לקבלת מענה אנושי מקצועי בשלושת השירותים המנויים בחוק: טיפול בתקלה, בירור חשבון וסיום התקשרות. לאור זאת, החליט הפיקוח על הבנקים להטיל על חברת ישראכרט עיצום כספי בסך 250,000 ש"ח בהתאם לחוק.</w:t>
      </w:r>
      <w:r w:rsidR="00CE1CB2" w:rsidRPr="007623A0">
        <w:rPr>
          <w:rFonts w:asciiTheme="minorHAnsi" w:hAnsiTheme="minorHAnsi" w:cstheme="minorHAnsi"/>
          <w:rtl/>
        </w:rPr>
        <w:t xml:space="preserve"> </w:t>
      </w:r>
      <w:r w:rsidRPr="007623A0">
        <w:rPr>
          <w:rFonts w:asciiTheme="minorHAnsi" w:hAnsiTheme="minorHAnsi" w:cstheme="minorHAnsi"/>
          <w:rtl/>
        </w:rPr>
        <w:t>לעיון בהחלטה ופירוט ההפרות שאותרו, שיקולי ההחלטה והטעמים להטלת העיצום: החלטה בדבר הטלת עיצום כספי ב</w:t>
      </w:r>
      <w:r w:rsidR="004C4982">
        <w:rPr>
          <w:rFonts w:asciiTheme="minorHAnsi" w:hAnsiTheme="minorHAnsi" w:cstheme="minorHAnsi"/>
          <w:rtl/>
        </w:rPr>
        <w:t>גין הפרת סעיפים בחוק הבנקאות</w:t>
      </w:r>
      <w:r w:rsidR="004C4982">
        <w:rPr>
          <w:rFonts w:asciiTheme="minorHAnsi" w:hAnsiTheme="minorHAnsi" w:cstheme="minorHAnsi" w:hint="cs"/>
          <w:rtl/>
        </w:rPr>
        <w:t>.</w:t>
      </w:r>
    </w:p>
    <w:sectPr w:rsidR="00C20136" w:rsidRPr="007623A0" w:rsidSect="007A3D1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CA" w:rsidRDefault="004541CA" w:rsidP="005B3692">
      <w:pPr>
        <w:spacing w:line="240" w:lineRule="auto"/>
      </w:pPr>
      <w:r>
        <w:separator/>
      </w:r>
    </w:p>
  </w:endnote>
  <w:endnote w:type="continuationSeparator" w:id="0">
    <w:p w:rsidR="004541CA" w:rsidRDefault="004541CA" w:rsidP="005B3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CA" w:rsidRDefault="004541CA" w:rsidP="005B3692">
      <w:pPr>
        <w:spacing w:line="240" w:lineRule="auto"/>
      </w:pPr>
      <w:r>
        <w:separator/>
      </w:r>
    </w:p>
  </w:footnote>
  <w:footnote w:type="continuationSeparator" w:id="0">
    <w:p w:rsidR="004541CA" w:rsidRDefault="004541CA" w:rsidP="005B3692">
      <w:pPr>
        <w:spacing w:line="240" w:lineRule="auto"/>
      </w:pPr>
      <w:r>
        <w:continuationSeparator/>
      </w:r>
    </w:p>
  </w:footnote>
  <w:footnote w:id="1">
    <w:p w:rsidR="0053552B" w:rsidRPr="007623A0" w:rsidRDefault="0053552B" w:rsidP="0053552B">
      <w:pPr>
        <w:pStyle w:val="a4"/>
        <w:rPr>
          <w:rFonts w:asciiTheme="minorHAnsi" w:hAnsiTheme="minorHAnsi" w:cstheme="minorHAnsi"/>
          <w:rtl/>
        </w:rPr>
      </w:pPr>
      <w:r w:rsidRPr="007623A0">
        <w:rPr>
          <w:rStyle w:val="a6"/>
          <w:rFonts w:asciiTheme="minorHAnsi" w:hAnsiTheme="minorHAnsi" w:cstheme="minorHAnsi"/>
        </w:rPr>
        <w:footnoteRef/>
      </w:r>
      <w:r w:rsidRPr="007623A0">
        <w:rPr>
          <w:rFonts w:asciiTheme="minorHAnsi" w:hAnsiTheme="minorHAnsi" w:cstheme="minorHAnsi"/>
          <w:rtl/>
        </w:rPr>
        <w:t>סעיף 9 להוראת ניהול בנקאי תקין 401 שעניינה "ימי פתיחה של משרדי התאגידים הבנקאיים".</w:t>
      </w:r>
    </w:p>
  </w:footnote>
  <w:footnote w:id="2">
    <w:p w:rsidR="00925E32" w:rsidRDefault="00925E32">
      <w:pPr>
        <w:pStyle w:val="a4"/>
        <w:rPr>
          <w:rtl/>
        </w:rPr>
      </w:pPr>
      <w:r w:rsidRPr="007623A0">
        <w:rPr>
          <w:rStyle w:val="a6"/>
          <w:rFonts w:asciiTheme="minorHAnsi" w:hAnsiTheme="minorHAnsi" w:cstheme="minorHAnsi"/>
        </w:rPr>
        <w:footnoteRef/>
      </w:r>
      <w:r w:rsidRPr="007623A0">
        <w:rPr>
          <w:rFonts w:asciiTheme="minorHAnsi" w:hAnsiTheme="minorHAnsi" w:cstheme="minorHAnsi"/>
          <w:rtl/>
        </w:rPr>
        <w:t xml:space="preserve"> </w:t>
      </w:r>
      <w:r w:rsidRPr="007623A0">
        <w:rPr>
          <w:rFonts w:asciiTheme="minorHAnsi" w:hAnsiTheme="minorHAnsi" w:cstheme="minorHAnsi"/>
          <w:color w:val="000000"/>
          <w:rtl/>
        </w:rPr>
        <w:t>סעיפים 25 ו-26 להוראת ניהול בנקאי תקין 450 "גביית חובות מלקוחות".</w:t>
      </w:r>
      <w:r>
        <w:rPr>
          <w:rFonts w:hint="cs"/>
          <w:rtl/>
        </w:rPr>
        <w:t xml:space="preserve"> </w:t>
      </w:r>
    </w:p>
  </w:footnote>
  <w:footnote w:id="3">
    <w:p w:rsidR="00CE1CB2" w:rsidRPr="007623A0" w:rsidRDefault="00CE1CB2" w:rsidP="007623A0">
      <w:pPr>
        <w:pStyle w:val="a4"/>
        <w:rPr>
          <w:rFonts w:asciiTheme="minorHAnsi" w:hAnsiTheme="minorHAnsi" w:cstheme="minorHAnsi"/>
        </w:rPr>
      </w:pPr>
      <w:r w:rsidRPr="007623A0">
        <w:rPr>
          <w:rStyle w:val="a6"/>
          <w:rFonts w:asciiTheme="minorHAnsi" w:hAnsiTheme="minorHAnsi" w:cstheme="minorHAnsi"/>
        </w:rPr>
        <w:footnoteRef/>
      </w:r>
      <w:r w:rsidRPr="007623A0">
        <w:rPr>
          <w:rFonts w:asciiTheme="minorHAnsi" w:hAnsiTheme="minorHAnsi" w:cstheme="minorHAnsi"/>
          <w:rtl/>
        </w:rPr>
        <w:t xml:space="preserve"> </w:t>
      </w:r>
      <w:r w:rsidR="007623A0" w:rsidRPr="007623A0">
        <w:rPr>
          <w:rFonts w:asciiTheme="minorHAnsi" w:hAnsiTheme="minorHAnsi" w:cstheme="minorHAnsi"/>
          <w:rtl/>
        </w:rPr>
        <w:t xml:space="preserve"> </w:t>
      </w:r>
      <w:hyperlink r:id="rId1" w:history="1">
        <w:r w:rsidR="007623A0" w:rsidRPr="007623A0">
          <w:rPr>
            <w:rStyle w:val="Hyperlink"/>
            <w:rFonts w:asciiTheme="minorHAnsi" w:hAnsiTheme="minorHAnsi" w:cstheme="minorHAnsi"/>
          </w:rPr>
          <w:t>https://www.boi.org.il/publications/pressreleases/54696</w:t>
        </w:r>
        <w:r w:rsidR="007623A0" w:rsidRPr="007623A0">
          <w:rPr>
            <w:rStyle w:val="Hyperlink"/>
            <w:rFonts w:asciiTheme="minorHAnsi" w:hAnsiTheme="minorHAnsi" w:cstheme="minorHAnsi"/>
            <w:rtl/>
          </w:rPr>
          <w:t>/</w:t>
        </w:r>
      </w:hyperlink>
      <w:r w:rsidR="007623A0" w:rsidRPr="007623A0">
        <w:rPr>
          <w:rFonts w:asciiTheme="minorHAnsi" w:hAnsiTheme="minorHAnsi" w:cstheme="minorHAnsi"/>
          <w:rtl/>
        </w:rPr>
        <w:tab/>
      </w:r>
    </w:p>
  </w:footnote>
  <w:footnote w:id="4">
    <w:p w:rsidR="0053552B" w:rsidRPr="000304DA" w:rsidRDefault="0053552B" w:rsidP="0053552B">
      <w:pPr>
        <w:pStyle w:val="a4"/>
        <w:rPr>
          <w:rFonts w:ascii="David" w:hAnsi="David" w:cs="David"/>
        </w:rPr>
      </w:pPr>
      <w:r w:rsidRPr="007623A0">
        <w:rPr>
          <w:rStyle w:val="a6"/>
          <w:rFonts w:asciiTheme="minorHAnsi" w:hAnsiTheme="minorHAnsi" w:cstheme="minorHAnsi"/>
        </w:rPr>
        <w:footnoteRef/>
      </w:r>
      <w:r w:rsidRPr="007623A0">
        <w:rPr>
          <w:rFonts w:asciiTheme="minorHAnsi" w:hAnsiTheme="minorHAnsi" w:cstheme="minorHAnsi"/>
          <w:rtl/>
        </w:rPr>
        <w:t xml:space="preserve"> </w:t>
      </w:r>
      <w:r w:rsidRPr="007623A0">
        <w:rPr>
          <w:rFonts w:asciiTheme="minorHAnsi" w:hAnsiTheme="minorHAnsi" w:cstheme="minorHAnsi"/>
          <w:snapToGrid w:val="0"/>
          <w:rtl/>
        </w:rPr>
        <w:t xml:space="preserve">סעיף 5א3(ג) </w:t>
      </w:r>
      <w:r w:rsidRPr="007623A0">
        <w:rPr>
          <w:rFonts w:asciiTheme="minorHAnsi" w:hAnsiTheme="minorHAnsi" w:cstheme="minorHAnsi"/>
          <w:color w:val="000000"/>
          <w:rtl/>
        </w:rPr>
        <w:t>לחוק הבנקאות (שירות ללקוח), התשמ"א-1981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C78"/>
    <w:multiLevelType w:val="hybridMultilevel"/>
    <w:tmpl w:val="C3180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F68EB"/>
    <w:multiLevelType w:val="hybridMultilevel"/>
    <w:tmpl w:val="7972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36"/>
    <w:rsid w:val="00002A16"/>
    <w:rsid w:val="0002168A"/>
    <w:rsid w:val="00034362"/>
    <w:rsid w:val="000553BA"/>
    <w:rsid w:val="000A6B6C"/>
    <w:rsid w:val="000D323E"/>
    <w:rsid w:val="000E4771"/>
    <w:rsid w:val="00137098"/>
    <w:rsid w:val="001422BA"/>
    <w:rsid w:val="00170127"/>
    <w:rsid w:val="00173D33"/>
    <w:rsid w:val="001B169C"/>
    <w:rsid w:val="001C1B53"/>
    <w:rsid w:val="001E31B6"/>
    <w:rsid w:val="00201C7B"/>
    <w:rsid w:val="00212013"/>
    <w:rsid w:val="00245D11"/>
    <w:rsid w:val="002B6C4B"/>
    <w:rsid w:val="002C6F00"/>
    <w:rsid w:val="0033690F"/>
    <w:rsid w:val="003373AB"/>
    <w:rsid w:val="003448AC"/>
    <w:rsid w:val="00357B1D"/>
    <w:rsid w:val="003B49DA"/>
    <w:rsid w:val="003B5ADC"/>
    <w:rsid w:val="003B7466"/>
    <w:rsid w:val="00404CA6"/>
    <w:rsid w:val="004113B3"/>
    <w:rsid w:val="004262C9"/>
    <w:rsid w:val="004265F4"/>
    <w:rsid w:val="0044432A"/>
    <w:rsid w:val="004541CA"/>
    <w:rsid w:val="0046232F"/>
    <w:rsid w:val="0047623A"/>
    <w:rsid w:val="00476245"/>
    <w:rsid w:val="00477851"/>
    <w:rsid w:val="00496BBF"/>
    <w:rsid w:val="004B40B3"/>
    <w:rsid w:val="004C4982"/>
    <w:rsid w:val="00502145"/>
    <w:rsid w:val="0053552B"/>
    <w:rsid w:val="00541112"/>
    <w:rsid w:val="005602AB"/>
    <w:rsid w:val="0056150B"/>
    <w:rsid w:val="0056747A"/>
    <w:rsid w:val="00576AAB"/>
    <w:rsid w:val="00585977"/>
    <w:rsid w:val="00592150"/>
    <w:rsid w:val="005B218D"/>
    <w:rsid w:val="005B3692"/>
    <w:rsid w:val="005E50B3"/>
    <w:rsid w:val="005F414A"/>
    <w:rsid w:val="00602978"/>
    <w:rsid w:val="006052E0"/>
    <w:rsid w:val="00633ED6"/>
    <w:rsid w:val="00656680"/>
    <w:rsid w:val="00660F77"/>
    <w:rsid w:val="0067060A"/>
    <w:rsid w:val="0068297F"/>
    <w:rsid w:val="006B3C80"/>
    <w:rsid w:val="006C6CA5"/>
    <w:rsid w:val="006F0723"/>
    <w:rsid w:val="007102E5"/>
    <w:rsid w:val="007623A0"/>
    <w:rsid w:val="00765ECA"/>
    <w:rsid w:val="007A3D1F"/>
    <w:rsid w:val="007B7B2B"/>
    <w:rsid w:val="007D1F5B"/>
    <w:rsid w:val="007D3C63"/>
    <w:rsid w:val="007F3DAF"/>
    <w:rsid w:val="007F42B4"/>
    <w:rsid w:val="00815F8C"/>
    <w:rsid w:val="00825C24"/>
    <w:rsid w:val="008A5322"/>
    <w:rsid w:val="008C13BB"/>
    <w:rsid w:val="00913E73"/>
    <w:rsid w:val="00925E32"/>
    <w:rsid w:val="009757A4"/>
    <w:rsid w:val="009978C2"/>
    <w:rsid w:val="009B7D81"/>
    <w:rsid w:val="009C2431"/>
    <w:rsid w:val="009D0D1A"/>
    <w:rsid w:val="009D3907"/>
    <w:rsid w:val="00A30CBA"/>
    <w:rsid w:val="00A32E4D"/>
    <w:rsid w:val="00A35751"/>
    <w:rsid w:val="00A60189"/>
    <w:rsid w:val="00A653D9"/>
    <w:rsid w:val="00A82373"/>
    <w:rsid w:val="00A907FE"/>
    <w:rsid w:val="00AA7871"/>
    <w:rsid w:val="00AE6700"/>
    <w:rsid w:val="00B06CC3"/>
    <w:rsid w:val="00B320E2"/>
    <w:rsid w:val="00B566A7"/>
    <w:rsid w:val="00B627A2"/>
    <w:rsid w:val="00B72EE9"/>
    <w:rsid w:val="00BC7138"/>
    <w:rsid w:val="00C0141E"/>
    <w:rsid w:val="00C20136"/>
    <w:rsid w:val="00C43049"/>
    <w:rsid w:val="00C633FC"/>
    <w:rsid w:val="00C81582"/>
    <w:rsid w:val="00CE1CB2"/>
    <w:rsid w:val="00CE7C50"/>
    <w:rsid w:val="00CF393D"/>
    <w:rsid w:val="00D331B8"/>
    <w:rsid w:val="00D704A9"/>
    <w:rsid w:val="00DD7C9A"/>
    <w:rsid w:val="00DD7FD6"/>
    <w:rsid w:val="00DE15E1"/>
    <w:rsid w:val="00DE171E"/>
    <w:rsid w:val="00DE46FC"/>
    <w:rsid w:val="00E027FE"/>
    <w:rsid w:val="00E04EC8"/>
    <w:rsid w:val="00E109B1"/>
    <w:rsid w:val="00E11603"/>
    <w:rsid w:val="00E57BB3"/>
    <w:rsid w:val="00E93CA6"/>
    <w:rsid w:val="00EC0678"/>
    <w:rsid w:val="00ED2F4D"/>
    <w:rsid w:val="00EE0795"/>
    <w:rsid w:val="00F234C3"/>
    <w:rsid w:val="00F463B1"/>
    <w:rsid w:val="00F5589A"/>
    <w:rsid w:val="00F75C74"/>
    <w:rsid w:val="00FA3EC4"/>
    <w:rsid w:val="00FC3CDF"/>
    <w:rsid w:val="00FC739D"/>
    <w:rsid w:val="00FD0C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D0F7"/>
  <w15:chartTrackingRefBased/>
  <w15:docId w15:val="{8E8E44CE-537A-4F32-8ABD-9AD8B662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36"/>
    <w:pPr>
      <w:tabs>
        <w:tab w:val="left" w:pos="567"/>
        <w:tab w:val="left" w:pos="1134"/>
        <w:tab w:val="left" w:pos="1814"/>
        <w:tab w:val="left" w:pos="2665"/>
      </w:tabs>
      <w:bidi/>
      <w:spacing w:after="0" w:line="360" w:lineRule="auto"/>
      <w:jc w:val="both"/>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136"/>
    <w:pPr>
      <w:ind w:left="720"/>
      <w:contextualSpacing/>
    </w:pPr>
  </w:style>
  <w:style w:type="character" w:styleId="Hyperlink">
    <w:name w:val="Hyperlink"/>
    <w:basedOn w:val="a0"/>
    <w:uiPriority w:val="99"/>
    <w:unhideWhenUsed/>
    <w:rsid w:val="00C20136"/>
    <w:rPr>
      <w:color w:val="0563C1" w:themeColor="hyperlink"/>
      <w:u w:val="single"/>
    </w:rPr>
  </w:style>
  <w:style w:type="paragraph" w:styleId="a4">
    <w:name w:val="footnote text"/>
    <w:basedOn w:val="a"/>
    <w:link w:val="a5"/>
    <w:rsid w:val="005B3692"/>
    <w:pPr>
      <w:tabs>
        <w:tab w:val="clear" w:pos="567"/>
        <w:tab w:val="clear" w:pos="1134"/>
        <w:tab w:val="clear" w:pos="1814"/>
        <w:tab w:val="clear" w:pos="2665"/>
      </w:tabs>
      <w:spacing w:line="240" w:lineRule="auto"/>
      <w:jc w:val="left"/>
    </w:pPr>
    <w:rPr>
      <w:rFonts w:cs="Miriam"/>
      <w:sz w:val="20"/>
      <w:szCs w:val="20"/>
      <w:lang w:eastAsia="he-IL"/>
    </w:rPr>
  </w:style>
  <w:style w:type="character" w:customStyle="1" w:styleId="a5">
    <w:name w:val="טקסט הערת שוליים תו"/>
    <w:basedOn w:val="a0"/>
    <w:link w:val="a4"/>
    <w:rsid w:val="005B3692"/>
    <w:rPr>
      <w:rFonts w:ascii="Times New Roman" w:eastAsia="Times New Roman" w:hAnsi="Times New Roman" w:cs="Miriam"/>
      <w:sz w:val="20"/>
      <w:szCs w:val="20"/>
      <w:lang w:eastAsia="he-IL"/>
    </w:rPr>
  </w:style>
  <w:style w:type="character" w:styleId="a6">
    <w:name w:val="footnote reference"/>
    <w:rsid w:val="005B3692"/>
    <w:rPr>
      <w:vertAlign w:val="superscript"/>
    </w:rPr>
  </w:style>
  <w:style w:type="paragraph" w:styleId="a7">
    <w:name w:val="Revision"/>
    <w:hidden/>
    <w:uiPriority w:val="99"/>
    <w:semiHidden/>
    <w:rsid w:val="00002A16"/>
    <w:pPr>
      <w:spacing w:after="0" w:line="240" w:lineRule="auto"/>
    </w:pPr>
    <w:rPr>
      <w:rFonts w:ascii="Times New Roman" w:eastAsia="Times New Roman" w:hAnsi="Times New Roman" w:cs="David"/>
      <w:sz w:val="24"/>
      <w:szCs w:val="24"/>
    </w:rPr>
  </w:style>
  <w:style w:type="character" w:styleId="FollowedHyperlink">
    <w:name w:val="FollowedHyperlink"/>
    <w:basedOn w:val="a0"/>
    <w:uiPriority w:val="99"/>
    <w:semiHidden/>
    <w:unhideWhenUsed/>
    <w:rsid w:val="00D704A9"/>
    <w:rPr>
      <w:color w:val="954F72" w:themeColor="followedHyperlink"/>
      <w:u w:val="single"/>
    </w:rPr>
  </w:style>
  <w:style w:type="paragraph" w:styleId="a8">
    <w:name w:val="Balloon Text"/>
    <w:basedOn w:val="a"/>
    <w:link w:val="a9"/>
    <w:uiPriority w:val="99"/>
    <w:semiHidden/>
    <w:unhideWhenUsed/>
    <w:rsid w:val="00660F77"/>
    <w:pPr>
      <w:spacing w:line="240" w:lineRule="auto"/>
    </w:pPr>
    <w:rPr>
      <w:rFonts w:ascii="Tahoma" w:hAnsi="Tahoma" w:cs="Tahoma"/>
      <w:sz w:val="18"/>
      <w:szCs w:val="18"/>
    </w:rPr>
  </w:style>
  <w:style w:type="character" w:customStyle="1" w:styleId="a9">
    <w:name w:val="טקסט בלונים תו"/>
    <w:basedOn w:val="a0"/>
    <w:link w:val="a8"/>
    <w:uiPriority w:val="99"/>
    <w:semiHidden/>
    <w:rsid w:val="00660F77"/>
    <w:rPr>
      <w:rFonts w:ascii="Tahoma" w:eastAsia="Times New Roman" w:hAnsi="Tahoma" w:cs="Tahoma"/>
      <w:sz w:val="18"/>
      <w:szCs w:val="18"/>
    </w:rPr>
  </w:style>
  <w:style w:type="character" w:styleId="aa">
    <w:name w:val="annotation reference"/>
    <w:basedOn w:val="a0"/>
    <w:uiPriority w:val="99"/>
    <w:semiHidden/>
    <w:unhideWhenUsed/>
    <w:rsid w:val="00F5589A"/>
    <w:rPr>
      <w:sz w:val="16"/>
      <w:szCs w:val="16"/>
    </w:rPr>
  </w:style>
  <w:style w:type="paragraph" w:styleId="ab">
    <w:name w:val="annotation text"/>
    <w:basedOn w:val="a"/>
    <w:link w:val="ac"/>
    <w:uiPriority w:val="99"/>
    <w:semiHidden/>
    <w:unhideWhenUsed/>
    <w:rsid w:val="00F5589A"/>
    <w:pPr>
      <w:spacing w:line="240" w:lineRule="auto"/>
    </w:pPr>
    <w:rPr>
      <w:sz w:val="20"/>
      <w:szCs w:val="20"/>
    </w:rPr>
  </w:style>
  <w:style w:type="character" w:customStyle="1" w:styleId="ac">
    <w:name w:val="טקסט הערה תו"/>
    <w:basedOn w:val="a0"/>
    <w:link w:val="ab"/>
    <w:uiPriority w:val="99"/>
    <w:semiHidden/>
    <w:rsid w:val="00F5589A"/>
    <w:rPr>
      <w:rFonts w:ascii="Times New Roman" w:eastAsia="Times New Roman" w:hAnsi="Times New Roman" w:cs="David"/>
      <w:sz w:val="20"/>
      <w:szCs w:val="20"/>
    </w:rPr>
  </w:style>
  <w:style w:type="paragraph" w:styleId="ad">
    <w:name w:val="annotation subject"/>
    <w:basedOn w:val="ab"/>
    <w:next w:val="ab"/>
    <w:link w:val="ae"/>
    <w:uiPriority w:val="99"/>
    <w:semiHidden/>
    <w:unhideWhenUsed/>
    <w:rsid w:val="00F5589A"/>
    <w:rPr>
      <w:b/>
      <w:bCs/>
    </w:rPr>
  </w:style>
  <w:style w:type="character" w:customStyle="1" w:styleId="ae">
    <w:name w:val="נושא הערה תו"/>
    <w:basedOn w:val="ac"/>
    <w:link w:val="ad"/>
    <w:uiPriority w:val="99"/>
    <w:semiHidden/>
    <w:rsid w:val="00F5589A"/>
    <w:rPr>
      <w:rFonts w:ascii="Times New Roman" w:eastAsia="Times New Roman" w:hAnsi="Times New Roman"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oi.org.il/publications/pressreleases/5469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3279</Characters>
  <Application>Microsoft Office Word</Application>
  <DocSecurity>4</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 ברזני</dc:creator>
  <cp:keywords/>
  <dc:description/>
  <cp:lastModifiedBy>מיטל רולניצקי</cp:lastModifiedBy>
  <cp:revision>2</cp:revision>
  <dcterms:created xsi:type="dcterms:W3CDTF">2024-02-12T07:26:00Z</dcterms:created>
  <dcterms:modified xsi:type="dcterms:W3CDTF">2024-02-12T07:26:00Z</dcterms:modified>
</cp:coreProperties>
</file>