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C87F7" w14:textId="77777777" w:rsidR="008A7212" w:rsidRPr="00E8008F" w:rsidRDefault="009C1E74" w:rsidP="001E3DF2">
      <w:pPr>
        <w:bidi w:val="0"/>
        <w:jc w:val="center"/>
        <w:rPr>
          <w:rtl/>
        </w:rPr>
      </w:pPr>
      <w:r>
        <w:rPr>
          <w:noProof/>
          <w:rtl/>
        </w:rPr>
        <w:drawing>
          <wp:anchor distT="0" distB="0" distL="114300" distR="114300" simplePos="0" relativeHeight="251670528" behindDoc="0" locked="0" layoutInCell="1" allowOverlap="1" wp14:anchorId="002B862C" wp14:editId="4FB12A1E">
            <wp:simplePos x="0" y="0"/>
            <wp:positionH relativeFrom="margin">
              <wp:posOffset>2298065</wp:posOffset>
            </wp:positionH>
            <wp:positionV relativeFrom="margin">
              <wp:posOffset>-327660</wp:posOffset>
            </wp:positionV>
            <wp:extent cx="1191260" cy="1191260"/>
            <wp:effectExtent l="0" t="0" r="8890" b="8890"/>
            <wp:wrapSquare wrapText="bothSides"/>
            <wp:docPr id="1" name="Picture 1" descr="C:\Users\u17x\Desktop\תמונת לוגו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7x\Desktop\תמונת לוגו (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126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8F995" w14:textId="77777777" w:rsidR="008A7212" w:rsidRDefault="008A7212" w:rsidP="001E3DF2">
      <w:pPr>
        <w:pStyle w:val="regpar"/>
        <w:spacing w:line="240" w:lineRule="auto"/>
        <w:ind w:firstLine="0"/>
        <w:jc w:val="center"/>
        <w:rPr>
          <w:b/>
        </w:rPr>
      </w:pPr>
    </w:p>
    <w:p w14:paraId="3BCB7D5B" w14:textId="77777777" w:rsidR="009C1E74" w:rsidRDefault="009C1E74" w:rsidP="001E3DF2">
      <w:pPr>
        <w:pStyle w:val="regpar"/>
        <w:spacing w:line="240" w:lineRule="auto"/>
        <w:ind w:firstLine="0"/>
        <w:jc w:val="center"/>
        <w:rPr>
          <w:rFonts w:ascii="Times New Roman" w:hAnsi="Times New Roman" w:cs="David"/>
          <w:bCs/>
        </w:rPr>
      </w:pPr>
    </w:p>
    <w:p w14:paraId="0894D6B1" w14:textId="77777777" w:rsidR="009C1E74" w:rsidRDefault="009C1E74" w:rsidP="001E3DF2">
      <w:pPr>
        <w:pStyle w:val="regpar"/>
        <w:spacing w:line="240" w:lineRule="auto"/>
        <w:ind w:firstLine="0"/>
        <w:jc w:val="center"/>
        <w:rPr>
          <w:rFonts w:ascii="Times New Roman" w:hAnsi="Times New Roman" w:cs="David"/>
          <w:bCs/>
        </w:rPr>
      </w:pPr>
    </w:p>
    <w:p w14:paraId="50FD0B7B" w14:textId="77777777" w:rsidR="009C1E74" w:rsidRDefault="009C1E74" w:rsidP="001E3DF2">
      <w:pPr>
        <w:pStyle w:val="regpar"/>
        <w:spacing w:line="240" w:lineRule="auto"/>
        <w:ind w:firstLine="0"/>
        <w:jc w:val="center"/>
        <w:rPr>
          <w:rFonts w:ascii="Times New Roman" w:hAnsi="Times New Roman" w:cs="David"/>
          <w:bCs/>
        </w:rPr>
      </w:pPr>
    </w:p>
    <w:p w14:paraId="7D1CEFD0" w14:textId="77777777" w:rsidR="008A7212" w:rsidRPr="00000A06" w:rsidRDefault="008A7212" w:rsidP="001E3DF2">
      <w:pPr>
        <w:pStyle w:val="regpar"/>
        <w:spacing w:line="240" w:lineRule="auto"/>
        <w:ind w:firstLine="0"/>
        <w:jc w:val="center"/>
        <w:rPr>
          <w:rFonts w:ascii="Times New Roman" w:hAnsi="Times New Roman" w:cs="David"/>
          <w:bCs/>
        </w:rPr>
      </w:pPr>
      <w:r w:rsidRPr="00000A06">
        <w:rPr>
          <w:rFonts w:ascii="Times New Roman" w:hAnsi="Times New Roman" w:cs="David"/>
          <w:bCs/>
        </w:rPr>
        <w:t>BANK OF ISRAEL</w:t>
      </w:r>
    </w:p>
    <w:p w14:paraId="5A28EB35" w14:textId="77777777" w:rsidR="008A7212" w:rsidRPr="00000A06" w:rsidRDefault="008A7212" w:rsidP="001E3DF2">
      <w:pPr>
        <w:pStyle w:val="regpar"/>
        <w:spacing w:line="240" w:lineRule="auto"/>
        <w:ind w:firstLine="0"/>
        <w:jc w:val="center"/>
        <w:rPr>
          <w:rFonts w:ascii="Times New Roman" w:hAnsi="Times New Roman" w:cs="Times New Roman"/>
          <w:b/>
        </w:rPr>
      </w:pPr>
      <w:r w:rsidRPr="00000A06">
        <w:rPr>
          <w:rFonts w:ascii="Times New Roman" w:hAnsi="Times New Roman" w:cs="Times New Roman"/>
        </w:rPr>
        <w:t>Office of the Spokes</w:t>
      </w:r>
      <w:r w:rsidR="003D6F31">
        <w:rPr>
          <w:rFonts w:ascii="Times New Roman" w:hAnsi="Times New Roman" w:cs="Times New Roman"/>
        </w:rPr>
        <w:t>person</w:t>
      </w:r>
      <w:r w:rsidRPr="00000A06">
        <w:rPr>
          <w:rFonts w:ascii="Times New Roman" w:hAnsi="Times New Roman" w:cs="Times New Roman"/>
        </w:rPr>
        <w:t xml:space="preserve"> and Economic Information</w:t>
      </w:r>
    </w:p>
    <w:p w14:paraId="6ED438C7" w14:textId="77777777" w:rsidR="00A62731" w:rsidRDefault="00A62731" w:rsidP="001E3DF2">
      <w:pPr>
        <w:bidi w:val="0"/>
        <w:jc w:val="center"/>
        <w:rPr>
          <w:rFonts w:cs="David"/>
          <w:b/>
          <w:bCs/>
          <w:sz w:val="26"/>
          <w:szCs w:val="26"/>
        </w:rPr>
      </w:pPr>
    </w:p>
    <w:p w14:paraId="773258F9" w14:textId="77777777" w:rsidR="00500D5A" w:rsidRDefault="00500D5A" w:rsidP="00A725A1">
      <w:pPr>
        <w:pStyle w:val="PressReleaseTitle"/>
        <w:jc w:val="left"/>
        <w:rPr>
          <w:sz w:val="24"/>
          <w:szCs w:val="24"/>
        </w:rPr>
      </w:pPr>
    </w:p>
    <w:p w14:paraId="62F871D6" w14:textId="77777777" w:rsidR="00500D5A" w:rsidRDefault="00500D5A" w:rsidP="00A725A1">
      <w:pPr>
        <w:pStyle w:val="PressReleaseTitle"/>
        <w:jc w:val="left"/>
        <w:rPr>
          <w:sz w:val="24"/>
          <w:szCs w:val="24"/>
        </w:rPr>
      </w:pPr>
    </w:p>
    <w:p w14:paraId="5EE32F48" w14:textId="77777777" w:rsidR="00500D5A" w:rsidRPr="00BD764D" w:rsidRDefault="00500D5A" w:rsidP="00500D5A">
      <w:pPr>
        <w:bidi w:val="0"/>
        <w:jc w:val="both"/>
        <w:rPr>
          <w:rFonts w:asciiTheme="majorBidi" w:hAnsiTheme="majorBidi" w:cstheme="majorBidi"/>
        </w:rPr>
      </w:pPr>
      <w:r w:rsidRPr="00BD764D">
        <w:rPr>
          <w:rFonts w:asciiTheme="majorBidi" w:hAnsiTheme="majorBidi" w:cstheme="majorBidi"/>
        </w:rPr>
        <w:t xml:space="preserve">February </w:t>
      </w:r>
      <w:r>
        <w:rPr>
          <w:rFonts w:asciiTheme="majorBidi" w:hAnsiTheme="majorBidi" w:cstheme="majorBidi"/>
        </w:rPr>
        <w:t>01</w:t>
      </w:r>
      <w:r w:rsidRPr="00BD764D">
        <w:rPr>
          <w:rFonts w:asciiTheme="majorBidi" w:hAnsiTheme="majorBidi" w:cstheme="majorBidi"/>
        </w:rPr>
        <w:t>, 202</w:t>
      </w:r>
      <w:r>
        <w:rPr>
          <w:rFonts w:asciiTheme="majorBidi" w:hAnsiTheme="majorBidi" w:cstheme="majorBidi"/>
        </w:rPr>
        <w:t>4</w:t>
      </w:r>
    </w:p>
    <w:p w14:paraId="001ED199" w14:textId="77777777" w:rsidR="00500D5A" w:rsidRDefault="00500D5A" w:rsidP="00A725A1">
      <w:pPr>
        <w:pStyle w:val="PressReleaseTitle"/>
        <w:jc w:val="left"/>
        <w:rPr>
          <w:sz w:val="24"/>
          <w:szCs w:val="24"/>
        </w:rPr>
      </w:pPr>
    </w:p>
    <w:p w14:paraId="4B4E6470" w14:textId="5B023E59" w:rsidR="00716379" w:rsidRPr="00A725A1" w:rsidRDefault="00716379" w:rsidP="00A725A1">
      <w:pPr>
        <w:pStyle w:val="PressReleaseTitle"/>
        <w:jc w:val="left"/>
        <w:rPr>
          <w:sz w:val="24"/>
          <w:szCs w:val="24"/>
        </w:rPr>
      </w:pPr>
      <w:r w:rsidRPr="00A725A1">
        <w:rPr>
          <w:sz w:val="24"/>
          <w:szCs w:val="24"/>
        </w:rPr>
        <w:t>Press Release</w:t>
      </w:r>
      <w:r w:rsidR="00A725A1" w:rsidRPr="00A725A1">
        <w:rPr>
          <w:sz w:val="24"/>
          <w:szCs w:val="24"/>
        </w:rPr>
        <w:t>:</w:t>
      </w:r>
    </w:p>
    <w:p w14:paraId="62578AA0" w14:textId="77777777" w:rsidR="00A725A1" w:rsidRPr="0094738B" w:rsidRDefault="00A725A1" w:rsidP="00A725A1">
      <w:pPr>
        <w:pStyle w:val="PressReleaseTitle"/>
        <w:jc w:val="left"/>
      </w:pPr>
    </w:p>
    <w:p w14:paraId="772C0C65" w14:textId="59ED9594" w:rsidR="00716379" w:rsidRPr="00C809DA" w:rsidRDefault="00716379" w:rsidP="002331FC">
      <w:pPr>
        <w:pStyle w:val="PressReleaseTitle"/>
        <w:rPr>
          <w:sz w:val="32"/>
          <w:szCs w:val="32"/>
        </w:rPr>
      </w:pPr>
      <w:bookmarkStart w:id="0" w:name="_GoBack"/>
      <w:r w:rsidRPr="00C809DA">
        <w:rPr>
          <w:sz w:val="32"/>
          <w:szCs w:val="32"/>
        </w:rPr>
        <w:t xml:space="preserve">Israel’s foreign currency market in </w:t>
      </w:r>
      <w:r w:rsidR="006811E6" w:rsidRPr="00C809DA">
        <w:rPr>
          <w:sz w:val="32"/>
          <w:szCs w:val="32"/>
        </w:rPr>
        <w:t xml:space="preserve">the </w:t>
      </w:r>
      <w:r w:rsidR="002331FC">
        <w:rPr>
          <w:sz w:val="32"/>
          <w:szCs w:val="32"/>
        </w:rPr>
        <w:t>fourth</w:t>
      </w:r>
      <w:r w:rsidR="00A3533A">
        <w:rPr>
          <w:sz w:val="32"/>
          <w:szCs w:val="32"/>
        </w:rPr>
        <w:t xml:space="preserve"> </w:t>
      </w:r>
      <w:r w:rsidR="0013070F" w:rsidRPr="00C809DA">
        <w:rPr>
          <w:sz w:val="32"/>
          <w:szCs w:val="32"/>
        </w:rPr>
        <w:t>quarter</w:t>
      </w:r>
      <w:r w:rsidR="0017665B" w:rsidRPr="00C809DA">
        <w:rPr>
          <w:sz w:val="32"/>
          <w:szCs w:val="32"/>
        </w:rPr>
        <w:t xml:space="preserve"> </w:t>
      </w:r>
      <w:r w:rsidR="00B9767B" w:rsidRPr="00C809DA">
        <w:rPr>
          <w:sz w:val="32"/>
          <w:szCs w:val="32"/>
        </w:rPr>
        <w:t>of</w:t>
      </w:r>
      <w:r w:rsidR="00A3533A">
        <w:rPr>
          <w:sz w:val="32"/>
          <w:szCs w:val="32"/>
        </w:rPr>
        <w:t xml:space="preserve"> 2023</w:t>
      </w:r>
    </w:p>
    <w:bookmarkEnd w:id="0"/>
    <w:p w14:paraId="6FE4674A" w14:textId="77777777" w:rsidR="00316A5F" w:rsidRDefault="00316A5F" w:rsidP="001E3DF2">
      <w:pPr>
        <w:bidi w:val="0"/>
        <w:jc w:val="center"/>
        <w:rPr>
          <w:sz w:val="22"/>
          <w:szCs w:val="22"/>
        </w:rPr>
      </w:pPr>
    </w:p>
    <w:p w14:paraId="285B719A" w14:textId="77777777" w:rsidR="00716379" w:rsidRDefault="00716379" w:rsidP="001E3DF2">
      <w:pPr>
        <w:bidi w:val="0"/>
        <w:jc w:val="both"/>
        <w:rPr>
          <w:b/>
          <w:bCs/>
        </w:rPr>
      </w:pPr>
    </w:p>
    <w:p w14:paraId="5721F431" w14:textId="77777777" w:rsidR="00716379" w:rsidRDefault="00716379" w:rsidP="001E3DF2">
      <w:pPr>
        <w:bidi w:val="0"/>
        <w:jc w:val="both"/>
        <w:rPr>
          <w:b/>
          <w:bCs/>
        </w:rPr>
      </w:pPr>
      <w:r>
        <w:rPr>
          <w:b/>
          <w:bCs/>
        </w:rPr>
        <w:t>1. The Exchange Rate</w:t>
      </w:r>
    </w:p>
    <w:p w14:paraId="5B18533B" w14:textId="77777777" w:rsidR="001E3DF2" w:rsidRDefault="001E3DF2" w:rsidP="001E3DF2">
      <w:pPr>
        <w:bidi w:val="0"/>
        <w:jc w:val="both"/>
        <w:rPr>
          <w:b/>
          <w:bCs/>
        </w:rPr>
      </w:pPr>
    </w:p>
    <w:p w14:paraId="4CA1CE12" w14:textId="48590473" w:rsidR="00716379" w:rsidRDefault="002331FC" w:rsidP="002331FC">
      <w:pPr>
        <w:bidi w:val="0"/>
        <w:jc w:val="both"/>
        <w:rPr>
          <w:b/>
          <w:bCs/>
        </w:rPr>
      </w:pPr>
      <w:r>
        <w:rPr>
          <w:b/>
          <w:bCs/>
        </w:rPr>
        <w:t>Strengthening</w:t>
      </w:r>
      <w:r w:rsidR="00A3533A">
        <w:rPr>
          <w:b/>
          <w:bCs/>
        </w:rPr>
        <w:t xml:space="preserve"> of the shekel </w:t>
      </w:r>
      <w:r w:rsidR="00EC6A33">
        <w:rPr>
          <w:b/>
          <w:bCs/>
        </w:rPr>
        <w:t xml:space="preserve">alongside </w:t>
      </w:r>
      <w:r>
        <w:rPr>
          <w:b/>
          <w:bCs/>
        </w:rPr>
        <w:t>weak</w:t>
      </w:r>
      <w:r w:rsidR="00E01704">
        <w:rPr>
          <w:b/>
          <w:bCs/>
        </w:rPr>
        <w:t>ening</w:t>
      </w:r>
      <w:r w:rsidR="00A3533A">
        <w:rPr>
          <w:b/>
          <w:bCs/>
        </w:rPr>
        <w:t xml:space="preserve"> </w:t>
      </w:r>
      <w:r w:rsidR="00EC6A33">
        <w:rPr>
          <w:b/>
          <w:bCs/>
        </w:rPr>
        <w:t xml:space="preserve">of </w:t>
      </w:r>
      <w:r w:rsidR="00716379">
        <w:rPr>
          <w:b/>
          <w:bCs/>
        </w:rPr>
        <w:t xml:space="preserve">the </w:t>
      </w:r>
      <w:r>
        <w:rPr>
          <w:b/>
          <w:bCs/>
        </w:rPr>
        <w:t xml:space="preserve">US </w:t>
      </w:r>
      <w:r w:rsidR="00716379">
        <w:rPr>
          <w:b/>
          <w:bCs/>
        </w:rPr>
        <w:t>dollar</w:t>
      </w:r>
      <w:r w:rsidR="00EC6A33">
        <w:rPr>
          <w:b/>
          <w:bCs/>
        </w:rPr>
        <w:t xml:space="preserve"> worldwide</w:t>
      </w:r>
      <w:r w:rsidR="00ED2DF8">
        <w:rPr>
          <w:b/>
          <w:bCs/>
        </w:rPr>
        <w:t>.</w:t>
      </w:r>
    </w:p>
    <w:p w14:paraId="6868F97A" w14:textId="77777777" w:rsidR="001E3DF2" w:rsidRDefault="001E3DF2" w:rsidP="001E3DF2">
      <w:pPr>
        <w:bidi w:val="0"/>
        <w:jc w:val="both"/>
      </w:pPr>
    </w:p>
    <w:p w14:paraId="666820F6" w14:textId="4D7B430B" w:rsidR="00A3533A" w:rsidRDefault="006811E6" w:rsidP="002331FC">
      <w:pPr>
        <w:bidi w:val="0"/>
        <w:jc w:val="both"/>
      </w:pPr>
      <w:r>
        <w:t xml:space="preserve">During </w:t>
      </w:r>
      <w:r w:rsidR="0002528B">
        <w:t xml:space="preserve">the course of the </w:t>
      </w:r>
      <w:r w:rsidR="002331FC">
        <w:t>fourth</w:t>
      </w:r>
      <w:r w:rsidR="00A3533A">
        <w:t xml:space="preserve"> quarter</w:t>
      </w:r>
      <w:r w:rsidR="00716379">
        <w:t>,</w:t>
      </w:r>
      <w:r w:rsidR="005D39B6">
        <w:t xml:space="preserve"> </w:t>
      </w:r>
      <w:r w:rsidR="00A3533A">
        <w:t xml:space="preserve">the </w:t>
      </w:r>
      <w:r w:rsidR="005E5212">
        <w:t xml:space="preserve">shekel </w:t>
      </w:r>
      <w:r w:rsidR="002331FC">
        <w:t>strength</w:t>
      </w:r>
      <w:r w:rsidR="005E5212">
        <w:t xml:space="preserve">ened </w:t>
      </w:r>
      <w:r w:rsidR="00A3533A">
        <w:t xml:space="preserve">by </w:t>
      </w:r>
      <w:r w:rsidR="002331FC">
        <w:t>5.2</w:t>
      </w:r>
      <w:r w:rsidR="00A3533A">
        <w:t xml:space="preserve"> percent</w:t>
      </w:r>
      <w:r w:rsidR="00ED08A0">
        <w:t xml:space="preserve"> against the </w:t>
      </w:r>
      <w:r w:rsidR="002331FC">
        <w:t xml:space="preserve">US </w:t>
      </w:r>
      <w:r w:rsidR="00ED08A0">
        <w:t>dollar</w:t>
      </w:r>
      <w:r w:rsidR="00A3533A">
        <w:t xml:space="preserve"> and by </w:t>
      </w:r>
      <w:r w:rsidR="002331FC">
        <w:t>1</w:t>
      </w:r>
      <w:r w:rsidR="00A3533A">
        <w:t xml:space="preserve"> percent</w:t>
      </w:r>
      <w:r w:rsidR="00ED08A0" w:rsidRPr="00ED08A0">
        <w:t xml:space="preserve"> </w:t>
      </w:r>
      <w:r w:rsidR="00ED08A0">
        <w:t>against the euro</w:t>
      </w:r>
      <w:r w:rsidR="00A3533A">
        <w:t>.</w:t>
      </w:r>
      <w:r w:rsidR="002331FC">
        <w:t xml:space="preserve">  This came after the shekel weakened significantly against most currencies at the beginning of the quarter, with the outbreak of the Swords of Iron war.</w:t>
      </w:r>
    </w:p>
    <w:p w14:paraId="6279C200" w14:textId="77777777" w:rsidR="00A3533A" w:rsidRDefault="00A3533A" w:rsidP="00A3533A">
      <w:pPr>
        <w:bidi w:val="0"/>
        <w:jc w:val="both"/>
      </w:pPr>
    </w:p>
    <w:p w14:paraId="133397AF" w14:textId="6E9FBFA2" w:rsidR="00AB5B37" w:rsidRDefault="00206276" w:rsidP="002331FC">
      <w:pPr>
        <w:bidi w:val="0"/>
        <w:jc w:val="both"/>
      </w:pPr>
      <w:r>
        <w:t xml:space="preserve">In addition, the shekel </w:t>
      </w:r>
      <w:r w:rsidR="002331FC">
        <w:t>strength</w:t>
      </w:r>
      <w:r w:rsidR="00FB4279">
        <w:t xml:space="preserve">ened </w:t>
      </w:r>
      <w:r>
        <w:t>by</w:t>
      </w:r>
      <w:r w:rsidR="00ED08A0">
        <w:t xml:space="preserve"> about </w:t>
      </w:r>
      <w:r w:rsidR="002331FC">
        <w:t>2.8</w:t>
      </w:r>
      <w:r w:rsidR="00A3533A">
        <w:t xml:space="preserve"> </w:t>
      </w:r>
      <w:r>
        <w:t xml:space="preserve">percent </w:t>
      </w:r>
      <w:r w:rsidR="005B529D" w:rsidRPr="00B602F6">
        <w:t>a</w:t>
      </w:r>
      <w:r w:rsidR="00716379" w:rsidRPr="00B602F6">
        <w:t xml:space="preserve">gainst the currencies of Israel's main trading partners, </w:t>
      </w:r>
      <w:r w:rsidR="005B529D" w:rsidRPr="00B602F6">
        <w:t>in terms of</w:t>
      </w:r>
      <w:r w:rsidR="00716379" w:rsidRPr="00B602F6">
        <w:t xml:space="preserve"> the nominal effective exchange rate (i.e., the trade-weighted average shekel exchange rate against those currencies)</w:t>
      </w:r>
      <w:r w:rsidR="005F20E9" w:rsidRPr="00B602F6">
        <w:t>.</w:t>
      </w:r>
      <w:r w:rsidR="002331FC">
        <w:rPr>
          <w:rStyle w:val="ad"/>
        </w:rPr>
        <w:footnoteReference w:id="1"/>
      </w:r>
      <w:r w:rsidR="008D6BC5">
        <w:t xml:space="preserve">  </w:t>
      </w:r>
    </w:p>
    <w:p w14:paraId="385CB1C4" w14:textId="571C8704" w:rsidR="0081371F" w:rsidRDefault="0081371F" w:rsidP="001E3DF2">
      <w:pPr>
        <w:bidi w:val="0"/>
        <w:jc w:val="both"/>
      </w:pPr>
    </w:p>
    <w:p w14:paraId="6A35F835" w14:textId="5E294019" w:rsidR="00F84DAD" w:rsidRDefault="00ED08A0" w:rsidP="002331FC">
      <w:pPr>
        <w:bidi w:val="0"/>
        <w:jc w:val="both"/>
      </w:pPr>
      <w:r>
        <w:t>The US</w:t>
      </w:r>
      <w:r w:rsidR="00A3533A">
        <w:t xml:space="preserve"> dollar</w:t>
      </w:r>
      <w:r w:rsidR="008049BE">
        <w:t xml:space="preserve"> </w:t>
      </w:r>
      <w:r w:rsidR="002331FC">
        <w:t>weak</w:t>
      </w:r>
      <w:r w:rsidR="008049BE">
        <w:t>ened</w:t>
      </w:r>
      <w:r w:rsidR="00A3533A">
        <w:t xml:space="preserve"> </w:t>
      </w:r>
      <w:r w:rsidR="008049BE">
        <w:t>against most</w:t>
      </w:r>
      <w:r w:rsidR="00A3533A">
        <w:t xml:space="preserve"> major </w:t>
      </w:r>
      <w:r w:rsidR="00F8267E">
        <w:t>currencies (Figure 2</w:t>
      </w:r>
      <w:r w:rsidR="00FB4279">
        <w:t>)</w:t>
      </w:r>
      <w:r w:rsidR="008049BE">
        <w:t xml:space="preserve"> during the quarter</w:t>
      </w:r>
      <w:r w:rsidR="00EB07CD">
        <w:t xml:space="preserve">. </w:t>
      </w:r>
      <w:r w:rsidR="008049BE">
        <w:t xml:space="preserve">It </w:t>
      </w:r>
      <w:r w:rsidR="002331FC">
        <w:t>weak</w:t>
      </w:r>
      <w:r w:rsidR="008049BE">
        <w:t>e</w:t>
      </w:r>
      <w:r w:rsidR="00AC3FC7">
        <w:t xml:space="preserve">ned </w:t>
      </w:r>
      <w:r w:rsidR="00DC3A5B">
        <w:t xml:space="preserve">by </w:t>
      </w:r>
      <w:r w:rsidR="00AC3FC7">
        <w:t xml:space="preserve">approximately </w:t>
      </w:r>
      <w:r w:rsidR="002331FC">
        <w:t>4.2</w:t>
      </w:r>
      <w:r w:rsidR="008049BE">
        <w:t xml:space="preserve"> percent against the euro, by about </w:t>
      </w:r>
      <w:r w:rsidR="002331FC">
        <w:t>5.1</w:t>
      </w:r>
      <w:r w:rsidR="008049BE">
        <w:t xml:space="preserve"> percent against the Japanese yen, and by about </w:t>
      </w:r>
      <w:r w:rsidR="002331FC">
        <w:t>4</w:t>
      </w:r>
      <w:r w:rsidR="008049BE">
        <w:t xml:space="preserve"> percent against the </w:t>
      </w:r>
      <w:r>
        <w:t>British pound.</w:t>
      </w:r>
      <w:r w:rsidR="00F8267E">
        <w:t xml:space="preserve"> </w:t>
      </w:r>
    </w:p>
    <w:p w14:paraId="4CA51C7A" w14:textId="77777777" w:rsidR="00F84DAD" w:rsidRDefault="00F84DAD" w:rsidP="00F84DAD">
      <w:pPr>
        <w:bidi w:val="0"/>
        <w:jc w:val="both"/>
      </w:pPr>
    </w:p>
    <w:p w14:paraId="3171D6FC" w14:textId="399D0A72" w:rsidR="00AB5B37" w:rsidRDefault="00CE580B" w:rsidP="00CE580B">
      <w:pPr>
        <w:bidi w:val="0"/>
        <w:jc w:val="center"/>
      </w:pPr>
      <w:r>
        <w:rPr>
          <w:noProof/>
        </w:rPr>
        <w:drawing>
          <wp:inline distT="0" distB="0" distL="0" distR="0" wp14:anchorId="03D6AECC" wp14:editId="58A68616">
            <wp:extent cx="4938395" cy="25666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8395" cy="2566670"/>
                    </a:xfrm>
                    <a:prstGeom prst="rect">
                      <a:avLst/>
                    </a:prstGeom>
                    <a:noFill/>
                  </pic:spPr>
                </pic:pic>
              </a:graphicData>
            </a:graphic>
          </wp:inline>
        </w:drawing>
      </w:r>
    </w:p>
    <w:p w14:paraId="775159BC" w14:textId="7E733336" w:rsidR="00AB5B37" w:rsidRDefault="00AB5B37" w:rsidP="001E3DF2">
      <w:pPr>
        <w:bidi w:val="0"/>
        <w:jc w:val="both"/>
      </w:pPr>
    </w:p>
    <w:p w14:paraId="68337812" w14:textId="71985CB6" w:rsidR="00AB5B37" w:rsidRDefault="00CE580B" w:rsidP="00CE580B">
      <w:pPr>
        <w:bidi w:val="0"/>
        <w:jc w:val="center"/>
      </w:pPr>
      <w:r>
        <w:rPr>
          <w:noProof/>
        </w:rPr>
        <w:drawing>
          <wp:inline distT="0" distB="0" distL="0" distR="0" wp14:anchorId="5EA03E42" wp14:editId="7D2995C5">
            <wp:extent cx="4938395" cy="2566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8395" cy="2566670"/>
                    </a:xfrm>
                    <a:prstGeom prst="rect">
                      <a:avLst/>
                    </a:prstGeom>
                    <a:noFill/>
                  </pic:spPr>
                </pic:pic>
              </a:graphicData>
            </a:graphic>
          </wp:inline>
        </w:drawing>
      </w:r>
    </w:p>
    <w:p w14:paraId="179C0DCB" w14:textId="77777777" w:rsidR="002A7244" w:rsidRDefault="002A7244" w:rsidP="001E3DF2">
      <w:pPr>
        <w:bidi w:val="0"/>
        <w:jc w:val="both"/>
        <w:rPr>
          <w:b/>
          <w:bCs/>
        </w:rPr>
      </w:pPr>
    </w:p>
    <w:p w14:paraId="19923D68" w14:textId="3DCA5E9A" w:rsidR="00716379" w:rsidRDefault="00716379" w:rsidP="002A7244">
      <w:pPr>
        <w:bidi w:val="0"/>
        <w:jc w:val="both"/>
        <w:rPr>
          <w:b/>
          <w:bCs/>
        </w:rPr>
      </w:pPr>
      <w:r>
        <w:rPr>
          <w:b/>
          <w:bCs/>
        </w:rPr>
        <w:t>2. Exchange Rate Volatility</w:t>
      </w:r>
    </w:p>
    <w:p w14:paraId="6612A6DC" w14:textId="7C18F69B" w:rsidR="001E3DF2" w:rsidRDefault="001E3DF2" w:rsidP="001E3DF2">
      <w:pPr>
        <w:bidi w:val="0"/>
        <w:jc w:val="both"/>
        <w:rPr>
          <w:b/>
          <w:bCs/>
        </w:rPr>
      </w:pPr>
    </w:p>
    <w:p w14:paraId="1A4A83B8" w14:textId="5FEE20CC" w:rsidR="00716379" w:rsidRDefault="00E97A52" w:rsidP="00CA0822">
      <w:pPr>
        <w:bidi w:val="0"/>
        <w:jc w:val="both"/>
        <w:rPr>
          <w:b/>
          <w:bCs/>
        </w:rPr>
      </w:pPr>
      <w:r>
        <w:rPr>
          <w:b/>
          <w:bCs/>
        </w:rPr>
        <w:t>A</w:t>
      </w:r>
      <w:r w:rsidR="00DC49A5">
        <w:rPr>
          <w:b/>
          <w:bCs/>
        </w:rPr>
        <w:t xml:space="preserve"> </w:t>
      </w:r>
      <w:r w:rsidR="00CA0822">
        <w:rPr>
          <w:b/>
          <w:bCs/>
        </w:rPr>
        <w:t>rise</w:t>
      </w:r>
      <w:r>
        <w:rPr>
          <w:b/>
          <w:bCs/>
        </w:rPr>
        <w:t xml:space="preserve"> </w:t>
      </w:r>
      <w:r w:rsidR="00716379">
        <w:rPr>
          <w:b/>
          <w:bCs/>
        </w:rPr>
        <w:t>in actual volatilit</w:t>
      </w:r>
      <w:r w:rsidR="0081371F">
        <w:rPr>
          <w:b/>
          <w:bCs/>
        </w:rPr>
        <w:t>y and</w:t>
      </w:r>
      <w:r w:rsidR="0048070C">
        <w:rPr>
          <w:b/>
          <w:bCs/>
        </w:rPr>
        <w:t xml:space="preserve"> </w:t>
      </w:r>
      <w:r w:rsidR="002331FC">
        <w:rPr>
          <w:b/>
          <w:bCs/>
        </w:rPr>
        <w:t xml:space="preserve">a decline </w:t>
      </w:r>
      <w:r w:rsidR="00CE319F">
        <w:rPr>
          <w:b/>
          <w:bCs/>
        </w:rPr>
        <w:t>in</w:t>
      </w:r>
      <w:r w:rsidR="006811E6">
        <w:rPr>
          <w:b/>
          <w:bCs/>
        </w:rPr>
        <w:t xml:space="preserve"> implied volatility</w:t>
      </w:r>
      <w:r w:rsidR="00716379">
        <w:rPr>
          <w:b/>
          <w:bCs/>
        </w:rPr>
        <w:t xml:space="preserve"> </w:t>
      </w:r>
    </w:p>
    <w:p w14:paraId="0C0FC19E" w14:textId="22E9216B" w:rsidR="001E3DF2" w:rsidRDefault="001E3DF2" w:rsidP="001E3DF2">
      <w:pPr>
        <w:bidi w:val="0"/>
        <w:jc w:val="both"/>
      </w:pPr>
    </w:p>
    <w:p w14:paraId="37ABE184" w14:textId="52B5AB9E" w:rsidR="006C3672" w:rsidRDefault="00716379" w:rsidP="002331FC">
      <w:pPr>
        <w:bidi w:val="0"/>
        <w:jc w:val="both"/>
      </w:pPr>
      <w:r>
        <w:t xml:space="preserve">The standard deviation of changes </w:t>
      </w:r>
      <w:r w:rsidRPr="00DF2C76">
        <w:t xml:space="preserve">in the </w:t>
      </w:r>
      <w:r w:rsidRPr="00116B89">
        <w:t>shekel</w:t>
      </w:r>
      <w:r w:rsidR="00724066">
        <w:t>/</w:t>
      </w:r>
      <w:r w:rsidRPr="00116B89">
        <w:t>dollar exchange rate,</w:t>
      </w:r>
      <w:r>
        <w:t xml:space="preserve"> which represents its </w:t>
      </w:r>
      <w:r w:rsidRPr="00661AD3">
        <w:rPr>
          <w:b/>
          <w:bCs/>
        </w:rPr>
        <w:t>actual</w:t>
      </w:r>
      <w:r>
        <w:t xml:space="preserve"> volatility, </w:t>
      </w:r>
      <w:r w:rsidR="00ED08A0">
        <w:t xml:space="preserve">declined </w:t>
      </w:r>
      <w:r w:rsidR="0063362C">
        <w:t xml:space="preserve">during the quarter, </w:t>
      </w:r>
      <w:r w:rsidR="0081371F">
        <w:t>to</w:t>
      </w:r>
      <w:r>
        <w:t xml:space="preserve"> </w:t>
      </w:r>
      <w:r w:rsidR="002669C3">
        <w:t xml:space="preserve">an average </w:t>
      </w:r>
      <w:r w:rsidR="0063362C">
        <w:t xml:space="preserve">level of </w:t>
      </w:r>
      <w:r w:rsidR="002331FC">
        <w:t>10.1</w:t>
      </w:r>
      <w:r w:rsidR="002669C3">
        <w:t xml:space="preserve"> </w:t>
      </w:r>
      <w:r>
        <w:t>percent</w:t>
      </w:r>
      <w:r w:rsidR="002A6B07">
        <w:t>.</w:t>
      </w:r>
    </w:p>
    <w:p w14:paraId="7721C4CD" w14:textId="6CADA818" w:rsidR="001E3DF2" w:rsidRDefault="001E3DF2" w:rsidP="001E3DF2">
      <w:pPr>
        <w:bidi w:val="0"/>
        <w:jc w:val="both"/>
      </w:pPr>
    </w:p>
    <w:p w14:paraId="682E63E5" w14:textId="2D61312E" w:rsidR="002331FC" w:rsidRDefault="00716379" w:rsidP="00DE5E8B">
      <w:pPr>
        <w:bidi w:val="0"/>
        <w:jc w:val="both"/>
      </w:pPr>
      <w:r w:rsidRPr="0008141D">
        <w:t xml:space="preserve">The </w:t>
      </w:r>
      <w:r w:rsidR="005F7744">
        <w:t xml:space="preserve">average </w:t>
      </w:r>
      <w:r>
        <w:t xml:space="preserve">implied volatility in </w:t>
      </w:r>
      <w:r w:rsidR="002B1BC6">
        <w:t>over-the-counter</w:t>
      </w:r>
      <w:r>
        <w:t xml:space="preserve"> shekel</w:t>
      </w:r>
      <w:r w:rsidR="00724066">
        <w:t>/</w:t>
      </w:r>
      <w:r>
        <w:t>dollar options</w:t>
      </w:r>
      <w:r w:rsidR="004D75D4">
        <w:t xml:space="preserve">, </w:t>
      </w:r>
      <w:r w:rsidR="004D75D4" w:rsidRPr="00E15596">
        <w:t xml:space="preserve">an indication of </w:t>
      </w:r>
      <w:r w:rsidR="004D75D4" w:rsidRPr="00661AD3">
        <w:rPr>
          <w:b/>
          <w:bCs/>
        </w:rPr>
        <w:t>expected</w:t>
      </w:r>
      <w:r w:rsidR="004D75D4" w:rsidRPr="00E15596">
        <w:t xml:space="preserve"> exchange rat</w:t>
      </w:r>
      <w:r w:rsidR="004D75D4" w:rsidRPr="00E24F40">
        <w:t>e volatili</w:t>
      </w:r>
      <w:r w:rsidR="004D75D4" w:rsidRPr="00B8751E">
        <w:t>ty,</w:t>
      </w:r>
      <w:r w:rsidR="00E04770" w:rsidRPr="00B8751E">
        <w:t xml:space="preserve"> </w:t>
      </w:r>
      <w:r w:rsidR="00DE5E8B">
        <w:t>rise</w:t>
      </w:r>
      <w:r w:rsidR="003F6116">
        <w:t>, to</w:t>
      </w:r>
      <w:r w:rsidR="006E0BC7">
        <w:t xml:space="preserve"> about </w:t>
      </w:r>
      <w:r w:rsidR="00D648E1">
        <w:t>10.</w:t>
      </w:r>
      <w:r w:rsidR="002331FC">
        <w:t>8</w:t>
      </w:r>
      <w:r w:rsidR="00D648E1">
        <w:t xml:space="preserve"> </w:t>
      </w:r>
      <w:r w:rsidR="006E0BC7">
        <w:t>percent by the end of the quarter.</w:t>
      </w:r>
      <w:r w:rsidRPr="00887755">
        <w:t xml:space="preserve"> </w:t>
      </w:r>
      <w:r w:rsidR="002331FC">
        <w:t xml:space="preserve">  </w:t>
      </w:r>
    </w:p>
    <w:p w14:paraId="7118F2E4" w14:textId="77777777" w:rsidR="002331FC" w:rsidRDefault="002331FC" w:rsidP="002331FC">
      <w:pPr>
        <w:bidi w:val="0"/>
        <w:jc w:val="both"/>
      </w:pPr>
    </w:p>
    <w:p w14:paraId="57F75D38" w14:textId="5CB45527" w:rsidR="00716379" w:rsidRPr="00887755" w:rsidRDefault="002331FC" w:rsidP="002331FC">
      <w:pPr>
        <w:bidi w:val="0"/>
        <w:jc w:val="both"/>
      </w:pPr>
      <w:r>
        <w:t>During the quarter, with the outbreak of the Swords of Iron war, the implied volatility hit a record high, and for the first time since 2008, it passed the level of implied volatility in emerging markets.  Toward the end of the quarter, volatility returned to its average level of the previous quarter.</w:t>
      </w:r>
    </w:p>
    <w:p w14:paraId="2A673C68" w14:textId="35E4BDCE" w:rsidR="001E3DF2" w:rsidRDefault="001E3DF2" w:rsidP="001E3DF2">
      <w:pPr>
        <w:bidi w:val="0"/>
        <w:jc w:val="both"/>
      </w:pPr>
    </w:p>
    <w:p w14:paraId="47C00622" w14:textId="291C6805" w:rsidR="00716379" w:rsidRDefault="006E0BC7" w:rsidP="002331FC">
      <w:pPr>
        <w:bidi w:val="0"/>
        <w:jc w:val="both"/>
      </w:pPr>
      <w:r>
        <w:t xml:space="preserve">For comparison, the average level of </w:t>
      </w:r>
      <w:r w:rsidR="00716379" w:rsidRPr="00887755">
        <w:t xml:space="preserve">implied volatility in foreign exchange options </w:t>
      </w:r>
      <w:r w:rsidR="007B2448" w:rsidRPr="00887755">
        <w:t>in</w:t>
      </w:r>
      <w:r w:rsidR="00877705">
        <w:t xml:space="preserve"> </w:t>
      </w:r>
      <w:r w:rsidR="007B2448" w:rsidRPr="00887755">
        <w:t xml:space="preserve">emerging </w:t>
      </w:r>
      <w:r w:rsidR="002A6B07">
        <w:t xml:space="preserve">markets </w:t>
      </w:r>
      <w:r w:rsidR="00877705">
        <w:t xml:space="preserve">was </w:t>
      </w:r>
      <w:r w:rsidR="003F6116">
        <w:t>11.</w:t>
      </w:r>
      <w:r w:rsidR="002331FC">
        <w:t>1</w:t>
      </w:r>
      <w:r w:rsidR="008072EF">
        <w:t xml:space="preserve"> </w:t>
      </w:r>
      <w:r w:rsidR="007B2448" w:rsidRPr="00520577">
        <w:t>percent</w:t>
      </w:r>
      <w:r w:rsidR="002A6B07">
        <w:t xml:space="preserve"> at the end of the </w:t>
      </w:r>
      <w:r w:rsidR="0013070F">
        <w:t>quarter</w:t>
      </w:r>
      <w:r w:rsidR="008639EC" w:rsidRPr="00520577">
        <w:t>,</w:t>
      </w:r>
      <w:r w:rsidR="007B2448" w:rsidRPr="00520577">
        <w:t xml:space="preserve"> </w:t>
      </w:r>
      <w:r w:rsidR="003F6116">
        <w:t>a decline</w:t>
      </w:r>
      <w:r w:rsidR="00884B49">
        <w:t xml:space="preserve"> </w:t>
      </w:r>
      <w:r w:rsidR="00C90887">
        <w:t xml:space="preserve">of </w:t>
      </w:r>
      <w:r w:rsidR="002331FC">
        <w:t>0.4</w:t>
      </w:r>
      <w:r w:rsidR="00884B49">
        <w:t xml:space="preserve"> </w:t>
      </w:r>
      <w:r w:rsidR="008829AB" w:rsidRPr="00520577">
        <w:t>percent</w:t>
      </w:r>
      <w:r w:rsidR="00C90887">
        <w:t>age points</w:t>
      </w:r>
      <w:r w:rsidR="007B2448" w:rsidRPr="00520577">
        <w:t xml:space="preserve"> </w:t>
      </w:r>
      <w:r w:rsidR="00C90887">
        <w:t xml:space="preserve">from its level at the end of </w:t>
      </w:r>
      <w:r w:rsidR="002A6B07">
        <w:t xml:space="preserve">the </w:t>
      </w:r>
      <w:r w:rsidR="00884B49">
        <w:t xml:space="preserve">previous </w:t>
      </w:r>
      <w:r w:rsidR="002A6B07">
        <w:t>quarter</w:t>
      </w:r>
      <w:r w:rsidR="008639EC" w:rsidRPr="00520577">
        <w:t xml:space="preserve">. </w:t>
      </w:r>
      <w:r w:rsidR="00EA4091">
        <w:t xml:space="preserve">The average level of implied volatility in </w:t>
      </w:r>
      <w:r w:rsidR="00EA4091" w:rsidRPr="006A6BEF">
        <w:t>advanced</w:t>
      </w:r>
      <w:r w:rsidR="002A51FC" w:rsidRPr="006A6BEF">
        <w:t>-</w:t>
      </w:r>
      <w:r w:rsidRPr="006A6BEF">
        <w:t xml:space="preserve">economy </w:t>
      </w:r>
      <w:r w:rsidR="00EA4091" w:rsidRPr="006A6BEF">
        <w:t>markets was</w:t>
      </w:r>
      <w:r w:rsidR="00EA4091">
        <w:t xml:space="preserve"> </w:t>
      </w:r>
      <w:r w:rsidR="002331FC">
        <w:t>7.7</w:t>
      </w:r>
      <w:r w:rsidR="008072EF">
        <w:t xml:space="preserve"> </w:t>
      </w:r>
      <w:r w:rsidR="00EA4091">
        <w:t xml:space="preserve">percent at </w:t>
      </w:r>
      <w:r w:rsidR="00DE0078">
        <w:t xml:space="preserve">during </w:t>
      </w:r>
      <w:r w:rsidR="00EA4091" w:rsidRPr="00DE0078">
        <w:t xml:space="preserve">the quarter, </w:t>
      </w:r>
      <w:r w:rsidR="00172B27" w:rsidRPr="00DE0078">
        <w:t>a</w:t>
      </w:r>
      <w:r w:rsidR="008072EF">
        <w:t xml:space="preserve"> decline </w:t>
      </w:r>
      <w:r w:rsidR="00EA4091" w:rsidRPr="00DE0078">
        <w:t xml:space="preserve">of </w:t>
      </w:r>
      <w:r w:rsidR="00E61393" w:rsidRPr="00DE0078">
        <w:t xml:space="preserve">about </w:t>
      </w:r>
      <w:r w:rsidR="003F6116">
        <w:t>0.3</w:t>
      </w:r>
      <w:r w:rsidR="008072EF">
        <w:t xml:space="preserve"> </w:t>
      </w:r>
      <w:r w:rsidR="00EA4091">
        <w:t>percentage points from the previous quarter</w:t>
      </w:r>
      <w:r w:rsidR="00716379" w:rsidRPr="00520577">
        <w:t xml:space="preserve"> (Figure 4).</w:t>
      </w:r>
      <w:r w:rsidR="00176396">
        <w:t xml:space="preserve"> </w:t>
      </w:r>
    </w:p>
    <w:p w14:paraId="716D0A07" w14:textId="1CF92997" w:rsidR="001E3DF2" w:rsidRDefault="001E3DF2" w:rsidP="001E3DF2">
      <w:pPr>
        <w:bidi w:val="0"/>
        <w:jc w:val="both"/>
      </w:pPr>
    </w:p>
    <w:p w14:paraId="2A4BC26F" w14:textId="7D463F12" w:rsidR="002331FC" w:rsidRDefault="00CE580B" w:rsidP="00CE580B">
      <w:pPr>
        <w:bidi w:val="0"/>
        <w:jc w:val="center"/>
        <w:rPr>
          <w:b/>
          <w:bCs/>
        </w:rPr>
      </w:pPr>
      <w:r>
        <w:rPr>
          <w:b/>
          <w:bCs/>
          <w:noProof/>
        </w:rPr>
        <w:drawing>
          <wp:inline distT="0" distB="0" distL="0" distR="0" wp14:anchorId="2B9C239F" wp14:editId="0AEE9200">
            <wp:extent cx="4938395" cy="25666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8395" cy="2566670"/>
                    </a:xfrm>
                    <a:prstGeom prst="rect">
                      <a:avLst/>
                    </a:prstGeom>
                    <a:noFill/>
                  </pic:spPr>
                </pic:pic>
              </a:graphicData>
            </a:graphic>
          </wp:inline>
        </w:drawing>
      </w:r>
    </w:p>
    <w:p w14:paraId="6C637E50" w14:textId="5D6CFABC" w:rsidR="002331FC" w:rsidRDefault="002331FC" w:rsidP="002331FC">
      <w:pPr>
        <w:bidi w:val="0"/>
        <w:jc w:val="both"/>
        <w:rPr>
          <w:b/>
          <w:bCs/>
        </w:rPr>
      </w:pPr>
    </w:p>
    <w:p w14:paraId="73F4CF96" w14:textId="4686A0C6" w:rsidR="002331FC" w:rsidRDefault="002331FC" w:rsidP="002331FC">
      <w:pPr>
        <w:bidi w:val="0"/>
        <w:jc w:val="both"/>
        <w:rPr>
          <w:b/>
          <w:bCs/>
        </w:rPr>
      </w:pPr>
    </w:p>
    <w:p w14:paraId="296D2B6A" w14:textId="3DE04992" w:rsidR="002331FC" w:rsidRDefault="002331FC" w:rsidP="002331FC">
      <w:pPr>
        <w:bidi w:val="0"/>
        <w:jc w:val="both"/>
        <w:rPr>
          <w:b/>
          <w:bCs/>
        </w:rPr>
      </w:pPr>
    </w:p>
    <w:p w14:paraId="237B2539" w14:textId="1BF386F7" w:rsidR="002331FC" w:rsidRDefault="00CE580B" w:rsidP="00CE580B">
      <w:pPr>
        <w:bidi w:val="0"/>
        <w:jc w:val="center"/>
        <w:rPr>
          <w:b/>
          <w:bCs/>
        </w:rPr>
      </w:pPr>
      <w:r>
        <w:rPr>
          <w:b/>
          <w:bCs/>
          <w:noProof/>
        </w:rPr>
        <w:drawing>
          <wp:inline distT="0" distB="0" distL="0" distR="0" wp14:anchorId="548E7C81" wp14:editId="688D7E88">
            <wp:extent cx="4938395" cy="25666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8395" cy="2566670"/>
                    </a:xfrm>
                    <a:prstGeom prst="rect">
                      <a:avLst/>
                    </a:prstGeom>
                    <a:noFill/>
                  </pic:spPr>
                </pic:pic>
              </a:graphicData>
            </a:graphic>
          </wp:inline>
        </w:drawing>
      </w:r>
    </w:p>
    <w:p w14:paraId="4B573E22" w14:textId="0C76B70A" w:rsidR="002331FC" w:rsidRDefault="002331FC" w:rsidP="002331FC">
      <w:pPr>
        <w:bidi w:val="0"/>
        <w:jc w:val="both"/>
        <w:rPr>
          <w:b/>
          <w:bCs/>
        </w:rPr>
      </w:pPr>
    </w:p>
    <w:p w14:paraId="4158BC58" w14:textId="3BD273CB" w:rsidR="002331FC" w:rsidRDefault="002331FC" w:rsidP="002331FC">
      <w:pPr>
        <w:bidi w:val="0"/>
        <w:jc w:val="both"/>
        <w:rPr>
          <w:b/>
          <w:bCs/>
        </w:rPr>
      </w:pPr>
    </w:p>
    <w:p w14:paraId="6F215FD0" w14:textId="7E25B974" w:rsidR="008639EC" w:rsidRPr="009831EE" w:rsidRDefault="009831EE" w:rsidP="006D5EA0">
      <w:pPr>
        <w:bidi w:val="0"/>
        <w:jc w:val="both"/>
        <w:rPr>
          <w:b/>
          <w:bCs/>
        </w:rPr>
      </w:pPr>
      <w:r w:rsidRPr="009831EE">
        <w:rPr>
          <w:b/>
          <w:bCs/>
        </w:rPr>
        <w:t>3. The Activity of the Main Se</w:t>
      </w:r>
      <w:r w:rsidR="00183AE0">
        <w:rPr>
          <w:b/>
          <w:bCs/>
        </w:rPr>
        <w:t>gments</w:t>
      </w:r>
      <w:r w:rsidRPr="009831EE">
        <w:rPr>
          <w:b/>
          <w:bCs/>
        </w:rPr>
        <w:t xml:space="preserve"> in the Foreign </w:t>
      </w:r>
      <w:r w:rsidR="00183AE0">
        <w:rPr>
          <w:b/>
          <w:bCs/>
        </w:rPr>
        <w:t>Exchange</w:t>
      </w:r>
      <w:r w:rsidRPr="009831EE">
        <w:rPr>
          <w:b/>
          <w:bCs/>
        </w:rPr>
        <w:t xml:space="preserve"> Market</w:t>
      </w:r>
      <w:r w:rsidR="00221362">
        <w:rPr>
          <w:rStyle w:val="ad"/>
          <w:b/>
          <w:bCs/>
        </w:rPr>
        <w:footnoteReference w:id="2"/>
      </w:r>
    </w:p>
    <w:p w14:paraId="4C2CFA44" w14:textId="77777777" w:rsidR="001E3DF2" w:rsidRDefault="001E3DF2" w:rsidP="001E3DF2">
      <w:pPr>
        <w:bidi w:val="0"/>
        <w:jc w:val="both"/>
      </w:pPr>
    </w:p>
    <w:p w14:paraId="4951131B" w14:textId="6C5A8B38" w:rsidR="000C57D0" w:rsidRDefault="009831EE" w:rsidP="00BF2347">
      <w:pPr>
        <w:bidi w:val="0"/>
        <w:jc w:val="both"/>
      </w:pPr>
      <w:r>
        <w:t xml:space="preserve">An estimate of the activity of the </w:t>
      </w:r>
      <w:r w:rsidRPr="009831EE">
        <w:rPr>
          <w:b/>
          <w:bCs/>
        </w:rPr>
        <w:t>main</w:t>
      </w:r>
      <w:r>
        <w:t xml:space="preserve"> se</w:t>
      </w:r>
      <w:r w:rsidR="00183AE0">
        <w:t>gments</w:t>
      </w:r>
      <w:r w:rsidR="00C90887">
        <w:t xml:space="preserve"> in the foreign exchange market</w:t>
      </w:r>
      <w:r>
        <w:t xml:space="preserve"> indicates that during the course of the </w:t>
      </w:r>
      <w:r w:rsidR="00735737">
        <w:t>fourth</w:t>
      </w:r>
      <w:r w:rsidR="00A3533A">
        <w:t xml:space="preserve"> quarter</w:t>
      </w:r>
      <w:r w:rsidRPr="003A15FE">
        <w:t>,</w:t>
      </w:r>
      <w:r w:rsidR="003A15FE">
        <w:t xml:space="preserve"> </w:t>
      </w:r>
      <w:r w:rsidR="00426CA2" w:rsidRPr="00C56BA1">
        <w:rPr>
          <w:b/>
          <w:bCs/>
        </w:rPr>
        <w:t>institutional investors (pension funds, provident funds, and insurance companies)</w:t>
      </w:r>
      <w:r w:rsidR="00426CA2">
        <w:t xml:space="preserve"> made net purchases totaling about $</w:t>
      </w:r>
      <w:r w:rsidR="00735737">
        <w:t>5.3</w:t>
      </w:r>
      <w:r w:rsidR="00426CA2">
        <w:t xml:space="preserve"> billion</w:t>
      </w:r>
      <w:r w:rsidR="00735737">
        <w:t xml:space="preserve">, and </w:t>
      </w:r>
      <w:r w:rsidR="00735737">
        <w:rPr>
          <w:b/>
          <w:bCs/>
        </w:rPr>
        <w:t>the business sector</w:t>
      </w:r>
      <w:r w:rsidR="00735737">
        <w:t xml:space="preserve"> made net purchases totaling about $5.2 billion</w:t>
      </w:r>
      <w:r w:rsidR="00426CA2">
        <w:t xml:space="preserve">. </w:t>
      </w:r>
      <w:r w:rsidR="00735737">
        <w:t xml:space="preserve">In contrast, </w:t>
      </w:r>
      <w:r w:rsidR="00735737">
        <w:rPr>
          <w:b/>
          <w:bCs/>
        </w:rPr>
        <w:t>nonresidents</w:t>
      </w:r>
      <w:r w:rsidR="001C2E7B">
        <w:rPr>
          <w:b/>
          <w:bCs/>
        </w:rPr>
        <w:t xml:space="preserve"> </w:t>
      </w:r>
      <w:r w:rsidR="00ED08A0">
        <w:t>made net sales of</w:t>
      </w:r>
      <w:r w:rsidR="00220D65">
        <w:t xml:space="preserve"> foreign currency totaling about $</w:t>
      </w:r>
      <w:r w:rsidR="00426CA2">
        <w:t>3</w:t>
      </w:r>
      <w:r w:rsidR="00220D65">
        <w:t>.</w:t>
      </w:r>
      <w:r w:rsidR="00735737">
        <w:t>8</w:t>
      </w:r>
      <w:r w:rsidR="00220D65">
        <w:t xml:space="preserve"> billion</w:t>
      </w:r>
      <w:r w:rsidR="00735737">
        <w:t xml:space="preserve">.  Due to the Swords of Iron war, </w:t>
      </w:r>
      <w:r w:rsidR="00735737">
        <w:rPr>
          <w:b/>
          <w:bCs/>
        </w:rPr>
        <w:t>the Bank of Israel</w:t>
      </w:r>
      <w:r w:rsidR="00735737">
        <w:t xml:space="preserve"> made net sales of foreign currency for the first time, totaling about $</w:t>
      </w:r>
      <w:r w:rsidR="00BF2347">
        <w:rPr>
          <w:rFonts w:hint="cs"/>
          <w:rtl/>
        </w:rPr>
        <w:t>8.5</w:t>
      </w:r>
      <w:r w:rsidR="00735737">
        <w:t xml:space="preserve"> billion.</w:t>
      </w:r>
      <w:r w:rsidR="00D10A47">
        <w:t xml:space="preserve">  </w:t>
      </w:r>
    </w:p>
    <w:p w14:paraId="61B43B7D" w14:textId="14E2E2EA" w:rsidR="001E3DF2" w:rsidRDefault="001E3DF2">
      <w:pPr>
        <w:bidi w:val="0"/>
      </w:pPr>
    </w:p>
    <w:p w14:paraId="4656CFF2" w14:textId="6157EEB2" w:rsidR="00465721" w:rsidRDefault="00465721" w:rsidP="001E3DF2">
      <w:pPr>
        <w:bidi w:val="0"/>
        <w:jc w:val="both"/>
      </w:pPr>
    </w:p>
    <w:p w14:paraId="0B74484A" w14:textId="22072C7A" w:rsidR="00465721" w:rsidRDefault="00CE580B" w:rsidP="00CE580B">
      <w:pPr>
        <w:bidi w:val="0"/>
        <w:jc w:val="center"/>
      </w:pPr>
      <w:r>
        <w:rPr>
          <w:noProof/>
        </w:rPr>
        <w:drawing>
          <wp:inline distT="0" distB="0" distL="0" distR="0" wp14:anchorId="0E18CCDD" wp14:editId="170F29F4">
            <wp:extent cx="4934729" cy="25666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934729" cy="2566670"/>
                    </a:xfrm>
                    <a:prstGeom prst="rect">
                      <a:avLst/>
                    </a:prstGeom>
                    <a:noFill/>
                  </pic:spPr>
                </pic:pic>
              </a:graphicData>
            </a:graphic>
          </wp:inline>
        </w:drawing>
      </w:r>
    </w:p>
    <w:p w14:paraId="5262EB40" w14:textId="53965F49" w:rsidR="001E409B" w:rsidRDefault="00CE580B" w:rsidP="001E3DF2">
      <w:pPr>
        <w:bidi w:val="0"/>
        <w:jc w:val="center"/>
      </w:pPr>
      <w:r>
        <w:rPr>
          <w:noProof/>
        </w:rPr>
        <w:lastRenderedPageBreak/>
        <w:drawing>
          <wp:inline distT="0" distB="0" distL="0" distR="0" wp14:anchorId="77AE845E" wp14:editId="4063ADB7">
            <wp:extent cx="4938395" cy="25666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8395" cy="2566670"/>
                    </a:xfrm>
                    <a:prstGeom prst="rect">
                      <a:avLst/>
                    </a:prstGeom>
                    <a:noFill/>
                  </pic:spPr>
                </pic:pic>
              </a:graphicData>
            </a:graphic>
          </wp:inline>
        </w:drawing>
      </w:r>
    </w:p>
    <w:p w14:paraId="56FB07ED" w14:textId="77777777" w:rsidR="007D2403" w:rsidRDefault="007D2403" w:rsidP="001E3DF2">
      <w:pPr>
        <w:bidi w:val="0"/>
        <w:jc w:val="center"/>
      </w:pPr>
    </w:p>
    <w:p w14:paraId="776BF6A5" w14:textId="77777777" w:rsidR="007D2403" w:rsidRDefault="007D2403" w:rsidP="001E3DF2">
      <w:pPr>
        <w:bidi w:val="0"/>
        <w:jc w:val="both"/>
      </w:pPr>
    </w:p>
    <w:p w14:paraId="03E21932" w14:textId="7C801189" w:rsidR="00716379" w:rsidRDefault="00466441" w:rsidP="00E64202">
      <w:pPr>
        <w:bidi w:val="0"/>
        <w:jc w:val="both"/>
        <w:rPr>
          <w:b/>
          <w:bCs/>
        </w:rPr>
      </w:pPr>
      <w:r w:rsidRPr="006D4768">
        <w:rPr>
          <w:b/>
          <w:bCs/>
        </w:rPr>
        <w:t>4</w:t>
      </w:r>
      <w:r w:rsidR="00716379" w:rsidRPr="006D4768">
        <w:rPr>
          <w:b/>
          <w:bCs/>
        </w:rPr>
        <w:t xml:space="preserve">. </w:t>
      </w:r>
      <w:r w:rsidR="00E64202" w:rsidRPr="006D4768">
        <w:rPr>
          <w:b/>
          <w:bCs/>
        </w:rPr>
        <w:t xml:space="preserve">Trading </w:t>
      </w:r>
      <w:r w:rsidR="00716379" w:rsidRPr="006D4768">
        <w:rPr>
          <w:b/>
          <w:bCs/>
        </w:rPr>
        <w:t xml:space="preserve">Volume </w:t>
      </w:r>
      <w:r w:rsidR="00D934F6" w:rsidRPr="006D4768">
        <w:rPr>
          <w:b/>
          <w:bCs/>
        </w:rPr>
        <w:t>in the Foreign Currency Market—</w:t>
      </w:r>
      <w:r w:rsidR="00584A0F" w:rsidRPr="006D4768">
        <w:rPr>
          <w:b/>
          <w:bCs/>
        </w:rPr>
        <w:t>T</w:t>
      </w:r>
      <w:r w:rsidR="00D934F6" w:rsidRPr="006D4768">
        <w:rPr>
          <w:b/>
          <w:bCs/>
        </w:rPr>
        <w:t xml:space="preserve">ables and </w:t>
      </w:r>
      <w:r w:rsidR="00584A0F" w:rsidRPr="006D4768">
        <w:rPr>
          <w:b/>
          <w:bCs/>
        </w:rPr>
        <w:t>F</w:t>
      </w:r>
      <w:r w:rsidR="00D934F6" w:rsidRPr="006D4768">
        <w:rPr>
          <w:b/>
          <w:bCs/>
        </w:rPr>
        <w:t>igures</w:t>
      </w:r>
    </w:p>
    <w:p w14:paraId="13ED5361" w14:textId="417175F4" w:rsidR="000C57D0" w:rsidRDefault="000C57D0" w:rsidP="001E3DF2">
      <w:pPr>
        <w:bidi w:val="0"/>
        <w:jc w:val="both"/>
        <w:rPr>
          <w:b/>
          <w:bCs/>
        </w:rPr>
      </w:pPr>
    </w:p>
    <w:p w14:paraId="38C6E2F0" w14:textId="3B07DA8C" w:rsidR="003A15FE" w:rsidRPr="00F4540B" w:rsidRDefault="00F4540B" w:rsidP="003A15FE">
      <w:pPr>
        <w:bidi w:val="0"/>
        <w:jc w:val="both"/>
        <w:rPr>
          <w:b/>
          <w:bCs/>
          <w:color w:val="4F81BD" w:themeColor="accent1"/>
        </w:rPr>
      </w:pPr>
      <w:r w:rsidRPr="00F4540B">
        <w:rPr>
          <w:b/>
          <w:bCs/>
          <w:color w:val="4F81BD" w:themeColor="accent1"/>
        </w:rPr>
        <w:t>T</w:t>
      </w:r>
      <w:r w:rsidR="003A15FE" w:rsidRPr="00F4540B">
        <w:rPr>
          <w:b/>
          <w:bCs/>
          <w:color w:val="4F81BD" w:themeColor="accent1"/>
        </w:rPr>
        <w:t>rading volume vis-à-vis the domestic banking system</w:t>
      </w:r>
      <w:r w:rsidR="0063362C" w:rsidRPr="0063362C">
        <w:rPr>
          <w:rStyle w:val="ad"/>
          <w:b/>
          <w:bCs/>
          <w:color w:val="4F81BD" w:themeColor="accent1"/>
        </w:rPr>
        <w:footnoteReference w:id="3"/>
      </w:r>
    </w:p>
    <w:p w14:paraId="6F1AC643" w14:textId="77777777" w:rsidR="003A15FE" w:rsidRDefault="003A15FE" w:rsidP="003A15FE">
      <w:pPr>
        <w:bidi w:val="0"/>
        <w:jc w:val="both"/>
        <w:rPr>
          <w:b/>
          <w:bCs/>
        </w:rPr>
      </w:pPr>
    </w:p>
    <w:p w14:paraId="12A47D45" w14:textId="59D62A75" w:rsidR="000C57D0" w:rsidRDefault="000C57D0" w:rsidP="00735737">
      <w:pPr>
        <w:bidi w:val="0"/>
        <w:jc w:val="both"/>
      </w:pPr>
      <w:r w:rsidRPr="00CD43DC">
        <w:rPr>
          <w:b/>
          <w:bCs/>
        </w:rPr>
        <w:t xml:space="preserve">The average daily </w:t>
      </w:r>
      <w:r w:rsidR="0087642C" w:rsidRPr="00CD43DC">
        <w:rPr>
          <w:b/>
          <w:bCs/>
        </w:rPr>
        <w:t>trading</w:t>
      </w:r>
      <w:r w:rsidR="0087642C" w:rsidRPr="00CD43DC">
        <w:t xml:space="preserve"> </w:t>
      </w:r>
      <w:r w:rsidRPr="00CD43DC">
        <w:rPr>
          <w:b/>
          <w:bCs/>
        </w:rPr>
        <w:t xml:space="preserve">volume </w:t>
      </w:r>
      <w:r w:rsidR="00735737">
        <w:t>declined</w:t>
      </w:r>
      <w:r w:rsidR="00C12090" w:rsidRPr="00CD43DC">
        <w:t xml:space="preserve"> </w:t>
      </w:r>
      <w:r w:rsidR="0078051F">
        <w:t xml:space="preserve">by about </w:t>
      </w:r>
      <w:r w:rsidR="00735737">
        <w:t>3.4</w:t>
      </w:r>
      <w:r w:rsidR="0078051F">
        <w:t xml:space="preserve"> percent </w:t>
      </w:r>
      <w:r w:rsidR="009B1A17" w:rsidRPr="00B602F6">
        <w:t xml:space="preserve">during the quarter </w:t>
      </w:r>
      <w:r w:rsidR="0056698A">
        <w:t>to</w:t>
      </w:r>
      <w:r w:rsidRPr="00B602F6">
        <w:t xml:space="preserve"> </w:t>
      </w:r>
      <w:r w:rsidR="00D10A47" w:rsidRPr="00B602F6">
        <w:t>$</w:t>
      </w:r>
      <w:r w:rsidR="0063362C" w:rsidRPr="00B602F6">
        <w:t>10</w:t>
      </w:r>
      <w:r w:rsidR="0056698A">
        <w:t>.</w:t>
      </w:r>
      <w:r w:rsidR="00735737">
        <w:t>4</w:t>
      </w:r>
      <w:r w:rsidR="009B1A17">
        <w:t xml:space="preserve"> </w:t>
      </w:r>
      <w:r w:rsidR="00D10A47" w:rsidRPr="00B602F6">
        <w:t xml:space="preserve">billion, </w:t>
      </w:r>
      <w:r w:rsidR="00E8290A">
        <w:t>mainly</w:t>
      </w:r>
      <w:r w:rsidR="004376D8" w:rsidRPr="00A37C5F">
        <w:t xml:space="preserve"> </w:t>
      </w:r>
      <w:r w:rsidR="00584A0F" w:rsidRPr="00A37C5F">
        <w:t xml:space="preserve">due to </w:t>
      </w:r>
      <w:r w:rsidR="00735737">
        <w:t>a decline</w:t>
      </w:r>
      <w:r w:rsidR="009B1A17" w:rsidRPr="00A37C5F">
        <w:t xml:space="preserve"> </w:t>
      </w:r>
      <w:r w:rsidR="00584A0F" w:rsidRPr="00A37C5F">
        <w:t xml:space="preserve">in </w:t>
      </w:r>
      <w:r w:rsidR="001030DF" w:rsidRPr="00A37C5F">
        <w:t xml:space="preserve">the daily trading volume </w:t>
      </w:r>
      <w:r w:rsidR="00994D5A">
        <w:t xml:space="preserve">in </w:t>
      </w:r>
      <w:r w:rsidR="00735737">
        <w:t>spot and forward</w:t>
      </w:r>
      <w:r w:rsidR="00994D5A">
        <w:t xml:space="preserve"> transactions</w:t>
      </w:r>
      <w:r w:rsidR="001030DF" w:rsidRPr="00A37C5F">
        <w:t>.</w:t>
      </w:r>
    </w:p>
    <w:p w14:paraId="4B66690D" w14:textId="77777777" w:rsidR="000C57D0" w:rsidRPr="000C57D0" w:rsidRDefault="000C57D0" w:rsidP="001E3DF2">
      <w:pPr>
        <w:bidi w:val="0"/>
        <w:jc w:val="both"/>
      </w:pPr>
    </w:p>
    <w:p w14:paraId="32D8FF46" w14:textId="4544129B" w:rsidR="001B4974" w:rsidRDefault="00227FCB" w:rsidP="00735737">
      <w:pPr>
        <w:bidi w:val="0"/>
        <w:jc w:val="both"/>
      </w:pPr>
      <w:r>
        <w:rPr>
          <w:b/>
          <w:bCs/>
        </w:rPr>
        <w:t>N</w:t>
      </w:r>
      <w:r w:rsidR="001B4974" w:rsidRPr="00256AEA">
        <w:rPr>
          <w:b/>
          <w:bCs/>
        </w:rPr>
        <w:t>onresidents' share of total trad</w:t>
      </w:r>
      <w:r w:rsidR="001B4974">
        <w:rPr>
          <w:b/>
          <w:bCs/>
        </w:rPr>
        <w:t>ing</w:t>
      </w:r>
      <w:r w:rsidR="000C57D0">
        <w:rPr>
          <w:b/>
          <w:bCs/>
        </w:rPr>
        <w:t xml:space="preserve"> volume</w:t>
      </w:r>
      <w:r w:rsidR="001030DF">
        <w:rPr>
          <w:b/>
          <w:bCs/>
        </w:rPr>
        <w:t xml:space="preserve"> vis-à-vis the domestic banking system</w:t>
      </w:r>
      <w:r w:rsidR="001B4974">
        <w:rPr>
          <w:b/>
          <w:bCs/>
        </w:rPr>
        <w:t xml:space="preserve"> </w:t>
      </w:r>
      <w:r w:rsidR="001B4974" w:rsidRPr="00256AEA">
        <w:t>(spot and forward transactions, options</w:t>
      </w:r>
      <w:r w:rsidR="0063362C">
        <w:t>,</w:t>
      </w:r>
      <w:r w:rsidR="001B4974" w:rsidRPr="00256AEA">
        <w:t xml:space="preserve"> and swaps)</w:t>
      </w:r>
      <w:r w:rsidR="001B4974">
        <w:t xml:space="preserve"> </w:t>
      </w:r>
      <w:r w:rsidR="00A1704B">
        <w:t>in</w:t>
      </w:r>
      <w:r w:rsidR="00051AE6">
        <w:t>creased</w:t>
      </w:r>
      <w:r w:rsidR="00952674">
        <w:t xml:space="preserve"> </w:t>
      </w:r>
      <w:r w:rsidR="001B4974">
        <w:t xml:space="preserve">by about </w:t>
      </w:r>
      <w:r w:rsidR="00735737">
        <w:t>1.1</w:t>
      </w:r>
      <w:r w:rsidR="00A1704B">
        <w:t xml:space="preserve"> </w:t>
      </w:r>
      <w:r w:rsidR="001B4974">
        <w:t>percent</w:t>
      </w:r>
      <w:r w:rsidR="00994D5A">
        <w:t>age points</w:t>
      </w:r>
      <w:r w:rsidR="00461E98">
        <w:t xml:space="preserve"> </w:t>
      </w:r>
      <w:r w:rsidR="001B4974">
        <w:t xml:space="preserve">to about </w:t>
      </w:r>
      <w:r w:rsidR="00A1704B">
        <w:t>4</w:t>
      </w:r>
      <w:r w:rsidR="00735737">
        <w:t>6</w:t>
      </w:r>
      <w:r w:rsidR="00E8290A">
        <w:t>.</w:t>
      </w:r>
      <w:r w:rsidR="00994D5A">
        <w:t>6</w:t>
      </w:r>
      <w:r w:rsidR="00A1704B">
        <w:t xml:space="preserve"> </w:t>
      </w:r>
      <w:r w:rsidR="001B4974" w:rsidRPr="00256AEA">
        <w:t>percent</w:t>
      </w:r>
      <w:r w:rsidR="001B4974">
        <w:t xml:space="preserve"> at the end o</w:t>
      </w:r>
      <w:r w:rsidR="001B4974" w:rsidRPr="000C57D0">
        <w:t xml:space="preserve">f the </w:t>
      </w:r>
      <w:r w:rsidR="00A3533A">
        <w:t>first quarter</w:t>
      </w:r>
      <w:r w:rsidR="001B4974" w:rsidRPr="000C57D0">
        <w:t xml:space="preserve">. </w:t>
      </w:r>
    </w:p>
    <w:p w14:paraId="065FC886" w14:textId="77777777" w:rsidR="00A62731" w:rsidRDefault="00A62731" w:rsidP="001E3DF2">
      <w:pPr>
        <w:jc w:val="both"/>
        <w:rPr>
          <w:sz w:val="20"/>
          <w:szCs w:val="20"/>
          <w:rtl/>
        </w:rPr>
      </w:pPr>
    </w:p>
    <w:p w14:paraId="6F364926" w14:textId="36B3FBB9" w:rsidR="006D5EA0" w:rsidRDefault="00CE580B" w:rsidP="006D5EA0">
      <w:pPr>
        <w:bidi w:val="0"/>
        <w:jc w:val="center"/>
        <w:rPr>
          <w:sz w:val="20"/>
          <w:szCs w:val="20"/>
        </w:rPr>
      </w:pPr>
      <w:r>
        <w:rPr>
          <w:noProof/>
          <w:sz w:val="20"/>
          <w:szCs w:val="20"/>
        </w:rPr>
        <w:drawing>
          <wp:inline distT="0" distB="0" distL="0" distR="0" wp14:anchorId="2B201510" wp14:editId="541A4F35">
            <wp:extent cx="4938395" cy="25666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8395" cy="2566670"/>
                    </a:xfrm>
                    <a:prstGeom prst="rect">
                      <a:avLst/>
                    </a:prstGeom>
                    <a:noFill/>
                  </pic:spPr>
                </pic:pic>
              </a:graphicData>
            </a:graphic>
          </wp:inline>
        </w:drawing>
      </w:r>
    </w:p>
    <w:p w14:paraId="77F35884" w14:textId="2C0F772C" w:rsidR="00D80DD5" w:rsidRDefault="00D80DD5" w:rsidP="00D80DD5">
      <w:pPr>
        <w:bidi w:val="0"/>
        <w:jc w:val="center"/>
        <w:rPr>
          <w:sz w:val="20"/>
          <w:szCs w:val="20"/>
        </w:rPr>
      </w:pPr>
    </w:p>
    <w:p w14:paraId="685B9478" w14:textId="2E3996C7" w:rsidR="00D80DD5" w:rsidRDefault="00D80DD5" w:rsidP="00D80DD5">
      <w:pPr>
        <w:bidi w:val="0"/>
        <w:jc w:val="center"/>
        <w:rPr>
          <w:sz w:val="20"/>
          <w:szCs w:val="20"/>
        </w:rPr>
      </w:pPr>
    </w:p>
    <w:p w14:paraId="725A0D6F" w14:textId="52B90C18" w:rsidR="00D80DD5" w:rsidRDefault="00D80DD5" w:rsidP="00D80DD5">
      <w:pPr>
        <w:bidi w:val="0"/>
        <w:jc w:val="center"/>
        <w:rPr>
          <w:sz w:val="20"/>
          <w:szCs w:val="20"/>
        </w:rPr>
      </w:pPr>
    </w:p>
    <w:p w14:paraId="2011DB26" w14:textId="4B1E210F" w:rsidR="00D80DD5" w:rsidRDefault="00D80DD5" w:rsidP="00D80DD5">
      <w:pPr>
        <w:bidi w:val="0"/>
        <w:jc w:val="center"/>
        <w:rPr>
          <w:sz w:val="20"/>
          <w:szCs w:val="20"/>
        </w:rPr>
      </w:pPr>
    </w:p>
    <w:p w14:paraId="5DE71637" w14:textId="73593591" w:rsidR="00D80DD5" w:rsidRDefault="007322D7" w:rsidP="00D80DD5">
      <w:pPr>
        <w:bidi w:val="0"/>
        <w:jc w:val="center"/>
        <w:rPr>
          <w:sz w:val="20"/>
          <w:szCs w:val="20"/>
        </w:rPr>
      </w:pPr>
      <w:r w:rsidRPr="007322D7">
        <w:rPr>
          <w:noProof/>
        </w:rPr>
        <w:lastRenderedPageBreak/>
        <w:drawing>
          <wp:inline distT="0" distB="0" distL="0" distR="0" wp14:anchorId="4CB6F21A" wp14:editId="1B1D62F5">
            <wp:extent cx="5850890" cy="52788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0890" cy="5278808"/>
                    </a:xfrm>
                    <a:prstGeom prst="rect">
                      <a:avLst/>
                    </a:prstGeom>
                    <a:noFill/>
                    <a:ln>
                      <a:noFill/>
                    </a:ln>
                  </pic:spPr>
                </pic:pic>
              </a:graphicData>
            </a:graphic>
          </wp:inline>
        </w:drawing>
      </w:r>
    </w:p>
    <w:p w14:paraId="467F3BE9" w14:textId="4DB69F6C" w:rsidR="00D80DD5" w:rsidRDefault="00D80DD5" w:rsidP="00D80DD5">
      <w:pPr>
        <w:bidi w:val="0"/>
        <w:jc w:val="center"/>
        <w:rPr>
          <w:sz w:val="20"/>
          <w:szCs w:val="20"/>
        </w:rPr>
      </w:pPr>
    </w:p>
    <w:p w14:paraId="2B7E5F14" w14:textId="765D0145" w:rsidR="00D80DD5" w:rsidRDefault="00D80DD5" w:rsidP="00D80DD5">
      <w:pPr>
        <w:bidi w:val="0"/>
        <w:jc w:val="center"/>
        <w:rPr>
          <w:sz w:val="20"/>
          <w:szCs w:val="20"/>
        </w:rPr>
      </w:pPr>
    </w:p>
    <w:p w14:paraId="2B49B21B" w14:textId="475938B7" w:rsidR="00D80DD5" w:rsidRDefault="00D80DD5" w:rsidP="00D80DD5">
      <w:pPr>
        <w:bidi w:val="0"/>
        <w:rPr>
          <w:sz w:val="20"/>
          <w:szCs w:val="20"/>
        </w:rPr>
      </w:pPr>
    </w:p>
    <w:p w14:paraId="0EFFCC9A" w14:textId="77777777" w:rsidR="00D80DD5" w:rsidRPr="00431281" w:rsidRDefault="00D80DD5" w:rsidP="00D80DD5">
      <w:pPr>
        <w:bidi w:val="0"/>
        <w:rPr>
          <w:b/>
          <w:bCs/>
          <w:color w:val="4F81BD" w:themeColor="accent1"/>
        </w:rPr>
      </w:pPr>
      <w:r w:rsidRPr="00431281">
        <w:rPr>
          <w:b/>
          <w:bCs/>
          <w:color w:val="4F81BD" w:themeColor="accent1"/>
        </w:rPr>
        <w:t>Estimated total trading volume</w:t>
      </w:r>
      <w:r w:rsidRPr="00431281">
        <w:rPr>
          <w:rStyle w:val="ad"/>
          <w:b/>
          <w:bCs/>
          <w:color w:val="4F81BD" w:themeColor="accent1"/>
        </w:rPr>
        <w:footnoteReference w:id="4"/>
      </w:r>
      <w:r w:rsidRPr="00431281">
        <w:rPr>
          <w:b/>
          <w:bCs/>
          <w:color w:val="4F81BD" w:themeColor="accent1"/>
        </w:rPr>
        <w:t>—domestic banking system and foreign reporting entities</w:t>
      </w:r>
    </w:p>
    <w:p w14:paraId="0658ED51" w14:textId="77777777" w:rsidR="00D80DD5" w:rsidRDefault="00D80DD5" w:rsidP="00D80DD5">
      <w:pPr>
        <w:bidi w:val="0"/>
        <w:rPr>
          <w:b/>
          <w:bCs/>
        </w:rPr>
      </w:pPr>
    </w:p>
    <w:p w14:paraId="1C94E6D6" w14:textId="30B6BDE5" w:rsidR="00D80DD5" w:rsidRPr="00236B78" w:rsidRDefault="00D80DD5" w:rsidP="00735737">
      <w:pPr>
        <w:bidi w:val="0"/>
        <w:jc w:val="both"/>
      </w:pPr>
      <w:r w:rsidRPr="00236B78">
        <w:t xml:space="preserve">The estimated total activity in transactions against the shekel reflected in reports from the domestic banking system and foreign reporting entities </w:t>
      </w:r>
      <w:r w:rsidR="00C62192">
        <w:t xml:space="preserve">indicates </w:t>
      </w:r>
      <w:r w:rsidRPr="00236B78">
        <w:t xml:space="preserve">that nonresidents’ relative share of trading volume in spot and forward transactions (excluding swaps and options) was </w:t>
      </w:r>
      <w:r w:rsidR="00735737">
        <w:rPr>
          <w:rFonts w:hint="cs"/>
          <w:rtl/>
        </w:rPr>
        <w:t>82.4</w:t>
      </w:r>
      <w:r w:rsidR="00A1704B">
        <w:t xml:space="preserve"> </w:t>
      </w:r>
      <w:r w:rsidRPr="00236B78">
        <w:t xml:space="preserve">percent in the </w:t>
      </w:r>
      <w:r w:rsidR="00735737">
        <w:t>fourth</w:t>
      </w:r>
      <w:r w:rsidR="00A3533A">
        <w:t xml:space="preserve"> quarter</w:t>
      </w:r>
      <w:r w:rsidR="00E8290A">
        <w:t>.</w:t>
      </w:r>
      <w:r w:rsidRPr="00236B78">
        <w:t xml:space="preserve"> </w:t>
      </w:r>
      <w:r w:rsidR="00E8290A">
        <w:t>T</w:t>
      </w:r>
      <w:r w:rsidRPr="00236B78">
        <w:t xml:space="preserve">rade between nonresidents constituted </w:t>
      </w:r>
      <w:r w:rsidR="00735737">
        <w:t>70.6</w:t>
      </w:r>
      <w:r w:rsidR="009E70F4">
        <w:t xml:space="preserve"> </w:t>
      </w:r>
      <w:r w:rsidRPr="00236B78">
        <w:t>percent of the volume, which had a daily average of</w:t>
      </w:r>
      <w:r w:rsidR="00791405">
        <w:t xml:space="preserve"> about</w:t>
      </w:r>
      <w:r w:rsidRPr="00236B78">
        <w:t xml:space="preserve"> $</w:t>
      </w:r>
      <w:r w:rsidR="00735737">
        <w:t>9.4</w:t>
      </w:r>
      <w:r w:rsidR="009E70F4">
        <w:t xml:space="preserve"> </w:t>
      </w:r>
      <w:r w:rsidRPr="00236B78">
        <w:t>billion.</w:t>
      </w:r>
    </w:p>
    <w:p w14:paraId="0DA8CFF3" w14:textId="7A2F4D33" w:rsidR="00D80DD5" w:rsidRDefault="00D80DD5" w:rsidP="00D80DD5">
      <w:pPr>
        <w:bidi w:val="0"/>
      </w:pPr>
    </w:p>
    <w:p w14:paraId="03B187DB" w14:textId="4B46E09F" w:rsidR="00D80DD5" w:rsidRDefault="00D80DD5">
      <w:pPr>
        <w:bidi w:val="0"/>
      </w:pPr>
      <w:r>
        <w:br w:type="page"/>
      </w:r>
    </w:p>
    <w:p w14:paraId="792414DE" w14:textId="32A83032" w:rsidR="00D80DD5" w:rsidRDefault="007322D7" w:rsidP="00CE580B">
      <w:pPr>
        <w:bidi w:val="0"/>
        <w:jc w:val="center"/>
      </w:pPr>
      <w:r w:rsidRPr="007322D7">
        <w:rPr>
          <w:noProof/>
        </w:rPr>
        <w:lastRenderedPageBreak/>
        <w:drawing>
          <wp:inline distT="0" distB="0" distL="0" distR="0" wp14:anchorId="32AF71D2" wp14:editId="50A695C6">
            <wp:extent cx="5850890" cy="35690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0890" cy="3569026"/>
                    </a:xfrm>
                    <a:prstGeom prst="rect">
                      <a:avLst/>
                    </a:prstGeom>
                    <a:noFill/>
                    <a:ln>
                      <a:noFill/>
                    </a:ln>
                  </pic:spPr>
                </pic:pic>
              </a:graphicData>
            </a:graphic>
          </wp:inline>
        </w:drawing>
      </w:r>
    </w:p>
    <w:p w14:paraId="7E2A8093" w14:textId="060A55CD" w:rsidR="00735737" w:rsidRDefault="00735737" w:rsidP="00735737">
      <w:pPr>
        <w:bidi w:val="0"/>
      </w:pPr>
    </w:p>
    <w:p w14:paraId="558A5557" w14:textId="26F8EA0B" w:rsidR="00735737" w:rsidRDefault="00735737" w:rsidP="00735737">
      <w:pPr>
        <w:bidi w:val="0"/>
      </w:pPr>
    </w:p>
    <w:p w14:paraId="363765E3" w14:textId="59A307F8" w:rsidR="00735737" w:rsidRDefault="00735737">
      <w:pPr>
        <w:bidi w:val="0"/>
      </w:pPr>
      <w:r>
        <w:br w:type="page"/>
      </w:r>
    </w:p>
    <w:p w14:paraId="5E758E8E" w14:textId="780D40BA" w:rsidR="00735737" w:rsidRDefault="00735737" w:rsidP="00735737">
      <w:pPr>
        <w:bidi w:val="0"/>
        <w:jc w:val="both"/>
        <w:rPr>
          <w:sz w:val="32"/>
          <w:szCs w:val="32"/>
        </w:rPr>
      </w:pPr>
      <w:r>
        <w:rPr>
          <w:sz w:val="32"/>
          <w:szCs w:val="32"/>
        </w:rPr>
        <w:lastRenderedPageBreak/>
        <w:t>The Bank of Israel Revises the Weights in the Nominal Effective Exchange Rate</w:t>
      </w:r>
    </w:p>
    <w:p w14:paraId="2F792432" w14:textId="223118F8" w:rsidR="00735737" w:rsidRDefault="00735737" w:rsidP="00735737">
      <w:pPr>
        <w:bidi w:val="0"/>
      </w:pPr>
    </w:p>
    <w:p w14:paraId="50979C76" w14:textId="6A90EFC2" w:rsidR="00735737" w:rsidRDefault="00735737" w:rsidP="00735737">
      <w:pPr>
        <w:bidi w:val="0"/>
        <w:jc w:val="both"/>
      </w:pPr>
      <w:r>
        <w:t>The Bank of Israel calculates and publishes a nominal effective exchange rate index on a daily basis, similar to other central banks.  This index is comprised of the weighted average of a number of exchange rates, reflecting the relative importance of each currency in Israel’s foreign trade.</w:t>
      </w:r>
    </w:p>
    <w:p w14:paraId="554AC622" w14:textId="72DA1E33" w:rsidR="00735737" w:rsidRDefault="00735737" w:rsidP="00735737">
      <w:pPr>
        <w:bidi w:val="0"/>
        <w:jc w:val="both"/>
      </w:pPr>
    </w:p>
    <w:p w14:paraId="34C5717B" w14:textId="0E7C634A" w:rsidR="00735737" w:rsidRDefault="00735737" w:rsidP="00735737">
      <w:pPr>
        <w:bidi w:val="0"/>
        <w:jc w:val="both"/>
      </w:pPr>
      <w:r>
        <w:t>The Bank of Israel examines a revision of the weights in the index every three years so that it represents the nominal effective exchange rate in the most precise and up-to-date manner.</w:t>
      </w:r>
      <w:r w:rsidR="005F6E5B">
        <w:t xml:space="preserve">  The weights in the existing index were last revised in 2020.  Since that time, there have been changes in the composition of Israel’s foreign trade.</w:t>
      </w:r>
    </w:p>
    <w:p w14:paraId="54F9D7D6" w14:textId="6C44D384" w:rsidR="005F6E5B" w:rsidRDefault="005F6E5B" w:rsidP="005F6E5B">
      <w:pPr>
        <w:bidi w:val="0"/>
        <w:jc w:val="both"/>
      </w:pPr>
    </w:p>
    <w:p w14:paraId="27734D4A" w14:textId="1243F9B7" w:rsidR="005F6E5B" w:rsidRDefault="005F6E5B" w:rsidP="005F6E5B">
      <w:pPr>
        <w:bidi w:val="0"/>
        <w:jc w:val="both"/>
      </w:pPr>
      <w:r>
        <w:t>The weights in the new index are calculated on the basis of data on the flow of bilateral goods and services trade, correcting for third-party competition.  This reflects the fact that Israeli exports compete against manufacturers from a large number of countries in each market to which they are exported, and not just against local manufacturers from that country.  The new index includes 29 countries and 21 currencies (9 European countries included in the index use the same currency—the euro), compared with the previous index that included 31 countries and 24 currencies.</w:t>
      </w:r>
    </w:p>
    <w:p w14:paraId="54CF9BD9" w14:textId="3556D7C9" w:rsidR="005F6E5B" w:rsidRDefault="005F6E5B" w:rsidP="005F6E5B">
      <w:pPr>
        <w:bidi w:val="0"/>
        <w:jc w:val="both"/>
      </w:pPr>
    </w:p>
    <w:p w14:paraId="5FA11B5A" w14:textId="46893EB9" w:rsidR="005F6E5B" w:rsidRDefault="005F6E5B" w:rsidP="005F6E5B">
      <w:pPr>
        <w:bidi w:val="0"/>
        <w:jc w:val="both"/>
      </w:pPr>
      <w:r>
        <w:t>The revision of the weights led to an increase of 3.3 percentage points in the weight of the Chinese yuan and a decline of 1.8 percentage points in the weight of the US dollar.  There was also a decline in the weight of the eurozone countries.  In total, the effect of the changes on the index itself is not large, and the new index paints a picture that is similar to that shown by the development of the old index.  As of the end of October 2023, the shekel has cumulatively appreciated by about one percentage point more according to the new index since the beginning of 2020.</w:t>
      </w:r>
    </w:p>
    <w:p w14:paraId="1A381E5E" w14:textId="690269C2" w:rsidR="005F6E5B" w:rsidRDefault="005F6E5B" w:rsidP="005F6E5B">
      <w:pPr>
        <w:bidi w:val="0"/>
        <w:jc w:val="both"/>
      </w:pPr>
    </w:p>
    <w:tbl>
      <w:tblPr>
        <w:tblStyle w:val="af5"/>
        <w:tblW w:w="0" w:type="auto"/>
        <w:tblLook w:val="04A0" w:firstRow="1" w:lastRow="0" w:firstColumn="1" w:lastColumn="0" w:noHBand="0" w:noVBand="1"/>
      </w:tblPr>
      <w:tblGrid>
        <w:gridCol w:w="3068"/>
        <w:gridCol w:w="3068"/>
        <w:gridCol w:w="3068"/>
      </w:tblGrid>
      <w:tr w:rsidR="005F6E5B" w14:paraId="00243267" w14:textId="77777777" w:rsidTr="005F6E5B">
        <w:tc>
          <w:tcPr>
            <w:tcW w:w="9204" w:type="dxa"/>
            <w:gridSpan w:val="3"/>
          </w:tcPr>
          <w:p w14:paraId="2D0050B0" w14:textId="230401B8" w:rsidR="005F6E5B" w:rsidRDefault="005F6E5B" w:rsidP="005F6E5B">
            <w:pPr>
              <w:bidi w:val="0"/>
              <w:jc w:val="both"/>
            </w:pPr>
            <w:r>
              <w:t>Revision of the weights of the main currencies in the nominal effective exchange rate (percent)</w:t>
            </w:r>
          </w:p>
        </w:tc>
      </w:tr>
      <w:tr w:rsidR="005F6E5B" w14:paraId="0A24AB32" w14:textId="77777777" w:rsidTr="005F6E5B">
        <w:tc>
          <w:tcPr>
            <w:tcW w:w="3068" w:type="dxa"/>
          </w:tcPr>
          <w:p w14:paraId="07AE5151" w14:textId="190A6B29" w:rsidR="005F6E5B" w:rsidRPr="005F6E5B" w:rsidRDefault="005F6E5B" w:rsidP="005F6E5B">
            <w:pPr>
              <w:bidi w:val="0"/>
              <w:jc w:val="center"/>
              <w:rPr>
                <w:b/>
                <w:bCs/>
              </w:rPr>
            </w:pPr>
            <w:r>
              <w:rPr>
                <w:b/>
                <w:bCs/>
              </w:rPr>
              <w:t>Currency</w:t>
            </w:r>
          </w:p>
        </w:tc>
        <w:tc>
          <w:tcPr>
            <w:tcW w:w="3068" w:type="dxa"/>
          </w:tcPr>
          <w:p w14:paraId="4572573C" w14:textId="781663A9" w:rsidR="005F6E5B" w:rsidRPr="005F6E5B" w:rsidRDefault="005F6E5B" w:rsidP="005F6E5B">
            <w:pPr>
              <w:bidi w:val="0"/>
              <w:jc w:val="center"/>
              <w:rPr>
                <w:b/>
                <w:bCs/>
              </w:rPr>
            </w:pPr>
            <w:r w:rsidRPr="005F6E5B">
              <w:rPr>
                <w:b/>
                <w:bCs/>
              </w:rPr>
              <w:t>Old Weight</w:t>
            </w:r>
          </w:p>
        </w:tc>
        <w:tc>
          <w:tcPr>
            <w:tcW w:w="3068" w:type="dxa"/>
          </w:tcPr>
          <w:p w14:paraId="4E89739A" w14:textId="1AEF4B9D" w:rsidR="005F6E5B" w:rsidRPr="005F6E5B" w:rsidRDefault="005F6E5B" w:rsidP="005F6E5B">
            <w:pPr>
              <w:bidi w:val="0"/>
              <w:jc w:val="center"/>
              <w:rPr>
                <w:b/>
                <w:bCs/>
              </w:rPr>
            </w:pPr>
            <w:r w:rsidRPr="005F6E5B">
              <w:rPr>
                <w:b/>
                <w:bCs/>
              </w:rPr>
              <w:t>New Weight</w:t>
            </w:r>
          </w:p>
        </w:tc>
      </w:tr>
      <w:tr w:rsidR="005F6E5B" w14:paraId="323D1691" w14:textId="77777777" w:rsidTr="005F6E5B">
        <w:tc>
          <w:tcPr>
            <w:tcW w:w="3068" w:type="dxa"/>
          </w:tcPr>
          <w:p w14:paraId="3BC8653F" w14:textId="53A08711" w:rsidR="005F6E5B" w:rsidRDefault="005F6E5B" w:rsidP="005F6E5B">
            <w:pPr>
              <w:bidi w:val="0"/>
              <w:jc w:val="center"/>
            </w:pPr>
            <w:r>
              <w:t>Euro</w:t>
            </w:r>
          </w:p>
        </w:tc>
        <w:tc>
          <w:tcPr>
            <w:tcW w:w="3068" w:type="dxa"/>
          </w:tcPr>
          <w:p w14:paraId="11E0F1B0" w14:textId="0E30C40A" w:rsidR="005F6E5B" w:rsidRDefault="005F6E5B" w:rsidP="005F6E5B">
            <w:pPr>
              <w:bidi w:val="0"/>
              <w:jc w:val="center"/>
            </w:pPr>
            <w:r>
              <w:t>24.4</w:t>
            </w:r>
          </w:p>
        </w:tc>
        <w:tc>
          <w:tcPr>
            <w:tcW w:w="3068" w:type="dxa"/>
          </w:tcPr>
          <w:p w14:paraId="7DA4B192" w14:textId="7920C23D" w:rsidR="005F6E5B" w:rsidRDefault="005F6E5B" w:rsidP="005F6E5B">
            <w:pPr>
              <w:bidi w:val="0"/>
              <w:jc w:val="center"/>
            </w:pPr>
            <w:r>
              <w:t>23.5</w:t>
            </w:r>
          </w:p>
        </w:tc>
      </w:tr>
      <w:tr w:rsidR="005F6E5B" w14:paraId="4D6A38A8" w14:textId="77777777" w:rsidTr="005F6E5B">
        <w:tc>
          <w:tcPr>
            <w:tcW w:w="3068" w:type="dxa"/>
          </w:tcPr>
          <w:p w14:paraId="6C977B23" w14:textId="2109A724" w:rsidR="005F6E5B" w:rsidRDefault="005F6E5B" w:rsidP="005F6E5B">
            <w:pPr>
              <w:bidi w:val="0"/>
              <w:jc w:val="center"/>
            </w:pPr>
            <w:r>
              <w:t>US dollar</w:t>
            </w:r>
          </w:p>
        </w:tc>
        <w:tc>
          <w:tcPr>
            <w:tcW w:w="3068" w:type="dxa"/>
          </w:tcPr>
          <w:p w14:paraId="0A5BCBFA" w14:textId="22E92D27" w:rsidR="005F6E5B" w:rsidRDefault="005F6E5B" w:rsidP="005F6E5B">
            <w:pPr>
              <w:bidi w:val="0"/>
              <w:jc w:val="center"/>
            </w:pPr>
            <w:r>
              <w:t>28.7</w:t>
            </w:r>
          </w:p>
        </w:tc>
        <w:tc>
          <w:tcPr>
            <w:tcW w:w="3068" w:type="dxa"/>
          </w:tcPr>
          <w:p w14:paraId="7EACFCC6" w14:textId="0F2B69A5" w:rsidR="005F6E5B" w:rsidRDefault="005F6E5B" w:rsidP="005F6E5B">
            <w:pPr>
              <w:bidi w:val="0"/>
              <w:jc w:val="center"/>
            </w:pPr>
            <w:r>
              <w:t>26.9</w:t>
            </w:r>
          </w:p>
        </w:tc>
      </w:tr>
      <w:tr w:rsidR="005F6E5B" w14:paraId="0AE61430" w14:textId="77777777" w:rsidTr="005F6E5B">
        <w:tc>
          <w:tcPr>
            <w:tcW w:w="3068" w:type="dxa"/>
          </w:tcPr>
          <w:p w14:paraId="7F0C6144" w14:textId="1B71AF11" w:rsidR="005F6E5B" w:rsidRDefault="005F6E5B" w:rsidP="005F6E5B">
            <w:pPr>
              <w:bidi w:val="0"/>
              <w:jc w:val="center"/>
            </w:pPr>
            <w:r>
              <w:t>Chinese yuan</w:t>
            </w:r>
          </w:p>
        </w:tc>
        <w:tc>
          <w:tcPr>
            <w:tcW w:w="3068" w:type="dxa"/>
          </w:tcPr>
          <w:p w14:paraId="18FC5E8C" w14:textId="4F6DFE9C" w:rsidR="005F6E5B" w:rsidRDefault="005F6E5B" w:rsidP="005F6E5B">
            <w:pPr>
              <w:bidi w:val="0"/>
              <w:jc w:val="center"/>
            </w:pPr>
            <w:r>
              <w:t>11.5</w:t>
            </w:r>
          </w:p>
        </w:tc>
        <w:tc>
          <w:tcPr>
            <w:tcW w:w="3068" w:type="dxa"/>
          </w:tcPr>
          <w:p w14:paraId="24C3E99E" w14:textId="2E256B62" w:rsidR="005F6E5B" w:rsidRDefault="005F6E5B" w:rsidP="005F6E5B">
            <w:pPr>
              <w:bidi w:val="0"/>
              <w:jc w:val="center"/>
            </w:pPr>
            <w:r>
              <w:t>14.8</w:t>
            </w:r>
          </w:p>
        </w:tc>
      </w:tr>
      <w:tr w:rsidR="005F6E5B" w14:paraId="307CEA0D" w14:textId="77777777" w:rsidTr="005F6E5B">
        <w:tc>
          <w:tcPr>
            <w:tcW w:w="3068" w:type="dxa"/>
          </w:tcPr>
          <w:p w14:paraId="37A13B59" w14:textId="6B3A60C9" w:rsidR="005F6E5B" w:rsidRDefault="005F6E5B" w:rsidP="005F6E5B">
            <w:pPr>
              <w:bidi w:val="0"/>
              <w:jc w:val="center"/>
            </w:pPr>
            <w:r>
              <w:t>British pound</w:t>
            </w:r>
          </w:p>
        </w:tc>
        <w:tc>
          <w:tcPr>
            <w:tcW w:w="3068" w:type="dxa"/>
          </w:tcPr>
          <w:p w14:paraId="3F6E8ADE" w14:textId="4E603733" w:rsidR="005F6E5B" w:rsidRDefault="005F6E5B" w:rsidP="005F6E5B">
            <w:pPr>
              <w:bidi w:val="0"/>
              <w:jc w:val="center"/>
            </w:pPr>
            <w:r>
              <w:t>6.4</w:t>
            </w:r>
          </w:p>
        </w:tc>
        <w:tc>
          <w:tcPr>
            <w:tcW w:w="3068" w:type="dxa"/>
          </w:tcPr>
          <w:p w14:paraId="0ED22FB5" w14:textId="3BEDEDB7" w:rsidR="005F6E5B" w:rsidRDefault="005F6E5B" w:rsidP="005F6E5B">
            <w:pPr>
              <w:bidi w:val="0"/>
              <w:jc w:val="center"/>
            </w:pPr>
            <w:r>
              <w:t>5.7</w:t>
            </w:r>
          </w:p>
        </w:tc>
      </w:tr>
      <w:tr w:rsidR="005F6E5B" w14:paraId="35D8E9B0" w14:textId="77777777" w:rsidTr="005F6E5B">
        <w:tc>
          <w:tcPr>
            <w:tcW w:w="3068" w:type="dxa"/>
          </w:tcPr>
          <w:p w14:paraId="432BD083" w14:textId="0E9F9EB5" w:rsidR="005F6E5B" w:rsidRDefault="005F6E5B" w:rsidP="005F6E5B">
            <w:pPr>
              <w:bidi w:val="0"/>
              <w:jc w:val="center"/>
            </w:pPr>
            <w:r>
              <w:t>Turkish lira</w:t>
            </w:r>
          </w:p>
        </w:tc>
        <w:tc>
          <w:tcPr>
            <w:tcW w:w="3068" w:type="dxa"/>
          </w:tcPr>
          <w:p w14:paraId="02EAF8A0" w14:textId="4E11452E" w:rsidR="005F6E5B" w:rsidRDefault="005F6E5B" w:rsidP="005F6E5B">
            <w:pPr>
              <w:bidi w:val="0"/>
              <w:jc w:val="center"/>
            </w:pPr>
            <w:r>
              <w:t>3.7</w:t>
            </w:r>
          </w:p>
        </w:tc>
        <w:tc>
          <w:tcPr>
            <w:tcW w:w="3068" w:type="dxa"/>
          </w:tcPr>
          <w:p w14:paraId="0B50CD19" w14:textId="3B7BB857" w:rsidR="005F6E5B" w:rsidRDefault="005F6E5B" w:rsidP="005F6E5B">
            <w:pPr>
              <w:bidi w:val="0"/>
              <w:jc w:val="center"/>
            </w:pPr>
            <w:r>
              <w:t>5.0</w:t>
            </w:r>
          </w:p>
        </w:tc>
      </w:tr>
      <w:tr w:rsidR="005F6E5B" w14:paraId="539E5BBC" w14:textId="77777777" w:rsidTr="005F6E5B">
        <w:tc>
          <w:tcPr>
            <w:tcW w:w="3068" w:type="dxa"/>
          </w:tcPr>
          <w:p w14:paraId="5D89D8D9" w14:textId="51F15D00" w:rsidR="005F6E5B" w:rsidRDefault="005F6E5B" w:rsidP="005F6E5B">
            <w:pPr>
              <w:bidi w:val="0"/>
              <w:jc w:val="center"/>
            </w:pPr>
            <w:r>
              <w:t>Other currencies</w:t>
            </w:r>
            <w:r>
              <w:rPr>
                <w:rStyle w:val="ad"/>
              </w:rPr>
              <w:footnoteReference w:id="5"/>
            </w:r>
          </w:p>
        </w:tc>
        <w:tc>
          <w:tcPr>
            <w:tcW w:w="3068" w:type="dxa"/>
          </w:tcPr>
          <w:p w14:paraId="0C50D82C" w14:textId="1569E160" w:rsidR="005F6E5B" w:rsidRDefault="005F6E5B" w:rsidP="005F6E5B">
            <w:pPr>
              <w:bidi w:val="0"/>
              <w:jc w:val="center"/>
            </w:pPr>
            <w:r>
              <w:t>25.3</w:t>
            </w:r>
          </w:p>
        </w:tc>
        <w:tc>
          <w:tcPr>
            <w:tcW w:w="3068" w:type="dxa"/>
          </w:tcPr>
          <w:p w14:paraId="1481D393" w14:textId="46A346C9" w:rsidR="005F6E5B" w:rsidRDefault="005F6E5B" w:rsidP="005F6E5B">
            <w:pPr>
              <w:bidi w:val="0"/>
              <w:jc w:val="center"/>
            </w:pPr>
            <w:r>
              <w:t>24.1</w:t>
            </w:r>
          </w:p>
        </w:tc>
      </w:tr>
    </w:tbl>
    <w:p w14:paraId="1CA03655" w14:textId="6A31BA6B" w:rsidR="005F6E5B" w:rsidRDefault="005F6E5B" w:rsidP="005F6E5B">
      <w:pPr>
        <w:bidi w:val="0"/>
        <w:jc w:val="both"/>
      </w:pPr>
    </w:p>
    <w:p w14:paraId="10C998AE" w14:textId="11706D8D" w:rsidR="001459BD" w:rsidRDefault="001459BD">
      <w:pPr>
        <w:bidi w:val="0"/>
      </w:pPr>
      <w:r>
        <w:br w:type="page"/>
      </w:r>
    </w:p>
    <w:tbl>
      <w:tblPr>
        <w:tblStyle w:val="TableGrid1"/>
        <w:bidiVisual/>
        <w:tblW w:w="0" w:type="auto"/>
        <w:tblLook w:val="04A0" w:firstRow="1" w:lastRow="0" w:firstColumn="1" w:lastColumn="0" w:noHBand="0" w:noVBand="1"/>
        <w:tblCaption w:val="גרף: המדד החדש לשער החליפין האפקטיבי והמדד הקיים – רמות*"/>
        <w:tblDescription w:val="גרף: המדד החדש לשער החליפין האפקטיבי והמדד הקיים – רמות*&#10;100=1/1/2010&#10;"/>
      </w:tblPr>
      <w:tblGrid>
        <w:gridCol w:w="8856"/>
      </w:tblGrid>
      <w:tr w:rsidR="001459BD" w:rsidRPr="00436269" w14:paraId="7909122A" w14:textId="77777777" w:rsidTr="00650005">
        <w:tc>
          <w:tcPr>
            <w:tcW w:w="8856" w:type="dxa"/>
          </w:tcPr>
          <w:p w14:paraId="0804DB5A" w14:textId="4939909B" w:rsidR="001459BD" w:rsidRDefault="001459BD" w:rsidP="00650005">
            <w:pPr>
              <w:jc w:val="center"/>
              <w:rPr>
                <w:rFonts w:cs="David"/>
                <w:b/>
                <w:bCs/>
              </w:rPr>
            </w:pPr>
            <w:r>
              <w:rPr>
                <w:rFonts w:cs="David"/>
                <w:b/>
                <w:bCs/>
              </w:rPr>
              <w:lastRenderedPageBreak/>
              <w:t>Nominal Effective Exchange Rage – New and Existing Levels*</w:t>
            </w:r>
          </w:p>
          <w:p w14:paraId="406D6546" w14:textId="141B26A8" w:rsidR="001459BD" w:rsidRDefault="001459BD" w:rsidP="00650005">
            <w:pPr>
              <w:jc w:val="center"/>
              <w:rPr>
                <w:rFonts w:cs="David"/>
                <w:b/>
                <w:bCs/>
              </w:rPr>
            </w:pPr>
            <w:r>
              <w:rPr>
                <w:rFonts w:cs="David"/>
                <w:b/>
                <w:bCs/>
              </w:rPr>
              <w:t>1/1/2015=100</w:t>
            </w:r>
          </w:p>
          <w:p w14:paraId="4868D6E6" w14:textId="43520B28" w:rsidR="001459BD" w:rsidRPr="00113856" w:rsidRDefault="001459BD" w:rsidP="001459BD">
            <w:pPr>
              <w:rPr>
                <w:rFonts w:cs="David"/>
                <w:b/>
                <w:bCs/>
                <w:rtl/>
              </w:rPr>
            </w:pPr>
          </w:p>
        </w:tc>
      </w:tr>
      <w:tr w:rsidR="001459BD" w14:paraId="1093EDA6" w14:textId="77777777" w:rsidTr="00650005">
        <w:tc>
          <w:tcPr>
            <w:tcW w:w="8856" w:type="dxa"/>
          </w:tcPr>
          <w:p w14:paraId="6C0AC293" w14:textId="65619CAA" w:rsidR="001459BD" w:rsidRDefault="001459BD" w:rsidP="00650005">
            <w:pPr>
              <w:jc w:val="center"/>
              <w:rPr>
                <w:rtl/>
              </w:rPr>
            </w:pPr>
          </w:p>
          <w:p w14:paraId="73D78234" w14:textId="7F00694F" w:rsidR="001459BD" w:rsidRPr="00B818C2" w:rsidRDefault="001459BD" w:rsidP="00650005">
            <w:pPr>
              <w:jc w:val="center"/>
              <w:rPr>
                <w:rtl/>
              </w:rPr>
            </w:pPr>
          </w:p>
          <w:p w14:paraId="2DAAE806" w14:textId="4DD4E99E" w:rsidR="001459BD" w:rsidRDefault="001459BD" w:rsidP="00650005">
            <w:pPr>
              <w:rPr>
                <w:rtl/>
              </w:rPr>
            </w:pPr>
            <w:r w:rsidRPr="001459BD">
              <w:rPr>
                <w:rFonts w:cs="David"/>
                <w:b/>
                <w:bCs/>
                <w:noProof/>
              </w:rPr>
              <mc:AlternateContent>
                <mc:Choice Requires="wps">
                  <w:drawing>
                    <wp:anchor distT="45720" distB="45720" distL="114300" distR="114300" simplePos="0" relativeHeight="251691008" behindDoc="0" locked="0" layoutInCell="1" allowOverlap="1" wp14:anchorId="534080E9" wp14:editId="32CC5C28">
                      <wp:simplePos x="0" y="0"/>
                      <wp:positionH relativeFrom="column">
                        <wp:posOffset>4329430</wp:posOffset>
                      </wp:positionH>
                      <wp:positionV relativeFrom="paragraph">
                        <wp:posOffset>165735</wp:posOffset>
                      </wp:positionV>
                      <wp:extent cx="1038225" cy="1404620"/>
                      <wp:effectExtent l="0" t="0" r="28575"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solidFill>
                                <a:srgbClr val="FFFFFF"/>
                              </a:solidFill>
                              <a:ln w="9525">
                                <a:solidFill>
                                  <a:srgbClr val="000000"/>
                                </a:solidFill>
                                <a:miter lim="800000"/>
                                <a:headEnd/>
                                <a:tailEnd/>
                              </a:ln>
                            </wps:spPr>
                            <wps:txbx>
                              <w:txbxContent>
                                <w:p w14:paraId="05F699AC" w14:textId="77777777" w:rsidR="001459BD" w:rsidRDefault="001459BD" w:rsidP="001459BD">
                                  <w:pPr>
                                    <w:bidi w:val="0"/>
                                  </w:pPr>
                                  <w:r>
                                    <w:t>Old Index</w:t>
                                  </w:r>
                                </w:p>
                                <w:p w14:paraId="60720704" w14:textId="77777777" w:rsidR="001459BD" w:rsidRDefault="001459BD" w:rsidP="001459BD">
                                  <w:pPr>
                                    <w:bidi w:val="0"/>
                                  </w:pPr>
                                </w:p>
                                <w:p w14:paraId="118412C0" w14:textId="77777777" w:rsidR="001459BD" w:rsidRDefault="001459BD" w:rsidP="001459BD">
                                  <w:pPr>
                                    <w:bidi w:val="0"/>
                                  </w:pPr>
                                  <w:r>
                                    <w:t>New Index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4080E9" id="_x0000_t202" coordsize="21600,21600" o:spt="202" path="m,l,21600r21600,l21600,xe">
                      <v:stroke joinstyle="miter"/>
                      <v:path gradientshapeok="t" o:connecttype="rect"/>
                    </v:shapetype>
                    <v:shape id="Text Box 2" o:spid="_x0000_s1026" type="#_x0000_t202" style="position:absolute;left:0;text-align:left;margin-left:340.9pt;margin-top:13.05pt;width:81.7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">
                      <v:textbox style="mso-fit-shape-to-text:t">
                        <w:txbxContent>
                          <w:p w14:paraId="05F699AC" w14:textId="77777777" w:rsidR="001459BD" w:rsidRDefault="001459BD" w:rsidP="001459BD">
                            <w:pPr>
                              <w:bidi w:val="0"/>
                            </w:pPr>
                            <w:r>
                              <w:t>Old Index</w:t>
                            </w:r>
                          </w:p>
                          <w:p w14:paraId="60720704" w14:textId="77777777" w:rsidR="001459BD" w:rsidRDefault="001459BD" w:rsidP="001459BD">
                            <w:pPr>
                              <w:bidi w:val="0"/>
                            </w:pPr>
                          </w:p>
                          <w:p w14:paraId="118412C0" w14:textId="77777777" w:rsidR="001459BD" w:rsidRDefault="001459BD" w:rsidP="001459BD">
                            <w:pPr>
                              <w:bidi w:val="0"/>
                            </w:pPr>
                            <w:r>
                              <w:t>New Index</w:t>
                            </w:r>
                          </w:p>
                        </w:txbxContent>
                      </v:textbox>
                    </v:shape>
                  </w:pict>
                </mc:Fallback>
              </mc:AlternateContent>
            </w:r>
            <w:r>
              <w:rPr>
                <w:noProof/>
              </w:rPr>
              <w:drawing>
                <wp:inline distT="0" distB="0" distL="0" distR="0" wp14:anchorId="1E860454" wp14:editId="1660BBE5">
                  <wp:extent cx="5029200" cy="3023089"/>
                  <wp:effectExtent l="0" t="0" r="0" b="0"/>
                  <wp:docPr id="3"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75" cy="3034555"/>
                          </a:xfrm>
                          <a:prstGeom prst="rect">
                            <a:avLst/>
                          </a:prstGeom>
                          <a:noFill/>
                        </pic:spPr>
                      </pic:pic>
                    </a:graphicData>
                  </a:graphic>
                </wp:inline>
              </w:drawing>
            </w:r>
          </w:p>
        </w:tc>
      </w:tr>
      <w:tr w:rsidR="001459BD" w14:paraId="17E3F04A" w14:textId="77777777" w:rsidTr="00650005">
        <w:tc>
          <w:tcPr>
            <w:tcW w:w="8856" w:type="dxa"/>
          </w:tcPr>
          <w:p w14:paraId="1610A704" w14:textId="60935778" w:rsidR="001459BD" w:rsidRPr="007C4E4C" w:rsidRDefault="001459BD" w:rsidP="001459BD">
            <w:pPr>
              <w:pStyle w:val="aa"/>
              <w:ind w:left="1080"/>
              <w:rPr>
                <w:szCs w:val="24"/>
                <w:lang w:bidi="ar-SA"/>
              </w:rPr>
            </w:pPr>
            <w:r>
              <w:rPr>
                <w:rFonts w:cs="David"/>
                <w:szCs w:val="24"/>
              </w:rPr>
              <w:t>* Daily figures, January 1, 2015 – October 31, 2023</w:t>
            </w:r>
          </w:p>
        </w:tc>
      </w:tr>
    </w:tbl>
    <w:p w14:paraId="212765E8" w14:textId="5E8B4E6C" w:rsidR="001459BD" w:rsidRDefault="001459BD" w:rsidP="001459BD">
      <w:pPr>
        <w:bidi w:val="0"/>
        <w:jc w:val="both"/>
      </w:pPr>
    </w:p>
    <w:sectPr w:rsidR="001459BD" w:rsidSect="005D39B6">
      <w:footerReference w:type="default" r:id="rId19"/>
      <w:pgSz w:w="11906" w:h="16838"/>
      <w:pgMar w:top="1135" w:right="1416" w:bottom="1135" w:left="1276" w:header="397" w:footer="39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30093" w14:textId="77777777" w:rsidR="000138F5" w:rsidRDefault="000138F5" w:rsidP="00E64B36">
      <w:r>
        <w:separator/>
      </w:r>
    </w:p>
  </w:endnote>
  <w:endnote w:type="continuationSeparator" w:id="0">
    <w:p w14:paraId="5C7B6400" w14:textId="77777777" w:rsidR="000138F5" w:rsidRDefault="000138F5" w:rsidP="00E64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348819"/>
      <w:docPartObj>
        <w:docPartGallery w:val="Page Numbers (Bottom of Page)"/>
        <w:docPartUnique/>
      </w:docPartObj>
    </w:sdtPr>
    <w:sdtEndPr>
      <w:rPr>
        <w:cs/>
      </w:rPr>
    </w:sdtEndPr>
    <w:sdtContent>
      <w:sdt>
        <w:sdtPr>
          <w:id w:val="-2137554086"/>
          <w:docPartObj>
            <w:docPartGallery w:val="Page Numbers (Top of Page)"/>
            <w:docPartUnique/>
          </w:docPartObj>
        </w:sdtPr>
        <w:sdtEndPr/>
        <w:sdtContent>
          <w:p w14:paraId="3EC27B23" w14:textId="664E7291" w:rsidR="006D5EA0" w:rsidRPr="00540991" w:rsidRDefault="006D5EA0" w:rsidP="002331FC">
            <w:pPr>
              <w:pStyle w:val="a6"/>
              <w:bidi w:val="0"/>
              <w:rPr>
                <w:rtl/>
                <w:cs/>
              </w:rPr>
            </w:pPr>
            <w:r w:rsidRPr="00540991">
              <w:t>Bank of Israel - Israe</w:t>
            </w:r>
            <w:r>
              <w:t xml:space="preserve">l’s foreign currency market in </w:t>
            </w:r>
            <w:r w:rsidR="008D11D4">
              <w:t>the</w:t>
            </w:r>
            <w:r w:rsidR="00E61393">
              <w:t xml:space="preserve"> </w:t>
            </w:r>
            <w:r w:rsidR="002331FC">
              <w:t>fourth</w:t>
            </w:r>
            <w:r w:rsidR="00A3533A">
              <w:t xml:space="preserve"> quarter</w:t>
            </w:r>
            <w:r>
              <w:t xml:space="preserve"> </w:t>
            </w:r>
            <w:r w:rsidR="008D11D4">
              <w:t xml:space="preserve">of </w:t>
            </w:r>
            <w:r>
              <w:t>202</w:t>
            </w:r>
            <w:r w:rsidR="001C2E7B">
              <w:t>3</w:t>
            </w:r>
            <w:r w:rsidR="005D39B6">
              <w:t xml:space="preserve">     </w:t>
            </w:r>
            <w:r w:rsidRPr="00540991">
              <w:t>Page</w:t>
            </w:r>
            <w:r w:rsidR="00FD07FC">
              <w:t xml:space="preserve"> </w:t>
            </w:r>
            <w:r w:rsidRPr="00540991">
              <w:rPr>
                <w:b/>
                <w:bCs/>
              </w:rPr>
              <w:fldChar w:fldCharType="begin"/>
            </w:r>
            <w:r w:rsidRPr="00540991">
              <w:rPr>
                <w:b/>
                <w:bCs/>
                <w:rtl/>
                <w:cs/>
              </w:rPr>
              <w:instrText>PAGE</w:instrText>
            </w:r>
            <w:r w:rsidRPr="00540991">
              <w:rPr>
                <w:b/>
                <w:bCs/>
              </w:rPr>
              <w:fldChar w:fldCharType="separate"/>
            </w:r>
            <w:r w:rsidR="00500D5A">
              <w:rPr>
                <w:b/>
                <w:bCs/>
                <w:noProof/>
              </w:rPr>
              <w:t>1</w:t>
            </w:r>
            <w:r w:rsidRPr="00540991">
              <w:rPr>
                <w:b/>
                <w:bCs/>
              </w:rPr>
              <w:fldChar w:fldCharType="end"/>
            </w:r>
            <w:r w:rsidR="00FD07FC">
              <w:rPr>
                <w:b/>
                <w:bCs/>
              </w:rPr>
              <w:t xml:space="preserve"> </w:t>
            </w:r>
            <w:r>
              <w:rPr>
                <w:rFonts w:hint="cs"/>
                <w:rtl/>
                <w:cs/>
                <w:lang w:val="he-IL"/>
              </w:rPr>
              <w:t>o</w:t>
            </w:r>
            <w:r w:rsidRPr="00540991">
              <w:t>f</w:t>
            </w:r>
            <w:r w:rsidR="00DC49A5">
              <w:t xml:space="preserve"> </w:t>
            </w:r>
            <w:r w:rsidRPr="00540991">
              <w:rPr>
                <w:b/>
                <w:bCs/>
              </w:rPr>
              <w:fldChar w:fldCharType="begin"/>
            </w:r>
            <w:r w:rsidRPr="00540991">
              <w:rPr>
                <w:b/>
                <w:bCs/>
                <w:rtl/>
                <w:cs/>
              </w:rPr>
              <w:instrText>NUMPAGES</w:instrText>
            </w:r>
            <w:r w:rsidRPr="00540991">
              <w:rPr>
                <w:b/>
                <w:bCs/>
              </w:rPr>
              <w:fldChar w:fldCharType="separate"/>
            </w:r>
            <w:r w:rsidR="00500D5A">
              <w:rPr>
                <w:b/>
                <w:bCs/>
                <w:noProof/>
              </w:rPr>
              <w:t>8</w:t>
            </w:r>
            <w:r w:rsidRPr="00540991">
              <w:rPr>
                <w:b/>
                <w:bCs/>
              </w:rPr>
              <w:fldChar w:fldCharType="end"/>
            </w:r>
          </w:p>
        </w:sdtContent>
      </w:sdt>
    </w:sdtContent>
  </w:sdt>
  <w:p w14:paraId="6EFBFD90" w14:textId="77777777" w:rsidR="00A749E1" w:rsidRPr="00B96022" w:rsidRDefault="00A749E1" w:rsidP="00B96022">
    <w:pPr>
      <w:pStyle w:val="a6"/>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FD8D6" w14:textId="77777777" w:rsidR="000138F5" w:rsidRDefault="000138F5" w:rsidP="00E64B36">
      <w:r>
        <w:separator/>
      </w:r>
    </w:p>
  </w:footnote>
  <w:footnote w:type="continuationSeparator" w:id="0">
    <w:p w14:paraId="73E08161" w14:textId="77777777" w:rsidR="000138F5" w:rsidRDefault="000138F5" w:rsidP="00E64B36">
      <w:r>
        <w:continuationSeparator/>
      </w:r>
    </w:p>
  </w:footnote>
  <w:footnote w:id="1">
    <w:p w14:paraId="0187A364" w14:textId="6FC03B7A" w:rsidR="002331FC" w:rsidRDefault="002331FC">
      <w:pPr>
        <w:pStyle w:val="ab"/>
      </w:pPr>
      <w:r>
        <w:rPr>
          <w:rStyle w:val="ad"/>
        </w:rPr>
        <w:footnoteRef/>
      </w:r>
      <w:r>
        <w:t xml:space="preserve"> The Bank of Israel is revising the weights for calculating the nominal effective exchange rate – for details see the end of this notice.</w:t>
      </w:r>
    </w:p>
  </w:footnote>
  <w:footnote w:id="2">
    <w:p w14:paraId="5B558BB7" w14:textId="14BDBB44" w:rsidR="00EC46DA" w:rsidRPr="00A9039C" w:rsidRDefault="00221362" w:rsidP="00D80DD5">
      <w:pPr>
        <w:pStyle w:val="ab"/>
        <w:spacing w:line="240" w:lineRule="auto"/>
        <w:rPr>
          <w:rFonts w:asciiTheme="majorBidi" w:hAnsiTheme="majorBidi" w:cstheme="majorBidi"/>
        </w:rPr>
      </w:pPr>
      <w:r>
        <w:rPr>
          <w:rStyle w:val="ad"/>
        </w:rPr>
        <w:footnoteRef/>
      </w:r>
      <w:r>
        <w:t xml:space="preserve"> The main </w:t>
      </w:r>
      <w:r w:rsidR="00176396">
        <w:t>segments</w:t>
      </w:r>
      <w:r>
        <w:t xml:space="preserve"> presented do not make up the entire market—for additional information, see the section on “</w:t>
      </w:r>
      <w:r w:rsidR="000D26BE">
        <w:t xml:space="preserve">The </w:t>
      </w:r>
      <w:r w:rsidR="00A9039C">
        <w:t>D</w:t>
      </w:r>
      <w:r>
        <w:t>ata</w:t>
      </w:r>
      <w:r w:rsidR="00183AE0">
        <w:t>base</w:t>
      </w:r>
      <w:r w:rsidR="000D26BE">
        <w:t xml:space="preserve"> </w:t>
      </w:r>
      <w:r w:rsidR="00183AE0">
        <w:t>o</w:t>
      </w:r>
      <w:r w:rsidR="000D26BE">
        <w:t xml:space="preserve">f </w:t>
      </w:r>
      <w:r w:rsidR="00A9039C">
        <w:t>F</w:t>
      </w:r>
      <w:r w:rsidR="000D26BE">
        <w:t xml:space="preserve">oreign </w:t>
      </w:r>
      <w:r w:rsidR="00A9039C">
        <w:t>E</w:t>
      </w:r>
      <w:r w:rsidR="00183AE0">
        <w:t>xchange</w:t>
      </w:r>
      <w:r w:rsidR="000D26BE">
        <w:t xml:space="preserve"> </w:t>
      </w:r>
      <w:r w:rsidR="00A9039C">
        <w:t>M</w:t>
      </w:r>
      <w:r w:rsidR="000D26BE">
        <w:t>arket</w:t>
      </w:r>
      <w:r w:rsidR="00183AE0">
        <w:t xml:space="preserve"> </w:t>
      </w:r>
      <w:r w:rsidR="00A9039C">
        <w:t>A</w:t>
      </w:r>
      <w:r w:rsidR="00183AE0">
        <w:t>ctivity</w:t>
      </w:r>
      <w:r w:rsidR="000D26BE">
        <w:t xml:space="preserve">” in </w:t>
      </w:r>
      <w:r w:rsidR="00183AE0">
        <w:t>the Bank of Israel's "</w:t>
      </w:r>
      <w:r w:rsidR="000D26BE">
        <w:t>Statistical Bulletin</w:t>
      </w:r>
      <w:r w:rsidR="00183AE0">
        <w:t>" for 20</w:t>
      </w:r>
      <w:r w:rsidR="00183AE0" w:rsidRPr="00183AE0">
        <w:t>18</w:t>
      </w:r>
      <w:r w:rsidR="009B50A7">
        <w:t>:</w:t>
      </w:r>
    </w:p>
    <w:p w14:paraId="08EA09CE" w14:textId="5886B7A2" w:rsidR="00221362" w:rsidRDefault="009B50A7" w:rsidP="00D80DD5">
      <w:pPr>
        <w:pStyle w:val="ab"/>
        <w:spacing w:line="240" w:lineRule="auto"/>
      </w:pPr>
      <w:r w:rsidRPr="009B50A7">
        <w:t>https://boi.org.il/en/communication-and-publications/regular-publications/statistical-publications/statistical-bulletin-2018/</w:t>
      </w:r>
    </w:p>
  </w:footnote>
  <w:footnote w:id="3">
    <w:p w14:paraId="37580CC5" w14:textId="5DBE09EF" w:rsidR="0063362C" w:rsidRDefault="0063362C" w:rsidP="00E8290A">
      <w:pPr>
        <w:pStyle w:val="ab"/>
        <w:spacing w:line="240" w:lineRule="auto"/>
      </w:pPr>
      <w:r>
        <w:rPr>
          <w:rStyle w:val="ad"/>
        </w:rPr>
        <w:footnoteRef/>
      </w:r>
      <w:r>
        <w:t xml:space="preserve"> From the beginning of 2020, the data do not include branches of foreign banks in Israel.</w:t>
      </w:r>
    </w:p>
  </w:footnote>
  <w:footnote w:id="4">
    <w:p w14:paraId="1768723E" w14:textId="77777777" w:rsidR="00D80DD5" w:rsidRDefault="00D80DD5" w:rsidP="00D80DD5">
      <w:pPr>
        <w:pStyle w:val="ab"/>
        <w:spacing w:line="240" w:lineRule="auto"/>
      </w:pPr>
      <w:r>
        <w:rPr>
          <w:rStyle w:val="ad"/>
        </w:rPr>
        <w:footnoteRef/>
      </w:r>
      <w:r>
        <w:t xml:space="preserve"> Total trading volume is an estimate of total activity in transactions against the shekel, based on reports by the domestic banking system and by foreign reporting entities.</w:t>
      </w:r>
    </w:p>
  </w:footnote>
  <w:footnote w:id="5">
    <w:p w14:paraId="3389A131" w14:textId="753DC415" w:rsidR="005F6E5B" w:rsidRDefault="005F6E5B">
      <w:pPr>
        <w:pStyle w:val="ab"/>
      </w:pPr>
      <w:r w:rsidRPr="00395A70">
        <w:rPr>
          <w:rStyle w:val="ad"/>
        </w:rPr>
        <w:footnoteRef/>
      </w:r>
      <w:r w:rsidRPr="00395A70">
        <w:t xml:space="preserve"> For the full list of weights, click </w:t>
      </w:r>
      <w:hyperlink r:id="rId1" w:history="1">
        <w:r w:rsidRPr="00395A70">
          <w:rPr>
            <w:rStyle w:val="Hyperlink"/>
          </w:rPr>
          <w:t>here</w:t>
        </w:r>
      </w:hyperlink>
      <w:r w:rsidRPr="00395A7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E95DB1"/>
    <w:multiLevelType w:val="hybridMultilevel"/>
    <w:tmpl w:val="1AB6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a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2D0"/>
    <w:rsid w:val="00000A06"/>
    <w:rsid w:val="000063E5"/>
    <w:rsid w:val="000123AF"/>
    <w:rsid w:val="000133C4"/>
    <w:rsid w:val="0001385E"/>
    <w:rsid w:val="000138F5"/>
    <w:rsid w:val="0001413F"/>
    <w:rsid w:val="00020C20"/>
    <w:rsid w:val="0002528B"/>
    <w:rsid w:val="00031541"/>
    <w:rsid w:val="00034686"/>
    <w:rsid w:val="00051AE6"/>
    <w:rsid w:val="000526A0"/>
    <w:rsid w:val="00052DFD"/>
    <w:rsid w:val="0005726E"/>
    <w:rsid w:val="00061625"/>
    <w:rsid w:val="00064641"/>
    <w:rsid w:val="00065F2F"/>
    <w:rsid w:val="00074802"/>
    <w:rsid w:val="0008141D"/>
    <w:rsid w:val="00096380"/>
    <w:rsid w:val="000A2172"/>
    <w:rsid w:val="000A2D52"/>
    <w:rsid w:val="000A520E"/>
    <w:rsid w:val="000A65E5"/>
    <w:rsid w:val="000B66D6"/>
    <w:rsid w:val="000C0E73"/>
    <w:rsid w:val="000C1512"/>
    <w:rsid w:val="000C5557"/>
    <w:rsid w:val="000C57D0"/>
    <w:rsid w:val="000C5EF4"/>
    <w:rsid w:val="000D22EB"/>
    <w:rsid w:val="000D26BE"/>
    <w:rsid w:val="000D4B4A"/>
    <w:rsid w:val="000E1A34"/>
    <w:rsid w:val="000E2845"/>
    <w:rsid w:val="000E5335"/>
    <w:rsid w:val="000E6E53"/>
    <w:rsid w:val="000F5EA6"/>
    <w:rsid w:val="001001A2"/>
    <w:rsid w:val="00101B55"/>
    <w:rsid w:val="001030DF"/>
    <w:rsid w:val="001204D4"/>
    <w:rsid w:val="001254A8"/>
    <w:rsid w:val="00130245"/>
    <w:rsid w:val="0013070F"/>
    <w:rsid w:val="001428C4"/>
    <w:rsid w:val="00143F3A"/>
    <w:rsid w:val="001459BD"/>
    <w:rsid w:val="00151140"/>
    <w:rsid w:val="0015175D"/>
    <w:rsid w:val="00153DE6"/>
    <w:rsid w:val="00154D08"/>
    <w:rsid w:val="00160B25"/>
    <w:rsid w:val="00165EE7"/>
    <w:rsid w:val="00170192"/>
    <w:rsid w:val="001707E0"/>
    <w:rsid w:val="00171B30"/>
    <w:rsid w:val="001721C7"/>
    <w:rsid w:val="00172B27"/>
    <w:rsid w:val="00176396"/>
    <w:rsid w:val="0017665B"/>
    <w:rsid w:val="0017718E"/>
    <w:rsid w:val="00183AE0"/>
    <w:rsid w:val="00194595"/>
    <w:rsid w:val="0019621E"/>
    <w:rsid w:val="0019782B"/>
    <w:rsid w:val="001B1084"/>
    <w:rsid w:val="001B2122"/>
    <w:rsid w:val="001B4974"/>
    <w:rsid w:val="001B4D8F"/>
    <w:rsid w:val="001B4E73"/>
    <w:rsid w:val="001C07E2"/>
    <w:rsid w:val="001C1BC1"/>
    <w:rsid w:val="001C1FA3"/>
    <w:rsid w:val="001C2790"/>
    <w:rsid w:val="001C2E7B"/>
    <w:rsid w:val="001C388F"/>
    <w:rsid w:val="001C41F2"/>
    <w:rsid w:val="001C64AE"/>
    <w:rsid w:val="001C71E8"/>
    <w:rsid w:val="001D0AB4"/>
    <w:rsid w:val="001D2EB5"/>
    <w:rsid w:val="001D6426"/>
    <w:rsid w:val="001D7072"/>
    <w:rsid w:val="001E3DF2"/>
    <w:rsid w:val="001E409B"/>
    <w:rsid w:val="001F527C"/>
    <w:rsid w:val="001F6A4A"/>
    <w:rsid w:val="001F7971"/>
    <w:rsid w:val="002005DD"/>
    <w:rsid w:val="00206276"/>
    <w:rsid w:val="00212F75"/>
    <w:rsid w:val="0021327F"/>
    <w:rsid w:val="0021416E"/>
    <w:rsid w:val="00216E35"/>
    <w:rsid w:val="0021704D"/>
    <w:rsid w:val="00220D65"/>
    <w:rsid w:val="00221362"/>
    <w:rsid w:val="00227FCB"/>
    <w:rsid w:val="002316F9"/>
    <w:rsid w:val="002331FC"/>
    <w:rsid w:val="00236B78"/>
    <w:rsid w:val="00237CE5"/>
    <w:rsid w:val="0024066C"/>
    <w:rsid w:val="0024170D"/>
    <w:rsid w:val="00242823"/>
    <w:rsid w:val="00252F9E"/>
    <w:rsid w:val="00264C17"/>
    <w:rsid w:val="002669C3"/>
    <w:rsid w:val="0027498F"/>
    <w:rsid w:val="00280A66"/>
    <w:rsid w:val="00280E43"/>
    <w:rsid w:val="00281C70"/>
    <w:rsid w:val="00282F65"/>
    <w:rsid w:val="002860E9"/>
    <w:rsid w:val="00294ABA"/>
    <w:rsid w:val="00295F5E"/>
    <w:rsid w:val="00297AC8"/>
    <w:rsid w:val="002A00BC"/>
    <w:rsid w:val="002A0D2A"/>
    <w:rsid w:val="002A51FC"/>
    <w:rsid w:val="002A6B07"/>
    <w:rsid w:val="002A7244"/>
    <w:rsid w:val="002B1BC6"/>
    <w:rsid w:val="002B48CC"/>
    <w:rsid w:val="002B763A"/>
    <w:rsid w:val="002C248A"/>
    <w:rsid w:val="002D7BBC"/>
    <w:rsid w:val="002E2128"/>
    <w:rsid w:val="002E4AB3"/>
    <w:rsid w:val="002F0525"/>
    <w:rsid w:val="003004FD"/>
    <w:rsid w:val="0030279B"/>
    <w:rsid w:val="00303015"/>
    <w:rsid w:val="00305D1D"/>
    <w:rsid w:val="003129D6"/>
    <w:rsid w:val="003136EE"/>
    <w:rsid w:val="00316664"/>
    <w:rsid w:val="00316A5F"/>
    <w:rsid w:val="00340E06"/>
    <w:rsid w:val="00344AA9"/>
    <w:rsid w:val="0034638A"/>
    <w:rsid w:val="00347A38"/>
    <w:rsid w:val="003549F0"/>
    <w:rsid w:val="003617D2"/>
    <w:rsid w:val="00361C9E"/>
    <w:rsid w:val="00362D57"/>
    <w:rsid w:val="003663BD"/>
    <w:rsid w:val="00372416"/>
    <w:rsid w:val="003727EE"/>
    <w:rsid w:val="003772AF"/>
    <w:rsid w:val="00383088"/>
    <w:rsid w:val="00385CB3"/>
    <w:rsid w:val="00387840"/>
    <w:rsid w:val="00387DD7"/>
    <w:rsid w:val="00390345"/>
    <w:rsid w:val="0039059D"/>
    <w:rsid w:val="00390CA5"/>
    <w:rsid w:val="00392CE6"/>
    <w:rsid w:val="003937E7"/>
    <w:rsid w:val="00395A70"/>
    <w:rsid w:val="00397AA4"/>
    <w:rsid w:val="003A103D"/>
    <w:rsid w:val="003A15FE"/>
    <w:rsid w:val="003A335C"/>
    <w:rsid w:val="003A3813"/>
    <w:rsid w:val="003B0F1E"/>
    <w:rsid w:val="003B715F"/>
    <w:rsid w:val="003B7DC3"/>
    <w:rsid w:val="003C063B"/>
    <w:rsid w:val="003C44AE"/>
    <w:rsid w:val="003C45F4"/>
    <w:rsid w:val="003C7815"/>
    <w:rsid w:val="003D23B5"/>
    <w:rsid w:val="003D6F31"/>
    <w:rsid w:val="003D7088"/>
    <w:rsid w:val="003D7860"/>
    <w:rsid w:val="003D7C2F"/>
    <w:rsid w:val="003E0D23"/>
    <w:rsid w:val="003F6116"/>
    <w:rsid w:val="00411BA4"/>
    <w:rsid w:val="00412846"/>
    <w:rsid w:val="004137E7"/>
    <w:rsid w:val="004147FC"/>
    <w:rsid w:val="00416E0A"/>
    <w:rsid w:val="00416F2B"/>
    <w:rsid w:val="0041749E"/>
    <w:rsid w:val="00424296"/>
    <w:rsid w:val="004247DA"/>
    <w:rsid w:val="00426CA2"/>
    <w:rsid w:val="00431281"/>
    <w:rsid w:val="00435260"/>
    <w:rsid w:val="004357B2"/>
    <w:rsid w:val="004376D8"/>
    <w:rsid w:val="0044125C"/>
    <w:rsid w:val="00445B15"/>
    <w:rsid w:val="004506C0"/>
    <w:rsid w:val="004574F7"/>
    <w:rsid w:val="00461E98"/>
    <w:rsid w:val="00465721"/>
    <w:rsid w:val="00466441"/>
    <w:rsid w:val="00467FFB"/>
    <w:rsid w:val="004710A5"/>
    <w:rsid w:val="0047295E"/>
    <w:rsid w:val="0048070C"/>
    <w:rsid w:val="00492391"/>
    <w:rsid w:val="00492AB3"/>
    <w:rsid w:val="00497B95"/>
    <w:rsid w:val="004A0425"/>
    <w:rsid w:val="004A20A5"/>
    <w:rsid w:val="004A548C"/>
    <w:rsid w:val="004B0CEA"/>
    <w:rsid w:val="004B3F3D"/>
    <w:rsid w:val="004B5E31"/>
    <w:rsid w:val="004C61F9"/>
    <w:rsid w:val="004C6A99"/>
    <w:rsid w:val="004C72D6"/>
    <w:rsid w:val="004D08E6"/>
    <w:rsid w:val="004D32A7"/>
    <w:rsid w:val="004D5D6F"/>
    <w:rsid w:val="004D75D4"/>
    <w:rsid w:val="004E3B8E"/>
    <w:rsid w:val="004E4AEC"/>
    <w:rsid w:val="004E66D9"/>
    <w:rsid w:val="005007E2"/>
    <w:rsid w:val="00500D5A"/>
    <w:rsid w:val="0050183E"/>
    <w:rsid w:val="005122EB"/>
    <w:rsid w:val="00512B40"/>
    <w:rsid w:val="00512DA3"/>
    <w:rsid w:val="005135B6"/>
    <w:rsid w:val="00513B3E"/>
    <w:rsid w:val="0051643E"/>
    <w:rsid w:val="00520577"/>
    <w:rsid w:val="00520ADA"/>
    <w:rsid w:val="00525B10"/>
    <w:rsid w:val="00530A25"/>
    <w:rsid w:val="005316D2"/>
    <w:rsid w:val="005331E3"/>
    <w:rsid w:val="00533CB8"/>
    <w:rsid w:val="005406F8"/>
    <w:rsid w:val="00540991"/>
    <w:rsid w:val="00540A8E"/>
    <w:rsid w:val="00540B03"/>
    <w:rsid w:val="00541838"/>
    <w:rsid w:val="005439FF"/>
    <w:rsid w:val="00544758"/>
    <w:rsid w:val="005462D0"/>
    <w:rsid w:val="00546392"/>
    <w:rsid w:val="00547EBB"/>
    <w:rsid w:val="00556116"/>
    <w:rsid w:val="005613C1"/>
    <w:rsid w:val="00565786"/>
    <w:rsid w:val="0056698A"/>
    <w:rsid w:val="00570280"/>
    <w:rsid w:val="005713A8"/>
    <w:rsid w:val="0058083E"/>
    <w:rsid w:val="00584A0F"/>
    <w:rsid w:val="00587598"/>
    <w:rsid w:val="0059277F"/>
    <w:rsid w:val="0059583A"/>
    <w:rsid w:val="005965B3"/>
    <w:rsid w:val="00596FB4"/>
    <w:rsid w:val="00597398"/>
    <w:rsid w:val="00597BB2"/>
    <w:rsid w:val="00597EED"/>
    <w:rsid w:val="005B1BA1"/>
    <w:rsid w:val="005B3DCE"/>
    <w:rsid w:val="005B3EEA"/>
    <w:rsid w:val="005B529D"/>
    <w:rsid w:val="005C7628"/>
    <w:rsid w:val="005D1CE7"/>
    <w:rsid w:val="005D39B6"/>
    <w:rsid w:val="005D7130"/>
    <w:rsid w:val="005E15BD"/>
    <w:rsid w:val="005E26D2"/>
    <w:rsid w:val="005E27F9"/>
    <w:rsid w:val="005E5212"/>
    <w:rsid w:val="005F20E9"/>
    <w:rsid w:val="005F3E47"/>
    <w:rsid w:val="005F6E5B"/>
    <w:rsid w:val="005F7744"/>
    <w:rsid w:val="00600224"/>
    <w:rsid w:val="0060215A"/>
    <w:rsid w:val="00602CBA"/>
    <w:rsid w:val="00604322"/>
    <w:rsid w:val="006050B1"/>
    <w:rsid w:val="00606124"/>
    <w:rsid w:val="0061530A"/>
    <w:rsid w:val="0061692C"/>
    <w:rsid w:val="006216F9"/>
    <w:rsid w:val="00621BB5"/>
    <w:rsid w:val="006223DB"/>
    <w:rsid w:val="00623A3E"/>
    <w:rsid w:val="0062658F"/>
    <w:rsid w:val="0063362C"/>
    <w:rsid w:val="006349E3"/>
    <w:rsid w:val="0063514B"/>
    <w:rsid w:val="00642252"/>
    <w:rsid w:val="006425AC"/>
    <w:rsid w:val="006426A2"/>
    <w:rsid w:val="0064703F"/>
    <w:rsid w:val="00651C22"/>
    <w:rsid w:val="00652D53"/>
    <w:rsid w:val="0065569A"/>
    <w:rsid w:val="006558DE"/>
    <w:rsid w:val="0066534F"/>
    <w:rsid w:val="00672104"/>
    <w:rsid w:val="006730BD"/>
    <w:rsid w:val="006777B7"/>
    <w:rsid w:val="006778D4"/>
    <w:rsid w:val="006811E6"/>
    <w:rsid w:val="006855BF"/>
    <w:rsid w:val="00692468"/>
    <w:rsid w:val="00694180"/>
    <w:rsid w:val="00696602"/>
    <w:rsid w:val="006A301B"/>
    <w:rsid w:val="006A3FC4"/>
    <w:rsid w:val="006A6BEF"/>
    <w:rsid w:val="006B37A4"/>
    <w:rsid w:val="006B4862"/>
    <w:rsid w:val="006B679C"/>
    <w:rsid w:val="006B7D9D"/>
    <w:rsid w:val="006C070A"/>
    <w:rsid w:val="006C1C18"/>
    <w:rsid w:val="006C3672"/>
    <w:rsid w:val="006C6B43"/>
    <w:rsid w:val="006D3582"/>
    <w:rsid w:val="006D3D86"/>
    <w:rsid w:val="006D4768"/>
    <w:rsid w:val="006D5EA0"/>
    <w:rsid w:val="006E0BC7"/>
    <w:rsid w:val="006E38CA"/>
    <w:rsid w:val="006F20E9"/>
    <w:rsid w:val="0070039B"/>
    <w:rsid w:val="00701938"/>
    <w:rsid w:val="00707976"/>
    <w:rsid w:val="00707AC7"/>
    <w:rsid w:val="00716379"/>
    <w:rsid w:val="0072067C"/>
    <w:rsid w:val="00721560"/>
    <w:rsid w:val="007218B0"/>
    <w:rsid w:val="00723DBF"/>
    <w:rsid w:val="00724066"/>
    <w:rsid w:val="007322D7"/>
    <w:rsid w:val="007326B5"/>
    <w:rsid w:val="0073283D"/>
    <w:rsid w:val="00733ACE"/>
    <w:rsid w:val="00735737"/>
    <w:rsid w:val="00736B67"/>
    <w:rsid w:val="0073750A"/>
    <w:rsid w:val="0074341E"/>
    <w:rsid w:val="00750EC7"/>
    <w:rsid w:val="00751F08"/>
    <w:rsid w:val="00756100"/>
    <w:rsid w:val="00757A52"/>
    <w:rsid w:val="00757B9D"/>
    <w:rsid w:val="007604B4"/>
    <w:rsid w:val="007621F1"/>
    <w:rsid w:val="00766664"/>
    <w:rsid w:val="007666A8"/>
    <w:rsid w:val="007764CA"/>
    <w:rsid w:val="0078051F"/>
    <w:rsid w:val="00785BD2"/>
    <w:rsid w:val="007876B0"/>
    <w:rsid w:val="00791405"/>
    <w:rsid w:val="00793399"/>
    <w:rsid w:val="00794D46"/>
    <w:rsid w:val="007A2DE7"/>
    <w:rsid w:val="007B2448"/>
    <w:rsid w:val="007B6386"/>
    <w:rsid w:val="007B74E7"/>
    <w:rsid w:val="007C6400"/>
    <w:rsid w:val="007D1025"/>
    <w:rsid w:val="007D2403"/>
    <w:rsid w:val="007D57EE"/>
    <w:rsid w:val="007D65DA"/>
    <w:rsid w:val="007E38F9"/>
    <w:rsid w:val="007F0CCC"/>
    <w:rsid w:val="007F1559"/>
    <w:rsid w:val="007F6F44"/>
    <w:rsid w:val="007F7993"/>
    <w:rsid w:val="008049BE"/>
    <w:rsid w:val="00805221"/>
    <w:rsid w:val="008059F1"/>
    <w:rsid w:val="008072EF"/>
    <w:rsid w:val="0081026B"/>
    <w:rsid w:val="0081371F"/>
    <w:rsid w:val="00834456"/>
    <w:rsid w:val="008403F1"/>
    <w:rsid w:val="008412E8"/>
    <w:rsid w:val="00842BAF"/>
    <w:rsid w:val="0085046F"/>
    <w:rsid w:val="008507C5"/>
    <w:rsid w:val="00853938"/>
    <w:rsid w:val="008639EC"/>
    <w:rsid w:val="00864C55"/>
    <w:rsid w:val="008659EE"/>
    <w:rsid w:val="00872640"/>
    <w:rsid w:val="00875999"/>
    <w:rsid w:val="0087642C"/>
    <w:rsid w:val="00877705"/>
    <w:rsid w:val="008829AB"/>
    <w:rsid w:val="00884B49"/>
    <w:rsid w:val="00886CC2"/>
    <w:rsid w:val="008872F8"/>
    <w:rsid w:val="00887755"/>
    <w:rsid w:val="00892E93"/>
    <w:rsid w:val="00894249"/>
    <w:rsid w:val="008960F7"/>
    <w:rsid w:val="008A3B4D"/>
    <w:rsid w:val="008A4204"/>
    <w:rsid w:val="008A7212"/>
    <w:rsid w:val="008A72D3"/>
    <w:rsid w:val="008B0D77"/>
    <w:rsid w:val="008B4273"/>
    <w:rsid w:val="008B6833"/>
    <w:rsid w:val="008B7464"/>
    <w:rsid w:val="008C0C91"/>
    <w:rsid w:val="008C6903"/>
    <w:rsid w:val="008D11D4"/>
    <w:rsid w:val="008D1A2C"/>
    <w:rsid w:val="008D46BB"/>
    <w:rsid w:val="008D4B9C"/>
    <w:rsid w:val="008D58D4"/>
    <w:rsid w:val="008D6BC5"/>
    <w:rsid w:val="008D6FB6"/>
    <w:rsid w:val="008E635D"/>
    <w:rsid w:val="008E674E"/>
    <w:rsid w:val="008E7D15"/>
    <w:rsid w:val="008F1D45"/>
    <w:rsid w:val="008F2476"/>
    <w:rsid w:val="0091307F"/>
    <w:rsid w:val="00915D25"/>
    <w:rsid w:val="0091626D"/>
    <w:rsid w:val="00923347"/>
    <w:rsid w:val="00924942"/>
    <w:rsid w:val="00926495"/>
    <w:rsid w:val="009338FA"/>
    <w:rsid w:val="00933EF4"/>
    <w:rsid w:val="0093574D"/>
    <w:rsid w:val="009400D8"/>
    <w:rsid w:val="009438E2"/>
    <w:rsid w:val="00952674"/>
    <w:rsid w:val="009609FA"/>
    <w:rsid w:val="00961BD6"/>
    <w:rsid w:val="009651F0"/>
    <w:rsid w:val="00966025"/>
    <w:rsid w:val="00967248"/>
    <w:rsid w:val="009708C5"/>
    <w:rsid w:val="0097278E"/>
    <w:rsid w:val="00973016"/>
    <w:rsid w:val="009744A0"/>
    <w:rsid w:val="009745A6"/>
    <w:rsid w:val="00976781"/>
    <w:rsid w:val="009831EE"/>
    <w:rsid w:val="009844A2"/>
    <w:rsid w:val="009846A7"/>
    <w:rsid w:val="00984FBD"/>
    <w:rsid w:val="00985B16"/>
    <w:rsid w:val="00994D5A"/>
    <w:rsid w:val="00997FAC"/>
    <w:rsid w:val="009A0D29"/>
    <w:rsid w:val="009B15DB"/>
    <w:rsid w:val="009B1778"/>
    <w:rsid w:val="009B1A17"/>
    <w:rsid w:val="009B3F8D"/>
    <w:rsid w:val="009B50A7"/>
    <w:rsid w:val="009B51A5"/>
    <w:rsid w:val="009B5DE0"/>
    <w:rsid w:val="009C1E74"/>
    <w:rsid w:val="009C21B3"/>
    <w:rsid w:val="009C2C42"/>
    <w:rsid w:val="009C3529"/>
    <w:rsid w:val="009C7BCD"/>
    <w:rsid w:val="009D7CDF"/>
    <w:rsid w:val="009E3D4E"/>
    <w:rsid w:val="009E6150"/>
    <w:rsid w:val="009E70F4"/>
    <w:rsid w:val="009F2679"/>
    <w:rsid w:val="00A0590C"/>
    <w:rsid w:val="00A06ACF"/>
    <w:rsid w:val="00A117D2"/>
    <w:rsid w:val="00A15FCE"/>
    <w:rsid w:val="00A1704B"/>
    <w:rsid w:val="00A235FC"/>
    <w:rsid w:val="00A23DBE"/>
    <w:rsid w:val="00A25E08"/>
    <w:rsid w:val="00A32D0E"/>
    <w:rsid w:val="00A33F21"/>
    <w:rsid w:val="00A3533A"/>
    <w:rsid w:val="00A367C5"/>
    <w:rsid w:val="00A37869"/>
    <w:rsid w:val="00A37C5F"/>
    <w:rsid w:val="00A406BA"/>
    <w:rsid w:val="00A41B9A"/>
    <w:rsid w:val="00A44A88"/>
    <w:rsid w:val="00A46934"/>
    <w:rsid w:val="00A501F6"/>
    <w:rsid w:val="00A5201A"/>
    <w:rsid w:val="00A5307A"/>
    <w:rsid w:val="00A56F78"/>
    <w:rsid w:val="00A60725"/>
    <w:rsid w:val="00A62731"/>
    <w:rsid w:val="00A67BBF"/>
    <w:rsid w:val="00A71713"/>
    <w:rsid w:val="00A72122"/>
    <w:rsid w:val="00A725A1"/>
    <w:rsid w:val="00A73A47"/>
    <w:rsid w:val="00A74752"/>
    <w:rsid w:val="00A749E1"/>
    <w:rsid w:val="00A74B6D"/>
    <w:rsid w:val="00A80F11"/>
    <w:rsid w:val="00A811CE"/>
    <w:rsid w:val="00A81355"/>
    <w:rsid w:val="00A81B6C"/>
    <w:rsid w:val="00A82B0D"/>
    <w:rsid w:val="00A8444B"/>
    <w:rsid w:val="00A87DC1"/>
    <w:rsid w:val="00A9039C"/>
    <w:rsid w:val="00A9162A"/>
    <w:rsid w:val="00A94775"/>
    <w:rsid w:val="00A94805"/>
    <w:rsid w:val="00A97D03"/>
    <w:rsid w:val="00AA241D"/>
    <w:rsid w:val="00AA4329"/>
    <w:rsid w:val="00AA7F6F"/>
    <w:rsid w:val="00AB52DC"/>
    <w:rsid w:val="00AB5B37"/>
    <w:rsid w:val="00AB75B4"/>
    <w:rsid w:val="00AC0B5C"/>
    <w:rsid w:val="00AC1143"/>
    <w:rsid w:val="00AC3FC7"/>
    <w:rsid w:val="00AC5D3F"/>
    <w:rsid w:val="00AD0339"/>
    <w:rsid w:val="00AD57E4"/>
    <w:rsid w:val="00AD7CC8"/>
    <w:rsid w:val="00AE645F"/>
    <w:rsid w:val="00AE70C0"/>
    <w:rsid w:val="00AF32A3"/>
    <w:rsid w:val="00AF471B"/>
    <w:rsid w:val="00AF511A"/>
    <w:rsid w:val="00AF67E2"/>
    <w:rsid w:val="00AF6B3A"/>
    <w:rsid w:val="00AF7F92"/>
    <w:rsid w:val="00B04FB0"/>
    <w:rsid w:val="00B05353"/>
    <w:rsid w:val="00B108AE"/>
    <w:rsid w:val="00B13C9D"/>
    <w:rsid w:val="00B20B2B"/>
    <w:rsid w:val="00B21C28"/>
    <w:rsid w:val="00B21CC0"/>
    <w:rsid w:val="00B2783E"/>
    <w:rsid w:val="00B3066D"/>
    <w:rsid w:val="00B37116"/>
    <w:rsid w:val="00B37430"/>
    <w:rsid w:val="00B40E49"/>
    <w:rsid w:val="00B46E33"/>
    <w:rsid w:val="00B47112"/>
    <w:rsid w:val="00B47729"/>
    <w:rsid w:val="00B5463B"/>
    <w:rsid w:val="00B602F6"/>
    <w:rsid w:val="00B64DCF"/>
    <w:rsid w:val="00B66537"/>
    <w:rsid w:val="00B67F37"/>
    <w:rsid w:val="00B701F2"/>
    <w:rsid w:val="00B7455A"/>
    <w:rsid w:val="00B75E66"/>
    <w:rsid w:val="00B76B5D"/>
    <w:rsid w:val="00B84789"/>
    <w:rsid w:val="00B85769"/>
    <w:rsid w:val="00B8751E"/>
    <w:rsid w:val="00B87F00"/>
    <w:rsid w:val="00B903FA"/>
    <w:rsid w:val="00B926AD"/>
    <w:rsid w:val="00B96022"/>
    <w:rsid w:val="00B9767B"/>
    <w:rsid w:val="00BA26B5"/>
    <w:rsid w:val="00BA69BE"/>
    <w:rsid w:val="00BB0B79"/>
    <w:rsid w:val="00BB77A2"/>
    <w:rsid w:val="00BC1596"/>
    <w:rsid w:val="00BC22C6"/>
    <w:rsid w:val="00BC43BA"/>
    <w:rsid w:val="00BC71FF"/>
    <w:rsid w:val="00BC7D84"/>
    <w:rsid w:val="00BD443F"/>
    <w:rsid w:val="00BD70C1"/>
    <w:rsid w:val="00BE27B4"/>
    <w:rsid w:val="00BE480B"/>
    <w:rsid w:val="00BE4B58"/>
    <w:rsid w:val="00BE52BF"/>
    <w:rsid w:val="00BE7ED4"/>
    <w:rsid w:val="00BF2347"/>
    <w:rsid w:val="00BF2C62"/>
    <w:rsid w:val="00BF2D7E"/>
    <w:rsid w:val="00BF428E"/>
    <w:rsid w:val="00BF4848"/>
    <w:rsid w:val="00C01B10"/>
    <w:rsid w:val="00C12090"/>
    <w:rsid w:val="00C13F51"/>
    <w:rsid w:val="00C14E00"/>
    <w:rsid w:val="00C15121"/>
    <w:rsid w:val="00C15BBE"/>
    <w:rsid w:val="00C162A8"/>
    <w:rsid w:val="00C171FF"/>
    <w:rsid w:val="00C21009"/>
    <w:rsid w:val="00C210E7"/>
    <w:rsid w:val="00C21C2F"/>
    <w:rsid w:val="00C25F53"/>
    <w:rsid w:val="00C26558"/>
    <w:rsid w:val="00C270C6"/>
    <w:rsid w:val="00C3350A"/>
    <w:rsid w:val="00C36B70"/>
    <w:rsid w:val="00C37129"/>
    <w:rsid w:val="00C443BC"/>
    <w:rsid w:val="00C47F00"/>
    <w:rsid w:val="00C52FC2"/>
    <w:rsid w:val="00C54DA8"/>
    <w:rsid w:val="00C56BA1"/>
    <w:rsid w:val="00C6128E"/>
    <w:rsid w:val="00C61C43"/>
    <w:rsid w:val="00C62192"/>
    <w:rsid w:val="00C62D37"/>
    <w:rsid w:val="00C74190"/>
    <w:rsid w:val="00C76E10"/>
    <w:rsid w:val="00C777AD"/>
    <w:rsid w:val="00C809DA"/>
    <w:rsid w:val="00C81A02"/>
    <w:rsid w:val="00C869D7"/>
    <w:rsid w:val="00C90887"/>
    <w:rsid w:val="00CA01A1"/>
    <w:rsid w:val="00CA0822"/>
    <w:rsid w:val="00CA2CA0"/>
    <w:rsid w:val="00CB155C"/>
    <w:rsid w:val="00CC2ABA"/>
    <w:rsid w:val="00CC58F8"/>
    <w:rsid w:val="00CC6D30"/>
    <w:rsid w:val="00CD01C3"/>
    <w:rsid w:val="00CD43DC"/>
    <w:rsid w:val="00CD70B6"/>
    <w:rsid w:val="00CE0B40"/>
    <w:rsid w:val="00CE1103"/>
    <w:rsid w:val="00CE319F"/>
    <w:rsid w:val="00CE4684"/>
    <w:rsid w:val="00CE529E"/>
    <w:rsid w:val="00CE580B"/>
    <w:rsid w:val="00CF0D7A"/>
    <w:rsid w:val="00CF4AFC"/>
    <w:rsid w:val="00CF5CEA"/>
    <w:rsid w:val="00CF63C0"/>
    <w:rsid w:val="00D005EC"/>
    <w:rsid w:val="00D05632"/>
    <w:rsid w:val="00D072D6"/>
    <w:rsid w:val="00D10A47"/>
    <w:rsid w:val="00D10AE3"/>
    <w:rsid w:val="00D110EB"/>
    <w:rsid w:val="00D116BE"/>
    <w:rsid w:val="00D12941"/>
    <w:rsid w:val="00D17014"/>
    <w:rsid w:val="00D1753D"/>
    <w:rsid w:val="00D211FE"/>
    <w:rsid w:val="00D27A38"/>
    <w:rsid w:val="00D31076"/>
    <w:rsid w:val="00D313DC"/>
    <w:rsid w:val="00D31E5D"/>
    <w:rsid w:val="00D32D46"/>
    <w:rsid w:val="00D32DDD"/>
    <w:rsid w:val="00D37632"/>
    <w:rsid w:val="00D40E9F"/>
    <w:rsid w:val="00D43C5B"/>
    <w:rsid w:val="00D43E2E"/>
    <w:rsid w:val="00D46A6F"/>
    <w:rsid w:val="00D554DA"/>
    <w:rsid w:val="00D60BFC"/>
    <w:rsid w:val="00D60FF3"/>
    <w:rsid w:val="00D648E1"/>
    <w:rsid w:val="00D67C46"/>
    <w:rsid w:val="00D67FD3"/>
    <w:rsid w:val="00D80DD5"/>
    <w:rsid w:val="00D83702"/>
    <w:rsid w:val="00D906D3"/>
    <w:rsid w:val="00D907A2"/>
    <w:rsid w:val="00D914B7"/>
    <w:rsid w:val="00D934F6"/>
    <w:rsid w:val="00DA65FA"/>
    <w:rsid w:val="00DB0F47"/>
    <w:rsid w:val="00DB291D"/>
    <w:rsid w:val="00DB3BD6"/>
    <w:rsid w:val="00DB402E"/>
    <w:rsid w:val="00DC2C2B"/>
    <w:rsid w:val="00DC3A5B"/>
    <w:rsid w:val="00DC49A5"/>
    <w:rsid w:val="00DE0078"/>
    <w:rsid w:val="00DE01A0"/>
    <w:rsid w:val="00DE0699"/>
    <w:rsid w:val="00DE2E73"/>
    <w:rsid w:val="00DE5E8B"/>
    <w:rsid w:val="00DF4CC2"/>
    <w:rsid w:val="00DF5143"/>
    <w:rsid w:val="00DF6966"/>
    <w:rsid w:val="00E00873"/>
    <w:rsid w:val="00E01704"/>
    <w:rsid w:val="00E020E5"/>
    <w:rsid w:val="00E04222"/>
    <w:rsid w:val="00E04770"/>
    <w:rsid w:val="00E04D4F"/>
    <w:rsid w:val="00E11590"/>
    <w:rsid w:val="00E13283"/>
    <w:rsid w:val="00E2493A"/>
    <w:rsid w:val="00E24F40"/>
    <w:rsid w:val="00E25475"/>
    <w:rsid w:val="00E3503F"/>
    <w:rsid w:val="00E3560C"/>
    <w:rsid w:val="00E37851"/>
    <w:rsid w:val="00E40ED5"/>
    <w:rsid w:val="00E42C0F"/>
    <w:rsid w:val="00E503AA"/>
    <w:rsid w:val="00E52455"/>
    <w:rsid w:val="00E5462E"/>
    <w:rsid w:val="00E56749"/>
    <w:rsid w:val="00E6114C"/>
    <w:rsid w:val="00E61393"/>
    <w:rsid w:val="00E64202"/>
    <w:rsid w:val="00E64B36"/>
    <w:rsid w:val="00E660F1"/>
    <w:rsid w:val="00E673F0"/>
    <w:rsid w:val="00E71475"/>
    <w:rsid w:val="00E7335C"/>
    <w:rsid w:val="00E8005F"/>
    <w:rsid w:val="00E8008F"/>
    <w:rsid w:val="00E809A4"/>
    <w:rsid w:val="00E8290A"/>
    <w:rsid w:val="00E84DD6"/>
    <w:rsid w:val="00E85DB1"/>
    <w:rsid w:val="00E87603"/>
    <w:rsid w:val="00E927D0"/>
    <w:rsid w:val="00E97A52"/>
    <w:rsid w:val="00EA035A"/>
    <w:rsid w:val="00EA4091"/>
    <w:rsid w:val="00EB07CD"/>
    <w:rsid w:val="00EB0DEC"/>
    <w:rsid w:val="00EB44F5"/>
    <w:rsid w:val="00EB64E3"/>
    <w:rsid w:val="00EB669A"/>
    <w:rsid w:val="00EC13FB"/>
    <w:rsid w:val="00EC1C00"/>
    <w:rsid w:val="00EC46DA"/>
    <w:rsid w:val="00EC48D4"/>
    <w:rsid w:val="00EC6A33"/>
    <w:rsid w:val="00ED08A0"/>
    <w:rsid w:val="00ED2DF8"/>
    <w:rsid w:val="00ED477C"/>
    <w:rsid w:val="00ED5226"/>
    <w:rsid w:val="00ED5B65"/>
    <w:rsid w:val="00EE0BA4"/>
    <w:rsid w:val="00EE1353"/>
    <w:rsid w:val="00EE1511"/>
    <w:rsid w:val="00EE17C2"/>
    <w:rsid w:val="00EE2AA0"/>
    <w:rsid w:val="00EF0372"/>
    <w:rsid w:val="00EF1AC2"/>
    <w:rsid w:val="00EF312C"/>
    <w:rsid w:val="00EF71C5"/>
    <w:rsid w:val="00EF7FCA"/>
    <w:rsid w:val="00F00D13"/>
    <w:rsid w:val="00F031B0"/>
    <w:rsid w:val="00F03B49"/>
    <w:rsid w:val="00F04C09"/>
    <w:rsid w:val="00F0508D"/>
    <w:rsid w:val="00F06E4F"/>
    <w:rsid w:val="00F101FA"/>
    <w:rsid w:val="00F15890"/>
    <w:rsid w:val="00F15922"/>
    <w:rsid w:val="00F15E93"/>
    <w:rsid w:val="00F24C4E"/>
    <w:rsid w:val="00F307FA"/>
    <w:rsid w:val="00F4293B"/>
    <w:rsid w:val="00F43537"/>
    <w:rsid w:val="00F4540B"/>
    <w:rsid w:val="00F53236"/>
    <w:rsid w:val="00F563D6"/>
    <w:rsid w:val="00F56917"/>
    <w:rsid w:val="00F576F6"/>
    <w:rsid w:val="00F6263E"/>
    <w:rsid w:val="00F806F6"/>
    <w:rsid w:val="00F81BEE"/>
    <w:rsid w:val="00F81D9F"/>
    <w:rsid w:val="00F8267E"/>
    <w:rsid w:val="00F82AC5"/>
    <w:rsid w:val="00F83B0F"/>
    <w:rsid w:val="00F84DAD"/>
    <w:rsid w:val="00F85F66"/>
    <w:rsid w:val="00F87F2D"/>
    <w:rsid w:val="00F91EA0"/>
    <w:rsid w:val="00F94E2E"/>
    <w:rsid w:val="00FA13BA"/>
    <w:rsid w:val="00FA28D4"/>
    <w:rsid w:val="00FA4531"/>
    <w:rsid w:val="00FA4548"/>
    <w:rsid w:val="00FB0D59"/>
    <w:rsid w:val="00FB4279"/>
    <w:rsid w:val="00FB7F0A"/>
    <w:rsid w:val="00FC2A67"/>
    <w:rsid w:val="00FD07FC"/>
    <w:rsid w:val="00FD18A0"/>
    <w:rsid w:val="00FD7E54"/>
    <w:rsid w:val="00FE4E0E"/>
    <w:rsid w:val="00FE5D3B"/>
    <w:rsid w:val="00FF017C"/>
    <w:rsid w:val="00FF1C5A"/>
    <w:rsid w:val="00FF4620"/>
    <w:rsid w:val="00FF5D0D"/>
    <w:rsid w:val="00FF5E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F68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72AF"/>
    <w:pPr>
      <w:bidi/>
    </w:pPr>
    <w:rPr>
      <w:sz w:val="24"/>
      <w:szCs w:val="24"/>
    </w:rPr>
  </w:style>
  <w:style w:type="paragraph" w:styleId="1">
    <w:name w:val="heading 1"/>
    <w:basedOn w:val="a"/>
    <w:next w:val="a"/>
    <w:qFormat/>
    <w:rsid w:val="0081026B"/>
    <w:pPr>
      <w:keepNext/>
      <w:spacing w:before="240" w:after="60"/>
      <w:outlineLvl w:val="0"/>
    </w:pPr>
    <w:rPr>
      <w:b/>
      <w:bCs/>
      <w:kern w:val="32"/>
      <w:sz w:val="32"/>
      <w:szCs w:val="32"/>
    </w:rPr>
  </w:style>
  <w:style w:type="paragraph" w:styleId="2">
    <w:name w:val="heading 2"/>
    <w:basedOn w:val="a"/>
    <w:next w:val="a"/>
    <w:qFormat/>
    <w:rsid w:val="0081026B"/>
    <w:pPr>
      <w:keepNext/>
      <w:spacing w:before="240" w:after="60"/>
      <w:outlineLvl w:val="1"/>
    </w:pPr>
    <w:rPr>
      <w:b/>
      <w:bCs/>
      <w:i/>
      <w:iCs/>
      <w:sz w:val="28"/>
      <w:szCs w:val="28"/>
    </w:rPr>
  </w:style>
  <w:style w:type="paragraph" w:styleId="3">
    <w:name w:val="heading 3"/>
    <w:basedOn w:val="a"/>
    <w:next w:val="a"/>
    <w:qFormat/>
    <w:rsid w:val="0081026B"/>
    <w:pPr>
      <w:keepNext/>
      <w:spacing w:before="240" w:after="60"/>
      <w:outlineLvl w:val="2"/>
    </w:pPr>
    <w:rPr>
      <w:b/>
      <w:bCs/>
      <w:sz w:val="26"/>
      <w:szCs w:val="26"/>
    </w:rPr>
  </w:style>
  <w:style w:type="paragraph" w:styleId="4">
    <w:name w:val="heading 4"/>
    <w:basedOn w:val="a"/>
    <w:next w:val="a"/>
    <w:qFormat/>
    <w:rsid w:val="0081026B"/>
    <w:pPr>
      <w:keepNext/>
      <w:spacing w:before="240" w:after="60"/>
      <w:outlineLvl w:val="3"/>
    </w:pPr>
    <w:rPr>
      <w:b/>
      <w:bCs/>
      <w:sz w:val="28"/>
      <w:szCs w:val="28"/>
    </w:rPr>
  </w:style>
  <w:style w:type="paragraph" w:styleId="5">
    <w:name w:val="heading 5"/>
    <w:basedOn w:val="a"/>
    <w:next w:val="a"/>
    <w:qFormat/>
    <w:rsid w:val="0081026B"/>
    <w:pPr>
      <w:spacing w:before="240" w:after="60"/>
      <w:outlineLvl w:val="4"/>
    </w:pPr>
    <w:rPr>
      <w:b/>
      <w:bCs/>
      <w:i/>
      <w:iCs/>
      <w:sz w:val="26"/>
      <w:szCs w:val="26"/>
    </w:rPr>
  </w:style>
  <w:style w:type="paragraph" w:styleId="6">
    <w:name w:val="heading 6"/>
    <w:basedOn w:val="a"/>
    <w:next w:val="a"/>
    <w:qFormat/>
    <w:rsid w:val="0081026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462D0"/>
    <w:pPr>
      <w:tabs>
        <w:tab w:val="center" w:pos="4153"/>
        <w:tab w:val="right" w:pos="8306"/>
      </w:tabs>
    </w:pPr>
  </w:style>
  <w:style w:type="paragraph" w:customStyle="1" w:styleId="regpar">
    <w:name w:val="regpar"/>
    <w:basedOn w:val="a"/>
    <w:rsid w:val="005462D0"/>
    <w:pPr>
      <w:bidi w:val="0"/>
      <w:spacing w:line="300" w:lineRule="exact"/>
      <w:ind w:firstLine="240"/>
      <w:jc w:val="both"/>
    </w:pPr>
    <w:rPr>
      <w:rFonts w:ascii="Times" w:hAnsi="Times" w:cs="Times"/>
    </w:rPr>
  </w:style>
  <w:style w:type="table" w:styleId="a5">
    <w:name w:val="Table Theme"/>
    <w:basedOn w:val="a1"/>
    <w:rsid w:val="0081026B"/>
    <w:pPr>
      <w:bidi/>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yperlink">
    <w:name w:val="Hyperlink"/>
    <w:rsid w:val="0081026B"/>
    <w:rPr>
      <w:color w:val="0000FF"/>
      <w:u w:val="single"/>
    </w:rPr>
  </w:style>
  <w:style w:type="character" w:styleId="FollowedHyperlink">
    <w:name w:val="FollowedHyperlink"/>
    <w:rsid w:val="0081026B"/>
    <w:rPr>
      <w:color w:val="606420"/>
      <w:u w:val="single"/>
    </w:rPr>
  </w:style>
  <w:style w:type="paragraph" w:styleId="a6">
    <w:name w:val="footer"/>
    <w:basedOn w:val="a"/>
    <w:link w:val="a7"/>
    <w:uiPriority w:val="99"/>
    <w:rsid w:val="00E64B36"/>
    <w:pPr>
      <w:tabs>
        <w:tab w:val="center" w:pos="4153"/>
        <w:tab w:val="right" w:pos="8306"/>
      </w:tabs>
    </w:pPr>
  </w:style>
  <w:style w:type="character" w:customStyle="1" w:styleId="a7">
    <w:name w:val="כותרת תחתונה תו"/>
    <w:link w:val="a6"/>
    <w:uiPriority w:val="99"/>
    <w:rsid w:val="00E64B36"/>
    <w:rPr>
      <w:sz w:val="24"/>
      <w:szCs w:val="24"/>
    </w:rPr>
  </w:style>
  <w:style w:type="character" w:customStyle="1" w:styleId="a4">
    <w:name w:val="כותרת עליונה תו"/>
    <w:link w:val="a3"/>
    <w:uiPriority w:val="99"/>
    <w:rsid w:val="00E64B36"/>
    <w:rPr>
      <w:sz w:val="24"/>
      <w:szCs w:val="24"/>
    </w:rPr>
  </w:style>
  <w:style w:type="paragraph" w:styleId="a8">
    <w:name w:val="Balloon Text"/>
    <w:basedOn w:val="a"/>
    <w:link w:val="a9"/>
    <w:rsid w:val="00E64B36"/>
    <w:rPr>
      <w:rFonts w:ascii="Tahoma" w:hAnsi="Tahoma" w:cs="Tahoma"/>
      <w:sz w:val="16"/>
      <w:szCs w:val="16"/>
    </w:rPr>
  </w:style>
  <w:style w:type="character" w:customStyle="1" w:styleId="a9">
    <w:name w:val="טקסט בלונים תו"/>
    <w:link w:val="a8"/>
    <w:rsid w:val="00E64B36"/>
    <w:rPr>
      <w:rFonts w:ascii="Tahoma" w:hAnsi="Tahoma" w:cs="Tahoma"/>
      <w:sz w:val="16"/>
      <w:szCs w:val="16"/>
    </w:rPr>
  </w:style>
  <w:style w:type="paragraph" w:styleId="aa">
    <w:name w:val="List Paragraph"/>
    <w:basedOn w:val="a"/>
    <w:uiPriority w:val="34"/>
    <w:qFormat/>
    <w:rsid w:val="00961BD6"/>
    <w:pPr>
      <w:bidi w:val="0"/>
      <w:ind w:left="720"/>
      <w:contextualSpacing/>
    </w:pPr>
    <w:rPr>
      <w:rFonts w:eastAsia="Calibri" w:cs="Arial"/>
      <w:szCs w:val="22"/>
    </w:rPr>
  </w:style>
  <w:style w:type="paragraph" w:styleId="ab">
    <w:name w:val="footnote text"/>
    <w:basedOn w:val="a"/>
    <w:link w:val="ac"/>
    <w:uiPriority w:val="99"/>
    <w:unhideWhenUsed/>
    <w:rsid w:val="00596FB4"/>
    <w:pPr>
      <w:bidi w:val="0"/>
      <w:spacing w:line="300" w:lineRule="exact"/>
      <w:jc w:val="both"/>
    </w:pPr>
    <w:rPr>
      <w:rFonts w:ascii="Times" w:hAnsi="Times" w:cs="Times"/>
      <w:sz w:val="20"/>
      <w:szCs w:val="20"/>
    </w:rPr>
  </w:style>
  <w:style w:type="character" w:customStyle="1" w:styleId="ac">
    <w:name w:val="טקסט הערת שוליים תו"/>
    <w:link w:val="ab"/>
    <w:uiPriority w:val="99"/>
    <w:rsid w:val="00596FB4"/>
    <w:rPr>
      <w:rFonts w:ascii="Times" w:hAnsi="Times" w:cs="Times"/>
    </w:rPr>
  </w:style>
  <w:style w:type="character" w:styleId="ad">
    <w:name w:val="footnote reference"/>
    <w:unhideWhenUsed/>
    <w:rsid w:val="00596FB4"/>
    <w:rPr>
      <w:vertAlign w:val="superscript"/>
    </w:rPr>
  </w:style>
  <w:style w:type="paragraph" w:customStyle="1" w:styleId="PressReleaseTitle">
    <w:name w:val="Press Release Title"/>
    <w:basedOn w:val="a"/>
    <w:link w:val="PressReleaseTitleChar"/>
    <w:qFormat/>
    <w:rsid w:val="00DE2E73"/>
    <w:pPr>
      <w:tabs>
        <w:tab w:val="center" w:pos="4156"/>
        <w:tab w:val="right" w:pos="8312"/>
      </w:tabs>
      <w:bidi w:val="0"/>
      <w:jc w:val="center"/>
    </w:pPr>
    <w:rPr>
      <w:rFonts w:cs="David"/>
      <w:b/>
      <w:bCs/>
      <w:sz w:val="26"/>
      <w:szCs w:val="26"/>
    </w:rPr>
  </w:style>
  <w:style w:type="character" w:customStyle="1" w:styleId="PressReleaseTitleChar">
    <w:name w:val="Press Release Title Char"/>
    <w:basedOn w:val="a0"/>
    <w:link w:val="PressReleaseTitle"/>
    <w:rsid w:val="00DE2E73"/>
    <w:rPr>
      <w:rFonts w:cs="David"/>
      <w:b/>
      <w:bCs/>
      <w:sz w:val="26"/>
      <w:szCs w:val="26"/>
    </w:rPr>
  </w:style>
  <w:style w:type="paragraph" w:styleId="ae">
    <w:name w:val="Title"/>
    <w:basedOn w:val="a"/>
    <w:next w:val="a"/>
    <w:link w:val="af"/>
    <w:qFormat/>
    <w:rsid w:val="00FA28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כותרת טקסט תו"/>
    <w:basedOn w:val="a0"/>
    <w:link w:val="ae"/>
    <w:rsid w:val="00FA28D4"/>
    <w:rPr>
      <w:rFonts w:asciiTheme="majorHAnsi" w:eastAsiaTheme="majorEastAsia" w:hAnsiTheme="majorHAnsi" w:cstheme="majorBidi"/>
      <w:color w:val="17365D" w:themeColor="text2" w:themeShade="BF"/>
      <w:spacing w:val="5"/>
      <w:kern w:val="28"/>
      <w:sz w:val="52"/>
      <w:szCs w:val="52"/>
    </w:rPr>
  </w:style>
  <w:style w:type="character" w:styleId="af0">
    <w:name w:val="annotation reference"/>
    <w:basedOn w:val="a0"/>
    <w:rsid w:val="00F031B0"/>
    <w:rPr>
      <w:sz w:val="16"/>
      <w:szCs w:val="16"/>
    </w:rPr>
  </w:style>
  <w:style w:type="paragraph" w:styleId="af1">
    <w:name w:val="annotation text"/>
    <w:basedOn w:val="a"/>
    <w:link w:val="af2"/>
    <w:rsid w:val="00F031B0"/>
    <w:rPr>
      <w:sz w:val="20"/>
      <w:szCs w:val="20"/>
    </w:rPr>
  </w:style>
  <w:style w:type="character" w:customStyle="1" w:styleId="af2">
    <w:name w:val="טקסט הערה תו"/>
    <w:basedOn w:val="a0"/>
    <w:link w:val="af1"/>
    <w:rsid w:val="00F031B0"/>
  </w:style>
  <w:style w:type="paragraph" w:styleId="af3">
    <w:name w:val="annotation subject"/>
    <w:basedOn w:val="af1"/>
    <w:next w:val="af1"/>
    <w:link w:val="af4"/>
    <w:rsid w:val="00F031B0"/>
    <w:rPr>
      <w:b/>
      <w:bCs/>
    </w:rPr>
  </w:style>
  <w:style w:type="character" w:customStyle="1" w:styleId="af4">
    <w:name w:val="נושא הערה תו"/>
    <w:basedOn w:val="af2"/>
    <w:link w:val="af3"/>
    <w:rsid w:val="00F031B0"/>
    <w:rPr>
      <w:b/>
      <w:bCs/>
    </w:rPr>
  </w:style>
  <w:style w:type="table" w:styleId="af5">
    <w:name w:val="Table Grid"/>
    <w:basedOn w:val="a1"/>
    <w:rsid w:val="005F6E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f5"/>
    <w:uiPriority w:val="59"/>
    <w:rsid w:val="001459B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407886">
      <w:bodyDiv w:val="1"/>
      <w:marLeft w:val="0"/>
      <w:marRight w:val="0"/>
      <w:marTop w:val="0"/>
      <w:marBottom w:val="0"/>
      <w:divBdr>
        <w:top w:val="none" w:sz="0" w:space="0" w:color="auto"/>
        <w:left w:val="none" w:sz="0" w:space="0" w:color="auto"/>
        <w:bottom w:val="none" w:sz="0" w:space="0" w:color="auto"/>
        <w:right w:val="none" w:sz="0" w:space="0" w:color="auto"/>
      </w:divBdr>
    </w:div>
    <w:div w:id="174463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boi.org.il/en/economic-roles/financial-markets/effective-exchange-rates/"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5B68D-AAC1-43EC-ABDD-ADB60E340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988</Words>
  <Characters>5263</Characters>
  <Application>Microsoft Office Word</Application>
  <DocSecurity>4</DocSecurity>
  <Lines>43</Lines>
  <Paragraphs>12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LinksUpToDate>false</LinksUpToDate>
  <CharactersWithSpaces>6239</CharactersWithSpaces>
  <SharedDoc>false</SharedDoc>
  <HLinks>
    <vt:vector size="6" baseType="variant">
      <vt:variant>
        <vt:i4>4980745</vt:i4>
      </vt:variant>
      <vt:variant>
        <vt:i4>0</vt:i4>
      </vt:variant>
      <vt:variant>
        <vt:i4>0</vt:i4>
      </vt:variant>
      <vt:variant>
        <vt:i4>5</vt:i4>
      </vt:variant>
      <vt:variant>
        <vt:lpwstr>http://www.boi.org.il/en/Research/Pages/ind.aspx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2024-02-01T08:32:00Z</dcterms:created>
  <dcterms:modified xsi:type="dcterms:W3CDTF">2024-02-01T08:32:00Z</dcterms:modified>
</cp:coreProperties>
</file>