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BB4D0D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F67CFB" w:rsidRDefault="00BB4D0D" w:rsidP="00AE40EC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67CFB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F67CFB" w:rsidRDefault="00BB4D0D" w:rsidP="00AE40EC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F67CFB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F67CFB" w:rsidRDefault="00BB4D0D" w:rsidP="00AE40EC">
            <w:pPr>
              <w:bidi/>
              <w:jc w:val="center"/>
              <w:rPr>
                <w:sz w:val="24"/>
                <w:szCs w:val="24"/>
              </w:rPr>
            </w:pPr>
            <w:r w:rsidRPr="00F67CFB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AD59D60" wp14:editId="70036A93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F67CFB" w:rsidRDefault="00BB4D0D" w:rsidP="00AE40EC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F67CFB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F67CFB">
              <w:rPr>
                <w:rFonts w:cs="David"/>
                <w:sz w:val="24"/>
                <w:szCs w:val="24"/>
                <w:rtl/>
              </w:rPr>
              <w:t>ירושלים, כ' אדר ב', התשפ"ב</w:t>
            </w:r>
          </w:p>
          <w:p w:rsidR="00BB4D0D" w:rsidRPr="00F67CFB" w:rsidRDefault="00BB4D0D" w:rsidP="00AE40EC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F67CFB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F67CFB">
              <w:rPr>
                <w:rFonts w:cs="David"/>
                <w:sz w:val="24"/>
                <w:szCs w:val="24"/>
                <w:rtl/>
              </w:rPr>
              <w:t>23 מארס 2022</w:t>
            </w:r>
          </w:p>
        </w:tc>
      </w:tr>
    </w:tbl>
    <w:p w:rsidR="00BB4D0D" w:rsidRPr="00F67CFB" w:rsidRDefault="00BB4D0D" w:rsidP="00BB4D0D">
      <w:pPr>
        <w:bidi/>
        <w:spacing w:before="240" w:line="360" w:lineRule="auto"/>
        <w:ind w:right="-102"/>
        <w:rPr>
          <w:rFonts w:cs="David"/>
          <w:sz w:val="24"/>
          <w:szCs w:val="24"/>
          <w:rtl/>
        </w:rPr>
      </w:pPr>
      <w:r w:rsidRPr="00F67CFB">
        <w:rPr>
          <w:rFonts w:cs="David"/>
          <w:sz w:val="24"/>
          <w:szCs w:val="24"/>
          <w:rtl/>
        </w:rPr>
        <w:t>הודעה לעיתונות:</w:t>
      </w:r>
    </w:p>
    <w:p w:rsidR="009E07BE" w:rsidRPr="00E44C3B" w:rsidRDefault="009E07BE" w:rsidP="009E07BE">
      <w:pPr>
        <w:bidi/>
        <w:spacing w:line="360" w:lineRule="auto"/>
        <w:ind w:right="-101"/>
        <w:rPr>
          <w:rFonts w:asciiTheme="minorBidi" w:hAnsiTheme="minorBidi" w:cstheme="minorBidi"/>
          <w:sz w:val="24"/>
          <w:szCs w:val="24"/>
          <w:rtl/>
        </w:rPr>
      </w:pPr>
    </w:p>
    <w:p w:rsidR="00C9322A" w:rsidRPr="00F67CFB" w:rsidRDefault="00C9322A" w:rsidP="008B5DC3">
      <w:pPr>
        <w:pStyle w:val="af4"/>
        <w:rPr>
          <w:rFonts w:ascii="David" w:hAnsi="David" w:cs="David"/>
          <w:rtl/>
        </w:rPr>
      </w:pPr>
      <w:r w:rsidRPr="00F67CFB">
        <w:rPr>
          <w:rFonts w:ascii="David" w:hAnsi="David" w:cs="David"/>
          <w:rtl/>
        </w:rPr>
        <w:t xml:space="preserve">התפתחות החוב </w:t>
      </w:r>
      <w:r w:rsidR="00802DF3" w:rsidRPr="00F67CFB">
        <w:rPr>
          <w:rFonts w:ascii="David" w:hAnsi="David" w:cs="David"/>
          <w:rtl/>
        </w:rPr>
        <w:t xml:space="preserve">של המגזר הפרטי </w:t>
      </w:r>
      <w:r w:rsidR="0077544B" w:rsidRPr="00F67CFB">
        <w:rPr>
          <w:rFonts w:ascii="David" w:hAnsi="David" w:cs="David"/>
          <w:rtl/>
        </w:rPr>
        <w:t>הלא</w:t>
      </w:r>
      <w:r w:rsidR="00E44E3D" w:rsidRPr="00F67CFB">
        <w:rPr>
          <w:rFonts w:ascii="David" w:hAnsi="David" w:cs="David"/>
          <w:rtl/>
        </w:rPr>
        <w:t>-</w:t>
      </w:r>
      <w:r w:rsidR="0077544B" w:rsidRPr="00F67CFB">
        <w:rPr>
          <w:rFonts w:ascii="David" w:hAnsi="David" w:cs="David"/>
          <w:rtl/>
        </w:rPr>
        <w:t xml:space="preserve">פיננסי </w:t>
      </w:r>
      <w:r w:rsidR="00FC2095" w:rsidRPr="00F67CFB">
        <w:rPr>
          <w:rFonts w:ascii="David" w:hAnsi="David" w:cs="David"/>
          <w:rtl/>
        </w:rPr>
        <w:t xml:space="preserve">ברביע </w:t>
      </w:r>
      <w:r w:rsidR="00E44E3D" w:rsidRPr="00F67CFB">
        <w:rPr>
          <w:rFonts w:ascii="David" w:hAnsi="David" w:cs="David"/>
          <w:rtl/>
        </w:rPr>
        <w:t>ה</w:t>
      </w:r>
      <w:r w:rsidR="0033491E" w:rsidRPr="00F67CFB">
        <w:rPr>
          <w:rFonts w:ascii="David" w:hAnsi="David" w:cs="David"/>
          <w:rtl/>
        </w:rPr>
        <w:t>רביעי</w:t>
      </w:r>
      <w:r w:rsidR="003F728C" w:rsidRPr="00F67CFB">
        <w:rPr>
          <w:rFonts w:ascii="David" w:hAnsi="David" w:cs="David"/>
          <w:rtl/>
        </w:rPr>
        <w:t xml:space="preserve"> </w:t>
      </w:r>
      <w:r w:rsidR="00802DF3" w:rsidRPr="00F67CFB">
        <w:rPr>
          <w:rFonts w:ascii="David" w:hAnsi="David" w:cs="David"/>
          <w:rtl/>
        </w:rPr>
        <w:t>של</w:t>
      </w:r>
      <w:r w:rsidRPr="00F67CFB">
        <w:rPr>
          <w:rFonts w:ascii="David" w:hAnsi="David" w:cs="David"/>
          <w:rtl/>
        </w:rPr>
        <w:t xml:space="preserve"> </w:t>
      </w:r>
      <w:r w:rsidR="000C02AD" w:rsidRPr="00F67CFB">
        <w:rPr>
          <w:rFonts w:ascii="David" w:hAnsi="David" w:cs="David"/>
          <w:rtl/>
        </w:rPr>
        <w:t>202</w:t>
      </w:r>
      <w:r w:rsidR="008B5DC3" w:rsidRPr="00F67CFB">
        <w:rPr>
          <w:rFonts w:ascii="David" w:hAnsi="David" w:cs="David"/>
          <w:rtl/>
        </w:rPr>
        <w:t>1</w:t>
      </w:r>
    </w:p>
    <w:p w:rsidR="0033491E" w:rsidRPr="00395B72" w:rsidRDefault="0033491E" w:rsidP="0033491E">
      <w:pPr>
        <w:rPr>
          <w:rFonts w:asciiTheme="minorBidi" w:hAnsiTheme="minorBidi" w:cstheme="minorBidi"/>
          <w:rtl/>
        </w:rPr>
      </w:pPr>
    </w:p>
    <w:p w:rsidR="0033491E" w:rsidRPr="00E44C3B" w:rsidRDefault="0033491E" w:rsidP="00BB4D0D">
      <w:pPr>
        <w:bidi/>
        <w:spacing w:line="360" w:lineRule="auto"/>
        <w:ind w:right="-101"/>
        <w:jc w:val="both"/>
        <w:rPr>
          <w:rFonts w:asciiTheme="minorBidi" w:hAnsiTheme="minorBidi" w:cstheme="minorBidi"/>
          <w:i/>
          <w:iCs/>
          <w:sz w:val="24"/>
          <w:szCs w:val="24"/>
          <w:rtl/>
        </w:rPr>
      </w:pPr>
      <w:r w:rsidRPr="00395B72">
        <w:rPr>
          <w:rFonts w:asciiTheme="minorBidi" w:hAnsiTheme="minorBidi" w:cstheme="minorBidi"/>
          <w:i/>
          <w:iCs/>
          <w:sz w:val="24"/>
          <w:szCs w:val="24"/>
          <w:rtl/>
        </w:rPr>
        <w:t xml:space="preserve">לניתוח התפתחויות החוב בשנת </w:t>
      </w:r>
      <w:r w:rsidR="008B5DC3" w:rsidRPr="00395B72">
        <w:rPr>
          <w:rFonts w:asciiTheme="minorBidi" w:hAnsiTheme="minorBidi" w:cstheme="minorBidi" w:hint="cs"/>
          <w:i/>
          <w:iCs/>
          <w:sz w:val="24"/>
          <w:szCs w:val="24"/>
          <w:rtl/>
        </w:rPr>
        <w:t>2021</w:t>
      </w:r>
      <w:r w:rsidRPr="00395B72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כולה ראו</w:t>
      </w:r>
      <w:hyperlink r:id="rId9" w:history="1">
        <w:r w:rsidRPr="00395B72">
          <w:rPr>
            <w:rStyle w:val="Hyperlink"/>
            <w:rFonts w:asciiTheme="minorBidi" w:hAnsiTheme="minorBidi" w:cstheme="minorBidi"/>
            <w:i/>
            <w:iCs/>
            <w:sz w:val="24"/>
            <w:szCs w:val="24"/>
            <w:rtl/>
          </w:rPr>
          <w:t xml:space="preserve"> 'החוב של המגזר הפרטי הלא-פיננסי'</w:t>
        </w:r>
      </w:hyperlink>
      <w:r w:rsidRPr="00395B72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בחלק א' של פרסום 'מבט סטטיסטי 202</w:t>
      </w:r>
      <w:r w:rsidR="008B5DC3" w:rsidRPr="00395B72">
        <w:rPr>
          <w:rFonts w:asciiTheme="minorBidi" w:hAnsiTheme="minorBidi" w:cstheme="minorBidi" w:hint="cs"/>
          <w:i/>
          <w:iCs/>
          <w:sz w:val="24"/>
          <w:szCs w:val="24"/>
          <w:rtl/>
        </w:rPr>
        <w:t>1</w:t>
      </w:r>
      <w:r w:rsidRPr="00395B72">
        <w:rPr>
          <w:rFonts w:asciiTheme="minorBidi" w:hAnsiTheme="minorBidi" w:cstheme="minorBidi"/>
          <w:i/>
          <w:iCs/>
          <w:sz w:val="24"/>
          <w:szCs w:val="24"/>
          <w:rtl/>
        </w:rPr>
        <w:t>'.</w:t>
      </w:r>
      <w:r w:rsidRPr="00E44C3B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</w:t>
      </w:r>
    </w:p>
    <w:p w:rsidR="0033491E" w:rsidRPr="00E44C3B" w:rsidRDefault="0033491E" w:rsidP="0033491E">
      <w:pPr>
        <w:rPr>
          <w:rFonts w:asciiTheme="minorBidi" w:hAnsiTheme="minorBidi" w:cstheme="minorBidi"/>
          <w:rtl/>
        </w:rPr>
      </w:pPr>
    </w:p>
    <w:p w:rsidR="0033491E" w:rsidRPr="00E44C3B" w:rsidRDefault="0033491E" w:rsidP="00105A31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D05B15" w:rsidRPr="00E44C3B" w:rsidRDefault="00D05B15" w:rsidP="0033491E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E44C3B">
        <w:rPr>
          <w:rFonts w:asciiTheme="minorBidi" w:hAnsiTheme="minorBidi" w:cstheme="minorBidi"/>
          <w:sz w:val="24"/>
          <w:szCs w:val="24"/>
          <w:rtl/>
        </w:rPr>
        <w:t>להלן תמצית ההתפתחויות בנתוני החוב של</w:t>
      </w:r>
      <w:r w:rsidR="00E44C3B" w:rsidRPr="00E44C3B">
        <w:rPr>
          <w:rFonts w:asciiTheme="minorBidi" w:hAnsiTheme="minorBidi" w:cstheme="minorBidi"/>
          <w:sz w:val="24"/>
          <w:szCs w:val="24"/>
          <w:rtl/>
        </w:rPr>
        <w:t xml:space="preserve"> המגזר הפרטי הלא-פיננסי</w:t>
      </w:r>
      <w:r w:rsidR="002D5D55">
        <w:rPr>
          <w:rStyle w:val="af1"/>
          <w:rFonts w:ascii="Arial" w:hAnsi="Arial" w:cs="Arial"/>
          <w:sz w:val="24"/>
          <w:szCs w:val="24"/>
          <w:rtl/>
        </w:rPr>
        <w:footnoteReference w:id="1"/>
      </w:r>
      <w:r w:rsidR="0070161A">
        <w:rPr>
          <w:rFonts w:ascii="Arial" w:hAnsi="Arial" w:cs="Arial" w:hint="cs"/>
          <w:sz w:val="24"/>
          <w:szCs w:val="24"/>
          <w:rtl/>
        </w:rPr>
        <w:t xml:space="preserve"> </w:t>
      </w:r>
      <w:r w:rsidR="00E44C3B" w:rsidRPr="00E44C3B">
        <w:rPr>
          <w:rFonts w:asciiTheme="minorBidi" w:hAnsiTheme="minorBidi" w:cstheme="minorBidi"/>
          <w:sz w:val="24"/>
          <w:szCs w:val="24"/>
          <w:rtl/>
        </w:rPr>
        <w:t>ברביע הרביעי</w:t>
      </w:r>
      <w:r w:rsidRPr="00E44C3B">
        <w:rPr>
          <w:rFonts w:asciiTheme="minorBidi" w:hAnsiTheme="minorBidi" w:cstheme="minorBidi"/>
          <w:sz w:val="24"/>
          <w:szCs w:val="24"/>
          <w:rtl/>
        </w:rPr>
        <w:t xml:space="preserve"> של השנה:</w:t>
      </w:r>
    </w:p>
    <w:p w:rsidR="000A4B97" w:rsidRPr="00F908F8" w:rsidRDefault="00D05B15" w:rsidP="00EA5FBF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EA5FBF">
        <w:rPr>
          <w:rFonts w:asciiTheme="minorBidi" w:hAnsiTheme="minorBidi" w:cstheme="minorBidi"/>
          <w:sz w:val="24"/>
          <w:szCs w:val="24"/>
          <w:rtl/>
        </w:rPr>
        <w:t xml:space="preserve">נרשמה </w:t>
      </w:r>
      <w:r w:rsidR="003938AB" w:rsidRPr="00EA5FBF">
        <w:rPr>
          <w:rFonts w:asciiTheme="minorBidi" w:hAnsiTheme="minorBidi" w:cstheme="minorBidi"/>
          <w:sz w:val="24"/>
          <w:szCs w:val="24"/>
          <w:rtl/>
        </w:rPr>
        <w:t xml:space="preserve">עלייה </w:t>
      </w:r>
      <w:r w:rsidR="002D5D55" w:rsidRPr="00EA5FBF">
        <w:rPr>
          <w:rFonts w:asciiTheme="minorBidi" w:hAnsiTheme="minorBidi" w:cstheme="minorBidi" w:hint="cs"/>
          <w:sz w:val="24"/>
          <w:szCs w:val="24"/>
          <w:rtl/>
        </w:rPr>
        <w:t xml:space="preserve">משמעותית </w:t>
      </w:r>
      <w:r w:rsidRPr="00EA5FBF">
        <w:rPr>
          <w:rFonts w:asciiTheme="minorBidi" w:hAnsiTheme="minorBidi" w:cstheme="minorBidi"/>
          <w:sz w:val="24"/>
          <w:szCs w:val="24"/>
          <w:rtl/>
        </w:rPr>
        <w:t xml:space="preserve">ביתרת החוב של </w:t>
      </w:r>
      <w:r w:rsidRPr="00EA5FBF">
        <w:rPr>
          <w:rFonts w:asciiTheme="minorBidi" w:hAnsiTheme="minorBidi" w:cstheme="minorBidi"/>
          <w:b/>
          <w:bCs/>
          <w:sz w:val="24"/>
          <w:szCs w:val="24"/>
          <w:rtl/>
        </w:rPr>
        <w:t>המגזר העסקי</w:t>
      </w:r>
      <w:r w:rsidR="00924FF5" w:rsidRPr="00EA5FB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2D5D55" w:rsidRPr="00EA5FBF">
        <w:rPr>
          <w:rFonts w:asciiTheme="minorBidi" w:hAnsiTheme="minorBidi" w:cstheme="minorBidi" w:hint="cs"/>
          <w:sz w:val="24"/>
          <w:szCs w:val="24"/>
          <w:rtl/>
        </w:rPr>
        <w:t xml:space="preserve">של </w:t>
      </w:r>
      <w:r w:rsidR="00924FF5" w:rsidRPr="00EA5FBF">
        <w:rPr>
          <w:rFonts w:asciiTheme="minorBidi" w:hAnsiTheme="minorBidi" w:cstheme="minorBidi"/>
          <w:sz w:val="24"/>
          <w:szCs w:val="24"/>
          <w:rtl/>
        </w:rPr>
        <w:t>כ-</w:t>
      </w:r>
      <w:r w:rsidR="00EA5FBF" w:rsidRPr="00EA5FBF">
        <w:rPr>
          <w:rFonts w:asciiTheme="minorBidi" w:hAnsiTheme="minorBidi" w:cstheme="minorBidi" w:hint="cs"/>
          <w:sz w:val="24"/>
          <w:szCs w:val="24"/>
          <w:rtl/>
        </w:rPr>
        <w:t>41</w:t>
      </w:r>
      <w:r w:rsidR="00924FF5" w:rsidRPr="00EA5FB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24FF5" w:rsidRPr="00F908F8">
        <w:rPr>
          <w:rFonts w:asciiTheme="minorBidi" w:hAnsiTheme="minorBidi" w:cstheme="minorBidi"/>
          <w:sz w:val="24"/>
          <w:szCs w:val="24"/>
          <w:rtl/>
        </w:rPr>
        <w:t>מיליארד</w:t>
      </w:r>
      <w:r w:rsidR="00F608D8" w:rsidRPr="00F908F8">
        <w:rPr>
          <w:rFonts w:asciiTheme="minorBidi" w:hAnsiTheme="minorBidi" w:cstheme="minorBidi" w:hint="cs"/>
          <w:sz w:val="24"/>
          <w:szCs w:val="24"/>
          <w:rtl/>
        </w:rPr>
        <w:t>י</w:t>
      </w:r>
      <w:r w:rsidR="00924FF5" w:rsidRPr="00F908F8">
        <w:rPr>
          <w:rFonts w:asciiTheme="minorBidi" w:hAnsiTheme="minorBidi" w:cstheme="minorBidi"/>
          <w:sz w:val="24"/>
          <w:szCs w:val="24"/>
          <w:rtl/>
        </w:rPr>
        <w:t xml:space="preserve"> ש"ח (</w:t>
      </w:r>
      <w:r w:rsidR="00EA5FBF" w:rsidRPr="00F908F8">
        <w:rPr>
          <w:rFonts w:asciiTheme="minorBidi" w:hAnsiTheme="minorBidi" w:cstheme="minorBidi" w:hint="cs"/>
          <w:sz w:val="24"/>
          <w:szCs w:val="24"/>
          <w:rtl/>
        </w:rPr>
        <w:t>3.9</w:t>
      </w:r>
      <w:r w:rsidR="003938AB" w:rsidRPr="00F908F8">
        <w:rPr>
          <w:rFonts w:asciiTheme="minorBidi" w:hAnsiTheme="minorBidi" w:cstheme="minorBidi"/>
          <w:sz w:val="24"/>
          <w:szCs w:val="24"/>
          <w:rtl/>
        </w:rPr>
        <w:t xml:space="preserve">%) </w:t>
      </w:r>
      <w:r w:rsidR="00EA0460" w:rsidRPr="00F908F8">
        <w:rPr>
          <w:rFonts w:asciiTheme="minorBidi" w:hAnsiTheme="minorBidi" w:cstheme="minorBidi"/>
          <w:sz w:val="24"/>
          <w:szCs w:val="24"/>
          <w:rtl/>
        </w:rPr>
        <w:t xml:space="preserve">שמקורה </w:t>
      </w:r>
      <w:r w:rsidR="007B3B40" w:rsidRPr="00F908F8">
        <w:rPr>
          <w:rFonts w:asciiTheme="minorBidi" w:hAnsiTheme="minorBidi" w:cstheme="minorBidi"/>
          <w:sz w:val="24"/>
          <w:szCs w:val="24"/>
          <w:rtl/>
        </w:rPr>
        <w:t>ב</w:t>
      </w:r>
      <w:r w:rsidR="00B853D8">
        <w:rPr>
          <w:rFonts w:asciiTheme="minorBidi" w:hAnsiTheme="minorBidi" w:cstheme="minorBidi" w:hint="cs"/>
          <w:sz w:val="24"/>
          <w:szCs w:val="24"/>
          <w:rtl/>
        </w:rPr>
        <w:t>עיקר ב</w:t>
      </w:r>
      <w:r w:rsidR="007B3B40" w:rsidRPr="00F908F8">
        <w:rPr>
          <w:rFonts w:asciiTheme="minorBidi" w:hAnsiTheme="minorBidi" w:cstheme="minorBidi"/>
          <w:sz w:val="24"/>
          <w:szCs w:val="24"/>
          <w:rtl/>
        </w:rPr>
        <w:t xml:space="preserve">עלייה </w:t>
      </w:r>
      <w:r w:rsidR="002D5D55" w:rsidRPr="00F908F8">
        <w:rPr>
          <w:rFonts w:asciiTheme="minorBidi" w:hAnsiTheme="minorBidi" w:cstheme="minorBidi"/>
          <w:sz w:val="24"/>
          <w:szCs w:val="24"/>
          <w:rtl/>
        </w:rPr>
        <w:t xml:space="preserve">ביתרת </w:t>
      </w:r>
      <w:r w:rsidR="00C274AB" w:rsidRPr="00F908F8">
        <w:rPr>
          <w:rFonts w:asciiTheme="minorBidi" w:hAnsiTheme="minorBidi" w:cstheme="minorBidi" w:hint="cs"/>
          <w:sz w:val="24"/>
          <w:szCs w:val="24"/>
          <w:rtl/>
        </w:rPr>
        <w:t>החוב לבנקים</w:t>
      </w:r>
      <w:r w:rsidR="002D5D55" w:rsidRPr="00F908F8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</w:p>
    <w:p w:rsidR="00F31176" w:rsidRPr="00F908F8" w:rsidRDefault="00F31176" w:rsidP="00983A26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F908F8">
        <w:rPr>
          <w:rFonts w:asciiTheme="minorBidi" w:hAnsiTheme="minorBidi" w:cstheme="minorBidi"/>
          <w:sz w:val="24"/>
          <w:szCs w:val="24"/>
          <w:rtl/>
        </w:rPr>
        <w:t xml:space="preserve">יתרת </w:t>
      </w:r>
      <w:r w:rsidRPr="00F908F8">
        <w:rPr>
          <w:rFonts w:asciiTheme="minorBidi" w:hAnsiTheme="minorBidi" w:cstheme="minorBidi"/>
          <w:b/>
          <w:bCs/>
          <w:sz w:val="24"/>
          <w:szCs w:val="24"/>
          <w:rtl/>
        </w:rPr>
        <w:t>החוב לדיור של משקי הבית</w:t>
      </w:r>
      <w:r w:rsidRPr="00F908F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70769" w:rsidRPr="00F908F8">
        <w:rPr>
          <w:rFonts w:asciiTheme="minorBidi" w:hAnsiTheme="minorBidi" w:cstheme="minorBidi"/>
          <w:sz w:val="24"/>
          <w:szCs w:val="24"/>
          <w:rtl/>
        </w:rPr>
        <w:t xml:space="preserve">המשיכה לגדול ברביע </w:t>
      </w:r>
      <w:r w:rsidR="00270769" w:rsidRPr="00B02866">
        <w:rPr>
          <w:rFonts w:asciiTheme="minorBidi" w:hAnsiTheme="minorBidi" w:cstheme="minorBidi"/>
          <w:sz w:val="24"/>
          <w:szCs w:val="24"/>
          <w:rtl/>
        </w:rPr>
        <w:t>זה</w:t>
      </w:r>
      <w:r w:rsidR="001371A8" w:rsidRPr="00B02866">
        <w:rPr>
          <w:rFonts w:asciiTheme="minorBidi" w:hAnsiTheme="minorBidi" w:cstheme="minorBidi" w:hint="cs"/>
          <w:sz w:val="24"/>
          <w:szCs w:val="24"/>
          <w:rtl/>
        </w:rPr>
        <w:t xml:space="preserve"> ב</w:t>
      </w:r>
      <w:r w:rsidR="00983A26" w:rsidRPr="00B02866">
        <w:rPr>
          <w:rFonts w:asciiTheme="minorBidi" w:hAnsiTheme="minorBidi" w:cstheme="minorBidi" w:hint="cs"/>
          <w:sz w:val="24"/>
          <w:szCs w:val="24"/>
          <w:rtl/>
        </w:rPr>
        <w:t xml:space="preserve">היקף </w:t>
      </w:r>
      <w:r w:rsidR="001371A8" w:rsidRPr="00B02866">
        <w:rPr>
          <w:rFonts w:asciiTheme="minorBidi" w:hAnsiTheme="minorBidi" w:cstheme="minorBidi" w:hint="cs"/>
          <w:sz w:val="24"/>
          <w:szCs w:val="24"/>
          <w:rtl/>
        </w:rPr>
        <w:t>משמעותי</w:t>
      </w:r>
      <w:r w:rsidR="00AC6CE3" w:rsidRPr="00F908F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02866">
        <w:rPr>
          <w:rFonts w:asciiTheme="minorBidi" w:hAnsiTheme="minorBidi" w:cstheme="minorBidi" w:hint="cs"/>
          <w:sz w:val="24"/>
          <w:szCs w:val="24"/>
          <w:rtl/>
        </w:rPr>
        <w:t xml:space="preserve">של </w:t>
      </w:r>
      <w:r w:rsidRPr="00F908F8">
        <w:rPr>
          <w:rFonts w:asciiTheme="minorBidi" w:hAnsiTheme="minorBidi" w:cstheme="minorBidi"/>
          <w:sz w:val="24"/>
          <w:szCs w:val="24"/>
          <w:rtl/>
        </w:rPr>
        <w:t>כ-</w:t>
      </w:r>
      <w:r w:rsidR="00EA5FBF" w:rsidRPr="00F908F8">
        <w:rPr>
          <w:rFonts w:asciiTheme="minorBidi" w:hAnsiTheme="minorBidi" w:cstheme="minorBidi" w:hint="cs"/>
          <w:sz w:val="24"/>
          <w:szCs w:val="24"/>
          <w:rtl/>
        </w:rPr>
        <w:t>18</w:t>
      </w:r>
      <w:r w:rsidRPr="00F908F8">
        <w:rPr>
          <w:rFonts w:asciiTheme="minorBidi" w:hAnsiTheme="minorBidi" w:cstheme="minorBidi"/>
          <w:sz w:val="24"/>
          <w:szCs w:val="24"/>
          <w:rtl/>
        </w:rPr>
        <w:t xml:space="preserve"> מיליארדים (</w:t>
      </w:r>
      <w:r w:rsidR="00EA5FBF" w:rsidRPr="00F908F8">
        <w:rPr>
          <w:rFonts w:asciiTheme="minorBidi" w:hAnsiTheme="minorBidi" w:cstheme="minorBidi" w:hint="cs"/>
          <w:sz w:val="24"/>
          <w:szCs w:val="24"/>
          <w:rtl/>
        </w:rPr>
        <w:t>4</w:t>
      </w:r>
      <w:r w:rsidR="00943CD4" w:rsidRPr="00F908F8">
        <w:rPr>
          <w:rFonts w:asciiTheme="minorBidi" w:hAnsiTheme="minorBidi" w:cstheme="minorBidi"/>
          <w:sz w:val="24"/>
          <w:szCs w:val="24"/>
          <w:rtl/>
        </w:rPr>
        <w:t>%)</w:t>
      </w:r>
      <w:r w:rsidR="00C85B7D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C85B7D">
        <w:rPr>
          <w:rFonts w:ascii="Arial" w:hAnsi="Arial" w:cs="Arial" w:hint="cs"/>
          <w:sz w:val="24"/>
          <w:szCs w:val="24"/>
          <w:rtl/>
        </w:rPr>
        <w:t>ו</w:t>
      </w:r>
      <w:r w:rsidR="00C85B7D" w:rsidRPr="001F643F">
        <w:rPr>
          <w:rFonts w:ascii="Arial" w:hAnsi="Arial" w:cs="Arial"/>
          <w:sz w:val="24"/>
          <w:szCs w:val="24"/>
          <w:rtl/>
        </w:rPr>
        <w:t>נבעה בעיקר מעלייה בהיקף המשכנתאות החדשות שנטלו משקי הבית</w:t>
      </w:r>
      <w:r w:rsidR="00C85B7D" w:rsidRPr="001F643F">
        <w:rPr>
          <w:rFonts w:ascii="Arial" w:hAnsi="Arial" w:cs="Arial" w:hint="cs"/>
          <w:sz w:val="24"/>
          <w:szCs w:val="24"/>
          <w:rtl/>
        </w:rPr>
        <w:t xml:space="preserve"> מהבנקים.</w:t>
      </w:r>
    </w:p>
    <w:p w:rsidR="00D05B15" w:rsidRPr="00F908F8" w:rsidRDefault="00943CD4" w:rsidP="00DB3C84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F908F8">
        <w:rPr>
          <w:rFonts w:asciiTheme="minorBidi" w:hAnsiTheme="minorBidi" w:cstheme="minorBidi"/>
          <w:sz w:val="24"/>
          <w:szCs w:val="24"/>
          <w:rtl/>
        </w:rPr>
        <w:t>ב</w:t>
      </w:r>
      <w:r w:rsidR="00D05B15" w:rsidRPr="00F908F8">
        <w:rPr>
          <w:rFonts w:asciiTheme="minorBidi" w:hAnsiTheme="minorBidi" w:cstheme="minorBidi"/>
          <w:sz w:val="24"/>
          <w:szCs w:val="24"/>
          <w:rtl/>
        </w:rPr>
        <w:t xml:space="preserve">יתרת </w:t>
      </w:r>
      <w:r w:rsidR="00C274AB" w:rsidRPr="00F908F8">
        <w:rPr>
          <w:rFonts w:asciiTheme="minorBidi" w:hAnsiTheme="minorBidi" w:cstheme="minorBidi"/>
          <w:b/>
          <w:bCs/>
          <w:sz w:val="24"/>
          <w:szCs w:val="24"/>
          <w:rtl/>
        </w:rPr>
        <w:t>החוב לא</w:t>
      </w:r>
      <w:r w:rsidR="00C274AB" w:rsidRPr="00F908F8">
        <w:rPr>
          <w:rFonts w:asciiTheme="minorBidi" w:hAnsiTheme="minorBidi" w:cstheme="minorBidi" w:hint="cs"/>
          <w:b/>
          <w:bCs/>
          <w:sz w:val="24"/>
          <w:szCs w:val="24"/>
          <w:rtl/>
        </w:rPr>
        <w:t>-</w:t>
      </w:r>
      <w:r w:rsidR="00D05B15" w:rsidRPr="00F908F8">
        <w:rPr>
          <w:rFonts w:asciiTheme="minorBidi" w:hAnsiTheme="minorBidi" w:cstheme="minorBidi"/>
          <w:b/>
          <w:bCs/>
          <w:sz w:val="24"/>
          <w:szCs w:val="24"/>
          <w:rtl/>
        </w:rPr>
        <w:t>לדיור</w:t>
      </w:r>
      <w:r w:rsidR="00D05B15" w:rsidRPr="00F908F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F908F8">
        <w:rPr>
          <w:rFonts w:asciiTheme="minorBidi" w:hAnsiTheme="minorBidi" w:cstheme="minorBidi"/>
          <w:sz w:val="24"/>
          <w:szCs w:val="24"/>
          <w:rtl/>
        </w:rPr>
        <w:t>נרשמה</w:t>
      </w:r>
      <w:r w:rsidR="00C274AB" w:rsidRPr="00F908F8">
        <w:rPr>
          <w:rFonts w:asciiTheme="minorBidi" w:hAnsiTheme="minorBidi" w:cstheme="minorBidi"/>
          <w:sz w:val="24"/>
          <w:szCs w:val="24"/>
          <w:rtl/>
        </w:rPr>
        <w:t xml:space="preserve"> ברביע ה</w:t>
      </w:r>
      <w:r w:rsidR="00C274AB" w:rsidRPr="00F908F8">
        <w:rPr>
          <w:rFonts w:asciiTheme="minorBidi" w:hAnsiTheme="minorBidi" w:cstheme="minorBidi" w:hint="cs"/>
          <w:sz w:val="24"/>
          <w:szCs w:val="24"/>
          <w:rtl/>
        </w:rPr>
        <w:t xml:space="preserve">רביעי עלייה </w:t>
      </w:r>
      <w:r w:rsidRPr="00F908F8">
        <w:rPr>
          <w:rFonts w:asciiTheme="minorBidi" w:hAnsiTheme="minorBidi" w:cstheme="minorBidi"/>
          <w:sz w:val="24"/>
          <w:szCs w:val="24"/>
          <w:rtl/>
        </w:rPr>
        <w:t>בהיקף של</w:t>
      </w:r>
      <w:r w:rsidR="0018611E" w:rsidRPr="00F908F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D05B15" w:rsidRPr="00F908F8">
        <w:rPr>
          <w:rFonts w:asciiTheme="minorBidi" w:hAnsiTheme="minorBidi" w:cstheme="minorBidi"/>
          <w:sz w:val="24"/>
          <w:szCs w:val="24"/>
          <w:rtl/>
        </w:rPr>
        <w:t>כ-</w:t>
      </w:r>
      <w:r w:rsidR="00EA5FBF" w:rsidRPr="00F908F8">
        <w:rPr>
          <w:rFonts w:asciiTheme="minorBidi" w:hAnsiTheme="minorBidi" w:cstheme="minorBidi" w:hint="cs"/>
          <w:sz w:val="24"/>
          <w:szCs w:val="24"/>
          <w:rtl/>
        </w:rPr>
        <w:t>8</w:t>
      </w:r>
      <w:r w:rsidR="00D05B15" w:rsidRPr="00F908F8">
        <w:rPr>
          <w:rFonts w:asciiTheme="minorBidi" w:hAnsiTheme="minorBidi" w:cstheme="minorBidi"/>
          <w:sz w:val="24"/>
          <w:szCs w:val="24"/>
          <w:rtl/>
        </w:rPr>
        <w:t xml:space="preserve"> מיליארדים (</w:t>
      </w:r>
      <w:r w:rsidR="00DB3C84">
        <w:rPr>
          <w:rFonts w:asciiTheme="minorBidi" w:hAnsiTheme="minorBidi" w:cstheme="minorBidi" w:hint="cs"/>
          <w:sz w:val="24"/>
          <w:szCs w:val="24"/>
          <w:rtl/>
        </w:rPr>
        <w:t>3.9</w:t>
      </w:r>
      <w:r w:rsidR="0018611E" w:rsidRPr="00F908F8">
        <w:rPr>
          <w:rFonts w:asciiTheme="minorBidi" w:hAnsiTheme="minorBidi" w:cstheme="minorBidi"/>
          <w:sz w:val="24"/>
          <w:szCs w:val="24"/>
          <w:rtl/>
        </w:rPr>
        <w:t>%</w:t>
      </w:r>
      <w:r w:rsidRPr="00F908F8">
        <w:rPr>
          <w:rFonts w:asciiTheme="minorBidi" w:hAnsiTheme="minorBidi" w:cstheme="minorBidi"/>
          <w:sz w:val="24"/>
          <w:szCs w:val="24"/>
          <w:rtl/>
        </w:rPr>
        <w:t>)</w:t>
      </w:r>
      <w:r w:rsidR="007B3B40" w:rsidRPr="00F908F8">
        <w:rPr>
          <w:rFonts w:asciiTheme="minorBidi" w:hAnsiTheme="minorBidi" w:cstheme="minorBidi"/>
          <w:sz w:val="24"/>
          <w:szCs w:val="24"/>
          <w:rtl/>
        </w:rPr>
        <w:t>.</w:t>
      </w:r>
      <w:r w:rsidR="00BA0AA5" w:rsidRPr="00F908F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C274AB" w:rsidRPr="00F908F8">
        <w:rPr>
          <w:rFonts w:asciiTheme="minorBidi" w:hAnsiTheme="minorBidi" w:cs="Arial"/>
          <w:sz w:val="24"/>
          <w:szCs w:val="24"/>
          <w:rtl/>
        </w:rPr>
        <w:t xml:space="preserve">ובכך </w:t>
      </w:r>
      <w:r w:rsidR="005E1185" w:rsidRPr="00F908F8">
        <w:rPr>
          <w:rFonts w:asciiTheme="minorBidi" w:hAnsiTheme="minorBidi" w:cs="Arial" w:hint="cs"/>
          <w:sz w:val="24"/>
          <w:szCs w:val="24"/>
          <w:rtl/>
        </w:rPr>
        <w:t>נמשכה</w:t>
      </w:r>
      <w:r w:rsidR="00C274AB" w:rsidRPr="00F908F8">
        <w:rPr>
          <w:rFonts w:asciiTheme="minorBidi" w:hAnsiTheme="minorBidi" w:cs="Arial"/>
          <w:sz w:val="24"/>
          <w:szCs w:val="24"/>
          <w:rtl/>
        </w:rPr>
        <w:t xml:space="preserve"> </w:t>
      </w:r>
      <w:r w:rsidR="005E1185" w:rsidRPr="00F908F8">
        <w:rPr>
          <w:rFonts w:asciiTheme="minorBidi" w:hAnsiTheme="minorBidi" w:cs="Arial" w:hint="cs"/>
          <w:sz w:val="24"/>
          <w:szCs w:val="24"/>
          <w:rtl/>
        </w:rPr>
        <w:t>ה</w:t>
      </w:r>
      <w:r w:rsidR="00C274AB" w:rsidRPr="00F908F8">
        <w:rPr>
          <w:rFonts w:asciiTheme="minorBidi" w:hAnsiTheme="minorBidi" w:cs="Arial"/>
          <w:sz w:val="24"/>
          <w:szCs w:val="24"/>
          <w:rtl/>
        </w:rPr>
        <w:t xml:space="preserve">עלייה ביתרת </w:t>
      </w:r>
      <w:r w:rsidR="00C274AB" w:rsidRPr="00F908F8">
        <w:rPr>
          <w:rFonts w:asciiTheme="minorBidi" w:hAnsiTheme="minorBidi" w:cs="Arial" w:hint="cs"/>
          <w:sz w:val="24"/>
          <w:szCs w:val="24"/>
          <w:rtl/>
        </w:rPr>
        <w:t>זו</w:t>
      </w:r>
      <w:r w:rsidR="00F908F8" w:rsidRPr="00F908F8">
        <w:rPr>
          <w:rFonts w:asciiTheme="minorBidi" w:hAnsiTheme="minorBidi" w:cs="Arial" w:hint="cs"/>
          <w:sz w:val="24"/>
          <w:szCs w:val="24"/>
          <w:rtl/>
        </w:rPr>
        <w:t xml:space="preserve"> שהחלה מסוף שנת 2020 </w:t>
      </w:r>
      <w:r w:rsidR="00C274AB" w:rsidRPr="00F908F8">
        <w:rPr>
          <w:rFonts w:asciiTheme="minorBidi" w:hAnsiTheme="minorBidi" w:cs="Arial"/>
          <w:sz w:val="24"/>
          <w:szCs w:val="24"/>
          <w:rtl/>
        </w:rPr>
        <w:t>לאחר ירידה</w:t>
      </w:r>
      <w:r w:rsidR="00F908F8" w:rsidRPr="00F908F8">
        <w:rPr>
          <w:rFonts w:asciiTheme="minorBidi" w:hAnsiTheme="minorBidi" w:cs="Arial" w:hint="cs"/>
          <w:sz w:val="24"/>
          <w:szCs w:val="24"/>
          <w:rtl/>
        </w:rPr>
        <w:t xml:space="preserve"> בה</w:t>
      </w:r>
      <w:r w:rsidR="00C274AB" w:rsidRPr="00F908F8">
        <w:rPr>
          <w:rFonts w:asciiTheme="minorBidi" w:hAnsiTheme="minorBidi" w:cs="Arial"/>
          <w:sz w:val="24"/>
          <w:szCs w:val="24"/>
          <w:rtl/>
        </w:rPr>
        <w:t xml:space="preserve"> </w:t>
      </w:r>
      <w:r w:rsidR="00F908F8" w:rsidRPr="00F908F8">
        <w:rPr>
          <w:rFonts w:asciiTheme="minorBidi" w:hAnsiTheme="minorBidi" w:cs="Arial" w:hint="cs"/>
          <w:sz w:val="24"/>
          <w:szCs w:val="24"/>
          <w:rtl/>
        </w:rPr>
        <w:t>בשנת 2020</w:t>
      </w:r>
      <w:r w:rsidR="00C274AB" w:rsidRPr="00F908F8">
        <w:rPr>
          <w:rFonts w:asciiTheme="minorBidi" w:hAnsiTheme="minorBidi" w:cs="Arial"/>
          <w:sz w:val="24"/>
          <w:szCs w:val="24"/>
          <w:rtl/>
        </w:rPr>
        <w:t>, על רקע משבר הקורונה</w:t>
      </w:r>
      <w:r w:rsidR="00C274AB" w:rsidRPr="00F908F8">
        <w:rPr>
          <w:rFonts w:asciiTheme="minorBidi" w:hAnsiTheme="minorBidi" w:cs="Arial" w:hint="cs"/>
          <w:sz w:val="24"/>
          <w:szCs w:val="24"/>
          <w:rtl/>
        </w:rPr>
        <w:t>.</w:t>
      </w:r>
    </w:p>
    <w:p w:rsidR="003A2FA2" w:rsidRPr="00E44C3B" w:rsidRDefault="003A2FA2" w:rsidP="00105A31">
      <w:pPr>
        <w:pStyle w:val="a9"/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9F574F" w:rsidRPr="00E44C3B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Style w:val="10"/>
          <w:rFonts w:asciiTheme="minorBidi" w:hAnsiTheme="minorBidi" w:cstheme="minorBidi"/>
          <w:rtl/>
        </w:rPr>
        <w:t>החוב של המגזר העסקי</w:t>
      </w:r>
      <w:r w:rsidR="001E78A9" w:rsidRPr="00E44C3B">
        <w:rPr>
          <w:rStyle w:val="10"/>
          <w:rFonts w:asciiTheme="minorBidi" w:hAnsiTheme="minorBidi" w:cstheme="minorBidi"/>
          <w:rtl/>
        </w:rPr>
        <w:t xml:space="preserve"> הלא-פיננסי</w:t>
      </w:r>
      <w:r w:rsidR="00474B96" w:rsidRPr="00E44C3B">
        <w:rPr>
          <w:rStyle w:val="af1"/>
          <w:rFonts w:asciiTheme="minorBidi" w:hAnsiTheme="minorBidi" w:cstheme="minorBidi"/>
          <w:b/>
          <w:bCs/>
          <w:sz w:val="24"/>
          <w:szCs w:val="24"/>
          <w:rtl/>
        </w:rPr>
        <w:footnoteReference w:id="2"/>
      </w:r>
      <w:r w:rsidR="0028327B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0A4B97" w:rsidRPr="009D0E5E" w:rsidRDefault="00EA0460" w:rsidP="00BB4D0D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0E5E">
        <w:rPr>
          <w:rFonts w:asciiTheme="minorBidi" w:hAnsiTheme="minorBidi" w:cstheme="minorBidi"/>
          <w:sz w:val="24"/>
          <w:szCs w:val="24"/>
          <w:rtl/>
        </w:rPr>
        <w:t>מהחטיבה למידע ולסטטיסטיקה נמסר, כי ברביע ה</w:t>
      </w:r>
      <w:r w:rsidR="001F0454" w:rsidRPr="009D0E5E">
        <w:rPr>
          <w:rFonts w:asciiTheme="minorBidi" w:hAnsiTheme="minorBidi" w:cstheme="minorBidi" w:hint="cs"/>
          <w:sz w:val="24"/>
          <w:szCs w:val="24"/>
          <w:rtl/>
        </w:rPr>
        <w:t>רביעי</w:t>
      </w:r>
      <w:r w:rsidRPr="009D0E5E">
        <w:rPr>
          <w:rFonts w:asciiTheme="minorBidi" w:hAnsiTheme="minorBidi" w:cstheme="minorBidi"/>
          <w:sz w:val="24"/>
          <w:szCs w:val="24"/>
          <w:rtl/>
        </w:rPr>
        <w:t xml:space="preserve"> של שנת </w:t>
      </w:r>
      <w:r w:rsidR="009D0E5E" w:rsidRPr="009D0E5E">
        <w:rPr>
          <w:rFonts w:asciiTheme="minorBidi" w:hAnsiTheme="minorBidi" w:cstheme="minorBidi" w:hint="cs"/>
          <w:sz w:val="24"/>
          <w:szCs w:val="24"/>
          <w:rtl/>
        </w:rPr>
        <w:t>2021</w:t>
      </w:r>
      <w:r w:rsidRPr="009D0E5E">
        <w:rPr>
          <w:rFonts w:asciiTheme="minorBidi" w:hAnsiTheme="minorBidi" w:cstheme="minorBidi"/>
          <w:sz w:val="24"/>
          <w:szCs w:val="24"/>
          <w:rtl/>
        </w:rPr>
        <w:t xml:space="preserve"> גדלה יתרת החוב</w:t>
      </w:r>
      <w:r w:rsidR="001F0454" w:rsidRPr="009D0E5E">
        <w:rPr>
          <w:rFonts w:asciiTheme="minorBidi" w:hAnsiTheme="minorBidi" w:cstheme="minorBidi"/>
          <w:sz w:val="24"/>
          <w:szCs w:val="24"/>
          <w:rtl/>
        </w:rPr>
        <w:t xml:space="preserve"> של המגזר העסקי ב</w:t>
      </w:r>
      <w:r w:rsidR="009D0E5E" w:rsidRPr="009D0E5E">
        <w:rPr>
          <w:rFonts w:asciiTheme="minorBidi" w:hAnsiTheme="minorBidi" w:cstheme="minorBidi" w:hint="cs"/>
          <w:sz w:val="24"/>
          <w:szCs w:val="24"/>
          <w:rtl/>
        </w:rPr>
        <w:t xml:space="preserve">היקף משמעותי של </w:t>
      </w:r>
      <w:r w:rsidR="001F0454" w:rsidRPr="009D0E5E">
        <w:rPr>
          <w:rFonts w:asciiTheme="minorBidi" w:hAnsiTheme="minorBidi" w:cstheme="minorBidi"/>
          <w:sz w:val="24"/>
          <w:szCs w:val="24"/>
          <w:rtl/>
        </w:rPr>
        <w:t>כ</w:t>
      </w:r>
      <w:r w:rsidR="001F0454" w:rsidRPr="009D0E5E">
        <w:rPr>
          <w:rFonts w:asciiTheme="minorBidi" w:hAnsiTheme="minorBidi" w:cstheme="minorBidi" w:hint="cs"/>
          <w:sz w:val="24"/>
          <w:szCs w:val="24"/>
          <w:rtl/>
        </w:rPr>
        <w:t>-</w:t>
      </w:r>
      <w:r w:rsidR="009D0E5E" w:rsidRPr="009D0E5E">
        <w:rPr>
          <w:rFonts w:asciiTheme="minorBidi" w:hAnsiTheme="minorBidi" w:cstheme="minorBidi" w:hint="cs"/>
          <w:sz w:val="24"/>
          <w:szCs w:val="24"/>
          <w:rtl/>
        </w:rPr>
        <w:t>41</w:t>
      </w:r>
      <w:r w:rsidRPr="009D0E5E">
        <w:rPr>
          <w:rFonts w:asciiTheme="minorBidi" w:hAnsiTheme="minorBidi" w:cstheme="minorBidi"/>
          <w:sz w:val="24"/>
          <w:szCs w:val="24"/>
          <w:rtl/>
        </w:rPr>
        <w:t xml:space="preserve"> מיליארדי</w:t>
      </w:r>
      <w:r w:rsidR="00417CF1" w:rsidRPr="009D0E5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A2FA2" w:rsidRPr="009D0E5E">
        <w:rPr>
          <w:rFonts w:asciiTheme="minorBidi" w:hAnsiTheme="minorBidi" w:cstheme="minorBidi"/>
          <w:sz w:val="24"/>
          <w:szCs w:val="24"/>
          <w:rtl/>
        </w:rPr>
        <w:t>ש"ח</w:t>
      </w:r>
      <w:r w:rsidR="00417CF1" w:rsidRPr="009D0E5E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="009D0E5E" w:rsidRPr="009D0E5E">
        <w:rPr>
          <w:rFonts w:asciiTheme="minorBidi" w:hAnsiTheme="minorBidi" w:cstheme="minorBidi" w:hint="cs"/>
          <w:sz w:val="24"/>
          <w:szCs w:val="24"/>
          <w:rtl/>
        </w:rPr>
        <w:t>3.9</w:t>
      </w:r>
      <w:r w:rsidR="00417CF1" w:rsidRPr="009D0E5E">
        <w:rPr>
          <w:rFonts w:asciiTheme="minorBidi" w:hAnsiTheme="minorBidi" w:cstheme="minorBidi"/>
          <w:sz w:val="24"/>
          <w:szCs w:val="24"/>
          <w:rtl/>
        </w:rPr>
        <w:t>%)</w:t>
      </w:r>
      <w:r w:rsidRPr="009D0E5E">
        <w:rPr>
          <w:rFonts w:asciiTheme="minorBidi" w:hAnsiTheme="minorBidi" w:cstheme="minorBidi"/>
          <w:sz w:val="24"/>
          <w:szCs w:val="24"/>
          <w:rtl/>
        </w:rPr>
        <w:t xml:space="preserve"> לרמה של כ-</w:t>
      </w:r>
      <w:r w:rsidR="009D0E5E" w:rsidRPr="009D0E5E">
        <w:rPr>
          <w:rFonts w:asciiTheme="minorBidi" w:hAnsiTheme="minorBidi" w:cstheme="minorBidi" w:hint="cs"/>
          <w:sz w:val="24"/>
          <w:szCs w:val="24"/>
          <w:rtl/>
        </w:rPr>
        <w:t>1.1</w:t>
      </w:r>
      <w:r w:rsidRPr="009D0E5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D0E5E" w:rsidRPr="009D0E5E">
        <w:rPr>
          <w:rFonts w:asciiTheme="minorBidi" w:hAnsiTheme="minorBidi" w:cstheme="minorBidi" w:hint="cs"/>
          <w:sz w:val="24"/>
          <w:szCs w:val="24"/>
          <w:rtl/>
        </w:rPr>
        <w:t>טריליונים</w:t>
      </w:r>
      <w:r w:rsidRPr="009D0E5E">
        <w:rPr>
          <w:rFonts w:asciiTheme="minorBidi" w:hAnsiTheme="minorBidi" w:cstheme="minorBidi"/>
          <w:sz w:val="24"/>
          <w:szCs w:val="24"/>
          <w:rtl/>
        </w:rPr>
        <w:t>.</w:t>
      </w:r>
      <w:r w:rsidRPr="009D0E5E">
        <w:rPr>
          <w:rFonts w:asciiTheme="minorBidi" w:hAnsiTheme="minorBidi" w:cstheme="minorBidi"/>
          <w:rtl/>
        </w:rPr>
        <w:t xml:space="preserve"> </w:t>
      </w:r>
      <w:r w:rsidR="009D0E5E" w:rsidRPr="009D0E5E">
        <w:rPr>
          <w:rFonts w:asciiTheme="minorBidi" w:hAnsiTheme="minorBidi" w:cstheme="minorBidi" w:hint="cs"/>
          <w:sz w:val="24"/>
          <w:szCs w:val="24"/>
          <w:rtl/>
        </w:rPr>
        <w:t xml:space="preserve">העלייה ביתרת החוב 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>נ</w:t>
      </w:r>
      <w:r w:rsidR="002B4634" w:rsidRPr="009D0E5E">
        <w:rPr>
          <w:rFonts w:asciiTheme="minorBidi" w:hAnsiTheme="minorBidi" w:cstheme="minorBidi"/>
          <w:sz w:val="24"/>
          <w:szCs w:val="24"/>
          <w:rtl/>
        </w:rPr>
        <w:t xml:space="preserve">בעה מגיוסי חוב נטו 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 xml:space="preserve">שהסתכמו </w:t>
      </w:r>
      <w:r w:rsidR="001F0454" w:rsidRPr="009D0E5E">
        <w:rPr>
          <w:rFonts w:asciiTheme="minorBidi" w:hAnsiTheme="minorBidi" w:cstheme="minorBidi" w:hint="cs"/>
          <w:sz w:val="24"/>
          <w:szCs w:val="24"/>
          <w:rtl/>
        </w:rPr>
        <w:t>בכ-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>50</w:t>
      </w:r>
      <w:r w:rsidR="001F0454" w:rsidRPr="009D0E5E">
        <w:rPr>
          <w:rFonts w:asciiTheme="minorBidi" w:hAnsiTheme="minorBidi" w:cstheme="minorBidi" w:hint="cs"/>
          <w:sz w:val="24"/>
          <w:szCs w:val="24"/>
          <w:rtl/>
        </w:rPr>
        <w:t xml:space="preserve"> מיליארדי ש"ח והורכבו בעיקרם מהלוואות בנקאיות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 xml:space="preserve"> ובעיקר לחברות מענפי השירותים הפיננסים, הבינוי והפעילויות בנדל"ן</w:t>
      </w:r>
      <w:r w:rsidR="001F0454" w:rsidRPr="009D0E5E">
        <w:rPr>
          <w:rFonts w:asciiTheme="minorBidi" w:hAnsiTheme="minorBidi" w:cstheme="minorBidi" w:hint="cs"/>
          <w:sz w:val="24"/>
          <w:szCs w:val="24"/>
          <w:rtl/>
        </w:rPr>
        <w:t>. העלייה ביתרת החוב קוזזה בחלקה כתוצאה מ</w:t>
      </w:r>
      <w:r w:rsidR="002B4634" w:rsidRPr="009D0E5E">
        <w:rPr>
          <w:rFonts w:asciiTheme="minorBidi" w:hAnsiTheme="minorBidi" w:cstheme="minorBidi"/>
          <w:sz w:val="24"/>
          <w:szCs w:val="24"/>
          <w:rtl/>
        </w:rPr>
        <w:t>ייסוף של כ-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>9</w:t>
      </w:r>
      <w:r w:rsidR="001F0454" w:rsidRPr="009D0E5E">
        <w:rPr>
          <w:rFonts w:asciiTheme="minorBidi" w:hAnsiTheme="minorBidi" w:cstheme="minorBidi" w:hint="cs"/>
          <w:sz w:val="24"/>
          <w:szCs w:val="24"/>
          <w:rtl/>
        </w:rPr>
        <w:t>.6</w:t>
      </w:r>
      <w:r w:rsidR="002B4634" w:rsidRPr="009D0E5E">
        <w:rPr>
          <w:rFonts w:asciiTheme="minorBidi" w:hAnsiTheme="minorBidi" w:cstheme="minorBidi"/>
          <w:sz w:val="24"/>
          <w:szCs w:val="24"/>
          <w:rtl/>
        </w:rPr>
        <w:t>% בשער החליפין של השקל מול הדולר שהקטין את השווי של החוב הנקוב במט"ח והצמוד לו.</w:t>
      </w:r>
      <w:r w:rsidR="0071464F" w:rsidRPr="009D0E5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 xml:space="preserve">השפעות אלו הביאו לכך כי ברביע זה נרשם שיעור </w:t>
      </w:r>
      <w:r w:rsidR="00DB3C84">
        <w:rPr>
          <w:rFonts w:asciiTheme="minorBidi" w:hAnsiTheme="minorBidi" w:cstheme="minorBidi" w:hint="cs"/>
          <w:sz w:val="24"/>
          <w:szCs w:val="24"/>
          <w:rtl/>
        </w:rPr>
        <w:t>שינוי שנתי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 xml:space="preserve"> חיובי וגבוה</w:t>
      </w:r>
      <w:r w:rsidR="00BB4D0D">
        <w:rPr>
          <w:rFonts w:asciiTheme="minorBidi" w:hAnsiTheme="minorBidi" w:cstheme="minorBidi" w:hint="cs"/>
          <w:sz w:val="24"/>
          <w:szCs w:val="24"/>
          <w:rtl/>
        </w:rPr>
        <w:t xml:space="preserve"> של כ-18%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1F0454" w:rsidRPr="009D0E5E">
        <w:rPr>
          <w:rFonts w:asciiTheme="minorBidi" w:hAnsiTheme="minorBidi" w:cstheme="minorBidi" w:hint="cs"/>
          <w:sz w:val="24"/>
          <w:szCs w:val="24"/>
          <w:rtl/>
        </w:rPr>
        <w:t>ביתרת החוב לבנקים</w:t>
      </w:r>
      <w:r w:rsidR="009D0E5E">
        <w:rPr>
          <w:rFonts w:asciiTheme="minorBidi" w:hAnsiTheme="minorBidi" w:cstheme="minorBidi" w:hint="cs"/>
          <w:sz w:val="24"/>
          <w:szCs w:val="24"/>
          <w:rtl/>
        </w:rPr>
        <w:t xml:space="preserve">. גם החוב למלווים חוץ-בנקאיים גדל ברביע זה בשיעור של כ-7%. </w:t>
      </w:r>
      <w:r w:rsidR="0071464F" w:rsidRPr="009D0E5E">
        <w:rPr>
          <w:rFonts w:asciiTheme="minorBidi" w:hAnsiTheme="minorBidi" w:cstheme="minorBidi"/>
          <w:sz w:val="24"/>
          <w:szCs w:val="24"/>
          <w:rtl/>
        </w:rPr>
        <w:t>(איור</w:t>
      </w:r>
      <w:r w:rsidR="00042F59" w:rsidRPr="009D0E5E">
        <w:rPr>
          <w:rFonts w:asciiTheme="minorBidi" w:hAnsiTheme="minorBidi" w:cstheme="minorBidi"/>
          <w:sz w:val="24"/>
          <w:szCs w:val="24"/>
          <w:rtl/>
        </w:rPr>
        <w:t>ים</w:t>
      </w:r>
      <w:r w:rsidRPr="009D0E5E">
        <w:rPr>
          <w:rFonts w:asciiTheme="minorBidi" w:hAnsiTheme="minorBidi" w:cstheme="minorBidi"/>
          <w:sz w:val="24"/>
          <w:szCs w:val="24"/>
          <w:rtl/>
        </w:rPr>
        <w:t xml:space="preserve"> 1</w:t>
      </w:r>
      <w:r w:rsidR="00042F59" w:rsidRPr="009D0E5E">
        <w:rPr>
          <w:rFonts w:asciiTheme="minorBidi" w:hAnsiTheme="minorBidi" w:cstheme="minorBidi"/>
          <w:sz w:val="24"/>
          <w:szCs w:val="24"/>
          <w:rtl/>
        </w:rPr>
        <w:t>,2</w:t>
      </w:r>
      <w:r w:rsidRPr="009D0E5E">
        <w:rPr>
          <w:rFonts w:asciiTheme="minorBidi" w:hAnsiTheme="minorBidi" w:cstheme="minorBidi"/>
          <w:sz w:val="24"/>
          <w:szCs w:val="24"/>
          <w:rtl/>
        </w:rPr>
        <w:t>)</w:t>
      </w:r>
      <w:r w:rsidR="0071464F" w:rsidRPr="009D0E5E">
        <w:rPr>
          <w:rFonts w:asciiTheme="minorBidi" w:hAnsiTheme="minorBidi" w:cstheme="minorBidi"/>
          <w:sz w:val="24"/>
          <w:szCs w:val="24"/>
          <w:rtl/>
        </w:rPr>
        <w:t>.</w:t>
      </w:r>
      <w:r w:rsidR="00C90438" w:rsidRPr="009D0E5E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32510F" w:rsidRPr="00E44C3B" w:rsidRDefault="00C55E2C" w:rsidP="00644325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lastRenderedPageBreak/>
        <w:t>ברביע ה</w:t>
      </w:r>
      <w:r>
        <w:rPr>
          <w:rFonts w:asciiTheme="minorBidi" w:hAnsiTheme="minorBidi" w:cstheme="minorBidi" w:hint="cs"/>
          <w:sz w:val="24"/>
          <w:szCs w:val="24"/>
          <w:rtl/>
        </w:rPr>
        <w:t>רביעי</w:t>
      </w:r>
      <w:r w:rsidR="00D11E8D" w:rsidRPr="00E44C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E335BB" w:rsidRPr="00E44C3B">
        <w:rPr>
          <w:rFonts w:asciiTheme="minorBidi" w:hAnsiTheme="minorBidi" w:cstheme="minorBidi"/>
          <w:sz w:val="24"/>
          <w:szCs w:val="24"/>
          <w:rtl/>
        </w:rPr>
        <w:t xml:space="preserve">של השנה </w:t>
      </w:r>
      <w:r w:rsidR="004C43DC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הנפיק המגזר העסקי</w:t>
      </w:r>
      <w:r>
        <w:rPr>
          <w:rFonts w:asciiTheme="minorBidi" w:hAnsiTheme="minorBidi" w:cstheme="minorBidi"/>
          <w:sz w:val="24"/>
          <w:szCs w:val="24"/>
          <w:rtl/>
        </w:rPr>
        <w:t xml:space="preserve"> אג"ח בשווי של כ</w:t>
      </w:r>
      <w:r>
        <w:rPr>
          <w:rFonts w:asciiTheme="minorBidi" w:hAnsiTheme="minorBidi" w:cstheme="minorBidi" w:hint="cs"/>
          <w:sz w:val="24"/>
          <w:szCs w:val="24"/>
          <w:rtl/>
        </w:rPr>
        <w:t>-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>14</w:t>
      </w:r>
      <w:r w:rsidR="00804AEF" w:rsidRPr="00E44C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A51F1" w:rsidRPr="00E44C3B">
        <w:rPr>
          <w:rFonts w:asciiTheme="minorBidi" w:hAnsiTheme="minorBidi" w:cstheme="minorBidi"/>
          <w:sz w:val="24"/>
          <w:szCs w:val="24"/>
          <w:rtl/>
        </w:rPr>
        <w:t>מיליארדי ש"ח</w:t>
      </w:r>
      <w:r w:rsidR="00670D97" w:rsidRPr="00E44C3B">
        <w:rPr>
          <w:rFonts w:asciiTheme="minorBidi" w:hAnsiTheme="minorBidi" w:cstheme="minorBidi"/>
          <w:sz w:val="24"/>
          <w:szCs w:val="24"/>
          <w:rtl/>
        </w:rPr>
        <w:t>,</w:t>
      </w:r>
      <w:r w:rsidR="00804AEF" w:rsidRPr="00E44C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>גבוה</w:t>
      </w:r>
      <w:r w:rsidR="00996717" w:rsidRPr="00E44C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>מ</w:t>
      </w:r>
      <w:r w:rsidR="00474B96" w:rsidRPr="00E44C3B">
        <w:rPr>
          <w:rFonts w:asciiTheme="minorBidi" w:hAnsiTheme="minorBidi" w:cstheme="minorBidi"/>
          <w:sz w:val="24"/>
          <w:szCs w:val="24"/>
          <w:rtl/>
        </w:rPr>
        <w:t>מ</w:t>
      </w:r>
      <w:r w:rsidR="00804AEF" w:rsidRPr="00E44C3B">
        <w:rPr>
          <w:rFonts w:asciiTheme="minorBidi" w:hAnsiTheme="minorBidi" w:cstheme="minorBidi"/>
          <w:sz w:val="24"/>
          <w:szCs w:val="24"/>
          <w:rtl/>
        </w:rPr>
        <w:t xml:space="preserve">מוצע הגיוסים 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 xml:space="preserve">הרבעוני 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 xml:space="preserve">של ארבעת הרביעים </w:t>
      </w:r>
      <w:r w:rsidR="0050090B" w:rsidRPr="00E44C3B">
        <w:rPr>
          <w:rFonts w:asciiTheme="minorBidi" w:hAnsiTheme="minorBidi" w:cstheme="minorBidi"/>
          <w:sz w:val="24"/>
          <w:szCs w:val="24"/>
          <w:rtl/>
        </w:rPr>
        <w:t xml:space="preserve">הקודמים 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>(כ-</w:t>
      </w:r>
      <w:r>
        <w:rPr>
          <w:rFonts w:asciiTheme="minorBidi" w:hAnsiTheme="minorBidi" w:cstheme="minorBidi" w:hint="cs"/>
          <w:sz w:val="24"/>
          <w:szCs w:val="24"/>
          <w:rtl/>
        </w:rPr>
        <w:t>12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 xml:space="preserve"> מיליארדים בממוצע לרביע). </w:t>
      </w:r>
      <w:r>
        <w:rPr>
          <w:rFonts w:asciiTheme="minorBidi" w:hAnsiTheme="minorBidi" w:cstheme="minorBidi" w:hint="cs"/>
          <w:sz w:val="24"/>
          <w:szCs w:val="24"/>
          <w:rtl/>
        </w:rPr>
        <w:t>חברות מ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>ענף הנדל"ן והבינוי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ממשיכות להוביל בגיוסים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כ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 xml:space="preserve">שני שליש </w:t>
      </w:r>
      <w:r>
        <w:rPr>
          <w:rFonts w:asciiTheme="minorBidi" w:hAnsiTheme="minorBidi" w:cstheme="minorBidi" w:hint="cs"/>
          <w:sz w:val="24"/>
          <w:szCs w:val="24"/>
          <w:rtl/>
        </w:rPr>
        <w:t>מההנפקות ברביע זה בוצעו על ידן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 xml:space="preserve">; </w:t>
      </w:r>
      <w:r w:rsidR="00644325" w:rsidRPr="00644325">
        <w:rPr>
          <w:rFonts w:asciiTheme="minorBidi" w:hAnsiTheme="minorBidi" w:cstheme="minorBidi" w:hint="cs"/>
          <w:sz w:val="24"/>
          <w:szCs w:val="24"/>
          <w:rtl/>
        </w:rPr>
        <w:t>הנפקות של חברות מענף התעשייה והגז, היוו כ-17% מסך הגיוס ברביע זה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</w:p>
    <w:p w:rsidR="002A51F1" w:rsidRPr="005D6B64" w:rsidRDefault="002B4634" w:rsidP="00644325">
      <w:pPr>
        <w:pStyle w:val="a9"/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E44C3B">
        <w:rPr>
          <w:rFonts w:asciiTheme="minorBidi" w:hAnsiTheme="minorBidi" w:cstheme="minorBidi"/>
          <w:sz w:val="24"/>
          <w:szCs w:val="24"/>
          <w:rtl/>
        </w:rPr>
        <w:t>בחודש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C55E2C">
        <w:rPr>
          <w:rFonts w:asciiTheme="minorBidi" w:hAnsiTheme="minorBidi" w:cstheme="minorBidi" w:hint="cs"/>
          <w:sz w:val="24"/>
          <w:szCs w:val="24"/>
          <w:rtl/>
        </w:rPr>
        <w:t xml:space="preserve">ינואר 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>2022</w:t>
      </w:r>
      <w:r w:rsidR="00C55E2C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>הנפיק המגזר העסקי אג"ח בשווי של כ-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>6</w:t>
      </w:r>
      <w:r w:rsidRPr="00E44C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2510F" w:rsidRPr="00E44C3B">
        <w:rPr>
          <w:rFonts w:asciiTheme="minorBidi" w:hAnsiTheme="minorBidi" w:cstheme="minorBidi"/>
          <w:sz w:val="24"/>
          <w:szCs w:val="24"/>
          <w:rtl/>
        </w:rPr>
        <w:t xml:space="preserve">מיליארדי ש"ח, </w:t>
      </w:r>
      <w:r w:rsidR="00644325">
        <w:rPr>
          <w:rFonts w:asciiTheme="minorBidi" w:hAnsiTheme="minorBidi" w:cstheme="minorBidi" w:hint="cs"/>
          <w:sz w:val="24"/>
          <w:szCs w:val="24"/>
          <w:rtl/>
        </w:rPr>
        <w:t xml:space="preserve">גבוה </w:t>
      </w:r>
      <w:r w:rsidR="00644325" w:rsidRPr="005D6B64">
        <w:rPr>
          <w:rFonts w:asciiTheme="minorBidi" w:hAnsiTheme="minorBidi" w:cstheme="minorBidi" w:hint="cs"/>
          <w:sz w:val="24"/>
          <w:szCs w:val="24"/>
          <w:rtl/>
        </w:rPr>
        <w:t xml:space="preserve">ממוצע </w:t>
      </w:r>
      <w:r w:rsidR="00644325" w:rsidRPr="005D6B64">
        <w:rPr>
          <w:rFonts w:asciiTheme="minorBidi" w:hAnsiTheme="minorBidi" w:cstheme="minorBidi"/>
          <w:sz w:val="24"/>
          <w:szCs w:val="24"/>
          <w:rtl/>
        </w:rPr>
        <w:t>הגיוסים ב-12 החודשים הקודמים</w:t>
      </w:r>
      <w:r w:rsidR="00644325" w:rsidRPr="005D6B64">
        <w:rPr>
          <w:rFonts w:asciiTheme="minorBidi" w:hAnsiTheme="minorBidi" w:cstheme="minorBidi" w:hint="cs"/>
          <w:sz w:val="24"/>
          <w:szCs w:val="24"/>
          <w:rtl/>
        </w:rPr>
        <w:t xml:space="preserve"> שעמד על כ-4 מיליארדים.</w:t>
      </w:r>
      <w:r w:rsidR="0032510F" w:rsidRPr="005D6B6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70391" w:rsidRPr="005D6B64">
        <w:rPr>
          <w:rFonts w:asciiTheme="minorBidi" w:hAnsiTheme="minorBidi" w:cstheme="minorBidi"/>
          <w:sz w:val="24"/>
          <w:szCs w:val="24"/>
          <w:rtl/>
        </w:rPr>
        <w:t>(איור 3)</w:t>
      </w:r>
      <w:r w:rsidR="008E0911" w:rsidRPr="005D6B64">
        <w:rPr>
          <w:rFonts w:asciiTheme="minorBidi" w:hAnsiTheme="minorBidi" w:cstheme="minorBidi"/>
          <w:sz w:val="24"/>
          <w:szCs w:val="24"/>
          <w:rtl/>
        </w:rPr>
        <w:t>.</w:t>
      </w:r>
    </w:p>
    <w:p w:rsidR="00E44E3D" w:rsidRPr="005D6B64" w:rsidRDefault="00B17282" w:rsidP="005D6B64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6B64">
        <w:rPr>
          <w:rFonts w:asciiTheme="minorBidi" w:hAnsiTheme="minorBidi" w:cstheme="minorBidi"/>
          <w:sz w:val="24"/>
          <w:szCs w:val="24"/>
          <w:rtl/>
        </w:rPr>
        <w:t>ברביע ה</w:t>
      </w:r>
      <w:r w:rsidR="00417C8B" w:rsidRPr="005D6B64">
        <w:rPr>
          <w:rFonts w:asciiTheme="minorBidi" w:hAnsiTheme="minorBidi" w:cstheme="minorBidi" w:hint="cs"/>
          <w:sz w:val="24"/>
          <w:szCs w:val="24"/>
          <w:rtl/>
        </w:rPr>
        <w:t>רביעי</w:t>
      </w:r>
      <w:r w:rsidRPr="005D6B64">
        <w:rPr>
          <w:rFonts w:asciiTheme="minorBidi" w:hAnsiTheme="minorBidi" w:cstheme="minorBidi"/>
          <w:sz w:val="24"/>
          <w:szCs w:val="24"/>
          <w:rtl/>
        </w:rPr>
        <w:t xml:space="preserve"> של השנה </w:t>
      </w:r>
      <w:r w:rsidR="00985B74" w:rsidRPr="005D6B64">
        <w:rPr>
          <w:rFonts w:asciiTheme="minorBidi" w:hAnsiTheme="minorBidi" w:cstheme="minorBidi"/>
          <w:b/>
          <w:bCs/>
          <w:sz w:val="24"/>
          <w:szCs w:val="24"/>
          <w:rtl/>
        </w:rPr>
        <w:t>ה</w:t>
      </w:r>
      <w:r w:rsidR="00416818" w:rsidRPr="005D6B64">
        <w:rPr>
          <w:rFonts w:asciiTheme="minorBidi" w:hAnsiTheme="minorBidi" w:cstheme="minorBidi"/>
          <w:b/>
          <w:bCs/>
          <w:sz w:val="24"/>
          <w:szCs w:val="24"/>
          <w:rtl/>
        </w:rPr>
        <w:t>מרווח</w:t>
      </w:r>
      <w:r w:rsidR="00884ED4" w:rsidRPr="005D6B64">
        <w:rPr>
          <w:rStyle w:val="af1"/>
          <w:rFonts w:asciiTheme="minorBidi" w:hAnsiTheme="minorBidi" w:cstheme="minorBidi"/>
          <w:b/>
          <w:bCs/>
          <w:sz w:val="24"/>
          <w:szCs w:val="24"/>
          <w:rtl/>
        </w:rPr>
        <w:footnoteReference w:id="3"/>
      </w:r>
      <w:r w:rsidR="00884ED4" w:rsidRPr="005D6B6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416818" w:rsidRPr="005D6B6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בין תשואת </w:t>
      </w:r>
      <w:r w:rsidR="00BD4578" w:rsidRPr="005D6B64">
        <w:rPr>
          <w:rFonts w:asciiTheme="minorBidi" w:hAnsiTheme="minorBidi" w:cstheme="minorBidi"/>
          <w:b/>
          <w:bCs/>
          <w:sz w:val="24"/>
          <w:szCs w:val="24"/>
          <w:rtl/>
        </w:rPr>
        <w:t>האג"ח הקונצרניות הכלולות במדד</w:t>
      </w:r>
      <w:r w:rsidR="00985B74" w:rsidRPr="005D6B6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תל בונד 60, לבין תשואת האג"ח הממשלתיות </w:t>
      </w:r>
      <w:r w:rsidR="00DA4279" w:rsidRPr="005D6B64">
        <w:rPr>
          <w:rFonts w:asciiTheme="minorBidi" w:hAnsiTheme="minorBidi" w:cstheme="minorBidi"/>
          <w:b/>
          <w:bCs/>
          <w:sz w:val="24"/>
          <w:szCs w:val="24"/>
          <w:rtl/>
        </w:rPr>
        <w:t>הצמודות</w:t>
      </w:r>
      <w:r w:rsidR="00DA4279" w:rsidRPr="005D6B6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D6B64" w:rsidRPr="005D6B64">
        <w:rPr>
          <w:rFonts w:asciiTheme="minorBidi" w:hAnsiTheme="minorBidi" w:cstheme="minorBidi" w:hint="cs"/>
          <w:sz w:val="24"/>
          <w:szCs w:val="24"/>
          <w:rtl/>
        </w:rPr>
        <w:t xml:space="preserve">התרחב מעט </w:t>
      </w:r>
      <w:r w:rsidR="00416818" w:rsidRPr="005D6B64">
        <w:rPr>
          <w:rFonts w:asciiTheme="minorBidi" w:hAnsiTheme="minorBidi" w:cstheme="minorBidi"/>
          <w:sz w:val="24"/>
          <w:szCs w:val="24"/>
          <w:rtl/>
        </w:rPr>
        <w:t>ל</w:t>
      </w:r>
      <w:r w:rsidR="002C2286" w:rsidRPr="005D6B64">
        <w:rPr>
          <w:rFonts w:asciiTheme="minorBidi" w:hAnsiTheme="minorBidi" w:cstheme="minorBidi"/>
          <w:sz w:val="24"/>
          <w:szCs w:val="24"/>
          <w:rtl/>
        </w:rPr>
        <w:t>כ-</w:t>
      </w:r>
      <w:r w:rsidR="009A247B" w:rsidRPr="005D6B64">
        <w:rPr>
          <w:rFonts w:asciiTheme="minorBidi" w:hAnsiTheme="minorBidi" w:cstheme="minorBidi"/>
          <w:sz w:val="24"/>
          <w:szCs w:val="24"/>
          <w:rtl/>
        </w:rPr>
        <w:t>1.</w:t>
      </w:r>
      <w:r w:rsidR="005D6B64" w:rsidRPr="005D6B64">
        <w:rPr>
          <w:rFonts w:asciiTheme="minorBidi" w:hAnsiTheme="minorBidi" w:cstheme="minorBidi" w:hint="cs"/>
          <w:sz w:val="24"/>
          <w:szCs w:val="24"/>
          <w:rtl/>
        </w:rPr>
        <w:t>2</w:t>
      </w:r>
      <w:r w:rsidR="002618F7" w:rsidRPr="005D6B64">
        <w:rPr>
          <w:rFonts w:asciiTheme="minorBidi" w:hAnsiTheme="minorBidi" w:cstheme="minorBidi" w:hint="cs"/>
          <w:sz w:val="24"/>
          <w:szCs w:val="24"/>
          <w:rtl/>
        </w:rPr>
        <w:t>2</w:t>
      </w:r>
      <w:r w:rsidRPr="005D6B64">
        <w:rPr>
          <w:rFonts w:asciiTheme="minorBidi" w:hAnsiTheme="minorBidi" w:cstheme="minorBidi"/>
          <w:sz w:val="24"/>
          <w:szCs w:val="24"/>
          <w:rtl/>
        </w:rPr>
        <w:t xml:space="preserve"> נק' האחוז</w:t>
      </w:r>
      <w:r w:rsidR="009A247B" w:rsidRPr="005D6B64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="005D6B64" w:rsidRPr="005D6B64">
        <w:rPr>
          <w:rFonts w:ascii="Arial" w:hAnsi="Arial" w:cs="Arial" w:hint="cs"/>
          <w:sz w:val="24"/>
          <w:szCs w:val="24"/>
          <w:rtl/>
        </w:rPr>
        <w:t>זאת לאחר הצטמצמו</w:t>
      </w:r>
      <w:r w:rsidR="005D6B64" w:rsidRPr="005D6B64">
        <w:rPr>
          <w:rFonts w:ascii="Arial" w:hAnsi="Arial" w:cs="Arial" w:hint="eastAsia"/>
          <w:sz w:val="24"/>
          <w:szCs w:val="24"/>
          <w:rtl/>
        </w:rPr>
        <w:t>ת</w:t>
      </w:r>
      <w:r w:rsidR="005D6B64" w:rsidRPr="005D6B64">
        <w:rPr>
          <w:rFonts w:ascii="Arial" w:hAnsi="Arial" w:cs="Arial" w:hint="cs"/>
          <w:sz w:val="24"/>
          <w:szCs w:val="24"/>
          <w:rtl/>
        </w:rPr>
        <w:t xml:space="preserve"> שנרשמה החל מהרביע השני של שנת 2020.</w:t>
      </w:r>
      <w:r w:rsidR="00884ED4" w:rsidRPr="005D6B6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8E7A02" w:rsidRPr="005D6B64">
        <w:rPr>
          <w:rFonts w:asciiTheme="minorBidi" w:hAnsiTheme="minorBidi" w:cstheme="minorBidi"/>
          <w:sz w:val="24"/>
          <w:szCs w:val="24"/>
          <w:rtl/>
        </w:rPr>
        <w:t>ב</w:t>
      </w:r>
      <w:r w:rsidR="005D6B64" w:rsidRPr="005D6B64">
        <w:rPr>
          <w:rFonts w:asciiTheme="minorBidi" w:hAnsiTheme="minorBidi" w:cstheme="minorBidi"/>
          <w:sz w:val="24"/>
          <w:szCs w:val="24"/>
          <w:rtl/>
        </w:rPr>
        <w:t>חודש</w:t>
      </w:r>
      <w:r w:rsidR="00DA277E" w:rsidRPr="005D6B6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618F7" w:rsidRPr="005D6B64">
        <w:rPr>
          <w:rFonts w:asciiTheme="minorBidi" w:hAnsiTheme="minorBidi" w:cstheme="minorBidi" w:hint="cs"/>
          <w:sz w:val="24"/>
          <w:szCs w:val="24"/>
          <w:rtl/>
        </w:rPr>
        <w:t>ינואר</w:t>
      </w:r>
      <w:r w:rsidR="00CB0D32" w:rsidRPr="005D6B64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5D6B64" w:rsidRPr="005D6B64">
        <w:rPr>
          <w:rFonts w:asciiTheme="minorBidi" w:hAnsiTheme="minorBidi" w:cstheme="minorBidi" w:hint="cs"/>
          <w:sz w:val="24"/>
          <w:szCs w:val="24"/>
          <w:rtl/>
        </w:rPr>
        <w:t>2022</w:t>
      </w:r>
      <w:r w:rsidR="008E7A02" w:rsidRPr="005D6B6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A247B" w:rsidRPr="005D6B64">
        <w:rPr>
          <w:rFonts w:asciiTheme="minorBidi" w:hAnsiTheme="minorBidi" w:cstheme="minorBidi"/>
          <w:sz w:val="24"/>
          <w:szCs w:val="24"/>
          <w:rtl/>
        </w:rPr>
        <w:t xml:space="preserve">מרווח זה </w:t>
      </w:r>
      <w:r w:rsidR="005D6B64" w:rsidRPr="005D6B64">
        <w:rPr>
          <w:rFonts w:asciiTheme="minorBidi" w:hAnsiTheme="minorBidi" w:cstheme="minorBidi" w:hint="cs"/>
          <w:sz w:val="24"/>
          <w:szCs w:val="24"/>
          <w:rtl/>
        </w:rPr>
        <w:t xml:space="preserve">נותר כמעט ללא שינוי. </w:t>
      </w:r>
      <w:r w:rsidR="00070391" w:rsidRPr="005D6B64">
        <w:rPr>
          <w:rFonts w:asciiTheme="minorBidi" w:hAnsiTheme="minorBidi" w:cstheme="minorBidi"/>
          <w:sz w:val="24"/>
          <w:szCs w:val="24"/>
          <w:rtl/>
        </w:rPr>
        <w:t>(איור 4)</w:t>
      </w:r>
      <w:r w:rsidR="008E0911" w:rsidRPr="005D6B64">
        <w:rPr>
          <w:rFonts w:asciiTheme="minorBidi" w:hAnsiTheme="minorBidi" w:cstheme="minorBidi"/>
          <w:sz w:val="24"/>
          <w:szCs w:val="24"/>
          <w:rtl/>
        </w:rPr>
        <w:t>.</w:t>
      </w:r>
    </w:p>
    <w:p w:rsidR="00E33B1C" w:rsidRPr="00E44C3B" w:rsidRDefault="00E33B1C" w:rsidP="00E33B1C">
      <w:pPr>
        <w:pStyle w:val="a9"/>
        <w:bidi/>
        <w:spacing w:before="24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21AEA" w:rsidRPr="00E44C3B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E44C3B">
        <w:rPr>
          <w:rFonts w:asciiTheme="minorBidi" w:hAnsiTheme="minorBidi" w:cstheme="minorBidi"/>
          <w:b/>
          <w:bCs/>
          <w:rtl/>
        </w:rPr>
        <w:t>לוח 1: התפלגות החוב של המגזר העסקי</w:t>
      </w:r>
      <w:r w:rsidR="001E78A9" w:rsidRPr="00E44C3B">
        <w:rPr>
          <w:rFonts w:asciiTheme="minorBidi" w:hAnsiTheme="minorBidi" w:cstheme="minorBidi"/>
          <w:b/>
          <w:bCs/>
          <w:rtl/>
        </w:rPr>
        <w:t xml:space="preserve"> הלא-פיננסי</w:t>
      </w:r>
      <w:r w:rsidR="0012175B" w:rsidRPr="00E44C3B">
        <w:rPr>
          <w:rFonts w:asciiTheme="minorBidi" w:hAnsiTheme="minorBidi" w:cstheme="minorBidi"/>
          <w:sz w:val="22"/>
          <w:szCs w:val="22"/>
          <w:vertAlign w:val="superscript"/>
          <w:rtl/>
        </w:rPr>
        <w:t>1</w:t>
      </w:r>
      <w:r w:rsidR="00303DA6" w:rsidRPr="00E44C3B">
        <w:rPr>
          <w:rFonts w:asciiTheme="minorBidi" w:hAnsiTheme="minorBidi" w:cstheme="minorBidi"/>
          <w:sz w:val="22"/>
          <w:szCs w:val="22"/>
          <w:vertAlign w:val="superscript"/>
          <w:rtl/>
        </w:rPr>
        <w:t xml:space="preserve"> </w:t>
      </w:r>
    </w:p>
    <w:p w:rsidR="002A60C4" w:rsidRPr="00E44C3B" w:rsidRDefault="00B01926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B01926">
        <w:rPr>
          <w:noProof/>
          <w:rtl/>
        </w:rPr>
        <w:drawing>
          <wp:inline distT="0" distB="0" distL="0" distR="0">
            <wp:extent cx="5278120" cy="2775659"/>
            <wp:effectExtent l="0" t="0" r="0" b="5715"/>
            <wp:docPr id="6" name="תמונה 6" descr="לוח 1: התפלגות החוב של המגזר העסקי הלא-פיננסי1 " title="לוח 1: התפלגות החוב של המגזר העסקי הלא-פיננס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E44C3B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</w:rPr>
      </w:pPr>
      <w:r w:rsidRPr="00E44C3B">
        <w:rPr>
          <w:rFonts w:asciiTheme="minorBidi" w:hAnsiTheme="minorBidi" w:cstheme="minorBidi"/>
          <w:b/>
          <w:bCs/>
          <w:rtl/>
        </w:rPr>
        <w:lastRenderedPageBreak/>
        <w:t xml:space="preserve">איור 1: </w:t>
      </w:r>
      <w:r w:rsidR="00AD3F98" w:rsidRPr="00E44C3B">
        <w:rPr>
          <w:rFonts w:asciiTheme="minorBidi" w:hAnsiTheme="minorBidi" w:cstheme="minorBidi"/>
          <w:b/>
          <w:bCs/>
          <w:rtl/>
        </w:rPr>
        <w:t xml:space="preserve">אומדן </w:t>
      </w:r>
      <w:r w:rsidR="00374BF3" w:rsidRPr="00E44C3B">
        <w:rPr>
          <w:rFonts w:asciiTheme="minorBidi" w:hAnsiTheme="minorBidi" w:cstheme="minorBidi"/>
          <w:b/>
          <w:bCs/>
          <w:rtl/>
        </w:rPr>
        <w:t>לתנועות של סך ה</w:t>
      </w:r>
      <w:r w:rsidR="00AD3F98" w:rsidRPr="00E44C3B">
        <w:rPr>
          <w:rFonts w:asciiTheme="minorBidi" w:hAnsiTheme="minorBidi" w:cstheme="minorBidi"/>
          <w:b/>
          <w:bCs/>
          <w:rtl/>
        </w:rPr>
        <w:t>חוב של</w:t>
      </w:r>
      <w:r w:rsidRPr="00E44C3B">
        <w:rPr>
          <w:rFonts w:asciiTheme="minorBidi" w:hAnsiTheme="minorBidi" w:cstheme="minorBidi"/>
          <w:b/>
          <w:bCs/>
          <w:rtl/>
        </w:rPr>
        <w:t xml:space="preserve"> </w:t>
      </w:r>
      <w:r w:rsidR="0004490E" w:rsidRPr="00E44C3B">
        <w:rPr>
          <w:rFonts w:asciiTheme="minorBidi" w:hAnsiTheme="minorBidi" w:cstheme="minorBidi"/>
          <w:b/>
          <w:bCs/>
          <w:rtl/>
        </w:rPr>
        <w:t>המגזר</w:t>
      </w:r>
      <w:r w:rsidR="00AD3F98" w:rsidRPr="00E44C3B">
        <w:rPr>
          <w:rFonts w:asciiTheme="minorBidi" w:hAnsiTheme="minorBidi" w:cstheme="minorBidi"/>
          <w:b/>
          <w:bCs/>
          <w:rtl/>
        </w:rPr>
        <w:t xml:space="preserve"> העסקי </w:t>
      </w:r>
      <w:r w:rsidR="001E78A9" w:rsidRPr="00E44C3B">
        <w:rPr>
          <w:rFonts w:asciiTheme="minorBidi" w:hAnsiTheme="minorBidi" w:cstheme="minorBidi"/>
          <w:b/>
          <w:bCs/>
          <w:rtl/>
        </w:rPr>
        <w:t>הלא-פיננסי</w:t>
      </w:r>
    </w:p>
    <w:p w:rsidR="002A60C4" w:rsidRPr="00E44C3B" w:rsidRDefault="00B01926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01926">
        <w:rPr>
          <w:noProof/>
          <w:lang w:eastAsia="en-US"/>
        </w:rPr>
        <w:drawing>
          <wp:inline distT="0" distB="0" distL="0" distR="0">
            <wp:extent cx="5278120" cy="2792214"/>
            <wp:effectExtent l="0" t="0" r="0" b="8255"/>
            <wp:docPr id="7" name="תמונה 7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9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E8" w:rsidRPr="00E44C3B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675551" w:rsidRPr="00E44C3B" w:rsidRDefault="00675551" w:rsidP="00105A3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הלא-פיננסי</w:t>
      </w:r>
    </w:p>
    <w:p w:rsidR="00675551" w:rsidRPr="00E44C3B" w:rsidRDefault="00B01926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01926">
        <w:rPr>
          <w:rFonts w:hint="cs"/>
          <w:noProof/>
          <w:rtl/>
          <w:lang w:eastAsia="en-US"/>
        </w:rPr>
        <w:drawing>
          <wp:inline distT="0" distB="0" distL="0" distR="0">
            <wp:extent cx="5259705" cy="2545715"/>
            <wp:effectExtent l="0" t="0" r="0" b="6985"/>
            <wp:docPr id="8" name="תמונה 8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AC3E61" w:rsidRPr="00E44C3B" w:rsidRDefault="00AC3E61" w:rsidP="00C9450A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3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D602E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F83505" w:rsidRPr="00E44C3B" w:rsidRDefault="00B01926" w:rsidP="001F1E1B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01926">
        <w:rPr>
          <w:noProof/>
          <w:lang w:eastAsia="en-US"/>
        </w:rPr>
        <w:drawing>
          <wp:inline distT="0" distB="0" distL="0" distR="0">
            <wp:extent cx="5215890" cy="2962910"/>
            <wp:effectExtent l="0" t="0" r="3810" b="8890"/>
            <wp:docPr id="9" name="תמונה 9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67" w:rsidRPr="00E44C3B" w:rsidRDefault="00402A67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22BB0" w:rsidRPr="00E44C3B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4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: המרווח בין אג"ח חברות צמוד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(תל בונד 60) לאג"ח ממשלתי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צמוד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/>
        <w:t>(ממוצע חודשי)</w:t>
      </w:r>
    </w:p>
    <w:p w:rsidR="00522BB0" w:rsidRPr="00E44C3B" w:rsidRDefault="00B01926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01926">
        <w:rPr>
          <w:noProof/>
          <w:rtl/>
          <w:lang w:eastAsia="en-US"/>
        </w:rPr>
        <w:drawing>
          <wp:inline distT="0" distB="0" distL="0" distR="0">
            <wp:extent cx="5278120" cy="2726145"/>
            <wp:effectExtent l="0" t="0" r="0" b="0"/>
            <wp:docPr id="10" name="תמונה 10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B0" w:rsidRPr="00E44C3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9F574F" w:rsidRPr="00E44C3B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Theme="minorBidi" w:hAnsiTheme="minorBidi" w:cstheme="minorBidi"/>
        </w:rPr>
      </w:pPr>
      <w:r w:rsidRPr="00E44C3B">
        <w:rPr>
          <w:rStyle w:val="10"/>
          <w:rFonts w:asciiTheme="minorBidi" w:hAnsiTheme="minorBidi" w:cstheme="minorBidi"/>
          <w:rtl/>
        </w:rPr>
        <w:t>החוב של משקי הבית</w:t>
      </w:r>
    </w:p>
    <w:p w:rsidR="002E4976" w:rsidRPr="007D218D" w:rsidRDefault="007D218D" w:rsidP="00C85B7D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Theme="minorBidi" w:hAnsiTheme="minorBidi" w:cstheme="minorBidi"/>
          <w:sz w:val="24"/>
          <w:szCs w:val="24"/>
        </w:rPr>
      </w:pPr>
      <w:r w:rsidRPr="008E0911">
        <w:rPr>
          <w:rFonts w:ascii="Arial" w:hAnsi="Arial" w:cs="Arial" w:hint="cs"/>
          <w:b/>
          <w:bCs/>
          <w:sz w:val="24"/>
          <w:szCs w:val="24"/>
          <w:rtl/>
        </w:rPr>
        <w:t>יתרת החוב של משקי הבית</w:t>
      </w:r>
      <w:r w:rsidRPr="008E0911">
        <w:rPr>
          <w:rFonts w:ascii="Arial" w:hAnsi="Arial" w:cs="Arial" w:hint="cs"/>
          <w:sz w:val="24"/>
          <w:szCs w:val="24"/>
          <w:rtl/>
        </w:rPr>
        <w:t xml:space="preserve"> ברביע הרביעי של שנת </w:t>
      </w:r>
      <w:r w:rsidR="00F13367">
        <w:rPr>
          <w:rFonts w:ascii="Arial" w:hAnsi="Arial" w:cs="Arial" w:hint="cs"/>
          <w:sz w:val="24"/>
          <w:szCs w:val="24"/>
          <w:rtl/>
        </w:rPr>
        <w:t>2021</w:t>
      </w:r>
      <w:r w:rsidRPr="008E0911">
        <w:rPr>
          <w:rFonts w:ascii="Arial" w:hAnsi="Arial" w:cs="Arial" w:hint="cs"/>
          <w:sz w:val="24"/>
          <w:szCs w:val="24"/>
          <w:rtl/>
        </w:rPr>
        <w:t xml:space="preserve"> </w:t>
      </w:r>
      <w:r w:rsidR="00F13367">
        <w:rPr>
          <w:rFonts w:ascii="Arial" w:hAnsi="Arial" w:cs="Arial" w:hint="cs"/>
          <w:sz w:val="24"/>
          <w:szCs w:val="24"/>
          <w:rtl/>
        </w:rPr>
        <w:t>המשיכה לגדול בכ-26 מיליארדים (4%)</w:t>
      </w:r>
      <w:r w:rsidR="00DB3C84">
        <w:rPr>
          <w:rFonts w:ascii="Arial" w:hAnsi="Arial" w:cs="Arial" w:hint="cs"/>
          <w:sz w:val="24"/>
          <w:szCs w:val="24"/>
          <w:rtl/>
        </w:rPr>
        <w:t>, הן בחוב לדיור והן בחוב לא-לדיור,</w:t>
      </w:r>
      <w:r w:rsidR="00DB3C84" w:rsidRPr="008E0911">
        <w:rPr>
          <w:rFonts w:ascii="Arial" w:hAnsi="Arial" w:cs="Arial" w:hint="cs"/>
          <w:sz w:val="24"/>
          <w:szCs w:val="24"/>
          <w:rtl/>
        </w:rPr>
        <w:t xml:space="preserve"> </w:t>
      </w:r>
      <w:r w:rsidRPr="008E0911">
        <w:rPr>
          <w:rFonts w:ascii="Arial" w:hAnsi="Arial" w:cs="Arial" w:hint="cs"/>
          <w:sz w:val="24"/>
          <w:szCs w:val="24"/>
          <w:rtl/>
        </w:rPr>
        <w:t>לרמה של כ-</w:t>
      </w:r>
      <w:r w:rsidR="00F13367">
        <w:rPr>
          <w:rFonts w:ascii="Arial" w:hAnsi="Arial" w:cs="Arial" w:hint="cs"/>
          <w:sz w:val="24"/>
          <w:szCs w:val="24"/>
          <w:rtl/>
        </w:rPr>
        <w:t>691</w:t>
      </w:r>
      <w:r w:rsidR="00DB3C84">
        <w:rPr>
          <w:rFonts w:ascii="Arial" w:hAnsi="Arial" w:cs="Arial" w:hint="cs"/>
          <w:sz w:val="24"/>
          <w:szCs w:val="24"/>
          <w:rtl/>
        </w:rPr>
        <w:t xml:space="preserve"> מיליארדי ש"ח</w:t>
      </w:r>
      <w:r w:rsidR="00F13367">
        <w:rPr>
          <w:rFonts w:ascii="Arial" w:hAnsi="Arial" w:cs="Arial" w:hint="cs"/>
          <w:sz w:val="24"/>
          <w:szCs w:val="24"/>
          <w:rtl/>
        </w:rPr>
        <w:t>. נמשכה העלייה</w:t>
      </w:r>
      <w:r w:rsidRPr="008E0911">
        <w:rPr>
          <w:rFonts w:ascii="Arial" w:hAnsi="Arial" w:cs="Arial"/>
          <w:sz w:val="24"/>
          <w:szCs w:val="24"/>
          <w:rtl/>
        </w:rPr>
        <w:t xml:space="preserve"> ביתרת </w:t>
      </w:r>
      <w:r w:rsidRPr="008E0911">
        <w:rPr>
          <w:rFonts w:ascii="Arial" w:hAnsi="Arial" w:cs="Arial"/>
          <w:b/>
          <w:bCs/>
          <w:sz w:val="24"/>
          <w:szCs w:val="24"/>
          <w:rtl/>
        </w:rPr>
        <w:t>החוב לדיור</w:t>
      </w:r>
      <w:r w:rsidR="00F1336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F13367" w:rsidRPr="00F13367">
        <w:rPr>
          <w:rFonts w:ascii="Arial" w:hAnsi="Arial" w:cs="Arial" w:hint="cs"/>
          <w:sz w:val="24"/>
          <w:szCs w:val="24"/>
          <w:rtl/>
        </w:rPr>
        <w:t>(כ-18 מיליארדי ש"ח) ו</w:t>
      </w:r>
      <w:r w:rsidR="00C85B7D">
        <w:rPr>
          <w:rFonts w:ascii="Arial" w:hAnsi="Arial" w:cs="Arial" w:hint="cs"/>
          <w:sz w:val="24"/>
          <w:szCs w:val="24"/>
          <w:rtl/>
        </w:rPr>
        <w:t xml:space="preserve">כן </w:t>
      </w:r>
      <w:r w:rsidR="00983A26">
        <w:rPr>
          <w:rFonts w:ascii="Arial" w:hAnsi="Arial" w:cs="Arial" w:hint="cs"/>
          <w:sz w:val="24"/>
          <w:szCs w:val="24"/>
          <w:rtl/>
        </w:rPr>
        <w:t>בשיעור הגידול בה שע</w:t>
      </w:r>
      <w:r w:rsidR="00C85B7D">
        <w:rPr>
          <w:rFonts w:ascii="Arial" w:hAnsi="Arial" w:cs="Arial" w:hint="cs"/>
          <w:sz w:val="24"/>
          <w:szCs w:val="24"/>
          <w:rtl/>
        </w:rPr>
        <w:t xml:space="preserve">מד על </w:t>
      </w:r>
      <w:r w:rsidR="00F13367" w:rsidRPr="00F13367">
        <w:rPr>
          <w:rFonts w:ascii="Arial" w:hAnsi="Arial" w:cs="Arial" w:hint="cs"/>
          <w:sz w:val="24"/>
          <w:szCs w:val="24"/>
          <w:rtl/>
        </w:rPr>
        <w:t>כ</w:t>
      </w:r>
      <w:r w:rsidR="00F13367">
        <w:rPr>
          <w:rFonts w:ascii="Arial" w:hAnsi="Arial" w:cs="Arial" w:hint="cs"/>
          <w:sz w:val="24"/>
          <w:szCs w:val="24"/>
          <w:rtl/>
        </w:rPr>
        <w:t xml:space="preserve">-4% ברביע </w:t>
      </w:r>
      <w:r w:rsidR="00F13367" w:rsidRPr="00F13367">
        <w:rPr>
          <w:rFonts w:ascii="Arial" w:hAnsi="Arial" w:cs="Arial" w:hint="cs"/>
          <w:sz w:val="24"/>
          <w:szCs w:val="24"/>
          <w:rtl/>
        </w:rPr>
        <w:t>זה</w:t>
      </w:r>
      <w:r w:rsidRPr="00F13367">
        <w:rPr>
          <w:rFonts w:ascii="Arial" w:hAnsi="Arial" w:cs="Arial"/>
          <w:sz w:val="24"/>
          <w:szCs w:val="24"/>
          <w:rtl/>
        </w:rPr>
        <w:t xml:space="preserve">; </w:t>
      </w:r>
      <w:r w:rsidR="00F13367" w:rsidRPr="00F13367">
        <w:rPr>
          <w:rFonts w:ascii="Arial" w:hAnsi="Arial" w:cs="Arial" w:hint="cs"/>
          <w:sz w:val="24"/>
          <w:szCs w:val="24"/>
          <w:rtl/>
        </w:rPr>
        <w:t xml:space="preserve">גם </w:t>
      </w:r>
      <w:r w:rsidRPr="00F13367">
        <w:rPr>
          <w:rFonts w:ascii="Arial" w:hAnsi="Arial" w:cs="Arial"/>
          <w:sz w:val="24"/>
          <w:szCs w:val="24"/>
          <w:rtl/>
        </w:rPr>
        <w:t>יתרת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החוב לא</w:t>
      </w:r>
      <w:r>
        <w:rPr>
          <w:rFonts w:ascii="Arial" w:hAnsi="Arial" w:cs="Arial" w:hint="cs"/>
          <w:b/>
          <w:bCs/>
          <w:sz w:val="24"/>
          <w:szCs w:val="24"/>
          <w:rtl/>
        </w:rPr>
        <w:t>-</w:t>
      </w:r>
      <w:r w:rsidRPr="008E0911">
        <w:rPr>
          <w:rFonts w:ascii="Arial" w:hAnsi="Arial" w:cs="Arial"/>
          <w:b/>
          <w:bCs/>
          <w:sz w:val="24"/>
          <w:szCs w:val="24"/>
          <w:rtl/>
        </w:rPr>
        <w:t>לדיור</w:t>
      </w:r>
      <w:r w:rsidRPr="008E0911">
        <w:rPr>
          <w:rFonts w:ascii="Arial" w:hAnsi="Arial" w:cs="Arial"/>
          <w:sz w:val="24"/>
          <w:szCs w:val="24"/>
          <w:rtl/>
        </w:rPr>
        <w:t xml:space="preserve"> </w:t>
      </w:r>
      <w:r w:rsidR="00F13367">
        <w:rPr>
          <w:rFonts w:ascii="Arial" w:hAnsi="Arial" w:cs="Arial" w:hint="cs"/>
          <w:sz w:val="24"/>
          <w:szCs w:val="24"/>
          <w:rtl/>
        </w:rPr>
        <w:t xml:space="preserve">המשיכה לגדול ברביע זה </w:t>
      </w:r>
      <w:r>
        <w:rPr>
          <w:rFonts w:ascii="Arial" w:hAnsi="Arial" w:cs="Arial" w:hint="cs"/>
          <w:sz w:val="24"/>
          <w:szCs w:val="24"/>
          <w:rtl/>
        </w:rPr>
        <w:t xml:space="preserve">בשיעור </w:t>
      </w:r>
      <w:r w:rsidR="00F13367">
        <w:rPr>
          <w:rFonts w:ascii="Arial" w:hAnsi="Arial" w:cs="Arial" w:hint="cs"/>
          <w:sz w:val="24"/>
          <w:szCs w:val="24"/>
          <w:rtl/>
        </w:rPr>
        <w:t xml:space="preserve">דומה </w:t>
      </w:r>
      <w:r>
        <w:rPr>
          <w:rFonts w:ascii="Arial" w:hAnsi="Arial" w:cs="Arial" w:hint="cs"/>
          <w:sz w:val="24"/>
          <w:szCs w:val="24"/>
          <w:rtl/>
        </w:rPr>
        <w:t>של כ-</w:t>
      </w:r>
      <w:r w:rsidR="00F13367">
        <w:rPr>
          <w:rFonts w:ascii="Arial" w:hAnsi="Arial" w:cs="Arial" w:hint="cs"/>
          <w:sz w:val="24"/>
          <w:szCs w:val="24"/>
          <w:rtl/>
        </w:rPr>
        <w:t>3.9%</w:t>
      </w:r>
      <w:r w:rsidRPr="008E0911">
        <w:rPr>
          <w:rFonts w:ascii="Arial" w:hAnsi="Arial" w:cs="Arial"/>
          <w:sz w:val="24"/>
          <w:szCs w:val="24"/>
          <w:rtl/>
        </w:rPr>
        <w:t xml:space="preserve"> </w:t>
      </w:r>
      <w:r w:rsidR="00F13367">
        <w:rPr>
          <w:rFonts w:ascii="Arial" w:hAnsi="Arial" w:cs="Arial" w:hint="cs"/>
          <w:sz w:val="24"/>
          <w:szCs w:val="24"/>
          <w:rtl/>
        </w:rPr>
        <w:t xml:space="preserve">(לעומת גידול של כ-2.5% ברביע הקודם) </w:t>
      </w:r>
      <w:r>
        <w:rPr>
          <w:rFonts w:ascii="Arial" w:hAnsi="Arial" w:cs="Arial" w:hint="cs"/>
          <w:sz w:val="24"/>
          <w:szCs w:val="24"/>
          <w:rtl/>
        </w:rPr>
        <w:t>לרמה של כ</w:t>
      </w:r>
      <w:r w:rsidRPr="008E0911">
        <w:rPr>
          <w:rFonts w:ascii="Arial" w:hAnsi="Arial" w:cs="Arial"/>
          <w:sz w:val="24"/>
          <w:szCs w:val="24"/>
          <w:rtl/>
        </w:rPr>
        <w:t>-</w:t>
      </w:r>
      <w:r w:rsidR="00F13367">
        <w:rPr>
          <w:rFonts w:ascii="Arial" w:hAnsi="Arial" w:cs="Arial" w:hint="cs"/>
          <w:sz w:val="24"/>
          <w:szCs w:val="24"/>
          <w:rtl/>
        </w:rPr>
        <w:lastRenderedPageBreak/>
        <w:t>214</w:t>
      </w:r>
      <w:r w:rsidRPr="008E0911">
        <w:rPr>
          <w:rFonts w:ascii="Arial" w:hAnsi="Arial" w:cs="Arial"/>
          <w:sz w:val="24"/>
          <w:szCs w:val="24"/>
          <w:rtl/>
        </w:rPr>
        <w:t xml:space="preserve"> מיליארדי</w:t>
      </w:r>
      <w:r w:rsidR="00F13367">
        <w:rPr>
          <w:rFonts w:ascii="Arial" w:hAnsi="Arial" w:cs="Arial" w:hint="cs"/>
          <w:sz w:val="24"/>
          <w:szCs w:val="24"/>
          <w:rtl/>
        </w:rPr>
        <w:t>ם.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6B5F3A" w:rsidRPr="00F908F8">
        <w:rPr>
          <w:rFonts w:asciiTheme="minorBidi" w:hAnsiTheme="minorBidi" w:cs="Arial"/>
          <w:sz w:val="24"/>
          <w:szCs w:val="24"/>
          <w:rtl/>
        </w:rPr>
        <w:t xml:space="preserve">בכך </w:t>
      </w:r>
      <w:r w:rsidR="006B5F3A" w:rsidRPr="00F908F8">
        <w:rPr>
          <w:rFonts w:asciiTheme="minorBidi" w:hAnsiTheme="minorBidi" w:cs="Arial" w:hint="cs"/>
          <w:sz w:val="24"/>
          <w:szCs w:val="24"/>
          <w:rtl/>
        </w:rPr>
        <w:t>נמשכה</w:t>
      </w:r>
      <w:r w:rsidR="006B5F3A" w:rsidRPr="00F908F8">
        <w:rPr>
          <w:rFonts w:asciiTheme="minorBidi" w:hAnsiTheme="minorBidi" w:cs="Arial"/>
          <w:sz w:val="24"/>
          <w:szCs w:val="24"/>
          <w:rtl/>
        </w:rPr>
        <w:t xml:space="preserve"> </w:t>
      </w:r>
      <w:r w:rsidR="006B5F3A" w:rsidRPr="00F908F8">
        <w:rPr>
          <w:rFonts w:asciiTheme="minorBidi" w:hAnsiTheme="minorBidi" w:cs="Arial" w:hint="cs"/>
          <w:sz w:val="24"/>
          <w:szCs w:val="24"/>
          <w:rtl/>
        </w:rPr>
        <w:t>ה</w:t>
      </w:r>
      <w:r w:rsidR="006B5F3A" w:rsidRPr="00F908F8">
        <w:rPr>
          <w:rFonts w:asciiTheme="minorBidi" w:hAnsiTheme="minorBidi" w:cs="Arial"/>
          <w:sz w:val="24"/>
          <w:szCs w:val="24"/>
          <w:rtl/>
        </w:rPr>
        <w:t xml:space="preserve">עלייה ביתרת </w:t>
      </w:r>
      <w:r w:rsidR="006B5F3A" w:rsidRPr="00F908F8">
        <w:rPr>
          <w:rFonts w:asciiTheme="minorBidi" w:hAnsiTheme="minorBidi" w:cs="Arial" w:hint="cs"/>
          <w:sz w:val="24"/>
          <w:szCs w:val="24"/>
          <w:rtl/>
        </w:rPr>
        <w:t xml:space="preserve">זו שהחלה מסוף שנת 2020 </w:t>
      </w:r>
      <w:r w:rsidR="006B5F3A" w:rsidRPr="00F908F8">
        <w:rPr>
          <w:rFonts w:asciiTheme="minorBidi" w:hAnsiTheme="minorBidi" w:cs="Arial"/>
          <w:sz w:val="24"/>
          <w:szCs w:val="24"/>
          <w:rtl/>
        </w:rPr>
        <w:t>לאחר ירידה</w:t>
      </w:r>
      <w:r w:rsidR="006B5F3A" w:rsidRPr="00F908F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BB4D0D">
        <w:rPr>
          <w:rFonts w:asciiTheme="minorBidi" w:hAnsiTheme="minorBidi" w:cs="Arial" w:hint="cs"/>
          <w:sz w:val="24"/>
          <w:szCs w:val="24"/>
          <w:rtl/>
        </w:rPr>
        <w:t xml:space="preserve">שחלה </w:t>
      </w:r>
      <w:r w:rsidR="006B5F3A" w:rsidRPr="00F908F8">
        <w:rPr>
          <w:rFonts w:asciiTheme="minorBidi" w:hAnsiTheme="minorBidi" w:cs="Arial" w:hint="cs"/>
          <w:sz w:val="24"/>
          <w:szCs w:val="24"/>
          <w:rtl/>
        </w:rPr>
        <w:t>בה</w:t>
      </w:r>
      <w:r w:rsidR="006B5F3A" w:rsidRPr="00F908F8">
        <w:rPr>
          <w:rFonts w:asciiTheme="minorBidi" w:hAnsiTheme="minorBidi" w:cs="Arial"/>
          <w:sz w:val="24"/>
          <w:szCs w:val="24"/>
          <w:rtl/>
        </w:rPr>
        <w:t xml:space="preserve"> </w:t>
      </w:r>
      <w:r w:rsidR="006B5F3A" w:rsidRPr="00F908F8">
        <w:rPr>
          <w:rFonts w:asciiTheme="minorBidi" w:hAnsiTheme="minorBidi" w:cs="Arial" w:hint="cs"/>
          <w:sz w:val="24"/>
          <w:szCs w:val="24"/>
          <w:rtl/>
        </w:rPr>
        <w:t>בשנת 2020</w:t>
      </w:r>
      <w:r w:rsidR="006B5F3A" w:rsidRPr="00F908F8">
        <w:rPr>
          <w:rFonts w:asciiTheme="minorBidi" w:hAnsiTheme="minorBidi" w:cs="Arial"/>
          <w:sz w:val="24"/>
          <w:szCs w:val="24"/>
          <w:rtl/>
        </w:rPr>
        <w:t>, על רקע משבר הקורונה</w:t>
      </w:r>
      <w:r w:rsidR="006B5F3A" w:rsidRPr="00F908F8">
        <w:rPr>
          <w:rFonts w:asciiTheme="minorBidi" w:hAnsiTheme="minorBidi" w:cs="Arial" w:hint="cs"/>
          <w:sz w:val="24"/>
          <w:szCs w:val="24"/>
          <w:rtl/>
        </w:rPr>
        <w:t>.</w:t>
      </w:r>
      <w:r w:rsidRPr="007D218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E4976" w:rsidRPr="007D218D">
        <w:rPr>
          <w:rFonts w:asciiTheme="minorBidi" w:hAnsiTheme="minorBidi" w:cstheme="minorBidi"/>
          <w:sz w:val="24"/>
          <w:szCs w:val="24"/>
          <w:rtl/>
        </w:rPr>
        <w:t xml:space="preserve">(איור 5). </w:t>
      </w:r>
    </w:p>
    <w:p w:rsidR="006B0BAE" w:rsidRPr="00E44C3B" w:rsidRDefault="007D218D" w:rsidP="00CC2AA3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ברביע ה</w:t>
      </w:r>
      <w:r>
        <w:rPr>
          <w:rFonts w:asciiTheme="minorBidi" w:hAnsiTheme="minorBidi" w:cstheme="minorBidi" w:hint="cs"/>
          <w:sz w:val="24"/>
          <w:szCs w:val="24"/>
          <w:rtl/>
        </w:rPr>
        <w:t>רביעי</w:t>
      </w:r>
      <w:r w:rsidR="00F444FD" w:rsidRPr="00E44C3B">
        <w:rPr>
          <w:rFonts w:asciiTheme="minorBidi" w:hAnsiTheme="minorBidi" w:cstheme="minorBidi"/>
          <w:sz w:val="24"/>
          <w:szCs w:val="24"/>
          <w:rtl/>
        </w:rPr>
        <w:t xml:space="preserve"> של שנת </w:t>
      </w:r>
      <w:r w:rsidR="00F13367">
        <w:rPr>
          <w:rFonts w:asciiTheme="minorBidi" w:hAnsiTheme="minorBidi" w:cstheme="minorBidi" w:hint="cs"/>
          <w:sz w:val="24"/>
          <w:szCs w:val="24"/>
          <w:rtl/>
        </w:rPr>
        <w:t>2021</w:t>
      </w:r>
      <w:r w:rsidR="00F444FD" w:rsidRPr="00E44C3B">
        <w:rPr>
          <w:rFonts w:asciiTheme="minorBidi" w:hAnsiTheme="minorBidi" w:cstheme="minorBidi"/>
          <w:sz w:val="24"/>
          <w:szCs w:val="24"/>
          <w:rtl/>
        </w:rPr>
        <w:t xml:space="preserve"> נטילת משכנתאות חדשות הסתכמה בכ-</w:t>
      </w:r>
      <w:r w:rsidR="00F13367">
        <w:rPr>
          <w:rFonts w:asciiTheme="minorBidi" w:hAnsiTheme="minorBidi" w:cstheme="minorBidi" w:hint="cs"/>
          <w:sz w:val="24"/>
          <w:szCs w:val="24"/>
          <w:rtl/>
        </w:rPr>
        <w:t>34</w:t>
      </w:r>
      <w:r w:rsidR="00F444FD" w:rsidRPr="00E44C3B">
        <w:rPr>
          <w:rFonts w:asciiTheme="minorBidi" w:hAnsiTheme="minorBidi" w:cstheme="minorBidi"/>
          <w:sz w:val="24"/>
          <w:szCs w:val="24"/>
          <w:rtl/>
        </w:rPr>
        <w:t xml:space="preserve"> מיליארדי ש"ח, גבוה </w:t>
      </w:r>
      <w:r w:rsidR="00F13367">
        <w:rPr>
          <w:rFonts w:asciiTheme="minorBidi" w:hAnsiTheme="minorBidi" w:cstheme="minorBidi" w:hint="cs"/>
          <w:sz w:val="24"/>
          <w:szCs w:val="24"/>
          <w:rtl/>
        </w:rPr>
        <w:t xml:space="preserve">מעט מסכום הנטילות ברביע הקודם, וגבוה משמעותית </w:t>
      </w:r>
      <w:r w:rsidR="00F13367" w:rsidRPr="00F13367">
        <w:rPr>
          <w:rFonts w:asciiTheme="minorBidi" w:hAnsiTheme="minorBidi" w:cstheme="minorBidi" w:hint="cs"/>
          <w:sz w:val="24"/>
          <w:szCs w:val="24"/>
          <w:rtl/>
        </w:rPr>
        <w:t xml:space="preserve">מהממוצע הרבעוני של השנים שלפני כן. </w:t>
      </w:r>
      <w:r w:rsidR="00222DD1">
        <w:rPr>
          <w:rFonts w:ascii="Arial" w:hAnsi="Arial" w:cs="Arial" w:hint="cs"/>
          <w:sz w:val="24"/>
          <w:szCs w:val="24"/>
          <w:rtl/>
        </w:rPr>
        <w:t xml:space="preserve">בחודשים ינואר-פברואר </w:t>
      </w:r>
      <w:r w:rsidR="00E03A42">
        <w:rPr>
          <w:rFonts w:ascii="Arial" w:hAnsi="Arial" w:cs="Arial" w:hint="cs"/>
          <w:sz w:val="24"/>
          <w:szCs w:val="24"/>
          <w:rtl/>
        </w:rPr>
        <w:t xml:space="preserve">2022 </w:t>
      </w:r>
      <w:r w:rsidR="00222DD1">
        <w:rPr>
          <w:rFonts w:ascii="Arial" w:hAnsi="Arial" w:cs="Arial" w:hint="cs"/>
          <w:sz w:val="24"/>
          <w:szCs w:val="24"/>
          <w:rtl/>
        </w:rPr>
        <w:t>נ</w:t>
      </w:r>
      <w:r w:rsidR="00CC2AA3">
        <w:rPr>
          <w:rFonts w:ascii="Arial" w:hAnsi="Arial" w:cs="Arial" w:hint="cs"/>
          <w:sz w:val="24"/>
          <w:szCs w:val="24"/>
          <w:rtl/>
        </w:rPr>
        <w:t>משכה העל</w:t>
      </w:r>
      <w:r w:rsidR="00222DD1">
        <w:rPr>
          <w:rFonts w:ascii="Arial" w:hAnsi="Arial" w:cs="Arial" w:hint="cs"/>
          <w:sz w:val="24"/>
          <w:szCs w:val="24"/>
          <w:rtl/>
        </w:rPr>
        <w:t>ייה בנטילת משכנתאות חדשות והן הסתכמו בממוצע חודשי של כ-11 מיליארדי ש"ח</w:t>
      </w:r>
      <w:r w:rsidR="00F444FD" w:rsidRPr="00E44C3B">
        <w:rPr>
          <w:rFonts w:asciiTheme="minorBidi" w:hAnsiTheme="minorBidi" w:cstheme="minorBidi"/>
          <w:sz w:val="24"/>
          <w:szCs w:val="24"/>
          <w:rtl/>
        </w:rPr>
        <w:t xml:space="preserve">. </w:t>
      </w:r>
      <w:r w:rsidR="00664600" w:rsidRPr="00E44C3B">
        <w:rPr>
          <w:rFonts w:asciiTheme="minorBidi" w:hAnsiTheme="minorBidi" w:cstheme="minorBidi"/>
          <w:sz w:val="24"/>
          <w:szCs w:val="24"/>
          <w:rtl/>
        </w:rPr>
        <w:t xml:space="preserve">(איור </w:t>
      </w:r>
      <w:r w:rsidR="00DA4977" w:rsidRPr="00E44C3B">
        <w:rPr>
          <w:rFonts w:asciiTheme="minorBidi" w:hAnsiTheme="minorBidi" w:cstheme="minorBidi"/>
          <w:sz w:val="24"/>
          <w:szCs w:val="24"/>
          <w:rtl/>
        </w:rPr>
        <w:t>6</w:t>
      </w:r>
      <w:r w:rsidR="00060D8E" w:rsidRPr="00E44C3B">
        <w:rPr>
          <w:rFonts w:asciiTheme="minorBidi" w:hAnsiTheme="minorBidi" w:cstheme="minorBidi"/>
          <w:sz w:val="24"/>
          <w:szCs w:val="24"/>
          <w:rtl/>
        </w:rPr>
        <w:t>)</w:t>
      </w:r>
      <w:r w:rsidR="00161CB7" w:rsidRPr="00E44C3B">
        <w:rPr>
          <w:rFonts w:asciiTheme="minorBidi" w:hAnsiTheme="minorBidi" w:cstheme="minorBidi"/>
          <w:sz w:val="24"/>
          <w:szCs w:val="24"/>
          <w:rtl/>
        </w:rPr>
        <w:t>.</w:t>
      </w:r>
    </w:p>
    <w:p w:rsidR="00E149DD" w:rsidRPr="00E44C3B" w:rsidRDefault="00AC3E61" w:rsidP="006B6CFA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לוח 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</w:rPr>
        <w:t>2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: יתרות החוב של משקי הבית</w:t>
      </w:r>
      <w:r w:rsidRPr="00E44C3B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  <w:r w:rsidR="009653F5" w:rsidRPr="00E44C3B">
        <w:rPr>
          <w:rFonts w:asciiTheme="minorBidi" w:hAnsiTheme="minorBidi" w:cstheme="minorBidi"/>
          <w:sz w:val="24"/>
          <w:szCs w:val="24"/>
        </w:rPr>
        <w:t xml:space="preserve"> </w:t>
      </w:r>
    </w:p>
    <w:p w:rsidR="006D3752" w:rsidRPr="00E44C3B" w:rsidRDefault="00F13367" w:rsidP="00E149D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13367">
        <w:rPr>
          <w:noProof/>
          <w:rtl/>
          <w:lang w:eastAsia="en-US"/>
        </w:rPr>
        <w:drawing>
          <wp:inline distT="0" distB="0" distL="0" distR="0">
            <wp:extent cx="5278120" cy="4836058"/>
            <wp:effectExtent l="0" t="0" r="0" b="3175"/>
            <wp:docPr id="11" name="תמונה 11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3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46A28" w:rsidRPr="00E44C3B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D251F2" w:rsidP="00E149D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D47FBF" w:rsidRPr="00E44C3B" w:rsidRDefault="00D47FBF" w:rsidP="0007039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DC51E3" w:rsidRPr="00E44C3B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E44C3B" w:rsidRDefault="006D3752" w:rsidP="006D3752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10811" w:rsidRPr="00E44C3B" w:rsidRDefault="00F13367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13367">
        <w:rPr>
          <w:noProof/>
          <w:rtl/>
          <w:lang w:eastAsia="en-US"/>
        </w:rPr>
        <w:drawing>
          <wp:inline distT="0" distB="0" distL="0" distR="0">
            <wp:extent cx="5278120" cy="2799808"/>
            <wp:effectExtent l="0" t="0" r="0" b="635"/>
            <wp:docPr id="12" name="תמונה 12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9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1" w:rsidRPr="00E44C3B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80F81" w:rsidRPr="00E44C3B" w:rsidRDefault="00BF4C2E" w:rsidP="00DA4977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DA4977" w:rsidRPr="00E44C3B">
        <w:rPr>
          <w:rFonts w:asciiTheme="minorBidi" w:hAnsiTheme="minorBidi" w:cstheme="minorBidi"/>
          <w:b/>
          <w:bCs/>
          <w:sz w:val="24"/>
          <w:szCs w:val="24"/>
          <w:rtl/>
        </w:rPr>
        <w:t>6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280F81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(משכנתאות)</w:t>
      </w:r>
    </w:p>
    <w:p w:rsidR="00005C41" w:rsidRPr="00E44C3B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24EF2" w:rsidRPr="00E44C3B" w:rsidRDefault="00A74EBC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inline distT="0" distB="0" distL="0" distR="0" wp14:anchorId="6466F982">
            <wp:extent cx="5292090" cy="2798445"/>
            <wp:effectExtent l="0" t="0" r="3810" b="1905"/>
            <wp:docPr id="1" name="תמונה 1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E44C3B" w:rsidRDefault="006B0BAE" w:rsidP="00AD6881">
      <w:pPr>
        <w:pStyle w:val="a9"/>
        <w:bidi/>
        <w:spacing w:before="480" w:line="360" w:lineRule="auto"/>
        <w:ind w:left="0"/>
        <w:rPr>
          <w:rFonts w:asciiTheme="minorBidi" w:hAnsiTheme="minorBidi" w:cstheme="minorBidi"/>
          <w:sz w:val="24"/>
          <w:szCs w:val="24"/>
          <w:rtl/>
        </w:rPr>
      </w:pPr>
      <w:r w:rsidRPr="00E44C3B">
        <w:rPr>
          <w:rFonts w:asciiTheme="minorBidi" w:hAnsiTheme="minorBidi" w:cstheme="minorBidi"/>
          <w:sz w:val="24"/>
          <w:szCs w:val="24"/>
          <w:rtl/>
        </w:rPr>
        <w:t xml:space="preserve">ראה קישור למידע נוסף בנושא המופיע באתר הבנק בדף </w:t>
      </w:r>
      <w:hyperlink r:id="rId18" w:history="1">
        <w:r w:rsidRPr="00E44C3B">
          <w:rPr>
            <w:rStyle w:val="Hyperlink"/>
            <w:rFonts w:asciiTheme="minorBidi" w:hAnsiTheme="minorBidi" w:cstheme="minorBidi"/>
            <w:sz w:val="24"/>
            <w:szCs w:val="24"/>
            <w:rtl/>
          </w:rPr>
          <w:t>יתרות האשראי במשק</w:t>
        </w:r>
      </w:hyperlink>
      <w:r w:rsidRPr="00E44C3B">
        <w:rPr>
          <w:rFonts w:asciiTheme="minorBidi" w:hAnsiTheme="minorBidi" w:cstheme="minorBidi"/>
          <w:sz w:val="24"/>
          <w:szCs w:val="24"/>
          <w:rtl/>
        </w:rPr>
        <w:t xml:space="preserve">, קישור </w:t>
      </w:r>
      <w:hyperlink r:id="rId19" w:history="1">
        <w:r w:rsidRPr="00E44C3B">
          <w:rPr>
            <w:rStyle w:val="Hyperlink"/>
            <w:rFonts w:asciiTheme="minorBidi" w:hAnsiTheme="minorBidi" w:cstheme="minorBidi"/>
            <w:sz w:val="24"/>
            <w:szCs w:val="24"/>
            <w:rtl/>
          </w:rPr>
          <w:t>לנתוני משכנתאות</w:t>
        </w:r>
      </w:hyperlink>
      <w:r w:rsidR="00F97D41" w:rsidRPr="00E44C3B">
        <w:rPr>
          <w:rFonts w:asciiTheme="minorBidi" w:hAnsiTheme="minorBidi" w:cstheme="minorBidi"/>
          <w:sz w:val="24"/>
          <w:szCs w:val="24"/>
          <w:rtl/>
        </w:rPr>
        <w:t xml:space="preserve">, קישור לנתוני </w:t>
      </w:r>
      <w:hyperlink r:id="rId20" w:history="1">
        <w:r w:rsidR="00F97D41" w:rsidRPr="00E44C3B">
          <w:rPr>
            <w:rStyle w:val="Hyperlink"/>
            <w:rFonts w:asciiTheme="minorBidi" w:hAnsiTheme="minorBidi" w:cstheme="minorBidi"/>
            <w:sz w:val="24"/>
            <w:szCs w:val="24"/>
            <w:rtl/>
          </w:rPr>
          <w:t>מחירים בבנקים</w:t>
        </w:r>
      </w:hyperlink>
      <w:r w:rsidR="00F97D41" w:rsidRPr="00E44C3B">
        <w:rPr>
          <w:rFonts w:asciiTheme="minorBidi" w:hAnsiTheme="minorBidi" w:cstheme="minorBidi"/>
          <w:sz w:val="24"/>
          <w:szCs w:val="24"/>
          <w:rtl/>
        </w:rPr>
        <w:t>.</w:t>
      </w:r>
      <w:r w:rsidR="002559B7" w:rsidRPr="00E44C3B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F97D41" w:rsidRPr="00E44C3B" w:rsidSect="007A3CCD">
      <w:footerReference w:type="default" r:id="rId21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92" w:rsidRDefault="00422392" w:rsidP="00C04A6B">
      <w:r>
        <w:separator/>
      </w:r>
    </w:p>
  </w:endnote>
  <w:endnote w:type="continuationSeparator" w:id="0">
    <w:p w:rsidR="00422392" w:rsidRDefault="00422392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Arial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7A3CCD" w:rsidRDefault="00507193" w:rsidP="007B338C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sz w:val="24"/>
                <w:szCs w:val="24"/>
                <w:rtl/>
                <w:cs/>
              </w:rPr>
            </w:pPr>
            <w:r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ה</w:t>
            </w:r>
            <w:r w:rsidR="002D5D5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רביעי</w:t>
            </w:r>
            <w:r w:rsidR="002B4634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7B338C">
              <w:rPr>
                <w:rFonts w:ascii="Arial" w:hAnsi="Arial" w:cs="Arial" w:hint="cs"/>
                <w:sz w:val="24"/>
                <w:szCs w:val="24"/>
                <w:rtl/>
                <w:lang w:val="he-IL"/>
              </w:rPr>
              <w:t>2021</w:t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PAGE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1C69">
              <w:rPr>
                <w:rFonts w:ascii="Arial" w:hAnsi="Arial" w:cs="Arial"/>
                <w:noProof/>
                <w:sz w:val="24"/>
                <w:szCs w:val="24"/>
                <w:rtl/>
              </w:rPr>
              <w:t>1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NUMPAGES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1C69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92" w:rsidRDefault="00422392" w:rsidP="00C04A6B">
      <w:r>
        <w:separator/>
      </w:r>
    </w:p>
  </w:footnote>
  <w:footnote w:type="continuationSeparator" w:id="0">
    <w:p w:rsidR="00422392" w:rsidRDefault="00422392" w:rsidP="00C04A6B">
      <w:r>
        <w:continuationSeparator/>
      </w:r>
    </w:p>
  </w:footnote>
  <w:footnote w:id="1">
    <w:p w:rsidR="002D5D55" w:rsidRPr="00FA32E2" w:rsidRDefault="002D5D55" w:rsidP="00984D63">
      <w:pPr>
        <w:pStyle w:val="af"/>
        <w:bidi/>
        <w:rPr>
          <w:rtl/>
        </w:rPr>
      </w:pPr>
      <w:r>
        <w:rPr>
          <w:rStyle w:val="af1"/>
        </w:rPr>
        <w:footnoteRef/>
      </w:r>
      <w:r>
        <w:t xml:space="preserve"> </w:t>
      </w:r>
      <w:r>
        <w:rPr>
          <w:rFonts w:asciiTheme="minorBidi" w:hAnsiTheme="minorBidi" w:cstheme="minorBidi" w:hint="cs"/>
          <w:rtl/>
        </w:rPr>
        <w:t xml:space="preserve">נתוני החוב לבנקים מבוססים על נתוני המאזניים החודשיים ולא על נתוני הדוחות הכספיים השנתיים, שכן </w:t>
      </w:r>
      <w:r w:rsidR="00984D63">
        <w:rPr>
          <w:rFonts w:asciiTheme="minorBidi" w:hAnsiTheme="minorBidi" w:cstheme="minorBidi" w:hint="cs"/>
          <w:rtl/>
        </w:rPr>
        <w:t xml:space="preserve">נכון למועד כתיבת הודעה זו טרם פורסמו לציבור נתוני </w:t>
      </w:r>
      <w:r>
        <w:rPr>
          <w:rFonts w:asciiTheme="minorBidi" w:hAnsiTheme="minorBidi" w:cstheme="minorBidi" w:hint="cs"/>
          <w:rtl/>
        </w:rPr>
        <w:t>הדוחות ל-</w:t>
      </w:r>
      <w:r w:rsidR="007B338C">
        <w:rPr>
          <w:rFonts w:asciiTheme="minorBidi" w:hAnsiTheme="minorBidi" w:cstheme="minorBidi" w:hint="cs"/>
          <w:rtl/>
        </w:rPr>
        <w:t>2021</w:t>
      </w:r>
      <w:r>
        <w:rPr>
          <w:rFonts w:asciiTheme="minorBidi" w:hAnsiTheme="minorBidi" w:cstheme="minorBidi" w:hint="cs"/>
          <w:rtl/>
        </w:rPr>
        <w:t xml:space="preserve"> </w:t>
      </w:r>
      <w:r w:rsidR="00984D63">
        <w:rPr>
          <w:rFonts w:asciiTheme="minorBidi" w:hAnsiTheme="minorBidi" w:cstheme="minorBidi" w:hint="cs"/>
          <w:rtl/>
        </w:rPr>
        <w:t xml:space="preserve">. </w:t>
      </w:r>
      <w:r>
        <w:rPr>
          <w:rFonts w:asciiTheme="minorBidi" w:hAnsiTheme="minorBidi" w:cstheme="minorBidi" w:hint="cs"/>
          <w:rtl/>
        </w:rPr>
        <w:t xml:space="preserve">  </w:t>
      </w:r>
      <w:r>
        <w:rPr>
          <w:rFonts w:hint="cs"/>
          <w:rtl/>
        </w:rPr>
        <w:t xml:space="preserve"> </w:t>
      </w:r>
    </w:p>
  </w:footnote>
  <w:footnote w:id="2">
    <w:p w:rsidR="00474B96" w:rsidRPr="00105A31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DC263E" w:rsidRPr="002D5D55">
        <w:rPr>
          <w:rFonts w:asciiTheme="minorBidi" w:hAnsiTheme="minorBidi" w:cstheme="minorBidi"/>
          <w:rtl/>
        </w:rPr>
        <w:t xml:space="preserve">חברות עסקיות ישראליות, </w:t>
      </w:r>
      <w:r w:rsidRPr="002D5D55">
        <w:rPr>
          <w:rFonts w:asciiTheme="minorBidi" w:hAnsiTheme="minorBidi" w:cstheme="minorBidi"/>
          <w:rtl/>
        </w:rPr>
        <w:t>ללא בנקים, חברות כרטיסי אשראי וחברות ביטוח.</w:t>
      </w:r>
    </w:p>
  </w:footnote>
  <w:footnote w:id="3">
    <w:p w:rsidR="00884ED4" w:rsidRPr="00884ED4" w:rsidRDefault="00884ED4" w:rsidP="00886C7A">
      <w:pPr>
        <w:pStyle w:val="af"/>
        <w:bidi/>
        <w:rPr>
          <w:rFonts w:asciiTheme="minorBidi" w:hAnsiTheme="minorBidi" w:cstheme="minorBidi"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886C7A" w:rsidRPr="00E33B1C">
        <w:rPr>
          <w:rFonts w:asciiTheme="minorBidi" w:hAnsiTheme="minorBidi" w:cstheme="minorBidi"/>
          <w:sz w:val="22"/>
          <w:szCs w:val="22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5682"/>
    <w:rsid w:val="00005C41"/>
    <w:rsid w:val="00007BB3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70391"/>
    <w:rsid w:val="000713E4"/>
    <w:rsid w:val="00075FC4"/>
    <w:rsid w:val="0007712F"/>
    <w:rsid w:val="00077991"/>
    <w:rsid w:val="000812AB"/>
    <w:rsid w:val="00081313"/>
    <w:rsid w:val="000822C2"/>
    <w:rsid w:val="00084BA4"/>
    <w:rsid w:val="00085BE0"/>
    <w:rsid w:val="000874C1"/>
    <w:rsid w:val="000911D7"/>
    <w:rsid w:val="000915A6"/>
    <w:rsid w:val="0009315D"/>
    <w:rsid w:val="00097E8B"/>
    <w:rsid w:val="000A4B97"/>
    <w:rsid w:val="000A4C37"/>
    <w:rsid w:val="000A588A"/>
    <w:rsid w:val="000B083E"/>
    <w:rsid w:val="000B190F"/>
    <w:rsid w:val="000B2F20"/>
    <w:rsid w:val="000B6B82"/>
    <w:rsid w:val="000B7AE3"/>
    <w:rsid w:val="000B7D5E"/>
    <w:rsid w:val="000C02AD"/>
    <w:rsid w:val="000C62F4"/>
    <w:rsid w:val="000D2923"/>
    <w:rsid w:val="000D756E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1A8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43AD"/>
    <w:rsid w:val="0015588B"/>
    <w:rsid w:val="00161CB7"/>
    <w:rsid w:val="00162787"/>
    <w:rsid w:val="00164C8D"/>
    <w:rsid w:val="00166C6B"/>
    <w:rsid w:val="0017002C"/>
    <w:rsid w:val="00171BC9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C3C"/>
    <w:rsid w:val="001B449D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F0454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E7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9790E"/>
    <w:rsid w:val="002A0469"/>
    <w:rsid w:val="002A2B7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D5D55"/>
    <w:rsid w:val="002E016D"/>
    <w:rsid w:val="002E1283"/>
    <w:rsid w:val="002E20F7"/>
    <w:rsid w:val="002E2CC4"/>
    <w:rsid w:val="002E4976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40B38"/>
    <w:rsid w:val="0034285A"/>
    <w:rsid w:val="003439F5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38AB"/>
    <w:rsid w:val="00395B72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751F"/>
    <w:rsid w:val="003D04A2"/>
    <w:rsid w:val="003D06D2"/>
    <w:rsid w:val="003D54D0"/>
    <w:rsid w:val="003E05CD"/>
    <w:rsid w:val="003E2965"/>
    <w:rsid w:val="003E3AEF"/>
    <w:rsid w:val="003E4002"/>
    <w:rsid w:val="003E57B2"/>
    <w:rsid w:val="003E68CF"/>
    <w:rsid w:val="003F12AD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0EA"/>
    <w:rsid w:val="004806BA"/>
    <w:rsid w:val="00480FFC"/>
    <w:rsid w:val="00482D0E"/>
    <w:rsid w:val="00484208"/>
    <w:rsid w:val="00485E7B"/>
    <w:rsid w:val="00493882"/>
    <w:rsid w:val="00497BD0"/>
    <w:rsid w:val="004A56B9"/>
    <w:rsid w:val="004A5B22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F06E0"/>
    <w:rsid w:val="004F16E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983"/>
    <w:rsid w:val="00525A49"/>
    <w:rsid w:val="00525B9D"/>
    <w:rsid w:val="00526641"/>
    <w:rsid w:val="00532713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B31"/>
    <w:rsid w:val="005A6311"/>
    <w:rsid w:val="005A6536"/>
    <w:rsid w:val="005A7029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D6B64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591"/>
    <w:rsid w:val="006028EA"/>
    <w:rsid w:val="00602952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294"/>
    <w:rsid w:val="00656E2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76C4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161A"/>
    <w:rsid w:val="007037CB"/>
    <w:rsid w:val="007102C4"/>
    <w:rsid w:val="0071464F"/>
    <w:rsid w:val="0071466B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D0D18"/>
    <w:rsid w:val="007D0EF4"/>
    <w:rsid w:val="007D218D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35FC5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A26"/>
    <w:rsid w:val="00984D63"/>
    <w:rsid w:val="00985045"/>
    <w:rsid w:val="00985B74"/>
    <w:rsid w:val="0099010D"/>
    <w:rsid w:val="00990157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4EBC"/>
    <w:rsid w:val="00A7630F"/>
    <w:rsid w:val="00A80AE3"/>
    <w:rsid w:val="00A81A07"/>
    <w:rsid w:val="00A84B3D"/>
    <w:rsid w:val="00A85E92"/>
    <w:rsid w:val="00A878A6"/>
    <w:rsid w:val="00A933C6"/>
    <w:rsid w:val="00A94B36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3D8"/>
    <w:rsid w:val="00B85AE6"/>
    <w:rsid w:val="00B85D55"/>
    <w:rsid w:val="00B86720"/>
    <w:rsid w:val="00B903A6"/>
    <w:rsid w:val="00B90D40"/>
    <w:rsid w:val="00B91326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D0D"/>
    <w:rsid w:val="00BB4F5C"/>
    <w:rsid w:val="00BB7F49"/>
    <w:rsid w:val="00BC578A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1C69"/>
    <w:rsid w:val="00C1276C"/>
    <w:rsid w:val="00C21539"/>
    <w:rsid w:val="00C22C1E"/>
    <w:rsid w:val="00C22E09"/>
    <w:rsid w:val="00C259B6"/>
    <w:rsid w:val="00C25C1C"/>
    <w:rsid w:val="00C274AB"/>
    <w:rsid w:val="00C3219B"/>
    <w:rsid w:val="00C411E7"/>
    <w:rsid w:val="00C4129A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D32"/>
    <w:rsid w:val="00CB187C"/>
    <w:rsid w:val="00CB1B2B"/>
    <w:rsid w:val="00CB39D9"/>
    <w:rsid w:val="00CB450C"/>
    <w:rsid w:val="00CC1A24"/>
    <w:rsid w:val="00CC2676"/>
    <w:rsid w:val="00CC2AA3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03A42"/>
    <w:rsid w:val="00E10836"/>
    <w:rsid w:val="00E108C6"/>
    <w:rsid w:val="00E11343"/>
    <w:rsid w:val="00E115E5"/>
    <w:rsid w:val="00E12333"/>
    <w:rsid w:val="00E13412"/>
    <w:rsid w:val="00E149DD"/>
    <w:rsid w:val="00E15796"/>
    <w:rsid w:val="00E16719"/>
    <w:rsid w:val="00E20EC3"/>
    <w:rsid w:val="00E217B8"/>
    <w:rsid w:val="00E23336"/>
    <w:rsid w:val="00E3272D"/>
    <w:rsid w:val="00E335BB"/>
    <w:rsid w:val="00E33B1C"/>
    <w:rsid w:val="00E34121"/>
    <w:rsid w:val="00E35818"/>
    <w:rsid w:val="00E36930"/>
    <w:rsid w:val="00E4179F"/>
    <w:rsid w:val="00E42B88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ECB"/>
    <w:rsid w:val="00E73497"/>
    <w:rsid w:val="00E7456B"/>
    <w:rsid w:val="00E750DB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A0460"/>
    <w:rsid w:val="00EA0C1C"/>
    <w:rsid w:val="00EA51C0"/>
    <w:rsid w:val="00EA5FBF"/>
    <w:rsid w:val="00EA6800"/>
    <w:rsid w:val="00EA7329"/>
    <w:rsid w:val="00EB5CD6"/>
    <w:rsid w:val="00EB61B0"/>
    <w:rsid w:val="00EC6205"/>
    <w:rsid w:val="00EC65F0"/>
    <w:rsid w:val="00EC70EF"/>
    <w:rsid w:val="00ED153D"/>
    <w:rsid w:val="00ED17CE"/>
    <w:rsid w:val="00ED58F5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3367"/>
    <w:rsid w:val="00F135CB"/>
    <w:rsid w:val="00F136A6"/>
    <w:rsid w:val="00F1596F"/>
    <w:rsid w:val="00F17A79"/>
    <w:rsid w:val="00F21AEA"/>
    <w:rsid w:val="00F22D3B"/>
    <w:rsid w:val="00F2699B"/>
    <w:rsid w:val="00F269C2"/>
    <w:rsid w:val="00F30393"/>
    <w:rsid w:val="00F31176"/>
    <w:rsid w:val="00F35A1F"/>
    <w:rsid w:val="00F35B9D"/>
    <w:rsid w:val="00F36600"/>
    <w:rsid w:val="00F36EA0"/>
    <w:rsid w:val="00F40978"/>
    <w:rsid w:val="00F42346"/>
    <w:rsid w:val="00F426C3"/>
    <w:rsid w:val="00F42876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D76"/>
    <w:rsid w:val="00F57830"/>
    <w:rsid w:val="00F57D67"/>
    <w:rsid w:val="00F608D8"/>
    <w:rsid w:val="00F61882"/>
    <w:rsid w:val="00F632C4"/>
    <w:rsid w:val="00F67CFB"/>
    <w:rsid w:val="00F712F6"/>
    <w:rsid w:val="00F718FB"/>
    <w:rsid w:val="00F73B58"/>
    <w:rsid w:val="00F74172"/>
    <w:rsid w:val="00F74693"/>
    <w:rsid w:val="00F762AA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6355"/>
    <w:rsid w:val="00FA6451"/>
    <w:rsid w:val="00FA7EB2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E034E"/>
    <w:rsid w:val="00FE1F75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yperlink" Target="http://www.boi.org.il/he/DataAndStatistics/Pages/MainPage.aspx?Level=4&amp;Sid=53&amp;SubjectType=2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://www.boi.org.il/he/BankingSupervision/Data/Pages/Tables.aspx?ChapterId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://www.boi.org.il/he/BankingSupervision/Data/Pages/Tables.aspx?ChapterId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he/NewsAndPublications/RegularPublications/Pages/MabatStat2021.aspx" TargetMode="Externa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8778A5-9659-4FC6-8E80-01FE30D2A5E5}"/>
</file>

<file path=customXml/itemProps2.xml><?xml version="1.0" encoding="utf-8"?>
<ds:datastoreItem xmlns:ds="http://schemas.openxmlformats.org/officeDocument/2006/customXml" ds:itemID="{19EADB84-D171-4D85-B21A-28FA5F83625D}"/>
</file>

<file path=customXml/itemProps3.xml><?xml version="1.0" encoding="utf-8"?>
<ds:datastoreItem xmlns:ds="http://schemas.openxmlformats.org/officeDocument/2006/customXml" ds:itemID="{AECE1A34-F0B2-488C-A206-F786261E340E}"/>
</file>

<file path=customXml/itemProps4.xml><?xml version="1.0" encoding="utf-8"?>
<ds:datastoreItem xmlns:ds="http://schemas.openxmlformats.org/officeDocument/2006/customXml" ds:itemID="{C94AD433-647E-43CD-AE93-3AC764D33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675</Words>
  <Characters>3377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2022-03-27T09:28:00Z</dcterms:created>
  <dcterms:modified xsi:type="dcterms:W3CDTF">2022-03-27T09:28:00Z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