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3"/>
        <w:gridCol w:w="3066"/>
        <w:gridCol w:w="2883"/>
      </w:tblGrid>
      <w:tr w:rsidR="0099487F" w:rsidRPr="0099487F" w14:paraId="269545FE" w14:textId="77777777" w:rsidTr="0099487F">
        <w:tc>
          <w:tcPr>
            <w:tcW w:w="3401" w:type="dxa"/>
          </w:tcPr>
          <w:p w14:paraId="529F0D61" w14:textId="77777777" w:rsidR="0099487F" w:rsidRPr="0099487F" w:rsidRDefault="0099487F" w:rsidP="00A60E0E">
            <w:pPr>
              <w:pStyle w:val="regpar"/>
              <w:spacing w:line="300" w:lineRule="atLeast"/>
              <w:ind w:firstLine="0"/>
              <w:jc w:val="center"/>
              <w:rPr>
                <w:rFonts w:ascii="Segoe UI" w:hAnsi="Segoe UI" w:cs="Segoe UI"/>
                <w:bCs/>
                <w:sz w:val="22"/>
                <w:szCs w:val="22"/>
              </w:rPr>
            </w:pPr>
            <w:r w:rsidRPr="0099487F">
              <w:rPr>
                <w:rFonts w:ascii="Segoe UI" w:hAnsi="Segoe UI" w:cs="Segoe UI"/>
                <w:bCs/>
                <w:noProof/>
                <w:sz w:val="22"/>
                <w:szCs w:val="22"/>
              </w:rPr>
              <w:drawing>
                <wp:inline distT="0" distB="0" distL="0" distR="0" wp14:anchorId="26BA082F" wp14:editId="10012419">
                  <wp:extent cx="1248355" cy="1248355"/>
                  <wp:effectExtent l="0" t="0" r="0" b="0"/>
                  <wp:docPr id="1" name="תמונה 1" descr="C:\Users\z862\AppData\Local\Microsoft\Windows\Temporary Internet Files\Content.Outlook\M6E9SVHT\Logo Bank of Israel 2 colo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862\AppData\Local\Microsoft\Windows\Temporary Internet Files\Content.Outlook\M6E9SVHT\Logo Bank of Israel 2 color (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9945" cy="1259945"/>
                          </a:xfrm>
                          <a:prstGeom prst="rect">
                            <a:avLst/>
                          </a:prstGeom>
                          <a:noFill/>
                          <a:ln>
                            <a:noFill/>
                          </a:ln>
                        </pic:spPr>
                      </pic:pic>
                    </a:graphicData>
                  </a:graphic>
                </wp:inline>
              </w:drawing>
            </w:r>
          </w:p>
          <w:p w14:paraId="3AD1306C" w14:textId="77777777" w:rsidR="0099487F" w:rsidRPr="0099487F" w:rsidRDefault="0099487F" w:rsidP="00823DBF">
            <w:pPr>
              <w:pStyle w:val="regpar"/>
              <w:spacing w:line="300" w:lineRule="atLeast"/>
              <w:ind w:firstLine="0"/>
              <w:jc w:val="center"/>
              <w:rPr>
                <w:rFonts w:ascii="Segoe UI" w:hAnsi="Segoe UI" w:cs="Segoe UI"/>
                <w:bCs/>
                <w:sz w:val="22"/>
                <w:szCs w:val="22"/>
              </w:rPr>
            </w:pPr>
            <w:r w:rsidRPr="0099487F">
              <w:rPr>
                <w:rFonts w:ascii="Segoe UI" w:hAnsi="Segoe UI" w:cs="Segoe UI"/>
                <w:bCs/>
                <w:sz w:val="22"/>
                <w:szCs w:val="22"/>
              </w:rPr>
              <w:t>BANK OF ISRAEL</w:t>
            </w:r>
          </w:p>
          <w:p w14:paraId="42AF36AA" w14:textId="6540ABFC" w:rsidR="0099487F" w:rsidRPr="0099487F" w:rsidRDefault="0099487F" w:rsidP="00823DBF">
            <w:pPr>
              <w:pStyle w:val="regpar"/>
              <w:spacing w:line="300" w:lineRule="atLeast"/>
              <w:ind w:firstLine="0"/>
              <w:jc w:val="center"/>
              <w:rPr>
                <w:rFonts w:ascii="Segoe UI" w:hAnsi="Segoe UI" w:cs="Segoe UI"/>
                <w:sz w:val="22"/>
                <w:szCs w:val="22"/>
              </w:rPr>
            </w:pPr>
            <w:r w:rsidRPr="0099487F">
              <w:rPr>
                <w:rFonts w:ascii="Segoe UI" w:hAnsi="Segoe UI" w:cs="Segoe UI"/>
                <w:sz w:val="22"/>
                <w:szCs w:val="22"/>
              </w:rPr>
              <w:t>Office of the Spokesperson and Economic Information</w:t>
            </w:r>
          </w:p>
        </w:tc>
        <w:tc>
          <w:tcPr>
            <w:tcW w:w="2461" w:type="dxa"/>
          </w:tcPr>
          <w:p w14:paraId="1991770E" w14:textId="64883DB6" w:rsidR="0099487F" w:rsidRPr="0099487F" w:rsidRDefault="0099487F" w:rsidP="00A60E0E">
            <w:pPr>
              <w:pStyle w:val="regpar"/>
              <w:spacing w:line="300" w:lineRule="atLeast"/>
              <w:ind w:firstLine="0"/>
              <w:jc w:val="center"/>
              <w:rPr>
                <w:rFonts w:ascii="Segoe UI" w:hAnsi="Segoe UI" w:cs="Segoe UI"/>
                <w:noProof/>
                <w:sz w:val="22"/>
                <w:szCs w:val="22"/>
              </w:rPr>
            </w:pPr>
            <w:r w:rsidRPr="0099487F">
              <w:rPr>
                <w:rFonts w:ascii="Segoe UI" w:hAnsi="Segoe UI" w:cs="Segoe UI"/>
                <w:noProof/>
                <w:sz w:val="22"/>
                <w:szCs w:val="22"/>
                <w:rtl/>
              </w:rPr>
              <w:drawing>
                <wp:anchor distT="0" distB="0" distL="114300" distR="114300" simplePos="0" relativeHeight="251659264" behindDoc="0" locked="0" layoutInCell="1" allowOverlap="1" wp14:anchorId="59B46EB8" wp14:editId="7FEC3711">
                  <wp:simplePos x="0" y="0"/>
                  <wp:positionH relativeFrom="margin">
                    <wp:posOffset>69214</wp:posOffset>
                  </wp:positionH>
                  <wp:positionV relativeFrom="paragraph">
                    <wp:posOffset>194310</wp:posOffset>
                  </wp:positionV>
                  <wp:extent cx="1807535" cy="971550"/>
                  <wp:effectExtent l="0" t="0" r="2540" b="0"/>
                  <wp:wrapThrough wrapText="bothSides">
                    <wp:wrapPolygon edited="0">
                      <wp:start x="13661" y="0"/>
                      <wp:lineTo x="8652" y="11435"/>
                      <wp:lineTo x="0" y="13553"/>
                      <wp:lineTo x="0" y="18635"/>
                      <wp:lineTo x="2505" y="20329"/>
                      <wp:lineTo x="2960" y="21176"/>
                      <wp:lineTo x="12978" y="21176"/>
                      <wp:lineTo x="15938" y="21176"/>
                      <wp:lineTo x="17077" y="20753"/>
                      <wp:lineTo x="17077" y="20329"/>
                      <wp:lineTo x="19581" y="13553"/>
                      <wp:lineTo x="21403" y="9741"/>
                      <wp:lineTo x="21403" y="8471"/>
                      <wp:lineTo x="17304" y="6776"/>
                      <wp:lineTo x="14800" y="0"/>
                      <wp:lineTo x="13661" y="0"/>
                    </wp:wrapPolygon>
                  </wp:wrapThrough>
                  <wp:docPr id="15" name="Picture 2" descr="לוגו רשות ניירות ער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 descr="לוגו רשות ניירות ערך"/>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815969" cy="976083"/>
                          </a:xfrm>
                          <a:prstGeom prst="rect">
                            <a:avLst/>
                          </a:prstGeom>
                          <a:noFill/>
                        </pic:spPr>
                      </pic:pic>
                    </a:graphicData>
                  </a:graphic>
                  <wp14:sizeRelH relativeFrom="margin">
                    <wp14:pctWidth>0</wp14:pctWidth>
                  </wp14:sizeRelH>
                  <wp14:sizeRelV relativeFrom="margin">
                    <wp14:pctHeight>0</wp14:pctHeight>
                  </wp14:sizeRelV>
                </wp:anchor>
              </w:drawing>
            </w:r>
          </w:p>
        </w:tc>
        <w:tc>
          <w:tcPr>
            <w:tcW w:w="3210" w:type="dxa"/>
          </w:tcPr>
          <w:p w14:paraId="407945ED" w14:textId="2F5CE387" w:rsidR="0099487F" w:rsidRPr="0099487F" w:rsidRDefault="0099487F" w:rsidP="00A60E0E">
            <w:pPr>
              <w:pStyle w:val="regpar"/>
              <w:spacing w:line="300" w:lineRule="atLeast"/>
              <w:ind w:firstLine="0"/>
              <w:jc w:val="center"/>
              <w:rPr>
                <w:rFonts w:ascii="Segoe UI" w:hAnsi="Segoe UI" w:cs="Segoe UI"/>
                <w:noProof/>
                <w:sz w:val="22"/>
                <w:szCs w:val="22"/>
              </w:rPr>
            </w:pPr>
            <w:r w:rsidRPr="0099487F">
              <w:rPr>
                <w:rFonts w:ascii="Segoe UI" w:hAnsi="Segoe UI" w:cs="Segoe UI"/>
                <w:noProof/>
                <w:sz w:val="22"/>
                <w:szCs w:val="22"/>
              </w:rPr>
              <w:object w:dxaOrig="526" w:dyaOrig="660" w14:anchorId="795D97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1pt;height:99.4pt" o:ole="" fillcolor="window">
                  <v:imagedata r:id="rId13" o:title=""/>
                </v:shape>
                <o:OLEObject Type="Embed" ProgID="Word.Picture.8" ShapeID="_x0000_i1025" DrawAspect="Content" ObjectID="_1844155324" r:id="rId14"/>
              </w:object>
            </w:r>
          </w:p>
          <w:p w14:paraId="5D3D6927" w14:textId="77777777" w:rsidR="0099487F" w:rsidRPr="0099487F" w:rsidRDefault="0099487F" w:rsidP="00A60E0E">
            <w:pPr>
              <w:pStyle w:val="regpar"/>
              <w:spacing w:line="300" w:lineRule="atLeast"/>
              <w:ind w:firstLine="0"/>
              <w:jc w:val="center"/>
              <w:rPr>
                <w:rFonts w:ascii="Segoe UI" w:hAnsi="Segoe UI" w:cs="Segoe UI"/>
                <w:noProof/>
                <w:sz w:val="22"/>
                <w:szCs w:val="22"/>
              </w:rPr>
            </w:pPr>
            <w:r w:rsidRPr="0099487F">
              <w:rPr>
                <w:rFonts w:ascii="Segoe UI" w:hAnsi="Segoe UI" w:cs="Segoe UI"/>
                <w:noProof/>
                <w:sz w:val="22"/>
                <w:szCs w:val="22"/>
              </w:rPr>
              <w:t>MINISTRY OF FINANCE</w:t>
            </w:r>
          </w:p>
          <w:p w14:paraId="56D0E2AF" w14:textId="041C212E" w:rsidR="0099487F" w:rsidRPr="0099487F" w:rsidRDefault="0099487F" w:rsidP="00A60E0E">
            <w:pPr>
              <w:pStyle w:val="regpar"/>
              <w:spacing w:line="300" w:lineRule="atLeast"/>
              <w:ind w:firstLine="0"/>
              <w:jc w:val="center"/>
              <w:rPr>
                <w:rFonts w:ascii="Segoe UI" w:hAnsi="Segoe UI" w:cs="Segoe UI"/>
                <w:bCs/>
                <w:sz w:val="22"/>
                <w:szCs w:val="22"/>
              </w:rPr>
            </w:pPr>
            <w:r w:rsidRPr="0099487F">
              <w:rPr>
                <w:rFonts w:ascii="Segoe UI" w:hAnsi="Segoe UI" w:cs="Segoe UI"/>
                <w:noProof/>
                <w:sz w:val="22"/>
                <w:szCs w:val="22"/>
              </w:rPr>
              <w:t>Office of the Spokesperson</w:t>
            </w:r>
          </w:p>
        </w:tc>
      </w:tr>
    </w:tbl>
    <w:p w14:paraId="7B1140B3" w14:textId="2DE2A874" w:rsidR="00650B9A" w:rsidRPr="0099487F" w:rsidRDefault="00650B9A" w:rsidP="00A60E0E">
      <w:pPr>
        <w:pStyle w:val="regpar"/>
        <w:spacing w:line="300" w:lineRule="atLeast"/>
        <w:ind w:firstLine="0"/>
        <w:jc w:val="center"/>
        <w:rPr>
          <w:rFonts w:ascii="Segoe UI" w:hAnsi="Segoe UI" w:cs="Segoe UI"/>
          <w:bCs/>
          <w:sz w:val="22"/>
          <w:szCs w:val="22"/>
        </w:rPr>
      </w:pPr>
    </w:p>
    <w:p w14:paraId="2DEFF62A" w14:textId="77777777" w:rsidR="00DD0AB5" w:rsidRPr="0099487F" w:rsidRDefault="00DD0AB5" w:rsidP="00A60E0E">
      <w:pPr>
        <w:pStyle w:val="regpar"/>
        <w:spacing w:line="300" w:lineRule="atLeast"/>
        <w:ind w:firstLine="0"/>
        <w:jc w:val="center"/>
        <w:rPr>
          <w:rFonts w:ascii="Segoe UI" w:hAnsi="Segoe UI" w:cs="Segoe UI"/>
          <w:b/>
          <w:sz w:val="22"/>
          <w:szCs w:val="22"/>
        </w:rPr>
      </w:pPr>
    </w:p>
    <w:p w14:paraId="0CD9A423" w14:textId="254A0A26" w:rsidR="007617BD" w:rsidRPr="0099487F" w:rsidRDefault="0099487F" w:rsidP="006C7850">
      <w:pPr>
        <w:pStyle w:val="regpar"/>
        <w:jc w:val="right"/>
        <w:rPr>
          <w:rFonts w:ascii="Segoe UI" w:hAnsi="Segoe UI" w:cs="Segoe UI"/>
          <w:sz w:val="22"/>
          <w:szCs w:val="22"/>
        </w:rPr>
      </w:pPr>
      <w:r w:rsidRPr="0099487F">
        <w:rPr>
          <w:rFonts w:ascii="Segoe UI" w:hAnsi="Segoe UI" w:cs="Segoe UI"/>
          <w:sz w:val="22"/>
          <w:szCs w:val="22"/>
        </w:rPr>
        <w:t xml:space="preserve">June </w:t>
      </w:r>
      <w:r w:rsidR="006C7850">
        <w:rPr>
          <w:rFonts w:ascii="Segoe UI" w:hAnsi="Segoe UI" w:cs="Segoe UI"/>
          <w:sz w:val="22"/>
          <w:szCs w:val="22"/>
        </w:rPr>
        <w:t>24</w:t>
      </w:r>
      <w:bookmarkStart w:id="0" w:name="_GoBack"/>
      <w:bookmarkEnd w:id="0"/>
      <w:r w:rsidR="00621D95" w:rsidRPr="0099487F">
        <w:rPr>
          <w:rFonts w:ascii="Segoe UI" w:hAnsi="Segoe UI" w:cs="Segoe UI"/>
          <w:sz w:val="22"/>
          <w:szCs w:val="22"/>
        </w:rPr>
        <w:t>, 202</w:t>
      </w:r>
      <w:r w:rsidRPr="0099487F">
        <w:rPr>
          <w:rFonts w:ascii="Segoe UI" w:hAnsi="Segoe UI" w:cs="Segoe UI"/>
          <w:sz w:val="22"/>
          <w:szCs w:val="22"/>
        </w:rPr>
        <w:t>6</w:t>
      </w:r>
    </w:p>
    <w:p w14:paraId="22D7AE78" w14:textId="474D030A" w:rsidR="00F23C43" w:rsidRDefault="00F23C43" w:rsidP="00F23C43">
      <w:pPr>
        <w:pStyle w:val="regpar"/>
      </w:pPr>
    </w:p>
    <w:p w14:paraId="707A817A" w14:textId="77777777" w:rsidR="00F23C43" w:rsidRPr="007617BD" w:rsidRDefault="00F23C43" w:rsidP="00F23C43">
      <w:pPr>
        <w:pStyle w:val="regpar"/>
      </w:pPr>
    </w:p>
    <w:p w14:paraId="37840734" w14:textId="77777777" w:rsidR="00436F08" w:rsidRDefault="0099487F" w:rsidP="00436F08">
      <w:pPr>
        <w:tabs>
          <w:tab w:val="center" w:pos="4156"/>
          <w:tab w:val="right" w:pos="8312"/>
        </w:tabs>
        <w:jc w:val="left"/>
        <w:rPr>
          <w:rFonts w:ascii="Segoe UI" w:hAnsi="Segoe UI" w:cs="Segoe UI"/>
        </w:rPr>
      </w:pPr>
      <w:r w:rsidRPr="0099487F">
        <w:rPr>
          <w:rFonts w:ascii="Segoe UI" w:hAnsi="Segoe UI" w:cs="Segoe UI"/>
        </w:rPr>
        <w:t xml:space="preserve">Joint </w:t>
      </w:r>
      <w:r w:rsidR="00650B9A" w:rsidRPr="0099487F">
        <w:rPr>
          <w:rFonts w:ascii="Segoe UI" w:hAnsi="Segoe UI" w:cs="Segoe UI"/>
        </w:rPr>
        <w:t xml:space="preserve">Press </w:t>
      </w:r>
      <w:proofErr w:type="gramStart"/>
      <w:r w:rsidR="00650B9A" w:rsidRPr="0099487F">
        <w:rPr>
          <w:rFonts w:ascii="Segoe UI" w:hAnsi="Segoe UI" w:cs="Segoe UI"/>
        </w:rPr>
        <w:t>Release</w:t>
      </w:r>
      <w:r w:rsidRPr="0099487F">
        <w:rPr>
          <w:rFonts w:ascii="Segoe UI" w:hAnsi="Segoe UI" w:cs="Segoe UI"/>
        </w:rPr>
        <w:t xml:space="preserve"> </w:t>
      </w:r>
      <w:r w:rsidR="00436F08">
        <w:rPr>
          <w:rFonts w:ascii="Segoe UI" w:hAnsi="Segoe UI" w:cs="Segoe UI"/>
        </w:rPr>
        <w:t>:</w:t>
      </w:r>
      <w:proofErr w:type="gramEnd"/>
    </w:p>
    <w:p w14:paraId="147A8572" w14:textId="705993B2" w:rsidR="00650B9A" w:rsidRPr="0099487F" w:rsidRDefault="0099487F" w:rsidP="00436F08">
      <w:pPr>
        <w:tabs>
          <w:tab w:val="center" w:pos="4156"/>
          <w:tab w:val="right" w:pos="8312"/>
        </w:tabs>
        <w:jc w:val="center"/>
        <w:rPr>
          <w:rFonts w:ascii="Segoe UI" w:hAnsi="Segoe UI" w:cs="Segoe UI"/>
        </w:rPr>
      </w:pPr>
      <w:r w:rsidRPr="0099487F">
        <w:rPr>
          <w:rFonts w:ascii="Segoe UI" w:hAnsi="Segoe UI" w:cs="Segoe UI"/>
        </w:rPr>
        <w:t xml:space="preserve"> Bank of Israel, Ministry of Finance, and Israel Securities Authority</w:t>
      </w:r>
    </w:p>
    <w:p w14:paraId="3B5E18C4" w14:textId="77777777" w:rsidR="00DD0AB5" w:rsidRPr="0099487F" w:rsidRDefault="00DD0AB5" w:rsidP="00DD0AB5">
      <w:pPr>
        <w:pStyle w:val="regpar"/>
        <w:rPr>
          <w:rFonts w:ascii="Segoe UI" w:hAnsi="Segoe UI" w:cs="Segoe UI"/>
        </w:rPr>
      </w:pPr>
    </w:p>
    <w:p w14:paraId="3AD00088" w14:textId="0CBFE75D" w:rsidR="00A2557F" w:rsidRPr="007A7500" w:rsidRDefault="0099487F" w:rsidP="00823DBF">
      <w:pPr>
        <w:pStyle w:val="regpar"/>
        <w:ind w:firstLine="0"/>
        <w:jc w:val="center"/>
        <w:rPr>
          <w:rFonts w:ascii="Segoe UI" w:hAnsi="Segoe UI" w:cs="Segoe UI"/>
          <w:b/>
          <w:bCs/>
          <w:sz w:val="28"/>
          <w:szCs w:val="28"/>
        </w:rPr>
      </w:pPr>
      <w:r w:rsidRPr="007A7500">
        <w:rPr>
          <w:rFonts w:ascii="Segoe UI" w:hAnsi="Segoe UI" w:cs="Segoe UI"/>
          <w:b/>
          <w:bCs/>
          <w:sz w:val="28"/>
          <w:szCs w:val="28"/>
        </w:rPr>
        <w:t>A joint work team comprised of the Banking Supervision Department, the Ministry of Finance, and the Israel Securities Authority publishes the final report on “Compensation Models in the Public’s Securities Activity”</w:t>
      </w:r>
    </w:p>
    <w:p w14:paraId="4887EA7B" w14:textId="213B39F7" w:rsidR="00823DBF" w:rsidRPr="007A7500" w:rsidRDefault="00823DBF" w:rsidP="00823DBF">
      <w:pPr>
        <w:pStyle w:val="regpar"/>
        <w:ind w:firstLine="0"/>
        <w:jc w:val="center"/>
        <w:rPr>
          <w:rFonts w:ascii="Segoe UI" w:hAnsi="Segoe UI" w:cs="Segoe UI"/>
          <w:sz w:val="28"/>
          <w:szCs w:val="28"/>
        </w:rPr>
      </w:pPr>
    </w:p>
    <w:p w14:paraId="6C29B3EB" w14:textId="7C1B5184" w:rsidR="0099487F" w:rsidRPr="007A7500" w:rsidRDefault="0099487F" w:rsidP="0099487F">
      <w:pPr>
        <w:spacing w:before="100" w:beforeAutospacing="1" w:after="100" w:afterAutospacing="1" w:line="240" w:lineRule="auto"/>
        <w:rPr>
          <w:rFonts w:ascii="Segoe UI" w:hAnsi="Segoe UI" w:cs="Segoe UI"/>
          <w:sz w:val="22"/>
          <w:szCs w:val="22"/>
        </w:rPr>
      </w:pPr>
      <w:r w:rsidRPr="007A7500">
        <w:rPr>
          <w:rFonts w:ascii="Segoe UI" w:hAnsi="Segoe UI" w:cs="Segoe UI"/>
          <w:b/>
          <w:bCs/>
          <w:sz w:val="22"/>
          <w:szCs w:val="22"/>
        </w:rPr>
        <w:t xml:space="preserve">Supervisor of Banks Daniel </w:t>
      </w:r>
      <w:proofErr w:type="spellStart"/>
      <w:r w:rsidRPr="007A7500">
        <w:rPr>
          <w:rFonts w:ascii="Segoe UI" w:hAnsi="Segoe UI" w:cs="Segoe UI"/>
          <w:b/>
          <w:bCs/>
          <w:sz w:val="22"/>
          <w:szCs w:val="22"/>
        </w:rPr>
        <w:t>Hahiashvili</w:t>
      </w:r>
      <w:proofErr w:type="spellEnd"/>
      <w:r w:rsidRPr="007A7500">
        <w:rPr>
          <w:rFonts w:ascii="Segoe UI" w:hAnsi="Segoe UI" w:cs="Segoe UI"/>
          <w:b/>
          <w:bCs/>
          <w:sz w:val="22"/>
          <w:szCs w:val="22"/>
        </w:rPr>
        <w:t xml:space="preserve">: </w:t>
      </w:r>
      <w:r w:rsidRPr="007A7500">
        <w:rPr>
          <w:rFonts w:ascii="Segoe UI" w:hAnsi="Segoe UI" w:cs="Segoe UI"/>
          <w:sz w:val="22"/>
          <w:szCs w:val="22"/>
        </w:rPr>
        <w:t>“The new fee model offers significant benefits for investors in the capital market and is grounded in the principles of transparency, simplicity, and clarity with respect to the services consumed. The model addresses the need to strengthen the alignment between the service provided and the fee charged in the management of securities portfolios. Formulated following intensive and collaborative staff work by the members of the team, the model appropriately balances the interests of the various market participants alongside the advantages and disadvantages of its different components. We are confident that this balanced solution will help strengthen the position of retail customers and serve as a lever for increasing competition in the industry.”</w:t>
      </w:r>
    </w:p>
    <w:p w14:paraId="16E824BA" w14:textId="1A850168" w:rsidR="0099487F" w:rsidRPr="007A7500" w:rsidRDefault="0099487F" w:rsidP="0099487F">
      <w:pPr>
        <w:spacing w:before="100" w:beforeAutospacing="1" w:after="100" w:afterAutospacing="1" w:line="240" w:lineRule="auto"/>
        <w:rPr>
          <w:rFonts w:ascii="Segoe UI" w:hAnsi="Segoe UI" w:cs="Segoe UI"/>
          <w:sz w:val="22"/>
          <w:szCs w:val="22"/>
        </w:rPr>
      </w:pPr>
      <w:r w:rsidRPr="007A7500">
        <w:rPr>
          <w:rFonts w:ascii="Segoe UI" w:hAnsi="Segoe UI" w:cs="Segoe UI"/>
          <w:b/>
          <w:bCs/>
          <w:sz w:val="22"/>
          <w:szCs w:val="22"/>
        </w:rPr>
        <w:t xml:space="preserve">Israel Securities Authority Chairman Sefi Zinger: </w:t>
      </w:r>
      <w:r w:rsidRPr="007A7500">
        <w:rPr>
          <w:rFonts w:ascii="Segoe UI" w:hAnsi="Segoe UI" w:cs="Segoe UI"/>
          <w:sz w:val="22"/>
          <w:szCs w:val="22"/>
        </w:rPr>
        <w:t>“The Authority has set itself the goal of using all the tools at its disposal to improve competition for consumers in all matters related to the management of their money in the capital market. The report includes a comprehensive consumer reform designed to create a fairer and more competitive capital market. It is unacceptable for small customers to de facto subsidize the services provided to customers with bargaining power. The new fee model puts an end to hidden fees and creates a clear alignment between the service provided and the consideration paid by the customer. Once the fee is transparent, power is returned to the consumer—who understands exactly what he or she is paying for and can genuinely negotiate or compare alternatives.”</w:t>
      </w:r>
    </w:p>
    <w:p w14:paraId="62D5ABD7" w14:textId="1C2DDE60" w:rsidR="0099487F" w:rsidRPr="007A7500" w:rsidRDefault="0099487F" w:rsidP="0099487F">
      <w:pPr>
        <w:spacing w:before="100" w:beforeAutospacing="1" w:after="100" w:afterAutospacing="1" w:line="240" w:lineRule="auto"/>
        <w:rPr>
          <w:rFonts w:ascii="Segoe UI" w:hAnsi="Segoe UI" w:cs="Segoe UI"/>
          <w:sz w:val="22"/>
          <w:szCs w:val="22"/>
        </w:rPr>
      </w:pPr>
      <w:r w:rsidRPr="007A7500">
        <w:rPr>
          <w:rFonts w:ascii="Segoe UI" w:hAnsi="Segoe UI" w:cs="Segoe UI"/>
          <w:b/>
          <w:bCs/>
          <w:sz w:val="22"/>
          <w:szCs w:val="22"/>
        </w:rPr>
        <w:t xml:space="preserve">Tal </w:t>
      </w:r>
      <w:proofErr w:type="spellStart"/>
      <w:r w:rsidRPr="007A7500">
        <w:rPr>
          <w:rFonts w:ascii="Segoe UI" w:hAnsi="Segoe UI" w:cs="Segoe UI"/>
          <w:b/>
          <w:bCs/>
          <w:sz w:val="22"/>
          <w:szCs w:val="22"/>
        </w:rPr>
        <w:t>Yisraeli</w:t>
      </w:r>
      <w:proofErr w:type="spellEnd"/>
      <w:r w:rsidRPr="007A7500">
        <w:rPr>
          <w:rFonts w:ascii="Segoe UI" w:hAnsi="Segoe UI" w:cs="Segoe UI"/>
          <w:b/>
          <w:bCs/>
          <w:sz w:val="22"/>
          <w:szCs w:val="22"/>
        </w:rPr>
        <w:t xml:space="preserve">, Finance Coordinator at the Budgets Department: </w:t>
      </w:r>
      <w:r w:rsidRPr="007A7500">
        <w:rPr>
          <w:rFonts w:ascii="Segoe UI" w:hAnsi="Segoe UI" w:cs="Segoe UI"/>
          <w:sz w:val="22"/>
          <w:szCs w:val="22"/>
        </w:rPr>
        <w:t>“A competitive and efficient market begins with the customer’s ability to see, understand, and compare what he or she is paying for. Removing barriers and standardizing compensation mechanisms will open the market to additional participants, strengthen consumers’ bargaining power, and support competition over time.</w:t>
      </w:r>
    </w:p>
    <w:p w14:paraId="3A2E40C1" w14:textId="332AF810" w:rsidR="0099487F" w:rsidRPr="007A7500" w:rsidRDefault="0099487F" w:rsidP="0099487F">
      <w:pPr>
        <w:spacing w:before="100" w:beforeAutospacing="1" w:after="100" w:afterAutospacing="1" w:line="240" w:lineRule="auto"/>
        <w:rPr>
          <w:rFonts w:ascii="Segoe UI" w:hAnsi="Segoe UI" w:cs="Segoe UI"/>
          <w:sz w:val="22"/>
          <w:szCs w:val="22"/>
        </w:rPr>
      </w:pPr>
      <w:r w:rsidRPr="007A7500">
        <w:rPr>
          <w:rFonts w:ascii="Segoe UI" w:hAnsi="Segoe UI" w:cs="Segoe UI"/>
          <w:sz w:val="22"/>
          <w:szCs w:val="22"/>
        </w:rPr>
        <w:t xml:space="preserve">“From the perspective of the individual consumer facing the various intermediaries—banks and nonbank exchange members—a joint interagency team comprising the Bank of Israel, the Israel Securities Authority, and the Budgets Department formulated a securities fee model that will </w:t>
      </w:r>
      <w:r w:rsidRPr="007A7500">
        <w:rPr>
          <w:rFonts w:ascii="Segoe UI" w:hAnsi="Segoe UI" w:cs="Segoe UI"/>
          <w:sz w:val="22"/>
          <w:szCs w:val="22"/>
        </w:rPr>
        <w:lastRenderedPageBreak/>
        <w:t xml:space="preserve">enable customers to understand what they are paying for and how much they are paying, and to easily compare providers. The adjustment </w:t>
      </w:r>
      <w:proofErr w:type="gramStart"/>
      <w:r w:rsidRPr="007A7500">
        <w:rPr>
          <w:rFonts w:ascii="Segoe UI" w:hAnsi="Segoe UI" w:cs="Segoe UI"/>
          <w:sz w:val="22"/>
          <w:szCs w:val="22"/>
        </w:rPr>
        <w:t>is based</w:t>
      </w:r>
      <w:proofErr w:type="gramEnd"/>
      <w:r w:rsidRPr="007A7500">
        <w:rPr>
          <w:rFonts w:ascii="Segoe UI" w:hAnsi="Segoe UI" w:cs="Segoe UI"/>
          <w:sz w:val="22"/>
          <w:szCs w:val="22"/>
        </w:rPr>
        <w:t xml:space="preserve"> on theoretical and comparative analysis, as well as on a survey examining consumer activity patterns and preferences. The model also preserves a diverse and competitive market that benefits customers, balancing the consumer response with the need to maintain competitive dynamics and a sustainable model for intermediaries, so that competition in the market will continue to strengthen alongside a broad range of service providers.”</w:t>
      </w:r>
    </w:p>
    <w:p w14:paraId="1B770A4D" w14:textId="2EEF7541" w:rsidR="0099487F" w:rsidRPr="007A7500" w:rsidRDefault="0099487F" w:rsidP="0099487F">
      <w:pPr>
        <w:spacing w:before="100" w:beforeAutospacing="1" w:after="100" w:afterAutospacing="1" w:line="240" w:lineRule="auto"/>
        <w:rPr>
          <w:rFonts w:ascii="Segoe UI" w:hAnsi="Segoe UI" w:cs="Segoe UI"/>
          <w:sz w:val="22"/>
          <w:szCs w:val="22"/>
        </w:rPr>
      </w:pPr>
      <w:r w:rsidRPr="007A7500">
        <w:rPr>
          <w:rFonts w:ascii="Segoe UI" w:hAnsi="Segoe UI" w:cs="Segoe UI"/>
          <w:sz w:val="22"/>
          <w:szCs w:val="22"/>
        </w:rPr>
        <w:t xml:space="preserve">A joint working team of the Banking Supervision Department at the Bank of Israel, the Ministry of Finance, and the Israel Securities Authority today published the final report on </w:t>
      </w:r>
      <w:r w:rsidRPr="007A7500">
        <w:rPr>
          <w:rFonts w:ascii="Segoe UI" w:hAnsi="Segoe UI" w:cs="Segoe UI"/>
          <w:b/>
          <w:bCs/>
          <w:sz w:val="22"/>
          <w:szCs w:val="22"/>
        </w:rPr>
        <w:t>“Compensation Models in the Public’s Securities Activity.”</w:t>
      </w:r>
      <w:r w:rsidRPr="007A7500">
        <w:rPr>
          <w:rFonts w:ascii="Segoe UI" w:hAnsi="Segoe UI" w:cs="Segoe UI"/>
          <w:sz w:val="22"/>
          <w:szCs w:val="22"/>
        </w:rPr>
        <w:t xml:space="preserve"> The model, detailed extensively in the report attached to this announcement (in Hebrew)</w:t>
      </w:r>
      <w:proofErr w:type="gramStart"/>
      <w:r w:rsidRPr="007A7500">
        <w:rPr>
          <w:rFonts w:ascii="Segoe UI" w:hAnsi="Segoe UI" w:cs="Segoe UI"/>
          <w:sz w:val="22"/>
          <w:szCs w:val="22"/>
        </w:rPr>
        <w:t>,</w:t>
      </w:r>
      <w:proofErr w:type="gramEnd"/>
      <w:r w:rsidRPr="007A7500">
        <w:rPr>
          <w:rFonts w:ascii="Segoe UI" w:hAnsi="Segoe UI" w:cs="Segoe UI"/>
          <w:sz w:val="22"/>
          <w:szCs w:val="22"/>
        </w:rPr>
        <w:t xml:space="preserve"> presents an update to the compensation method currently applied to activity in securities accounts. It </w:t>
      </w:r>
      <w:proofErr w:type="gramStart"/>
      <w:r w:rsidRPr="007A7500">
        <w:rPr>
          <w:rFonts w:ascii="Segoe UI" w:hAnsi="Segoe UI" w:cs="Segoe UI"/>
          <w:sz w:val="22"/>
          <w:szCs w:val="22"/>
        </w:rPr>
        <w:t>is intended</w:t>
      </w:r>
      <w:proofErr w:type="gramEnd"/>
      <w:r w:rsidRPr="007A7500">
        <w:rPr>
          <w:rFonts w:ascii="Segoe UI" w:hAnsi="Segoe UI" w:cs="Segoe UI"/>
          <w:sz w:val="22"/>
          <w:szCs w:val="22"/>
        </w:rPr>
        <w:t xml:space="preserve"> to update the existing compensation model in a manner that will help protect consumers and encourage competition among the various market participants. The new model contains numerous advantages, including simplification of the fee structure, increased transparency, and strengthened comparability and alignment between the service provided and the fee charged for it.</w:t>
      </w:r>
    </w:p>
    <w:p w14:paraId="40D2EBD0" w14:textId="6A36F01A" w:rsidR="0099487F" w:rsidRPr="007A7500" w:rsidRDefault="0099487F" w:rsidP="006750EE">
      <w:pPr>
        <w:spacing w:before="100" w:beforeAutospacing="1" w:after="100" w:afterAutospacing="1" w:line="240" w:lineRule="auto"/>
        <w:rPr>
          <w:rFonts w:ascii="Segoe UI" w:hAnsi="Segoe UI" w:cs="Segoe UI"/>
          <w:sz w:val="22"/>
          <w:szCs w:val="22"/>
        </w:rPr>
      </w:pPr>
      <w:r w:rsidRPr="007A7500">
        <w:rPr>
          <w:rFonts w:ascii="Segoe UI" w:hAnsi="Segoe UI" w:cs="Segoe UI"/>
          <w:sz w:val="22"/>
          <w:szCs w:val="22"/>
        </w:rPr>
        <w:t xml:space="preserve">The publication of the final report marks the final milestone in the team’s work. This process was preceded by the publication of a public call for comments, an interim report, </w:t>
      </w:r>
      <w:proofErr w:type="gramStart"/>
      <w:r w:rsidRPr="007A7500">
        <w:rPr>
          <w:rFonts w:ascii="Segoe UI" w:hAnsi="Segoe UI" w:cs="Segoe UI"/>
          <w:sz w:val="22"/>
          <w:szCs w:val="22"/>
        </w:rPr>
        <w:t>extensive</w:t>
      </w:r>
      <w:proofErr w:type="gramEnd"/>
      <w:r w:rsidRPr="007A7500">
        <w:rPr>
          <w:rFonts w:ascii="Segoe UI" w:hAnsi="Segoe UI" w:cs="Segoe UI"/>
          <w:sz w:val="22"/>
          <w:szCs w:val="22"/>
        </w:rPr>
        <w:t xml:space="preserve"> consultations with various stakeholders, including parties active in Israel’s capital market, and an examination and analysis of the components of the current model. The team believes that adoption of the </w:t>
      </w:r>
      <w:r w:rsidR="006750EE" w:rsidRPr="007A7500">
        <w:rPr>
          <w:rFonts w:ascii="Segoe UI" w:hAnsi="Segoe UI" w:cs="Segoe UI"/>
          <w:sz w:val="22"/>
          <w:szCs w:val="22"/>
        </w:rPr>
        <w:t>compens</w:t>
      </w:r>
      <w:r w:rsidRPr="007A7500">
        <w:rPr>
          <w:rFonts w:ascii="Segoe UI" w:hAnsi="Segoe UI" w:cs="Segoe UI"/>
          <w:sz w:val="22"/>
          <w:szCs w:val="22"/>
        </w:rPr>
        <w:t xml:space="preserve">ation model, as set out in the report, will strengthen competition among market participants, expand the range of services available to customers, enhance and broaden the investment advisory market to additional audiences, and improve investors’ ability to make informed and </w:t>
      </w:r>
      <w:r w:rsidR="006750EE" w:rsidRPr="007A7500">
        <w:rPr>
          <w:rFonts w:ascii="Segoe UI" w:hAnsi="Segoe UI" w:cs="Segoe UI"/>
          <w:sz w:val="22"/>
          <w:szCs w:val="22"/>
        </w:rPr>
        <w:t>knowledgeable</w:t>
      </w:r>
      <w:r w:rsidRPr="007A7500">
        <w:rPr>
          <w:rFonts w:ascii="Segoe UI" w:hAnsi="Segoe UI" w:cs="Segoe UI"/>
          <w:sz w:val="22"/>
          <w:szCs w:val="22"/>
        </w:rPr>
        <w:t xml:space="preserve"> decisions.</w:t>
      </w:r>
    </w:p>
    <w:p w14:paraId="76AD5B1B" w14:textId="77777777" w:rsidR="0099487F" w:rsidRPr="007A7500" w:rsidRDefault="0099487F" w:rsidP="0099487F">
      <w:pPr>
        <w:spacing w:before="100" w:beforeAutospacing="1" w:after="100" w:afterAutospacing="1" w:line="240" w:lineRule="auto"/>
        <w:jc w:val="left"/>
        <w:outlineLvl w:val="2"/>
        <w:rPr>
          <w:rFonts w:ascii="Segoe UI" w:hAnsi="Segoe UI" w:cs="Segoe UI"/>
          <w:b/>
          <w:bCs/>
          <w:sz w:val="22"/>
          <w:szCs w:val="22"/>
        </w:rPr>
      </w:pPr>
      <w:r w:rsidRPr="007A7500">
        <w:rPr>
          <w:rFonts w:ascii="Segoe UI" w:hAnsi="Segoe UI" w:cs="Segoe UI"/>
          <w:b/>
          <w:bCs/>
          <w:sz w:val="22"/>
          <w:szCs w:val="22"/>
        </w:rPr>
        <w:t>Main Elements of the New Model</w:t>
      </w:r>
    </w:p>
    <w:p w14:paraId="738D2520" w14:textId="749F55B9" w:rsidR="0099487F" w:rsidRPr="007A7500" w:rsidRDefault="0099487F" w:rsidP="006750EE">
      <w:pPr>
        <w:spacing w:before="100" w:beforeAutospacing="1" w:after="100" w:afterAutospacing="1" w:line="240" w:lineRule="auto"/>
        <w:rPr>
          <w:rFonts w:ascii="Segoe UI" w:hAnsi="Segoe UI" w:cs="Segoe UI"/>
          <w:sz w:val="22"/>
          <w:szCs w:val="22"/>
        </w:rPr>
      </w:pPr>
      <w:r w:rsidRPr="007A7500">
        <w:rPr>
          <w:rFonts w:ascii="Segoe UI" w:hAnsi="Segoe UI" w:cs="Segoe UI"/>
          <w:sz w:val="22"/>
          <w:szCs w:val="22"/>
        </w:rPr>
        <w:t xml:space="preserve">The </w:t>
      </w:r>
      <w:r w:rsidR="006750EE" w:rsidRPr="007A7500">
        <w:rPr>
          <w:rFonts w:ascii="Segoe UI" w:hAnsi="Segoe UI" w:cs="Segoe UI"/>
          <w:sz w:val="22"/>
          <w:szCs w:val="22"/>
        </w:rPr>
        <w:t>compens</w:t>
      </w:r>
      <w:r w:rsidRPr="007A7500">
        <w:rPr>
          <w:rFonts w:ascii="Segoe UI" w:hAnsi="Segoe UI" w:cs="Segoe UI"/>
          <w:sz w:val="22"/>
          <w:szCs w:val="22"/>
        </w:rPr>
        <w:t>ation model is a unified model</w:t>
      </w:r>
      <w:r w:rsidR="006750EE" w:rsidRPr="007A7500">
        <w:rPr>
          <w:rFonts w:ascii="Segoe UI" w:hAnsi="Segoe UI" w:cs="Segoe UI"/>
          <w:sz w:val="22"/>
          <w:szCs w:val="22"/>
        </w:rPr>
        <w:t>, the</w:t>
      </w:r>
      <w:r w:rsidRPr="007A7500">
        <w:rPr>
          <w:rFonts w:ascii="Segoe UI" w:hAnsi="Segoe UI" w:cs="Segoe UI"/>
          <w:sz w:val="22"/>
          <w:szCs w:val="22"/>
        </w:rPr>
        <w:t xml:space="preserve"> components </w:t>
      </w:r>
      <w:r w:rsidR="006750EE" w:rsidRPr="007A7500">
        <w:rPr>
          <w:rFonts w:ascii="Segoe UI" w:hAnsi="Segoe UI" w:cs="Segoe UI"/>
          <w:sz w:val="22"/>
          <w:szCs w:val="22"/>
        </w:rPr>
        <w:t xml:space="preserve">of which </w:t>
      </w:r>
      <w:proofErr w:type="gramStart"/>
      <w:r w:rsidRPr="007A7500">
        <w:rPr>
          <w:rFonts w:ascii="Segoe UI" w:hAnsi="Segoe UI" w:cs="Segoe UI"/>
          <w:sz w:val="22"/>
          <w:szCs w:val="22"/>
        </w:rPr>
        <w:t>are integrated</w:t>
      </w:r>
      <w:proofErr w:type="gramEnd"/>
      <w:r w:rsidRPr="007A7500">
        <w:rPr>
          <w:rFonts w:ascii="Segoe UI" w:hAnsi="Segoe UI" w:cs="Segoe UI"/>
          <w:sz w:val="22"/>
          <w:szCs w:val="22"/>
        </w:rPr>
        <w:t xml:space="preserve"> with one another. The team’s recommendations will enter into force gradually over time, primarily for practical reasons distinguishing between recommendations that </w:t>
      </w:r>
      <w:proofErr w:type="gramStart"/>
      <w:r w:rsidRPr="007A7500">
        <w:rPr>
          <w:rFonts w:ascii="Segoe UI" w:hAnsi="Segoe UI" w:cs="Segoe UI"/>
          <w:sz w:val="22"/>
          <w:szCs w:val="22"/>
        </w:rPr>
        <w:t>can be implemented</w:t>
      </w:r>
      <w:proofErr w:type="gramEnd"/>
      <w:r w:rsidRPr="007A7500">
        <w:rPr>
          <w:rFonts w:ascii="Segoe UI" w:hAnsi="Segoe UI" w:cs="Segoe UI"/>
          <w:sz w:val="22"/>
          <w:szCs w:val="22"/>
        </w:rPr>
        <w:t xml:space="preserve"> relatively quickly and others that require more complex regulatory processes. As part of the implementation of each stage, the regulators will examine prevailing conditions and the market’s adaptation to the changes in the mechanism, in order to ensure that the model </w:t>
      </w:r>
      <w:proofErr w:type="gramStart"/>
      <w:r w:rsidRPr="007A7500">
        <w:rPr>
          <w:rFonts w:ascii="Segoe UI" w:hAnsi="Segoe UI" w:cs="Segoe UI"/>
          <w:sz w:val="22"/>
          <w:szCs w:val="22"/>
        </w:rPr>
        <w:t>is implemented</w:t>
      </w:r>
      <w:proofErr w:type="gramEnd"/>
      <w:r w:rsidRPr="007A7500">
        <w:rPr>
          <w:rFonts w:ascii="Segoe UI" w:hAnsi="Segoe UI" w:cs="Segoe UI"/>
          <w:sz w:val="22"/>
          <w:szCs w:val="22"/>
        </w:rPr>
        <w:t xml:space="preserve"> in the manner most beneficial to the market.</w:t>
      </w:r>
    </w:p>
    <w:p w14:paraId="08D62275" w14:textId="1FA88F06" w:rsidR="0099487F" w:rsidRPr="007A7500" w:rsidRDefault="0099487F" w:rsidP="006750EE">
      <w:pPr>
        <w:spacing w:before="100" w:beforeAutospacing="1" w:after="100" w:afterAutospacing="1" w:line="240" w:lineRule="auto"/>
        <w:rPr>
          <w:rFonts w:ascii="Segoe UI" w:hAnsi="Segoe UI" w:cs="Segoe UI"/>
          <w:sz w:val="22"/>
          <w:szCs w:val="22"/>
        </w:rPr>
      </w:pPr>
      <w:r w:rsidRPr="007A7500">
        <w:rPr>
          <w:rFonts w:ascii="Segoe UI" w:hAnsi="Segoe UI" w:cs="Segoe UI"/>
          <w:sz w:val="22"/>
          <w:szCs w:val="22"/>
        </w:rPr>
        <w:t xml:space="preserve">The team recommended that similar regulation </w:t>
      </w:r>
      <w:proofErr w:type="gramStart"/>
      <w:r w:rsidRPr="007A7500">
        <w:rPr>
          <w:rFonts w:ascii="Segoe UI" w:hAnsi="Segoe UI" w:cs="Segoe UI"/>
          <w:sz w:val="22"/>
          <w:szCs w:val="22"/>
        </w:rPr>
        <w:t>be applied</w:t>
      </w:r>
      <w:proofErr w:type="gramEnd"/>
      <w:r w:rsidRPr="007A7500">
        <w:rPr>
          <w:rFonts w:ascii="Segoe UI" w:hAnsi="Segoe UI" w:cs="Segoe UI"/>
          <w:sz w:val="22"/>
          <w:szCs w:val="22"/>
        </w:rPr>
        <w:t xml:space="preserve"> in the future to all market participants, including banks and nonbank exchange members.</w:t>
      </w:r>
    </w:p>
    <w:p w14:paraId="19F4904A" w14:textId="77777777" w:rsidR="0099487F" w:rsidRPr="007A7500" w:rsidRDefault="0099487F" w:rsidP="0099487F">
      <w:pPr>
        <w:spacing w:before="100" w:beforeAutospacing="1" w:after="100" w:afterAutospacing="1" w:line="240" w:lineRule="auto"/>
        <w:jc w:val="left"/>
        <w:outlineLvl w:val="2"/>
        <w:rPr>
          <w:rFonts w:ascii="Segoe UI" w:hAnsi="Segoe UI" w:cs="Segoe UI"/>
          <w:b/>
          <w:bCs/>
          <w:sz w:val="22"/>
          <w:szCs w:val="22"/>
        </w:rPr>
      </w:pPr>
      <w:r w:rsidRPr="007A7500">
        <w:rPr>
          <w:rFonts w:ascii="Segoe UI" w:hAnsi="Segoe UI" w:cs="Segoe UI"/>
          <w:b/>
          <w:bCs/>
          <w:sz w:val="22"/>
          <w:szCs w:val="22"/>
        </w:rPr>
        <w:t>Phase I – Investment Advice and Service Packages in the Banking System</w:t>
      </w:r>
    </w:p>
    <w:p w14:paraId="565019AF" w14:textId="77777777" w:rsidR="0099487F" w:rsidRPr="007A7500" w:rsidRDefault="0099487F" w:rsidP="006750EE">
      <w:pPr>
        <w:spacing w:before="100" w:beforeAutospacing="1" w:after="100" w:afterAutospacing="1" w:line="240" w:lineRule="auto"/>
        <w:rPr>
          <w:rFonts w:ascii="Segoe UI" w:hAnsi="Segoe UI" w:cs="Segoe UI"/>
          <w:sz w:val="22"/>
          <w:szCs w:val="22"/>
        </w:rPr>
      </w:pPr>
      <w:r w:rsidRPr="007A7500">
        <w:rPr>
          <w:rFonts w:ascii="Segoe UI" w:hAnsi="Segoe UI" w:cs="Segoe UI"/>
          <w:b/>
          <w:bCs/>
          <w:sz w:val="22"/>
          <w:szCs w:val="22"/>
        </w:rPr>
        <w:t>Service packages</w:t>
      </w:r>
      <w:r w:rsidRPr="007A7500">
        <w:rPr>
          <w:rFonts w:ascii="Segoe UI" w:hAnsi="Segoe UI" w:cs="Segoe UI"/>
          <w:sz w:val="22"/>
          <w:szCs w:val="22"/>
        </w:rPr>
        <w:t xml:space="preserve"> – Banks </w:t>
      </w:r>
      <w:proofErr w:type="gramStart"/>
      <w:r w:rsidRPr="007A7500">
        <w:rPr>
          <w:rFonts w:ascii="Segoe UI" w:hAnsi="Segoe UI" w:cs="Segoe UI"/>
          <w:sz w:val="22"/>
          <w:szCs w:val="22"/>
        </w:rPr>
        <w:t>will be permitted</w:t>
      </w:r>
      <w:proofErr w:type="gramEnd"/>
      <w:r w:rsidRPr="007A7500">
        <w:rPr>
          <w:rFonts w:ascii="Segoe UI" w:hAnsi="Segoe UI" w:cs="Segoe UI"/>
          <w:sz w:val="22"/>
          <w:szCs w:val="22"/>
        </w:rPr>
        <w:t xml:space="preserve"> to offer customers service packages under which the customer will pay a single aggregate fee for activity in securities and financial assets.</w:t>
      </w:r>
    </w:p>
    <w:p w14:paraId="59F62E42" w14:textId="380D2DD6" w:rsidR="0099487F" w:rsidRPr="007A7500" w:rsidRDefault="0099487F" w:rsidP="006750EE">
      <w:pPr>
        <w:spacing w:before="100" w:beforeAutospacing="1" w:after="100" w:afterAutospacing="1" w:line="240" w:lineRule="auto"/>
        <w:rPr>
          <w:rFonts w:ascii="Segoe UI" w:hAnsi="Segoe UI" w:cs="Segoe UI"/>
          <w:sz w:val="22"/>
          <w:szCs w:val="22"/>
        </w:rPr>
      </w:pPr>
      <w:r w:rsidRPr="007A7500">
        <w:rPr>
          <w:rFonts w:ascii="Segoe UI" w:hAnsi="Segoe UI" w:cs="Segoe UI"/>
          <w:b/>
          <w:bCs/>
          <w:sz w:val="22"/>
          <w:szCs w:val="22"/>
        </w:rPr>
        <w:t>Dedicated advisory fee</w:t>
      </w:r>
      <w:r w:rsidRPr="007A7500">
        <w:rPr>
          <w:rFonts w:ascii="Segoe UI" w:hAnsi="Segoe UI" w:cs="Segoe UI"/>
          <w:sz w:val="22"/>
          <w:szCs w:val="22"/>
        </w:rPr>
        <w:t xml:space="preserve"> – Banks will </w:t>
      </w:r>
      <w:proofErr w:type="gramStart"/>
      <w:r w:rsidRPr="007A7500">
        <w:rPr>
          <w:rFonts w:ascii="Segoe UI" w:hAnsi="Segoe UI" w:cs="Segoe UI"/>
          <w:sz w:val="22"/>
          <w:szCs w:val="22"/>
        </w:rPr>
        <w:t>be permitted</w:t>
      </w:r>
      <w:proofErr w:type="gramEnd"/>
      <w:r w:rsidRPr="007A7500">
        <w:rPr>
          <w:rFonts w:ascii="Segoe UI" w:hAnsi="Segoe UI" w:cs="Segoe UI"/>
          <w:sz w:val="22"/>
          <w:szCs w:val="22"/>
        </w:rPr>
        <w:t xml:space="preserve"> to charge customers a dedicated fee for advisory services</w:t>
      </w:r>
      <w:r w:rsidR="006750EE" w:rsidRPr="007A7500">
        <w:rPr>
          <w:rFonts w:ascii="Segoe UI" w:hAnsi="Segoe UI" w:cs="Segoe UI"/>
          <w:sz w:val="22"/>
          <w:szCs w:val="22"/>
        </w:rPr>
        <w:t>,</w:t>
      </w:r>
      <w:r w:rsidRPr="007A7500">
        <w:rPr>
          <w:rFonts w:ascii="Segoe UI" w:hAnsi="Segoe UI" w:cs="Segoe UI"/>
          <w:sz w:val="22"/>
          <w:szCs w:val="22"/>
        </w:rPr>
        <w:t xml:space="preserve"> and will not be allowed to collect it as part of the securities custod</w:t>
      </w:r>
      <w:r w:rsidR="006750EE" w:rsidRPr="007A7500">
        <w:rPr>
          <w:rFonts w:ascii="Segoe UI" w:hAnsi="Segoe UI" w:cs="Segoe UI"/>
          <w:sz w:val="22"/>
          <w:szCs w:val="22"/>
        </w:rPr>
        <w:t>y</w:t>
      </w:r>
      <w:r w:rsidRPr="007A7500">
        <w:rPr>
          <w:rFonts w:ascii="Segoe UI" w:hAnsi="Segoe UI" w:cs="Segoe UI"/>
          <w:sz w:val="22"/>
          <w:szCs w:val="22"/>
        </w:rPr>
        <w:t xml:space="preserve"> account management fee. The characteristics of the fee may be tailored to the nature of the advisory service provided (ongoing / one-time, human / digital / hybrid, etc.).</w:t>
      </w:r>
    </w:p>
    <w:p w14:paraId="54597217" w14:textId="47A701D2" w:rsidR="0099487F" w:rsidRPr="007A7500" w:rsidRDefault="0099487F" w:rsidP="006750EE">
      <w:pPr>
        <w:spacing w:before="100" w:beforeAutospacing="1" w:after="100" w:afterAutospacing="1" w:line="240" w:lineRule="auto"/>
        <w:rPr>
          <w:rFonts w:ascii="Segoe UI" w:hAnsi="Segoe UI" w:cs="Segoe UI"/>
          <w:sz w:val="22"/>
          <w:szCs w:val="22"/>
        </w:rPr>
      </w:pPr>
      <w:r w:rsidRPr="007A7500">
        <w:rPr>
          <w:rFonts w:ascii="Segoe UI" w:hAnsi="Segoe UI" w:cs="Segoe UI"/>
          <w:sz w:val="22"/>
          <w:szCs w:val="22"/>
        </w:rPr>
        <w:lastRenderedPageBreak/>
        <w:t xml:space="preserve">Investment advisory services </w:t>
      </w:r>
      <w:proofErr w:type="gramStart"/>
      <w:r w:rsidRPr="007A7500">
        <w:rPr>
          <w:rFonts w:ascii="Segoe UI" w:hAnsi="Segoe UI" w:cs="Segoe UI"/>
          <w:sz w:val="22"/>
          <w:szCs w:val="22"/>
        </w:rPr>
        <w:t>will be offered</w:t>
      </w:r>
      <w:proofErr w:type="gramEnd"/>
      <w:r w:rsidRPr="007A7500">
        <w:rPr>
          <w:rFonts w:ascii="Segoe UI" w:hAnsi="Segoe UI" w:cs="Segoe UI"/>
          <w:sz w:val="22"/>
          <w:szCs w:val="22"/>
        </w:rPr>
        <w:t xml:space="preserve"> by banks without conditioning them on the purchase of additional services</w:t>
      </w:r>
      <w:r w:rsidR="006750EE" w:rsidRPr="007A7500">
        <w:rPr>
          <w:rFonts w:ascii="Segoe UI" w:hAnsi="Segoe UI" w:cs="Segoe UI"/>
          <w:sz w:val="22"/>
          <w:szCs w:val="22"/>
        </w:rPr>
        <w:t>,</w:t>
      </w:r>
      <w:r w:rsidRPr="007A7500">
        <w:rPr>
          <w:rFonts w:ascii="Segoe UI" w:hAnsi="Segoe UI" w:cs="Segoe UI"/>
          <w:sz w:val="22"/>
          <w:szCs w:val="22"/>
        </w:rPr>
        <w:t xml:space="preserve"> and will not constitute a condition for the management of a securities portfolio.</w:t>
      </w:r>
    </w:p>
    <w:p w14:paraId="067ACD93" w14:textId="77777777" w:rsidR="0099487F" w:rsidRPr="007A7500" w:rsidRDefault="0099487F" w:rsidP="006750EE">
      <w:pPr>
        <w:spacing w:before="100" w:beforeAutospacing="1" w:after="100" w:afterAutospacing="1" w:line="240" w:lineRule="auto"/>
        <w:outlineLvl w:val="2"/>
        <w:rPr>
          <w:rFonts w:ascii="Segoe UI" w:hAnsi="Segoe UI" w:cs="Segoe UI"/>
          <w:b/>
          <w:bCs/>
          <w:sz w:val="22"/>
          <w:szCs w:val="22"/>
        </w:rPr>
      </w:pPr>
      <w:r w:rsidRPr="007A7500">
        <w:rPr>
          <w:rFonts w:ascii="Segoe UI" w:hAnsi="Segoe UI" w:cs="Segoe UI"/>
          <w:b/>
          <w:bCs/>
          <w:sz w:val="22"/>
          <w:szCs w:val="22"/>
        </w:rPr>
        <w:t>Phase II – Change in the Fee Collection Mechanism for Transactions in Mutual Fund Units</w:t>
      </w:r>
    </w:p>
    <w:p w14:paraId="302D457D" w14:textId="1B521FDA" w:rsidR="0099487F" w:rsidRPr="007A7500" w:rsidRDefault="006750EE" w:rsidP="006750EE">
      <w:pPr>
        <w:spacing w:before="100" w:beforeAutospacing="1" w:after="100" w:afterAutospacing="1" w:line="240" w:lineRule="auto"/>
        <w:rPr>
          <w:rFonts w:ascii="Segoe UI" w:hAnsi="Segoe UI" w:cs="Segoe UI"/>
          <w:sz w:val="22"/>
          <w:szCs w:val="22"/>
        </w:rPr>
      </w:pPr>
      <w:r w:rsidRPr="007A7500">
        <w:rPr>
          <w:rFonts w:ascii="Segoe UI" w:hAnsi="Segoe UI" w:cs="Segoe UI"/>
          <w:b/>
          <w:bCs/>
          <w:sz w:val="22"/>
          <w:szCs w:val="22"/>
        </w:rPr>
        <w:t>Agency</w:t>
      </w:r>
      <w:r w:rsidR="0099487F" w:rsidRPr="007A7500">
        <w:rPr>
          <w:rFonts w:ascii="Segoe UI" w:hAnsi="Segoe UI" w:cs="Segoe UI"/>
          <w:b/>
          <w:bCs/>
          <w:sz w:val="22"/>
          <w:szCs w:val="22"/>
        </w:rPr>
        <w:t xml:space="preserve"> fee</w:t>
      </w:r>
      <w:r w:rsidR="0099487F" w:rsidRPr="007A7500">
        <w:rPr>
          <w:rFonts w:ascii="Segoe UI" w:hAnsi="Segoe UI" w:cs="Segoe UI"/>
          <w:sz w:val="22"/>
          <w:szCs w:val="22"/>
        </w:rPr>
        <w:t xml:space="preserve"> – In place of the distribution fee currently in effect, a uniform </w:t>
      </w:r>
      <w:r w:rsidRPr="007A7500">
        <w:rPr>
          <w:rFonts w:ascii="Segoe UI" w:hAnsi="Segoe UI" w:cs="Segoe UI"/>
          <w:sz w:val="22"/>
          <w:szCs w:val="22"/>
        </w:rPr>
        <w:t>agency</w:t>
      </w:r>
      <w:r w:rsidR="0099487F" w:rsidRPr="007A7500">
        <w:rPr>
          <w:rFonts w:ascii="Segoe UI" w:hAnsi="Segoe UI" w:cs="Segoe UI"/>
          <w:sz w:val="22"/>
          <w:szCs w:val="22"/>
        </w:rPr>
        <w:t xml:space="preserve"> fee at a reduced rate of </w:t>
      </w:r>
      <w:r w:rsidR="0099487F" w:rsidRPr="007A7500">
        <w:rPr>
          <w:rFonts w:ascii="Segoe UI" w:hAnsi="Segoe UI" w:cs="Segoe UI"/>
          <w:b/>
          <w:bCs/>
          <w:sz w:val="22"/>
          <w:szCs w:val="22"/>
        </w:rPr>
        <w:t>0.2 percent</w:t>
      </w:r>
      <w:r w:rsidR="0099487F" w:rsidRPr="007A7500">
        <w:rPr>
          <w:rFonts w:ascii="Segoe UI" w:hAnsi="Segoe UI" w:cs="Segoe UI"/>
          <w:sz w:val="22"/>
          <w:szCs w:val="22"/>
        </w:rPr>
        <w:t xml:space="preserve"> of the value of the units purchased will be paid over the holding period, across all types of mutual funds, except money market funds. With respect to money market funds, it </w:t>
      </w:r>
      <w:proofErr w:type="gramStart"/>
      <w:r w:rsidR="0099487F" w:rsidRPr="007A7500">
        <w:rPr>
          <w:rFonts w:ascii="Segoe UI" w:hAnsi="Segoe UI" w:cs="Segoe UI"/>
          <w:sz w:val="22"/>
          <w:szCs w:val="22"/>
        </w:rPr>
        <w:t>is proposed</w:t>
      </w:r>
      <w:proofErr w:type="gramEnd"/>
      <w:r w:rsidR="0099487F" w:rsidRPr="007A7500">
        <w:rPr>
          <w:rFonts w:ascii="Segoe UI" w:hAnsi="Segoe UI" w:cs="Segoe UI"/>
          <w:sz w:val="22"/>
          <w:szCs w:val="22"/>
        </w:rPr>
        <w:t xml:space="preserve"> to retain the existing bank distribution fee model, given that they are part of the “money market,” and to adopt this approach across the broader market at a later stage. </w:t>
      </w:r>
      <w:proofErr w:type="gramStart"/>
      <w:r w:rsidR="0099487F" w:rsidRPr="007A7500">
        <w:rPr>
          <w:rFonts w:ascii="Segoe UI" w:hAnsi="Segoe UI" w:cs="Segoe UI"/>
          <w:sz w:val="22"/>
          <w:szCs w:val="22"/>
        </w:rPr>
        <w:t>This fee will be paid by the fund manager</w:t>
      </w:r>
      <w:proofErr w:type="gramEnd"/>
      <w:r w:rsidR="0099487F" w:rsidRPr="007A7500">
        <w:rPr>
          <w:rFonts w:ascii="Segoe UI" w:hAnsi="Segoe UI" w:cs="Segoe UI"/>
          <w:sz w:val="22"/>
          <w:szCs w:val="22"/>
        </w:rPr>
        <w:t xml:space="preserve"> to the investment adviser or the bank advisory system. The </w:t>
      </w:r>
      <w:r w:rsidRPr="007A7500">
        <w:rPr>
          <w:rFonts w:ascii="Segoe UI" w:hAnsi="Segoe UI" w:cs="Segoe UI"/>
          <w:sz w:val="22"/>
          <w:szCs w:val="22"/>
        </w:rPr>
        <w:t>agency</w:t>
      </w:r>
      <w:r w:rsidR="0099487F" w:rsidRPr="007A7500">
        <w:rPr>
          <w:rFonts w:ascii="Segoe UI" w:hAnsi="Segoe UI" w:cs="Segoe UI"/>
          <w:sz w:val="22"/>
          <w:szCs w:val="22"/>
        </w:rPr>
        <w:t xml:space="preserve"> fee </w:t>
      </w:r>
      <w:proofErr w:type="gramStart"/>
      <w:r w:rsidR="0099487F" w:rsidRPr="007A7500">
        <w:rPr>
          <w:rFonts w:ascii="Segoe UI" w:hAnsi="Segoe UI" w:cs="Segoe UI"/>
          <w:sz w:val="22"/>
          <w:szCs w:val="22"/>
        </w:rPr>
        <w:t>will be charged</w:t>
      </w:r>
      <w:proofErr w:type="gramEnd"/>
      <w:r w:rsidR="0099487F" w:rsidRPr="007A7500">
        <w:rPr>
          <w:rFonts w:ascii="Segoe UI" w:hAnsi="Segoe UI" w:cs="Segoe UI"/>
          <w:sz w:val="22"/>
          <w:szCs w:val="22"/>
        </w:rPr>
        <w:t xml:space="preserve"> only for advised purchase transactions.</w:t>
      </w:r>
    </w:p>
    <w:p w14:paraId="53CF9205" w14:textId="67E850FD" w:rsidR="0099487F" w:rsidRPr="007A7500" w:rsidRDefault="0099487F" w:rsidP="006750EE">
      <w:pPr>
        <w:spacing w:before="100" w:beforeAutospacing="1" w:after="100" w:afterAutospacing="1" w:line="240" w:lineRule="auto"/>
        <w:rPr>
          <w:rFonts w:ascii="Segoe UI" w:hAnsi="Segoe UI" w:cs="Segoe UI"/>
          <w:sz w:val="22"/>
          <w:szCs w:val="22"/>
        </w:rPr>
      </w:pPr>
      <w:proofErr w:type="gramStart"/>
      <w:r w:rsidRPr="007A7500">
        <w:rPr>
          <w:rFonts w:ascii="Segoe UI" w:hAnsi="Segoe UI" w:cs="Segoe UI"/>
          <w:b/>
          <w:bCs/>
          <w:sz w:val="22"/>
          <w:szCs w:val="22"/>
        </w:rPr>
        <w:t>Purchase and sale fees</w:t>
      </w:r>
      <w:r w:rsidR="006750EE" w:rsidRPr="007A7500">
        <w:rPr>
          <w:rFonts w:ascii="Segoe UI" w:hAnsi="Segoe UI" w:cs="Segoe UI"/>
          <w:b/>
          <w:bCs/>
          <w:sz w:val="22"/>
          <w:szCs w:val="22"/>
        </w:rPr>
        <w:t xml:space="preserve"> </w:t>
      </w:r>
      <w:r w:rsidR="006750EE" w:rsidRPr="007A7500">
        <w:rPr>
          <w:rFonts w:ascii="Segoe UI" w:hAnsi="Segoe UI" w:cs="Segoe UI"/>
          <w:sz w:val="22"/>
          <w:szCs w:val="22"/>
        </w:rPr>
        <w:t xml:space="preserve">– </w:t>
      </w:r>
      <w:r w:rsidRPr="007A7500">
        <w:rPr>
          <w:rFonts w:ascii="Segoe UI" w:hAnsi="Segoe UI" w:cs="Segoe UI"/>
          <w:sz w:val="22"/>
          <w:szCs w:val="22"/>
        </w:rPr>
        <w:t>As a complementary step to the change in the distribution fee model described above, the mechanism for charging purchase and sale fees will be standardized with respect to transactions involving the purchase and sale of units in different types of mutual funds—namely passive mutual funds (open-ended index-tracking funds and exchange-traded funds) and active mutual funds, excluding money market funds.</w:t>
      </w:r>
      <w:proofErr w:type="gramEnd"/>
      <w:r w:rsidRPr="007A7500">
        <w:rPr>
          <w:rFonts w:ascii="Segoe UI" w:hAnsi="Segoe UI" w:cs="Segoe UI"/>
          <w:sz w:val="22"/>
          <w:szCs w:val="22"/>
        </w:rPr>
        <w:t xml:space="preserve"> In other words, for any transaction involving the purchase or sale of a mutual fund unit (of any type, except money market funds), a purchase/sale fee </w:t>
      </w:r>
      <w:proofErr w:type="gramStart"/>
      <w:r w:rsidRPr="007A7500">
        <w:rPr>
          <w:rFonts w:ascii="Segoe UI" w:hAnsi="Segoe UI" w:cs="Segoe UI"/>
          <w:sz w:val="22"/>
          <w:szCs w:val="22"/>
        </w:rPr>
        <w:t>may be charged</w:t>
      </w:r>
      <w:proofErr w:type="gramEnd"/>
      <w:r w:rsidRPr="007A7500">
        <w:rPr>
          <w:rFonts w:ascii="Segoe UI" w:hAnsi="Segoe UI" w:cs="Segoe UI"/>
          <w:sz w:val="22"/>
          <w:szCs w:val="22"/>
        </w:rPr>
        <w:t xml:space="preserve"> to the customer.</w:t>
      </w:r>
    </w:p>
    <w:p w14:paraId="5D2199D7" w14:textId="77777777" w:rsidR="0099487F" w:rsidRPr="007A7500" w:rsidRDefault="0099487F" w:rsidP="006750EE">
      <w:pPr>
        <w:spacing w:before="100" w:beforeAutospacing="1" w:after="100" w:afterAutospacing="1" w:line="240" w:lineRule="auto"/>
        <w:rPr>
          <w:rFonts w:ascii="Segoe UI" w:hAnsi="Segoe UI" w:cs="Segoe UI"/>
          <w:sz w:val="22"/>
          <w:szCs w:val="22"/>
        </w:rPr>
      </w:pPr>
      <w:r w:rsidRPr="007A7500">
        <w:rPr>
          <w:rFonts w:ascii="Segoe UI" w:hAnsi="Segoe UI" w:cs="Segoe UI"/>
          <w:sz w:val="22"/>
          <w:szCs w:val="22"/>
        </w:rPr>
        <w:t>To complete this phase, work will begin on advancing legislative and regulatory amendments.</w:t>
      </w:r>
    </w:p>
    <w:p w14:paraId="6D17A6A4" w14:textId="77777777" w:rsidR="0099487F" w:rsidRPr="007A7500" w:rsidRDefault="0099487F" w:rsidP="0099487F">
      <w:pPr>
        <w:spacing w:before="100" w:beforeAutospacing="1" w:after="100" w:afterAutospacing="1" w:line="240" w:lineRule="auto"/>
        <w:jc w:val="left"/>
        <w:outlineLvl w:val="2"/>
        <w:rPr>
          <w:rFonts w:ascii="Segoe UI" w:hAnsi="Segoe UI" w:cs="Segoe UI"/>
          <w:b/>
          <w:bCs/>
          <w:sz w:val="22"/>
          <w:szCs w:val="22"/>
        </w:rPr>
      </w:pPr>
      <w:r w:rsidRPr="007A7500">
        <w:rPr>
          <w:rFonts w:ascii="Segoe UI" w:hAnsi="Segoe UI" w:cs="Segoe UI"/>
          <w:b/>
          <w:bCs/>
          <w:sz w:val="22"/>
          <w:szCs w:val="22"/>
        </w:rPr>
        <w:t>Phase III – Securities Custody Account Management Fee</w:t>
      </w:r>
    </w:p>
    <w:p w14:paraId="3F60E41B" w14:textId="77777777" w:rsidR="0099487F" w:rsidRPr="007A7500" w:rsidRDefault="0099487F" w:rsidP="006750EE">
      <w:pPr>
        <w:spacing w:before="100" w:beforeAutospacing="1" w:after="100" w:afterAutospacing="1" w:line="240" w:lineRule="auto"/>
        <w:rPr>
          <w:rFonts w:ascii="Segoe UI" w:hAnsi="Segoe UI" w:cs="Segoe UI"/>
          <w:sz w:val="22"/>
          <w:szCs w:val="22"/>
        </w:rPr>
      </w:pPr>
      <w:r w:rsidRPr="007A7500">
        <w:rPr>
          <w:rFonts w:ascii="Segoe UI" w:hAnsi="Segoe UI" w:cs="Segoe UI"/>
          <w:sz w:val="22"/>
          <w:szCs w:val="22"/>
        </w:rPr>
        <w:t xml:space="preserve">The securities </w:t>
      </w:r>
      <w:proofErr w:type="gramStart"/>
      <w:r w:rsidRPr="007A7500">
        <w:rPr>
          <w:rFonts w:ascii="Segoe UI" w:hAnsi="Segoe UI" w:cs="Segoe UI"/>
          <w:sz w:val="22"/>
          <w:szCs w:val="22"/>
        </w:rPr>
        <w:t>custody account management fee</w:t>
      </w:r>
      <w:proofErr w:type="gramEnd"/>
      <w:r w:rsidRPr="007A7500">
        <w:rPr>
          <w:rFonts w:ascii="Segoe UI" w:hAnsi="Segoe UI" w:cs="Segoe UI"/>
          <w:sz w:val="22"/>
          <w:szCs w:val="22"/>
        </w:rPr>
        <w:t xml:space="preserve"> includes custody and operational costs arising from trading in the capital market. The securities account management fee mechanism will be set as a fixed shekel amount, to </w:t>
      </w:r>
      <w:proofErr w:type="gramStart"/>
      <w:r w:rsidRPr="007A7500">
        <w:rPr>
          <w:rFonts w:ascii="Segoe UI" w:hAnsi="Segoe UI" w:cs="Segoe UI"/>
          <w:sz w:val="22"/>
          <w:szCs w:val="22"/>
        </w:rPr>
        <w:t>be charged</w:t>
      </w:r>
      <w:proofErr w:type="gramEnd"/>
      <w:r w:rsidRPr="007A7500">
        <w:rPr>
          <w:rFonts w:ascii="Segoe UI" w:hAnsi="Segoe UI" w:cs="Segoe UI"/>
          <w:sz w:val="22"/>
          <w:szCs w:val="22"/>
        </w:rPr>
        <w:t xml:space="preserve"> monthly for all of the customer’s securities holdings and financial assets, both domestic and foreign. In order to protect customers with low-value securities portfolios, and to ensure that the service tariff for such customers properly reflects actual costs, consideration </w:t>
      </w:r>
      <w:proofErr w:type="gramStart"/>
      <w:r w:rsidRPr="007A7500">
        <w:rPr>
          <w:rFonts w:ascii="Segoe UI" w:hAnsi="Segoe UI" w:cs="Segoe UI"/>
          <w:sz w:val="22"/>
          <w:szCs w:val="22"/>
        </w:rPr>
        <w:t>will be given</w:t>
      </w:r>
      <w:proofErr w:type="gramEnd"/>
      <w:r w:rsidRPr="007A7500">
        <w:rPr>
          <w:rFonts w:ascii="Segoe UI" w:hAnsi="Segoe UI" w:cs="Segoe UI"/>
          <w:sz w:val="22"/>
          <w:szCs w:val="22"/>
        </w:rPr>
        <w:t xml:space="preserve"> to establishing fee tiers differentiated by portfolio value.</w:t>
      </w:r>
    </w:p>
    <w:p w14:paraId="58B12A03" w14:textId="5EA3BAEF" w:rsidR="00A2557F" w:rsidRPr="007A7500" w:rsidRDefault="00A2557F" w:rsidP="00CB474B">
      <w:pPr>
        <w:pStyle w:val="regpar"/>
        <w:jc w:val="left"/>
      </w:pPr>
    </w:p>
    <w:sectPr w:rsidR="00A2557F" w:rsidRPr="007A7500" w:rsidSect="004F5A85">
      <w:headerReference w:type="default" r:id="rId15"/>
      <w:endnotePr>
        <w:numFmt w:val="hebrew2"/>
      </w:endnotePr>
      <w:pgSz w:w="11880" w:h="16820"/>
      <w:pgMar w:top="624" w:right="1390" w:bottom="567" w:left="1418" w:header="57" w:footer="283" w:gutter="0"/>
      <w:cols w:space="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94386E" w14:textId="77777777" w:rsidR="00A329EF" w:rsidRDefault="00A329EF">
      <w:pPr>
        <w:spacing w:line="240" w:lineRule="auto"/>
      </w:pPr>
      <w:r>
        <w:separator/>
      </w:r>
    </w:p>
  </w:endnote>
  <w:endnote w:type="continuationSeparator" w:id="0">
    <w:p w14:paraId="356EB710" w14:textId="77777777" w:rsidR="00A329EF" w:rsidRDefault="00A329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AC2411" w14:textId="77777777" w:rsidR="00A329EF" w:rsidRDefault="00A329EF">
      <w:pPr>
        <w:spacing w:line="160" w:lineRule="exact"/>
      </w:pPr>
    </w:p>
  </w:footnote>
  <w:footnote w:type="continuationSeparator" w:id="0">
    <w:p w14:paraId="5F7F23D5" w14:textId="77777777" w:rsidR="00A329EF" w:rsidRDefault="00A329EF">
      <w:pPr>
        <w:pStyle w:val="rule"/>
      </w:pPr>
      <w:r>
        <w:t>–––––––––––––––––––––––––––</w:t>
      </w:r>
    </w:p>
    <w:p w14:paraId="2B8E8B94" w14:textId="77777777" w:rsidR="00A329EF" w:rsidRDefault="00A329EF">
      <w:pPr>
        <w:pStyle w:val="noteseparato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CA7D6" w14:textId="77777777" w:rsidR="00CE7A79" w:rsidRDefault="00CE7A79" w:rsidP="007A34C9">
    <w:pPr>
      <w:pStyle w:val="regpar"/>
      <w:spacing w:line="300" w:lineRule="atLeast"/>
      <w:ind w:firstLine="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lvlText w:val="%1)"/>
      <w:lvlJc w:val="left"/>
      <w:pPr>
        <w:tabs>
          <w:tab w:val="num" w:pos="600"/>
        </w:tabs>
        <w:ind w:left="600" w:hanging="360"/>
      </w:pPr>
      <w:rPr>
        <w:rFonts w:hint="default"/>
      </w:rPr>
    </w:lvl>
  </w:abstractNum>
  <w:abstractNum w:abstractNumId="1" w15:restartNumberingAfterBreak="0">
    <w:nsid w:val="2ABA69E9"/>
    <w:multiLevelType w:val="hybridMultilevel"/>
    <w:tmpl w:val="A67A3D8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 w15:restartNumberingAfterBreak="0">
    <w:nsid w:val="3F003117"/>
    <w:multiLevelType w:val="hybridMultilevel"/>
    <w:tmpl w:val="FA1A5C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0F544E1"/>
    <w:multiLevelType w:val="hybridMultilevel"/>
    <w:tmpl w:val="5966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8912EE"/>
    <w:multiLevelType w:val="hybridMultilevel"/>
    <w:tmpl w:val="58729F30"/>
    <w:lvl w:ilvl="0" w:tplc="0AA490D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5" w15:restartNumberingAfterBreak="0">
    <w:nsid w:val="64BB2FC6"/>
    <w:multiLevelType w:val="hybridMultilevel"/>
    <w:tmpl w:val="03E4B96C"/>
    <w:lvl w:ilvl="0" w:tplc="B814614C">
      <w:start w:val="7"/>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6" w15:restartNumberingAfterBreak="0">
    <w:nsid w:val="718D7B23"/>
    <w:multiLevelType w:val="hybridMultilevel"/>
    <w:tmpl w:val="A568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2616CB"/>
    <w:multiLevelType w:val="hybridMultilevel"/>
    <w:tmpl w:val="11728488"/>
    <w:lvl w:ilvl="0" w:tplc="5802D0F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7DA0365C"/>
    <w:multiLevelType w:val="hybridMultilevel"/>
    <w:tmpl w:val="03D09186"/>
    <w:lvl w:ilvl="0" w:tplc="AC34D7F8">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6"/>
  </w:num>
  <w:num w:numId="5">
    <w:abstractNumId w:val="7"/>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D70"/>
    <w:rsid w:val="00002A48"/>
    <w:rsid w:val="00005737"/>
    <w:rsid w:val="00014291"/>
    <w:rsid w:val="00016929"/>
    <w:rsid w:val="00016E30"/>
    <w:rsid w:val="00017E04"/>
    <w:rsid w:val="000305B1"/>
    <w:rsid w:val="0004575D"/>
    <w:rsid w:val="000466C2"/>
    <w:rsid w:val="000502D1"/>
    <w:rsid w:val="000614E5"/>
    <w:rsid w:val="00066C5D"/>
    <w:rsid w:val="00067EAC"/>
    <w:rsid w:val="0007485B"/>
    <w:rsid w:val="00076856"/>
    <w:rsid w:val="00077915"/>
    <w:rsid w:val="00093619"/>
    <w:rsid w:val="00093A61"/>
    <w:rsid w:val="00094FFA"/>
    <w:rsid w:val="000A0AE8"/>
    <w:rsid w:val="000B2451"/>
    <w:rsid w:val="000B5143"/>
    <w:rsid w:val="000C1242"/>
    <w:rsid w:val="000D3201"/>
    <w:rsid w:val="000D3F79"/>
    <w:rsid w:val="000E08B9"/>
    <w:rsid w:val="000E2EB0"/>
    <w:rsid w:val="00104F58"/>
    <w:rsid w:val="001116D7"/>
    <w:rsid w:val="00114F59"/>
    <w:rsid w:val="001172A8"/>
    <w:rsid w:val="00121BED"/>
    <w:rsid w:val="001239DD"/>
    <w:rsid w:val="00124970"/>
    <w:rsid w:val="00124ED8"/>
    <w:rsid w:val="00126370"/>
    <w:rsid w:val="00127549"/>
    <w:rsid w:val="00130460"/>
    <w:rsid w:val="00143F0D"/>
    <w:rsid w:val="0014603A"/>
    <w:rsid w:val="001550A7"/>
    <w:rsid w:val="00160123"/>
    <w:rsid w:val="00161743"/>
    <w:rsid w:val="0016621D"/>
    <w:rsid w:val="00166ECD"/>
    <w:rsid w:val="0018444C"/>
    <w:rsid w:val="00187D68"/>
    <w:rsid w:val="00190909"/>
    <w:rsid w:val="00194F7F"/>
    <w:rsid w:val="001A2237"/>
    <w:rsid w:val="001A6127"/>
    <w:rsid w:val="001B0294"/>
    <w:rsid w:val="001C1743"/>
    <w:rsid w:val="001C209A"/>
    <w:rsid w:val="001C502E"/>
    <w:rsid w:val="001C5614"/>
    <w:rsid w:val="001D57CD"/>
    <w:rsid w:val="001D5EBA"/>
    <w:rsid w:val="001E2931"/>
    <w:rsid w:val="001E6D0C"/>
    <w:rsid w:val="001F28E6"/>
    <w:rsid w:val="001F51F4"/>
    <w:rsid w:val="00203B3D"/>
    <w:rsid w:val="00210F11"/>
    <w:rsid w:val="00212EBE"/>
    <w:rsid w:val="00236391"/>
    <w:rsid w:val="00243044"/>
    <w:rsid w:val="00246FA7"/>
    <w:rsid w:val="00250C32"/>
    <w:rsid w:val="0025222B"/>
    <w:rsid w:val="00263AC9"/>
    <w:rsid w:val="00275B82"/>
    <w:rsid w:val="00276225"/>
    <w:rsid w:val="00283C91"/>
    <w:rsid w:val="002878D8"/>
    <w:rsid w:val="00295684"/>
    <w:rsid w:val="002A325D"/>
    <w:rsid w:val="002A5EE7"/>
    <w:rsid w:val="002C31A2"/>
    <w:rsid w:val="002D0B04"/>
    <w:rsid w:val="002D460E"/>
    <w:rsid w:val="002D6616"/>
    <w:rsid w:val="002D6644"/>
    <w:rsid w:val="002E2978"/>
    <w:rsid w:val="002E5259"/>
    <w:rsid w:val="002E77B6"/>
    <w:rsid w:val="002F02D1"/>
    <w:rsid w:val="002F761B"/>
    <w:rsid w:val="00302325"/>
    <w:rsid w:val="003121C6"/>
    <w:rsid w:val="0031394B"/>
    <w:rsid w:val="003140DF"/>
    <w:rsid w:val="00323D8C"/>
    <w:rsid w:val="00324805"/>
    <w:rsid w:val="00327BCD"/>
    <w:rsid w:val="00333620"/>
    <w:rsid w:val="00333F56"/>
    <w:rsid w:val="003370E3"/>
    <w:rsid w:val="003445F3"/>
    <w:rsid w:val="00347069"/>
    <w:rsid w:val="00347EEC"/>
    <w:rsid w:val="00350413"/>
    <w:rsid w:val="003514AB"/>
    <w:rsid w:val="00354B0B"/>
    <w:rsid w:val="00354C47"/>
    <w:rsid w:val="00357E66"/>
    <w:rsid w:val="003605C6"/>
    <w:rsid w:val="00366DB8"/>
    <w:rsid w:val="00367A32"/>
    <w:rsid w:val="00372386"/>
    <w:rsid w:val="00376023"/>
    <w:rsid w:val="00376976"/>
    <w:rsid w:val="003814C4"/>
    <w:rsid w:val="0038232A"/>
    <w:rsid w:val="00392984"/>
    <w:rsid w:val="003938F8"/>
    <w:rsid w:val="00395D70"/>
    <w:rsid w:val="003A1107"/>
    <w:rsid w:val="003A3B39"/>
    <w:rsid w:val="003B0942"/>
    <w:rsid w:val="003B4074"/>
    <w:rsid w:val="003B4DF1"/>
    <w:rsid w:val="003C3B6F"/>
    <w:rsid w:val="003C6E15"/>
    <w:rsid w:val="003D0E36"/>
    <w:rsid w:val="003D71F7"/>
    <w:rsid w:val="003E0432"/>
    <w:rsid w:val="003E107B"/>
    <w:rsid w:val="003F360E"/>
    <w:rsid w:val="00403AF2"/>
    <w:rsid w:val="00406562"/>
    <w:rsid w:val="00406709"/>
    <w:rsid w:val="00406809"/>
    <w:rsid w:val="00407252"/>
    <w:rsid w:val="00421E16"/>
    <w:rsid w:val="00423781"/>
    <w:rsid w:val="0042406A"/>
    <w:rsid w:val="00425894"/>
    <w:rsid w:val="004266FD"/>
    <w:rsid w:val="004307F0"/>
    <w:rsid w:val="004356C6"/>
    <w:rsid w:val="004361EA"/>
    <w:rsid w:val="00436F08"/>
    <w:rsid w:val="00437FD7"/>
    <w:rsid w:val="00441DC9"/>
    <w:rsid w:val="004421CE"/>
    <w:rsid w:val="00452814"/>
    <w:rsid w:val="00454C06"/>
    <w:rsid w:val="00457687"/>
    <w:rsid w:val="004576AA"/>
    <w:rsid w:val="004655E8"/>
    <w:rsid w:val="004735EC"/>
    <w:rsid w:val="00482B8E"/>
    <w:rsid w:val="004839AA"/>
    <w:rsid w:val="00484A86"/>
    <w:rsid w:val="00492029"/>
    <w:rsid w:val="004A0A80"/>
    <w:rsid w:val="004A2970"/>
    <w:rsid w:val="004C5B3B"/>
    <w:rsid w:val="004C7155"/>
    <w:rsid w:val="004D0449"/>
    <w:rsid w:val="004D55DA"/>
    <w:rsid w:val="004E7032"/>
    <w:rsid w:val="004F5A85"/>
    <w:rsid w:val="00500F8B"/>
    <w:rsid w:val="00503622"/>
    <w:rsid w:val="00515681"/>
    <w:rsid w:val="00517461"/>
    <w:rsid w:val="005273A2"/>
    <w:rsid w:val="005317F2"/>
    <w:rsid w:val="00531AD1"/>
    <w:rsid w:val="005332F6"/>
    <w:rsid w:val="00536575"/>
    <w:rsid w:val="0054053A"/>
    <w:rsid w:val="0054075A"/>
    <w:rsid w:val="005417D3"/>
    <w:rsid w:val="00543038"/>
    <w:rsid w:val="005504CF"/>
    <w:rsid w:val="0055658B"/>
    <w:rsid w:val="0056099E"/>
    <w:rsid w:val="00562B0B"/>
    <w:rsid w:val="005676E1"/>
    <w:rsid w:val="00572E97"/>
    <w:rsid w:val="00581AE6"/>
    <w:rsid w:val="00590949"/>
    <w:rsid w:val="00591171"/>
    <w:rsid w:val="00594895"/>
    <w:rsid w:val="005A5253"/>
    <w:rsid w:val="005B0C33"/>
    <w:rsid w:val="005B5BFC"/>
    <w:rsid w:val="005B6B00"/>
    <w:rsid w:val="005C1FAF"/>
    <w:rsid w:val="005C274D"/>
    <w:rsid w:val="005C5CA6"/>
    <w:rsid w:val="005C635F"/>
    <w:rsid w:val="005C76FF"/>
    <w:rsid w:val="005D175A"/>
    <w:rsid w:val="005D225E"/>
    <w:rsid w:val="005E1AD6"/>
    <w:rsid w:val="005E23D5"/>
    <w:rsid w:val="006031D8"/>
    <w:rsid w:val="0061268B"/>
    <w:rsid w:val="00612A07"/>
    <w:rsid w:val="00613B3E"/>
    <w:rsid w:val="00617A39"/>
    <w:rsid w:val="00621D95"/>
    <w:rsid w:val="00621DB2"/>
    <w:rsid w:val="00624732"/>
    <w:rsid w:val="00632487"/>
    <w:rsid w:val="0063248B"/>
    <w:rsid w:val="00641FBE"/>
    <w:rsid w:val="00644EC6"/>
    <w:rsid w:val="0064598C"/>
    <w:rsid w:val="00650B9A"/>
    <w:rsid w:val="00653813"/>
    <w:rsid w:val="006540CC"/>
    <w:rsid w:val="0065491B"/>
    <w:rsid w:val="00655D2E"/>
    <w:rsid w:val="00660075"/>
    <w:rsid w:val="00663562"/>
    <w:rsid w:val="006750EE"/>
    <w:rsid w:val="00677C0C"/>
    <w:rsid w:val="00681BC1"/>
    <w:rsid w:val="00683C36"/>
    <w:rsid w:val="00684279"/>
    <w:rsid w:val="006918C1"/>
    <w:rsid w:val="00694066"/>
    <w:rsid w:val="00696506"/>
    <w:rsid w:val="006A29C7"/>
    <w:rsid w:val="006A2E45"/>
    <w:rsid w:val="006A36A4"/>
    <w:rsid w:val="006B03B7"/>
    <w:rsid w:val="006B39E9"/>
    <w:rsid w:val="006C17E0"/>
    <w:rsid w:val="006C7850"/>
    <w:rsid w:val="006D10C5"/>
    <w:rsid w:val="006D738F"/>
    <w:rsid w:val="006E30C1"/>
    <w:rsid w:val="006E33B5"/>
    <w:rsid w:val="006E35F9"/>
    <w:rsid w:val="006E4E37"/>
    <w:rsid w:val="006F331D"/>
    <w:rsid w:val="007012E2"/>
    <w:rsid w:val="00701620"/>
    <w:rsid w:val="00706A01"/>
    <w:rsid w:val="0071317E"/>
    <w:rsid w:val="00730C23"/>
    <w:rsid w:val="00730F15"/>
    <w:rsid w:val="007342CE"/>
    <w:rsid w:val="00740582"/>
    <w:rsid w:val="007414E1"/>
    <w:rsid w:val="00741B11"/>
    <w:rsid w:val="0074580C"/>
    <w:rsid w:val="00760F71"/>
    <w:rsid w:val="007617BD"/>
    <w:rsid w:val="00770D80"/>
    <w:rsid w:val="00772339"/>
    <w:rsid w:val="0078710E"/>
    <w:rsid w:val="00787F4C"/>
    <w:rsid w:val="007917B0"/>
    <w:rsid w:val="007A1A5F"/>
    <w:rsid w:val="007A34C9"/>
    <w:rsid w:val="007A6C5D"/>
    <w:rsid w:val="007A7425"/>
    <w:rsid w:val="007A7500"/>
    <w:rsid w:val="007A7980"/>
    <w:rsid w:val="007B04FD"/>
    <w:rsid w:val="007B71B6"/>
    <w:rsid w:val="007C1B58"/>
    <w:rsid w:val="007D41E1"/>
    <w:rsid w:val="007E1A57"/>
    <w:rsid w:val="007E616F"/>
    <w:rsid w:val="007F0611"/>
    <w:rsid w:val="007F2CA6"/>
    <w:rsid w:val="007F423C"/>
    <w:rsid w:val="007F71A7"/>
    <w:rsid w:val="00801CA2"/>
    <w:rsid w:val="00802BFE"/>
    <w:rsid w:val="008052DA"/>
    <w:rsid w:val="00807431"/>
    <w:rsid w:val="00810763"/>
    <w:rsid w:val="00817D8A"/>
    <w:rsid w:val="00823DBF"/>
    <w:rsid w:val="00826845"/>
    <w:rsid w:val="00836D7A"/>
    <w:rsid w:val="00841E41"/>
    <w:rsid w:val="0084331E"/>
    <w:rsid w:val="00843E13"/>
    <w:rsid w:val="00843F4B"/>
    <w:rsid w:val="0084597D"/>
    <w:rsid w:val="00850D4E"/>
    <w:rsid w:val="00857394"/>
    <w:rsid w:val="008600E4"/>
    <w:rsid w:val="0086296B"/>
    <w:rsid w:val="008676DF"/>
    <w:rsid w:val="00872CF4"/>
    <w:rsid w:val="00873E53"/>
    <w:rsid w:val="00877C88"/>
    <w:rsid w:val="0088365D"/>
    <w:rsid w:val="008907C3"/>
    <w:rsid w:val="008920C9"/>
    <w:rsid w:val="008924D8"/>
    <w:rsid w:val="00892705"/>
    <w:rsid w:val="008965FF"/>
    <w:rsid w:val="00897D7D"/>
    <w:rsid w:val="008A0D61"/>
    <w:rsid w:val="008A117A"/>
    <w:rsid w:val="008A4E71"/>
    <w:rsid w:val="008B3910"/>
    <w:rsid w:val="008B564A"/>
    <w:rsid w:val="008C0767"/>
    <w:rsid w:val="008C2D26"/>
    <w:rsid w:val="008C671A"/>
    <w:rsid w:val="008D2340"/>
    <w:rsid w:val="008E2532"/>
    <w:rsid w:val="008E34E9"/>
    <w:rsid w:val="008F0C79"/>
    <w:rsid w:val="008F3DE8"/>
    <w:rsid w:val="008F4908"/>
    <w:rsid w:val="009055ED"/>
    <w:rsid w:val="00912CE3"/>
    <w:rsid w:val="009249B9"/>
    <w:rsid w:val="009269B2"/>
    <w:rsid w:val="00930D0F"/>
    <w:rsid w:val="00932779"/>
    <w:rsid w:val="009345ED"/>
    <w:rsid w:val="00934ED3"/>
    <w:rsid w:val="00941183"/>
    <w:rsid w:val="00943EFE"/>
    <w:rsid w:val="00946CAD"/>
    <w:rsid w:val="00970925"/>
    <w:rsid w:val="00987141"/>
    <w:rsid w:val="00991A2A"/>
    <w:rsid w:val="009937AE"/>
    <w:rsid w:val="0099487F"/>
    <w:rsid w:val="009A2328"/>
    <w:rsid w:val="009A374A"/>
    <w:rsid w:val="009B01E1"/>
    <w:rsid w:val="009B5ABC"/>
    <w:rsid w:val="009C2CE3"/>
    <w:rsid w:val="009C49EC"/>
    <w:rsid w:val="009D5B6B"/>
    <w:rsid w:val="009D6B3B"/>
    <w:rsid w:val="009D71A3"/>
    <w:rsid w:val="009E5610"/>
    <w:rsid w:val="009F3027"/>
    <w:rsid w:val="009F5C01"/>
    <w:rsid w:val="00A06CAC"/>
    <w:rsid w:val="00A10C60"/>
    <w:rsid w:val="00A176D5"/>
    <w:rsid w:val="00A2557F"/>
    <w:rsid w:val="00A27711"/>
    <w:rsid w:val="00A30E4A"/>
    <w:rsid w:val="00A329EF"/>
    <w:rsid w:val="00A339CF"/>
    <w:rsid w:val="00A362B4"/>
    <w:rsid w:val="00A41ECF"/>
    <w:rsid w:val="00A43D36"/>
    <w:rsid w:val="00A60E0E"/>
    <w:rsid w:val="00A61B62"/>
    <w:rsid w:val="00A72CBB"/>
    <w:rsid w:val="00A85159"/>
    <w:rsid w:val="00A87E8E"/>
    <w:rsid w:val="00A91D66"/>
    <w:rsid w:val="00AA4754"/>
    <w:rsid w:val="00AA4992"/>
    <w:rsid w:val="00AA71D5"/>
    <w:rsid w:val="00AB0EB8"/>
    <w:rsid w:val="00AB478D"/>
    <w:rsid w:val="00AC5B03"/>
    <w:rsid w:val="00AC5D5C"/>
    <w:rsid w:val="00AF535D"/>
    <w:rsid w:val="00B02AD8"/>
    <w:rsid w:val="00B02B42"/>
    <w:rsid w:val="00B03A12"/>
    <w:rsid w:val="00B06509"/>
    <w:rsid w:val="00B06C58"/>
    <w:rsid w:val="00B158CF"/>
    <w:rsid w:val="00B23E71"/>
    <w:rsid w:val="00B269CD"/>
    <w:rsid w:val="00B3068E"/>
    <w:rsid w:val="00B3103B"/>
    <w:rsid w:val="00B37BBE"/>
    <w:rsid w:val="00B46F7B"/>
    <w:rsid w:val="00B476CC"/>
    <w:rsid w:val="00B52957"/>
    <w:rsid w:val="00B552D1"/>
    <w:rsid w:val="00B5736D"/>
    <w:rsid w:val="00B57F69"/>
    <w:rsid w:val="00B6764F"/>
    <w:rsid w:val="00B76579"/>
    <w:rsid w:val="00B81305"/>
    <w:rsid w:val="00B9723D"/>
    <w:rsid w:val="00BA3A63"/>
    <w:rsid w:val="00BA589A"/>
    <w:rsid w:val="00BA78B9"/>
    <w:rsid w:val="00BC46DE"/>
    <w:rsid w:val="00BC6BBA"/>
    <w:rsid w:val="00BD570C"/>
    <w:rsid w:val="00BE50DA"/>
    <w:rsid w:val="00BF0276"/>
    <w:rsid w:val="00BF78A3"/>
    <w:rsid w:val="00C00CE9"/>
    <w:rsid w:val="00C042B1"/>
    <w:rsid w:val="00C178D0"/>
    <w:rsid w:val="00C2256F"/>
    <w:rsid w:val="00C23F8F"/>
    <w:rsid w:val="00C24EB5"/>
    <w:rsid w:val="00C25A28"/>
    <w:rsid w:val="00C26787"/>
    <w:rsid w:val="00C3065F"/>
    <w:rsid w:val="00C34F28"/>
    <w:rsid w:val="00C3506B"/>
    <w:rsid w:val="00C36FE1"/>
    <w:rsid w:val="00C40F50"/>
    <w:rsid w:val="00C5022D"/>
    <w:rsid w:val="00C52A97"/>
    <w:rsid w:val="00C62AC4"/>
    <w:rsid w:val="00C63A99"/>
    <w:rsid w:val="00C64770"/>
    <w:rsid w:val="00C67CCF"/>
    <w:rsid w:val="00C701EA"/>
    <w:rsid w:val="00C76EFC"/>
    <w:rsid w:val="00C773B3"/>
    <w:rsid w:val="00C80C62"/>
    <w:rsid w:val="00C81F0F"/>
    <w:rsid w:val="00C82902"/>
    <w:rsid w:val="00C839A9"/>
    <w:rsid w:val="00C870AA"/>
    <w:rsid w:val="00C96635"/>
    <w:rsid w:val="00C97616"/>
    <w:rsid w:val="00CA4BB8"/>
    <w:rsid w:val="00CA68B3"/>
    <w:rsid w:val="00CB474B"/>
    <w:rsid w:val="00CC493C"/>
    <w:rsid w:val="00CC598E"/>
    <w:rsid w:val="00CC59FC"/>
    <w:rsid w:val="00CC65CD"/>
    <w:rsid w:val="00CD51D2"/>
    <w:rsid w:val="00CE1CDD"/>
    <w:rsid w:val="00CE65D4"/>
    <w:rsid w:val="00CE7A79"/>
    <w:rsid w:val="00CF4492"/>
    <w:rsid w:val="00D038A8"/>
    <w:rsid w:val="00D0407A"/>
    <w:rsid w:val="00D043CC"/>
    <w:rsid w:val="00D14E29"/>
    <w:rsid w:val="00D25B51"/>
    <w:rsid w:val="00D33F84"/>
    <w:rsid w:val="00D3751C"/>
    <w:rsid w:val="00D424D1"/>
    <w:rsid w:val="00D463F8"/>
    <w:rsid w:val="00D54F0D"/>
    <w:rsid w:val="00D56394"/>
    <w:rsid w:val="00D56CA9"/>
    <w:rsid w:val="00D56FEA"/>
    <w:rsid w:val="00D61443"/>
    <w:rsid w:val="00D621C1"/>
    <w:rsid w:val="00D776C6"/>
    <w:rsid w:val="00D77FC6"/>
    <w:rsid w:val="00D85592"/>
    <w:rsid w:val="00D866ED"/>
    <w:rsid w:val="00D907F6"/>
    <w:rsid w:val="00D93E87"/>
    <w:rsid w:val="00D94C50"/>
    <w:rsid w:val="00DA4139"/>
    <w:rsid w:val="00DA5C83"/>
    <w:rsid w:val="00DC192C"/>
    <w:rsid w:val="00DD0AB5"/>
    <w:rsid w:val="00DD1273"/>
    <w:rsid w:val="00DD20B4"/>
    <w:rsid w:val="00DE121E"/>
    <w:rsid w:val="00DE76BB"/>
    <w:rsid w:val="00E03DAD"/>
    <w:rsid w:val="00E042D4"/>
    <w:rsid w:val="00E1087D"/>
    <w:rsid w:val="00E305A3"/>
    <w:rsid w:val="00E3258A"/>
    <w:rsid w:val="00E33F37"/>
    <w:rsid w:val="00E37EA3"/>
    <w:rsid w:val="00E40792"/>
    <w:rsid w:val="00E448BF"/>
    <w:rsid w:val="00E52DD0"/>
    <w:rsid w:val="00E6497E"/>
    <w:rsid w:val="00E65CA7"/>
    <w:rsid w:val="00E67A70"/>
    <w:rsid w:val="00E701BC"/>
    <w:rsid w:val="00E74B20"/>
    <w:rsid w:val="00E878FC"/>
    <w:rsid w:val="00E9221F"/>
    <w:rsid w:val="00E927A6"/>
    <w:rsid w:val="00EA1D70"/>
    <w:rsid w:val="00EA2FB0"/>
    <w:rsid w:val="00EA3CE9"/>
    <w:rsid w:val="00EB1022"/>
    <w:rsid w:val="00EB2AB7"/>
    <w:rsid w:val="00EC6A3B"/>
    <w:rsid w:val="00ED1987"/>
    <w:rsid w:val="00ED1A90"/>
    <w:rsid w:val="00ED576F"/>
    <w:rsid w:val="00ED6F4E"/>
    <w:rsid w:val="00EE4F43"/>
    <w:rsid w:val="00EF5815"/>
    <w:rsid w:val="00F0557B"/>
    <w:rsid w:val="00F14FC5"/>
    <w:rsid w:val="00F17BE5"/>
    <w:rsid w:val="00F217C5"/>
    <w:rsid w:val="00F23C43"/>
    <w:rsid w:val="00F2605B"/>
    <w:rsid w:val="00F26C5D"/>
    <w:rsid w:val="00F32332"/>
    <w:rsid w:val="00F35D37"/>
    <w:rsid w:val="00F41E74"/>
    <w:rsid w:val="00F433E4"/>
    <w:rsid w:val="00F454A2"/>
    <w:rsid w:val="00F5404C"/>
    <w:rsid w:val="00F56652"/>
    <w:rsid w:val="00F573B0"/>
    <w:rsid w:val="00F6266E"/>
    <w:rsid w:val="00F74B4E"/>
    <w:rsid w:val="00F74CC8"/>
    <w:rsid w:val="00F863B6"/>
    <w:rsid w:val="00F9199C"/>
    <w:rsid w:val="00F92BBC"/>
    <w:rsid w:val="00F95623"/>
    <w:rsid w:val="00F96CE5"/>
    <w:rsid w:val="00F96EF0"/>
    <w:rsid w:val="00FA0F55"/>
    <w:rsid w:val="00FA1547"/>
    <w:rsid w:val="00FA16BE"/>
    <w:rsid w:val="00FA18C6"/>
    <w:rsid w:val="00FA427D"/>
    <w:rsid w:val="00FA46BE"/>
    <w:rsid w:val="00FA4BC3"/>
    <w:rsid w:val="00FA5FFA"/>
    <w:rsid w:val="00FA67CD"/>
    <w:rsid w:val="00FC1161"/>
    <w:rsid w:val="00FC7294"/>
    <w:rsid w:val="00FD6E32"/>
    <w:rsid w:val="00FE0A60"/>
    <w:rsid w:val="00FE4890"/>
    <w:rsid w:val="00FF5F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EFD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regpar"/>
    <w:qFormat/>
    <w:pPr>
      <w:spacing w:line="300" w:lineRule="exact"/>
      <w:jc w:val="both"/>
    </w:pPr>
    <w:rPr>
      <w:rFonts w:ascii="Times" w:hAnsi="Times" w:cs="Times"/>
      <w:sz w:val="24"/>
      <w:szCs w:val="24"/>
    </w:rPr>
  </w:style>
  <w:style w:type="paragraph" w:styleId="3">
    <w:name w:val="heading 3"/>
    <w:basedOn w:val="a"/>
    <w:link w:val="30"/>
    <w:uiPriority w:val="9"/>
    <w:qFormat/>
    <w:rsid w:val="0099487F"/>
    <w:pPr>
      <w:spacing w:before="100" w:beforeAutospacing="1" w:after="100" w:afterAutospacing="1" w:line="240" w:lineRule="auto"/>
      <w:jc w:val="left"/>
      <w:outlineLvl w:val="2"/>
    </w:pPr>
    <w:rPr>
      <w:rFonts w:ascii="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gpar">
    <w:name w:val="regpar"/>
    <w:basedOn w:val="a"/>
    <w:pPr>
      <w:ind w:firstLine="240"/>
    </w:pPr>
  </w:style>
  <w:style w:type="paragraph" w:styleId="a3">
    <w:name w:val="footer"/>
    <w:basedOn w:val="a"/>
    <w:link w:val="a4"/>
    <w:uiPriority w:val="99"/>
    <w:pPr>
      <w:tabs>
        <w:tab w:val="center" w:pos="4320"/>
        <w:tab w:val="right" w:pos="8640"/>
      </w:tabs>
    </w:pPr>
  </w:style>
  <w:style w:type="paragraph" w:styleId="a5">
    <w:name w:val="header"/>
    <w:basedOn w:val="a"/>
    <w:pPr>
      <w:tabs>
        <w:tab w:val="center" w:pos="4200"/>
        <w:tab w:val="right" w:pos="8400"/>
      </w:tabs>
    </w:pPr>
  </w:style>
  <w:style w:type="character" w:styleId="a6">
    <w:name w:val="footnote reference"/>
    <w:uiPriority w:val="99"/>
    <w:semiHidden/>
    <w:rPr>
      <w:position w:val="6"/>
      <w:sz w:val="14"/>
      <w:szCs w:val="14"/>
    </w:rPr>
  </w:style>
  <w:style w:type="paragraph" w:styleId="a7">
    <w:name w:val="footnote text"/>
    <w:basedOn w:val="regpar"/>
    <w:link w:val="a8"/>
    <w:uiPriority w:val="99"/>
    <w:semiHidden/>
    <w:pPr>
      <w:spacing w:line="240" w:lineRule="exact"/>
    </w:pPr>
    <w:rPr>
      <w:sz w:val="20"/>
      <w:szCs w:val="20"/>
    </w:rPr>
  </w:style>
  <w:style w:type="character" w:styleId="a9">
    <w:name w:val="page number"/>
    <w:basedOn w:val="a0"/>
  </w:style>
  <w:style w:type="paragraph" w:customStyle="1" w:styleId="ER-text86">
    <w:name w:val="*ER-text 86%"/>
    <w:basedOn w:val="a"/>
  </w:style>
  <w:style w:type="paragraph" w:customStyle="1" w:styleId="abstract">
    <w:name w:val="abstract"/>
    <w:basedOn w:val="a"/>
    <w:next w:val="a"/>
    <w:pPr>
      <w:spacing w:line="260" w:lineRule="exact"/>
      <w:ind w:left="480" w:right="480"/>
    </w:pPr>
    <w:rPr>
      <w:sz w:val="22"/>
      <w:szCs w:val="22"/>
    </w:rPr>
  </w:style>
  <w:style w:type="paragraph" w:customStyle="1" w:styleId="author">
    <w:name w:val="author"/>
    <w:basedOn w:val="a"/>
    <w:next w:val="abstract"/>
    <w:pPr>
      <w:jc w:val="center"/>
    </w:pPr>
    <w:rPr>
      <w:smallCaps/>
    </w:rPr>
  </w:style>
  <w:style w:type="paragraph" w:customStyle="1" w:styleId="1">
    <w:name w:val="כותרת טקסט1"/>
    <w:basedOn w:val="a"/>
    <w:next w:val="author"/>
    <w:pPr>
      <w:jc w:val="center"/>
    </w:pPr>
    <w:rPr>
      <w:caps/>
      <w:sz w:val="28"/>
      <w:szCs w:val="28"/>
    </w:rPr>
  </w:style>
  <w:style w:type="paragraph" w:customStyle="1" w:styleId="Ahead">
    <w:name w:val="A head"/>
    <w:basedOn w:val="a"/>
    <w:next w:val="a"/>
    <w:pPr>
      <w:jc w:val="left"/>
    </w:pPr>
    <w:rPr>
      <w:caps/>
      <w:sz w:val="22"/>
      <w:szCs w:val="22"/>
    </w:rPr>
  </w:style>
  <w:style w:type="paragraph" w:customStyle="1" w:styleId="Bhead">
    <w:name w:val="B head"/>
    <w:basedOn w:val="a"/>
    <w:next w:val="a"/>
    <w:rPr>
      <w:b/>
      <w:bCs/>
    </w:rPr>
  </w:style>
  <w:style w:type="paragraph" w:customStyle="1" w:styleId="rule">
    <w:name w:val="rule"/>
    <w:basedOn w:val="a"/>
    <w:pPr>
      <w:spacing w:line="120" w:lineRule="exact"/>
      <w:jc w:val="left"/>
    </w:pPr>
    <w:rPr>
      <w:spacing w:val="-20"/>
      <w:sz w:val="12"/>
      <w:szCs w:val="12"/>
    </w:rPr>
  </w:style>
  <w:style w:type="paragraph" w:customStyle="1" w:styleId="noteseparator">
    <w:name w:val="note separator"/>
    <w:basedOn w:val="a"/>
    <w:next w:val="a7"/>
    <w:pPr>
      <w:spacing w:line="160" w:lineRule="exact"/>
    </w:pPr>
  </w:style>
  <w:style w:type="paragraph" w:customStyle="1" w:styleId="runninghead">
    <w:name w:val="running head"/>
    <w:basedOn w:val="a5"/>
    <w:rPr>
      <w:smallCaps/>
    </w:rPr>
  </w:style>
  <w:style w:type="paragraph" w:customStyle="1" w:styleId="eq">
    <w:name w:val="eq"/>
    <w:basedOn w:val="a"/>
    <w:pPr>
      <w:tabs>
        <w:tab w:val="center" w:pos="4320"/>
        <w:tab w:val="right" w:pos="8400"/>
      </w:tabs>
      <w:spacing w:line="300" w:lineRule="atLeast"/>
    </w:pPr>
  </w:style>
  <w:style w:type="paragraph" w:customStyle="1" w:styleId="Chead">
    <w:name w:val="C head"/>
    <w:basedOn w:val="a"/>
    <w:next w:val="a"/>
    <w:rPr>
      <w:i/>
      <w:iCs/>
    </w:rPr>
  </w:style>
  <w:style w:type="paragraph" w:customStyle="1" w:styleId="ARtext">
    <w:name w:val="*AR text"/>
    <w:basedOn w:val="a"/>
  </w:style>
  <w:style w:type="paragraph" w:customStyle="1" w:styleId="quotes">
    <w:name w:val="quotes"/>
    <w:basedOn w:val="a"/>
    <w:next w:val="a"/>
    <w:pPr>
      <w:spacing w:line="260" w:lineRule="exact"/>
      <w:ind w:left="480" w:right="480"/>
    </w:pPr>
    <w:rPr>
      <w:sz w:val="22"/>
      <w:szCs w:val="22"/>
    </w:rPr>
  </w:style>
  <w:style w:type="paragraph" w:customStyle="1" w:styleId="chapter">
    <w:name w:val="chapter"/>
    <w:basedOn w:val="a"/>
    <w:next w:val="1"/>
    <w:pPr>
      <w:spacing w:line="560" w:lineRule="atLeast"/>
    </w:pPr>
    <w:rPr>
      <w:i/>
      <w:iCs/>
      <w:sz w:val="36"/>
      <w:szCs w:val="36"/>
    </w:rPr>
  </w:style>
  <w:style w:type="paragraph" w:styleId="aa">
    <w:name w:val="Body Text Indent"/>
    <w:basedOn w:val="a"/>
    <w:pPr>
      <w:widowControl w:val="0"/>
      <w:ind w:left="284" w:hanging="284"/>
    </w:pPr>
  </w:style>
  <w:style w:type="character" w:styleId="Hyperlink">
    <w:name w:val="Hyperlink"/>
    <w:rPr>
      <w:color w:val="0000FF"/>
      <w:u w:val="single"/>
    </w:rPr>
  </w:style>
  <w:style w:type="paragraph" w:styleId="ab">
    <w:name w:val="Date"/>
    <w:basedOn w:val="a"/>
    <w:next w:val="a"/>
    <w:rsid w:val="00E03DAD"/>
  </w:style>
  <w:style w:type="table" w:styleId="ac">
    <w:name w:val="Table Grid"/>
    <w:basedOn w:val="a1"/>
    <w:rsid w:val="00E03DAD"/>
    <w:pPr>
      <w:spacing w:line="3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E7A79"/>
    <w:rPr>
      <w:color w:val="800080"/>
      <w:u w:val="single"/>
    </w:rPr>
  </w:style>
  <w:style w:type="paragraph" w:styleId="ad">
    <w:name w:val="Balloon Text"/>
    <w:basedOn w:val="a"/>
    <w:link w:val="ae"/>
    <w:uiPriority w:val="99"/>
    <w:semiHidden/>
    <w:unhideWhenUsed/>
    <w:rsid w:val="00EC6A3B"/>
    <w:pPr>
      <w:spacing w:line="240" w:lineRule="auto"/>
    </w:pPr>
    <w:rPr>
      <w:rFonts w:ascii="Tahoma" w:hAnsi="Tahoma" w:cs="Tahoma"/>
      <w:sz w:val="16"/>
      <w:szCs w:val="16"/>
    </w:rPr>
  </w:style>
  <w:style w:type="character" w:customStyle="1" w:styleId="ae">
    <w:name w:val="טקסט בלונים תו"/>
    <w:link w:val="ad"/>
    <w:uiPriority w:val="99"/>
    <w:semiHidden/>
    <w:rsid w:val="00EC6A3B"/>
    <w:rPr>
      <w:rFonts w:ascii="Tahoma" w:hAnsi="Tahoma" w:cs="Tahoma"/>
      <w:sz w:val="16"/>
      <w:szCs w:val="16"/>
    </w:rPr>
  </w:style>
  <w:style w:type="paragraph" w:styleId="af">
    <w:name w:val="Revision"/>
    <w:hidden/>
    <w:uiPriority w:val="99"/>
    <w:semiHidden/>
    <w:rsid w:val="00C81F0F"/>
    <w:rPr>
      <w:rFonts w:ascii="Times" w:hAnsi="Times" w:cs="Times"/>
      <w:sz w:val="24"/>
      <w:szCs w:val="24"/>
    </w:rPr>
  </w:style>
  <w:style w:type="paragraph" w:styleId="af0">
    <w:name w:val="Plain Text"/>
    <w:basedOn w:val="a"/>
    <w:link w:val="af1"/>
    <w:uiPriority w:val="99"/>
    <w:semiHidden/>
    <w:unhideWhenUsed/>
    <w:rsid w:val="00E52DD0"/>
    <w:pPr>
      <w:spacing w:line="240" w:lineRule="auto"/>
      <w:jc w:val="left"/>
    </w:pPr>
    <w:rPr>
      <w:rFonts w:ascii="Calibri" w:eastAsia="Calibri" w:hAnsi="Calibri" w:cs="Arial"/>
      <w:sz w:val="22"/>
      <w:szCs w:val="21"/>
    </w:rPr>
  </w:style>
  <w:style w:type="character" w:customStyle="1" w:styleId="af1">
    <w:name w:val="טקסט רגיל תו"/>
    <w:link w:val="af0"/>
    <w:uiPriority w:val="99"/>
    <w:semiHidden/>
    <w:rsid w:val="00E52DD0"/>
    <w:rPr>
      <w:rFonts w:ascii="Calibri" w:eastAsia="Calibri" w:hAnsi="Calibri" w:cs="Arial"/>
      <w:sz w:val="22"/>
      <w:szCs w:val="21"/>
    </w:rPr>
  </w:style>
  <w:style w:type="paragraph" w:styleId="af2">
    <w:name w:val="List Paragraph"/>
    <w:basedOn w:val="a"/>
    <w:uiPriority w:val="34"/>
    <w:qFormat/>
    <w:rsid w:val="00C96635"/>
    <w:pPr>
      <w:ind w:left="720"/>
      <w:contextualSpacing/>
    </w:pPr>
  </w:style>
  <w:style w:type="character" w:customStyle="1" w:styleId="a4">
    <w:name w:val="כותרת תחתונה תו"/>
    <w:basedOn w:val="a0"/>
    <w:link w:val="a3"/>
    <w:uiPriority w:val="99"/>
    <w:rsid w:val="008F0C79"/>
    <w:rPr>
      <w:rFonts w:ascii="Times" w:hAnsi="Times" w:cs="Times"/>
      <w:sz w:val="24"/>
      <w:szCs w:val="24"/>
    </w:rPr>
  </w:style>
  <w:style w:type="character" w:customStyle="1" w:styleId="a8">
    <w:name w:val="טקסט הערת שוליים תו"/>
    <w:basedOn w:val="a0"/>
    <w:link w:val="a7"/>
    <w:uiPriority w:val="99"/>
    <w:semiHidden/>
    <w:rsid w:val="00A27711"/>
    <w:rPr>
      <w:rFonts w:ascii="Times" w:hAnsi="Times" w:cs="Times"/>
    </w:rPr>
  </w:style>
  <w:style w:type="character" w:styleId="af3">
    <w:name w:val="annotation reference"/>
    <w:basedOn w:val="a0"/>
    <w:uiPriority w:val="99"/>
    <w:semiHidden/>
    <w:unhideWhenUsed/>
    <w:rsid w:val="008D2340"/>
    <w:rPr>
      <w:sz w:val="16"/>
      <w:szCs w:val="16"/>
    </w:rPr>
  </w:style>
  <w:style w:type="paragraph" w:styleId="af4">
    <w:name w:val="annotation text"/>
    <w:basedOn w:val="a"/>
    <w:link w:val="af5"/>
    <w:uiPriority w:val="99"/>
    <w:semiHidden/>
    <w:unhideWhenUsed/>
    <w:rsid w:val="008D2340"/>
    <w:pPr>
      <w:spacing w:line="240" w:lineRule="auto"/>
    </w:pPr>
    <w:rPr>
      <w:sz w:val="20"/>
      <w:szCs w:val="20"/>
    </w:rPr>
  </w:style>
  <w:style w:type="character" w:customStyle="1" w:styleId="af5">
    <w:name w:val="טקסט הערה תו"/>
    <w:basedOn w:val="a0"/>
    <w:link w:val="af4"/>
    <w:uiPriority w:val="99"/>
    <w:semiHidden/>
    <w:rsid w:val="008D2340"/>
    <w:rPr>
      <w:rFonts w:ascii="Times" w:hAnsi="Times" w:cs="Times"/>
    </w:rPr>
  </w:style>
  <w:style w:type="paragraph" w:styleId="af6">
    <w:name w:val="annotation subject"/>
    <w:basedOn w:val="af4"/>
    <w:next w:val="af4"/>
    <w:link w:val="af7"/>
    <w:uiPriority w:val="99"/>
    <w:semiHidden/>
    <w:unhideWhenUsed/>
    <w:rsid w:val="008D2340"/>
    <w:rPr>
      <w:b/>
      <w:bCs/>
    </w:rPr>
  </w:style>
  <w:style w:type="character" w:customStyle="1" w:styleId="af7">
    <w:name w:val="נושא הערה תו"/>
    <w:basedOn w:val="af5"/>
    <w:link w:val="af6"/>
    <w:uiPriority w:val="99"/>
    <w:semiHidden/>
    <w:rsid w:val="008D2340"/>
    <w:rPr>
      <w:rFonts w:ascii="Times" w:hAnsi="Times" w:cs="Times"/>
      <w:b/>
      <w:bCs/>
    </w:rPr>
  </w:style>
  <w:style w:type="character" w:customStyle="1" w:styleId="30">
    <w:name w:val="כותרת 3 תו"/>
    <w:basedOn w:val="a0"/>
    <w:link w:val="3"/>
    <w:uiPriority w:val="9"/>
    <w:rsid w:val="0099487F"/>
    <w:rPr>
      <w:rFonts w:ascii="Times New Roman" w:hAnsi="Times New Roman"/>
      <w:b/>
      <w:bCs/>
      <w:sz w:val="27"/>
      <w:szCs w:val="27"/>
    </w:rPr>
  </w:style>
  <w:style w:type="paragraph" w:styleId="NormalWeb">
    <w:name w:val="Normal (Web)"/>
    <w:basedOn w:val="a"/>
    <w:uiPriority w:val="99"/>
    <w:semiHidden/>
    <w:unhideWhenUsed/>
    <w:rsid w:val="0099487F"/>
    <w:pPr>
      <w:spacing w:before="100" w:beforeAutospacing="1" w:after="100" w:afterAutospacing="1" w:line="240" w:lineRule="auto"/>
      <w:jc w:val="left"/>
    </w:pPr>
    <w:rPr>
      <w:rFonts w:ascii="Times New Roman" w:hAnsi="Times New Roman" w:cs="Times New Roman"/>
    </w:rPr>
  </w:style>
  <w:style w:type="character" w:styleId="af8">
    <w:name w:val="Strong"/>
    <w:basedOn w:val="a0"/>
    <w:uiPriority w:val="22"/>
    <w:qFormat/>
    <w:rsid w:val="009948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12841">
      <w:bodyDiv w:val="1"/>
      <w:marLeft w:val="0"/>
      <w:marRight w:val="0"/>
      <w:marTop w:val="0"/>
      <w:marBottom w:val="0"/>
      <w:divBdr>
        <w:top w:val="none" w:sz="0" w:space="0" w:color="auto"/>
        <w:left w:val="none" w:sz="0" w:space="0" w:color="auto"/>
        <w:bottom w:val="none" w:sz="0" w:space="0" w:color="auto"/>
        <w:right w:val="none" w:sz="0" w:space="0" w:color="auto"/>
      </w:divBdr>
    </w:div>
    <w:div w:id="1213811366">
      <w:bodyDiv w:val="1"/>
      <w:marLeft w:val="0"/>
      <w:marRight w:val="0"/>
      <w:marTop w:val="0"/>
      <w:marBottom w:val="0"/>
      <w:divBdr>
        <w:top w:val="none" w:sz="0" w:space="0" w:color="auto"/>
        <w:left w:val="none" w:sz="0" w:space="0" w:color="auto"/>
        <w:bottom w:val="none" w:sz="0" w:space="0" w:color="auto"/>
        <w:right w:val="none" w:sz="0" w:space="0" w:color="auto"/>
      </w:divBdr>
    </w:div>
    <w:div w:id="122429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E9343D4987C6478DC1BE6EDC107D2A" ma:contentTypeVersion="2" ma:contentTypeDescription="Create a new document." ma:contentTypeScope="" ma:versionID="accf42b3bcc0c5f4f4cd3f70261d3e4a">
  <xsd:schema xmlns:xsd="http://www.w3.org/2001/XMLSchema" xmlns:xs="http://www.w3.org/2001/XMLSchema" xmlns:p="http://schemas.microsoft.com/office/2006/metadata/properties" xmlns:ns1="http://schemas.microsoft.com/sharepoint/v3" targetNamespace="http://schemas.microsoft.com/office/2006/metadata/properties" ma:root="true" ma:fieldsID="77402afa3d4ca2a94263dbb7393923a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70AE1-37F1-4A16-B90F-7D9393E12D42}">
  <ds:schemaRefs>
    <ds:schemaRef ds:uri="http://schemas.microsoft.com/sharepoint/v3/contenttype/forms"/>
  </ds:schemaRefs>
</ds:datastoreItem>
</file>

<file path=customXml/itemProps2.xml><?xml version="1.0" encoding="utf-8"?>
<ds:datastoreItem xmlns:ds="http://schemas.openxmlformats.org/officeDocument/2006/customXml" ds:itemID="{3FDC8C08-DE6D-4052-A05A-FF43BF313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CB3AD7-C05B-4FB1-A8D2-B75B3DAE7EF1}">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32723E02-6F7F-415D-9491-693CCBD02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1281</Words>
  <Characters>7176</Characters>
  <Application>Microsoft Office Word</Application>
  <DocSecurity>0</DocSecurity>
  <Lines>59</Lines>
  <Paragraphs>16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LinksUpToDate>false</LinksUpToDate>
  <CharactersWithSpaces>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2026-06-28T09:34:00Z</dcterms:created>
  <dcterms:modified xsi:type="dcterms:W3CDTF">2026-06-28T09:36:00Z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0x010100BEE9343D4987C6478DC1BE6EDC107D2A</vt:lpwstr>
  </property>
</Properties>
</file>