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55" w:rsidRDefault="009A4855">
      <w:bookmarkStart w:id="0" w:name="_GoBack"/>
      <w:bookmarkEnd w:id="0"/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A53CC2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8554AE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8554AE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8554AE" w:rsidRDefault="000150C4" w:rsidP="00D73301">
            <w:pPr>
              <w:spacing w:line="360" w:lineRule="auto"/>
              <w:ind w:right="-101"/>
              <w:jc w:val="center"/>
            </w:pPr>
            <w:r w:rsidRPr="008554AE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8554AE" w:rsidRDefault="000150C4" w:rsidP="00D73301">
            <w:pPr>
              <w:jc w:val="center"/>
            </w:pPr>
            <w:r w:rsidRPr="008554AE">
              <w:rPr>
                <w:noProof/>
                <w:rtl/>
                <w:lang w:eastAsia="en-US"/>
              </w:rPr>
              <w:drawing>
                <wp:inline distT="0" distB="0" distL="0" distR="0" wp14:anchorId="7FD70BA6" wp14:editId="77E6E0DA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8554AE" w:rsidRDefault="000150C4" w:rsidP="000E248C">
            <w:pPr>
              <w:spacing w:line="480" w:lineRule="auto"/>
              <w:jc w:val="right"/>
              <w:rPr>
                <w:rFonts w:cs="David"/>
              </w:rPr>
            </w:pPr>
            <w:r w:rsidRPr="008554AE">
              <w:rPr>
                <w:rFonts w:cs="David" w:hint="eastAsia"/>
                <w:rtl/>
              </w:rPr>
              <w:t>‏</w:t>
            </w:r>
            <w:r w:rsidRPr="008554AE">
              <w:rPr>
                <w:rFonts w:cs="David"/>
                <w:rtl/>
              </w:rPr>
              <w:t>ירושלים,</w:t>
            </w:r>
            <w:r w:rsidR="000E248C">
              <w:rPr>
                <w:rFonts w:cs="David" w:hint="cs"/>
                <w:rtl/>
              </w:rPr>
              <w:t xml:space="preserve"> ב'</w:t>
            </w:r>
            <w:r w:rsidR="002768FD">
              <w:rPr>
                <w:rFonts w:cs="David" w:hint="cs"/>
                <w:rtl/>
              </w:rPr>
              <w:t xml:space="preserve"> </w:t>
            </w:r>
            <w:r w:rsidR="000E248C">
              <w:rPr>
                <w:rFonts w:cs="David" w:hint="cs"/>
                <w:rtl/>
              </w:rPr>
              <w:t>בתמוז</w:t>
            </w:r>
            <w:r w:rsidR="000E248C" w:rsidRPr="008554AE">
              <w:rPr>
                <w:rFonts w:cs="David" w:hint="cs"/>
                <w:rtl/>
              </w:rPr>
              <w:t xml:space="preserve"> </w:t>
            </w:r>
            <w:r w:rsidRPr="008554AE">
              <w:rPr>
                <w:rFonts w:cs="David"/>
                <w:rtl/>
              </w:rPr>
              <w:t>תש"</w:t>
            </w:r>
            <w:r w:rsidR="00FE3B8A">
              <w:rPr>
                <w:rFonts w:cs="David" w:hint="cs"/>
                <w:rtl/>
              </w:rPr>
              <w:t>פ</w:t>
            </w:r>
          </w:p>
          <w:p w:rsidR="000150C4" w:rsidRPr="008554AE" w:rsidRDefault="000150C4" w:rsidP="000E248C">
            <w:pPr>
              <w:spacing w:line="480" w:lineRule="auto"/>
              <w:jc w:val="right"/>
              <w:rPr>
                <w:rFonts w:cs="David"/>
              </w:rPr>
            </w:pPr>
            <w:r w:rsidRPr="008554AE">
              <w:rPr>
                <w:rFonts w:cs="David" w:hint="eastAsia"/>
                <w:rtl/>
              </w:rPr>
              <w:t>‏‏</w:t>
            </w:r>
            <w:r w:rsidR="000E248C">
              <w:rPr>
                <w:rFonts w:cs="David" w:hint="cs"/>
                <w:rtl/>
              </w:rPr>
              <w:t>24</w:t>
            </w:r>
            <w:r w:rsidR="000E248C" w:rsidRPr="008554AE">
              <w:rPr>
                <w:rFonts w:cs="David"/>
                <w:rtl/>
              </w:rPr>
              <w:t xml:space="preserve"> </w:t>
            </w:r>
            <w:r w:rsidR="002768FD">
              <w:rPr>
                <w:rFonts w:cs="David" w:hint="cs"/>
                <w:rtl/>
              </w:rPr>
              <w:t>ב</w:t>
            </w:r>
            <w:r w:rsidR="002317BB">
              <w:rPr>
                <w:rFonts w:cs="David" w:hint="cs"/>
                <w:rtl/>
              </w:rPr>
              <w:t>יוני</w:t>
            </w:r>
            <w:r w:rsidRPr="008554AE">
              <w:rPr>
                <w:rFonts w:cs="David"/>
                <w:rtl/>
              </w:rPr>
              <w:t xml:space="preserve"> 20</w:t>
            </w:r>
            <w:r w:rsidR="002768FD">
              <w:rPr>
                <w:rFonts w:cs="David" w:hint="cs"/>
                <w:rtl/>
              </w:rPr>
              <w:t>20</w:t>
            </w:r>
          </w:p>
        </w:tc>
      </w:tr>
    </w:tbl>
    <w:p w:rsidR="002D5576" w:rsidRPr="008554AE" w:rsidRDefault="00DB2C69" w:rsidP="002D468D">
      <w:pPr>
        <w:spacing w:before="240" w:line="360" w:lineRule="auto"/>
        <w:rPr>
          <w:rtl/>
        </w:rPr>
      </w:pPr>
      <w:r w:rsidRPr="008554AE">
        <w:rPr>
          <w:rFonts w:cs="David"/>
          <w:rtl/>
        </w:rPr>
        <w:t>הודעה לעיתונות</w:t>
      </w:r>
      <w:r w:rsidR="002D5576" w:rsidRPr="008554AE">
        <w:rPr>
          <w:rFonts w:cs="David" w:hint="cs"/>
          <w:rtl/>
        </w:rPr>
        <w:t>:</w:t>
      </w:r>
    </w:p>
    <w:p w:rsidR="000150C4" w:rsidRPr="00A53CC2" w:rsidRDefault="000150C4" w:rsidP="000150C4">
      <w:pPr>
        <w:pStyle w:val="ad"/>
        <w:rPr>
          <w:highlight w:val="yellow"/>
          <w:u w:val="none"/>
          <w:rtl/>
        </w:rPr>
      </w:pPr>
    </w:p>
    <w:p w:rsidR="00BB4BBF" w:rsidRPr="00F453D2" w:rsidRDefault="00673D6C" w:rsidP="002317BB">
      <w:pPr>
        <w:pStyle w:val="ad"/>
        <w:rPr>
          <w:u w:val="none"/>
          <w:rtl/>
        </w:rPr>
      </w:pPr>
      <w:r w:rsidRPr="00F453D2">
        <w:rPr>
          <w:u w:val="none"/>
          <w:rtl/>
        </w:rPr>
        <w:t xml:space="preserve">הנכסים וההתחייבויות של המשק </w:t>
      </w:r>
      <w:r w:rsidR="00807F97" w:rsidRPr="00F453D2">
        <w:rPr>
          <w:rFonts w:hint="cs"/>
          <w:u w:val="none"/>
          <w:rtl/>
        </w:rPr>
        <w:t xml:space="preserve">מול </w:t>
      </w:r>
      <w:r w:rsidRPr="00F453D2">
        <w:rPr>
          <w:u w:val="none"/>
          <w:rtl/>
        </w:rPr>
        <w:t>חו"ל</w:t>
      </w:r>
      <w:r w:rsidR="00922F75" w:rsidRPr="00F453D2">
        <w:rPr>
          <w:rFonts w:hint="cs"/>
          <w:u w:val="none"/>
          <w:rtl/>
        </w:rPr>
        <w:t>,</w:t>
      </w:r>
      <w:r w:rsidR="00D77467" w:rsidRPr="00F453D2">
        <w:rPr>
          <w:rFonts w:hint="cs"/>
          <w:u w:val="none"/>
          <w:rtl/>
        </w:rPr>
        <w:t xml:space="preserve"> </w:t>
      </w:r>
      <w:r w:rsidR="000150C4" w:rsidRPr="00F453D2">
        <w:rPr>
          <w:rFonts w:hint="cs"/>
          <w:u w:val="none"/>
          <w:rtl/>
        </w:rPr>
        <w:t xml:space="preserve">רביע </w:t>
      </w:r>
      <w:r w:rsidR="00FB7A17">
        <w:rPr>
          <w:rFonts w:hint="cs"/>
          <w:u w:val="none"/>
          <w:rtl/>
        </w:rPr>
        <w:t>ראשון</w:t>
      </w:r>
      <w:r w:rsidR="008B5EE0" w:rsidRPr="00F453D2">
        <w:rPr>
          <w:rFonts w:hint="cs"/>
          <w:u w:val="none"/>
          <w:rtl/>
        </w:rPr>
        <w:t xml:space="preserve"> </w:t>
      </w:r>
      <w:r w:rsidR="00492A66" w:rsidRPr="00F453D2">
        <w:rPr>
          <w:rFonts w:hint="cs"/>
          <w:u w:val="none"/>
          <w:rtl/>
        </w:rPr>
        <w:t>20</w:t>
      </w:r>
      <w:r w:rsidR="002317BB">
        <w:rPr>
          <w:rFonts w:hint="cs"/>
          <w:u w:val="none"/>
          <w:rtl/>
        </w:rPr>
        <w:t>20</w:t>
      </w:r>
    </w:p>
    <w:p w:rsidR="00DC15F9" w:rsidRPr="00A53CC2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  <w:highlight w:val="yellow"/>
        </w:rPr>
      </w:pPr>
    </w:p>
    <w:p w:rsidR="00B94C0B" w:rsidRDefault="00B94C0B" w:rsidP="00B94C0B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B46ECC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</w:t>
      </w:r>
      <w:r>
        <w:rPr>
          <w:rFonts w:ascii="Arial" w:hAnsi="Arial" w:cs="David" w:hint="cs"/>
          <w:b/>
          <w:bCs/>
          <w:rtl/>
        </w:rPr>
        <w:t>ירד</w:t>
      </w:r>
      <w:r w:rsidRPr="00B46ECC">
        <w:rPr>
          <w:rFonts w:ascii="Arial" w:hAnsi="Arial" w:cs="David" w:hint="cs"/>
          <w:b/>
          <w:bCs/>
          <w:rtl/>
        </w:rPr>
        <w:t xml:space="preserve"> במהלך הרביע ה</w:t>
      </w:r>
      <w:r>
        <w:rPr>
          <w:rFonts w:ascii="Arial" w:hAnsi="Arial" w:cs="David" w:hint="cs"/>
          <w:b/>
          <w:bCs/>
          <w:rtl/>
        </w:rPr>
        <w:t>ראשון</w:t>
      </w:r>
      <w:r w:rsidRPr="00B46ECC">
        <w:rPr>
          <w:rFonts w:ascii="Arial" w:hAnsi="Arial" w:cs="David" w:hint="cs"/>
          <w:b/>
          <w:bCs/>
          <w:rtl/>
        </w:rPr>
        <w:t xml:space="preserve"> ב</w:t>
      </w:r>
      <w:r>
        <w:rPr>
          <w:rFonts w:ascii="Arial" w:hAnsi="Arial" w:cs="David" w:hint="cs"/>
          <w:b/>
          <w:bCs/>
          <w:rtl/>
        </w:rPr>
        <w:t>כ</w:t>
      </w:r>
      <w:r w:rsidRPr="00B46ECC">
        <w:rPr>
          <w:rFonts w:ascii="Arial" w:hAnsi="Arial" w:cs="David" w:hint="cs"/>
          <w:b/>
          <w:bCs/>
          <w:rtl/>
        </w:rPr>
        <w:t>-</w:t>
      </w:r>
      <w:r>
        <w:rPr>
          <w:rFonts w:ascii="Arial" w:hAnsi="Arial" w:cs="David" w:hint="cs"/>
          <w:b/>
          <w:bCs/>
          <w:rtl/>
        </w:rPr>
        <w:t>9</w:t>
      </w:r>
      <w:r w:rsidRPr="00B46ECC">
        <w:rPr>
          <w:rFonts w:ascii="Arial" w:hAnsi="Arial" w:cs="David" w:hint="cs"/>
          <w:b/>
          <w:bCs/>
          <w:rtl/>
        </w:rPr>
        <w:t xml:space="preserve"> מיליארדי דולרים (</w:t>
      </w:r>
      <w:r>
        <w:rPr>
          <w:rFonts w:ascii="Arial" w:hAnsi="Arial" w:cs="David" w:hint="cs"/>
          <w:b/>
          <w:bCs/>
          <w:rtl/>
        </w:rPr>
        <w:t>5.7</w:t>
      </w:r>
      <w:r w:rsidRPr="00B46ECC">
        <w:rPr>
          <w:rFonts w:ascii="Arial" w:hAnsi="Arial" w:cs="David" w:hint="cs"/>
          <w:b/>
          <w:bCs/>
          <w:rtl/>
        </w:rPr>
        <w:t>%</w:t>
      </w:r>
      <w:r>
        <w:rPr>
          <w:rFonts w:ascii="Arial" w:hAnsi="Arial" w:cs="David" w:hint="cs"/>
          <w:b/>
          <w:bCs/>
          <w:rtl/>
        </w:rPr>
        <w:t>-</w:t>
      </w:r>
      <w:r w:rsidRPr="00B46ECC">
        <w:rPr>
          <w:rFonts w:ascii="Arial" w:hAnsi="Arial" w:cs="David" w:hint="cs"/>
          <w:b/>
          <w:bCs/>
          <w:rtl/>
        </w:rPr>
        <w:t xml:space="preserve">) ועמד בסוף </w:t>
      </w:r>
      <w:r>
        <w:rPr>
          <w:rFonts w:ascii="Arial" w:hAnsi="Arial" w:cs="David" w:hint="cs"/>
          <w:b/>
          <w:bCs/>
          <w:rtl/>
        </w:rPr>
        <w:t>מרץ</w:t>
      </w:r>
      <w:r w:rsidRPr="00B46ECC">
        <w:rPr>
          <w:rFonts w:ascii="Arial" w:hAnsi="Arial" w:cs="David" w:hint="cs"/>
          <w:b/>
          <w:bCs/>
          <w:rtl/>
        </w:rPr>
        <w:t xml:space="preserve"> על </w:t>
      </w:r>
      <w:r>
        <w:rPr>
          <w:rFonts w:ascii="Arial" w:hAnsi="Arial" w:cs="David" w:hint="cs"/>
          <w:b/>
          <w:bCs/>
          <w:rtl/>
        </w:rPr>
        <w:t xml:space="preserve">כ-153 </w:t>
      </w:r>
      <w:r w:rsidRPr="00B46ECC">
        <w:rPr>
          <w:rFonts w:ascii="Arial" w:hAnsi="Arial" w:cs="David" w:hint="cs"/>
          <w:b/>
          <w:bCs/>
          <w:rtl/>
        </w:rPr>
        <w:t>מיליארדי</w:t>
      </w:r>
      <w:r>
        <w:rPr>
          <w:rFonts w:ascii="Arial" w:hAnsi="Arial" w:cs="David" w:hint="cs"/>
          <w:b/>
          <w:bCs/>
          <w:rtl/>
        </w:rPr>
        <w:t>ם</w:t>
      </w:r>
      <w:r w:rsidRPr="00B46ECC">
        <w:rPr>
          <w:rFonts w:ascii="Arial" w:hAnsi="Arial" w:cs="David" w:hint="cs"/>
          <w:b/>
          <w:bCs/>
          <w:rtl/>
        </w:rPr>
        <w:t xml:space="preserve">. </w:t>
      </w:r>
    </w:p>
    <w:p w:rsidR="00316734" w:rsidRPr="00F453D2" w:rsidRDefault="002F5DFE" w:rsidP="00755D0D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F453D2">
        <w:rPr>
          <w:rFonts w:ascii="Arial" w:hAnsi="Arial" w:cs="David" w:hint="cs"/>
          <w:b/>
          <w:bCs/>
          <w:rtl/>
        </w:rPr>
        <w:t xml:space="preserve">יתרת הנכסים של תושבי ישראל בחו"ל </w:t>
      </w:r>
      <w:r w:rsidR="000839E6">
        <w:rPr>
          <w:rFonts w:ascii="Arial" w:hAnsi="Arial" w:cs="David" w:hint="cs"/>
          <w:b/>
          <w:bCs/>
          <w:rtl/>
        </w:rPr>
        <w:t>ירדה</w:t>
      </w:r>
      <w:r w:rsidRPr="00F453D2">
        <w:rPr>
          <w:rFonts w:ascii="Arial" w:hAnsi="Arial" w:cs="David" w:hint="cs"/>
          <w:b/>
          <w:bCs/>
          <w:rtl/>
        </w:rPr>
        <w:t xml:space="preserve"> ברביע </w:t>
      </w:r>
      <w:r w:rsidR="00A53CC2" w:rsidRPr="00F453D2">
        <w:rPr>
          <w:rFonts w:ascii="Arial" w:hAnsi="Arial" w:cs="David" w:hint="cs"/>
          <w:b/>
          <w:bCs/>
          <w:rtl/>
        </w:rPr>
        <w:t>ה</w:t>
      </w:r>
      <w:r w:rsidR="00FB7A17">
        <w:rPr>
          <w:rFonts w:ascii="Arial" w:hAnsi="Arial" w:cs="David" w:hint="cs"/>
          <w:b/>
          <w:bCs/>
          <w:rtl/>
        </w:rPr>
        <w:t>ראשון</w:t>
      </w:r>
      <w:r w:rsidR="008A4EAA" w:rsidRPr="00F453D2">
        <w:rPr>
          <w:rFonts w:ascii="Arial" w:hAnsi="Arial" w:cs="David" w:hint="cs"/>
          <w:b/>
          <w:bCs/>
          <w:rtl/>
        </w:rPr>
        <w:t xml:space="preserve"> </w:t>
      </w:r>
      <w:r w:rsidRPr="00F453D2">
        <w:rPr>
          <w:rFonts w:ascii="Arial" w:hAnsi="Arial" w:cs="David" w:hint="cs"/>
          <w:b/>
          <w:bCs/>
          <w:rtl/>
        </w:rPr>
        <w:t xml:space="preserve">של </w:t>
      </w:r>
      <w:r w:rsidR="00FB7A17">
        <w:rPr>
          <w:rFonts w:ascii="Arial" w:hAnsi="Arial" w:cs="David" w:hint="cs"/>
          <w:b/>
          <w:bCs/>
          <w:rtl/>
        </w:rPr>
        <w:t>שנת 2020</w:t>
      </w:r>
      <w:r w:rsidRPr="00F453D2">
        <w:rPr>
          <w:rFonts w:ascii="Arial" w:hAnsi="Arial" w:cs="David" w:hint="cs"/>
          <w:b/>
          <w:bCs/>
          <w:rtl/>
        </w:rPr>
        <w:t xml:space="preserve"> בכ-</w:t>
      </w:r>
      <w:r w:rsidR="00DD7A9D">
        <w:rPr>
          <w:rFonts w:ascii="Arial" w:hAnsi="Arial" w:cs="David" w:hint="cs"/>
          <w:b/>
          <w:bCs/>
          <w:rtl/>
        </w:rPr>
        <w:t>2</w:t>
      </w:r>
      <w:r w:rsidR="000839E6">
        <w:rPr>
          <w:rFonts w:ascii="Arial" w:hAnsi="Arial" w:cs="David" w:hint="cs"/>
          <w:b/>
          <w:bCs/>
          <w:rtl/>
        </w:rPr>
        <w:t>1</w:t>
      </w:r>
      <w:r w:rsidR="00755D0D">
        <w:rPr>
          <w:rFonts w:ascii="Arial" w:hAnsi="Arial" w:cs="David" w:hint="cs"/>
          <w:b/>
          <w:bCs/>
          <w:rtl/>
        </w:rPr>
        <w:t xml:space="preserve"> </w:t>
      </w:r>
      <w:r w:rsidRPr="00F453D2">
        <w:rPr>
          <w:rFonts w:ascii="Arial" w:hAnsi="Arial" w:cs="David" w:hint="cs"/>
          <w:b/>
          <w:bCs/>
          <w:rtl/>
        </w:rPr>
        <w:t>מיליארדי דולרים (</w:t>
      </w:r>
      <w:r w:rsidR="000839E6">
        <w:rPr>
          <w:rFonts w:ascii="Arial" w:hAnsi="Arial" w:cs="David" w:hint="cs"/>
          <w:b/>
          <w:bCs/>
          <w:rtl/>
        </w:rPr>
        <w:t>4.3</w:t>
      </w:r>
      <w:r w:rsidR="00A53CC2" w:rsidRPr="00F453D2">
        <w:rPr>
          <w:rFonts w:ascii="Arial" w:hAnsi="Arial" w:cs="David" w:hint="cs"/>
          <w:b/>
          <w:bCs/>
          <w:rtl/>
        </w:rPr>
        <w:t>%</w:t>
      </w:r>
      <w:r w:rsidR="00BC3C86">
        <w:rPr>
          <w:rFonts w:ascii="Arial" w:hAnsi="Arial" w:cs="David" w:hint="cs"/>
          <w:b/>
          <w:bCs/>
          <w:rtl/>
        </w:rPr>
        <w:t>-</w:t>
      </w:r>
      <w:r w:rsidRPr="00F453D2">
        <w:rPr>
          <w:rFonts w:ascii="Arial" w:hAnsi="Arial" w:cs="David" w:hint="cs"/>
          <w:b/>
          <w:bCs/>
          <w:rtl/>
        </w:rPr>
        <w:t xml:space="preserve">) ועמדה בסוף </w:t>
      </w:r>
      <w:r w:rsidR="0071260A">
        <w:rPr>
          <w:rFonts w:ascii="Arial" w:hAnsi="Arial" w:cs="David" w:hint="cs"/>
          <w:b/>
          <w:bCs/>
          <w:rtl/>
        </w:rPr>
        <w:t>מרץ</w:t>
      </w:r>
      <w:r w:rsidRPr="00F453D2">
        <w:rPr>
          <w:rFonts w:ascii="Arial" w:hAnsi="Arial" w:cs="David" w:hint="cs"/>
          <w:b/>
          <w:bCs/>
          <w:rtl/>
        </w:rPr>
        <w:t xml:space="preserve"> על כ-</w:t>
      </w:r>
      <w:r w:rsidR="00DD7A9D">
        <w:rPr>
          <w:rFonts w:ascii="Arial" w:hAnsi="Arial" w:cs="David" w:hint="cs"/>
          <w:b/>
          <w:bCs/>
          <w:rtl/>
        </w:rPr>
        <w:t>4</w:t>
      </w:r>
      <w:r w:rsidR="000839E6">
        <w:rPr>
          <w:rFonts w:ascii="Arial" w:hAnsi="Arial" w:cs="David" w:hint="cs"/>
          <w:b/>
          <w:bCs/>
          <w:rtl/>
        </w:rPr>
        <w:t>76</w:t>
      </w:r>
      <w:r w:rsidR="00A53CC2" w:rsidRPr="00F453D2">
        <w:rPr>
          <w:rFonts w:ascii="Arial" w:hAnsi="Arial" w:cs="David" w:hint="cs"/>
          <w:b/>
          <w:bCs/>
          <w:rtl/>
        </w:rPr>
        <w:t xml:space="preserve"> </w:t>
      </w:r>
      <w:r w:rsidRPr="00F453D2">
        <w:rPr>
          <w:rFonts w:ascii="Arial" w:hAnsi="Arial" w:cs="David" w:hint="cs"/>
          <w:b/>
          <w:bCs/>
          <w:rtl/>
        </w:rPr>
        <w:t xml:space="preserve">מיליארדים. </w:t>
      </w:r>
      <w:r w:rsidR="00342B58" w:rsidRPr="00342B58">
        <w:rPr>
          <w:rFonts w:ascii="Arial" w:hAnsi="Arial" w:cs="David" w:hint="cs"/>
          <w:b/>
          <w:bCs/>
          <w:rtl/>
        </w:rPr>
        <w:t>ה</w:t>
      </w:r>
      <w:r w:rsidR="000839E6">
        <w:rPr>
          <w:rFonts w:ascii="Arial" w:hAnsi="Arial" w:cs="David" w:hint="cs"/>
          <w:b/>
          <w:bCs/>
          <w:rtl/>
        </w:rPr>
        <w:t>ירידה</w:t>
      </w:r>
      <w:r w:rsidR="00342B58" w:rsidRPr="00342B58">
        <w:rPr>
          <w:rFonts w:ascii="Arial" w:hAnsi="Arial" w:cs="David" w:hint="cs"/>
          <w:b/>
          <w:bCs/>
          <w:rtl/>
        </w:rPr>
        <w:t xml:space="preserve"> ביתרה נבעה </w:t>
      </w:r>
      <w:r w:rsidR="00E44ED9">
        <w:rPr>
          <w:rFonts w:ascii="Arial" w:hAnsi="Arial" w:cs="David" w:hint="cs"/>
          <w:b/>
          <w:bCs/>
          <w:rtl/>
        </w:rPr>
        <w:t xml:space="preserve">ברובה </w:t>
      </w:r>
      <w:r w:rsidR="000839E6">
        <w:rPr>
          <w:rFonts w:ascii="Arial" w:hAnsi="Arial" w:cs="David" w:hint="cs"/>
          <w:b/>
          <w:bCs/>
          <w:rtl/>
        </w:rPr>
        <w:t xml:space="preserve">מירידת </w:t>
      </w:r>
      <w:r w:rsidR="00E44ED9">
        <w:rPr>
          <w:rFonts w:ascii="Arial" w:hAnsi="Arial" w:cs="David" w:hint="cs"/>
          <w:b/>
          <w:bCs/>
          <w:rtl/>
        </w:rPr>
        <w:t>מחירי המניות הזרות שמחזיקים תושבי ישראל בתיק ניירות הערך</w:t>
      </w:r>
      <w:r w:rsidR="00DD1590">
        <w:rPr>
          <w:rFonts w:ascii="Arial" w:hAnsi="Arial" w:cs="David" w:hint="cs"/>
          <w:b/>
          <w:bCs/>
          <w:rtl/>
        </w:rPr>
        <w:t xml:space="preserve">. </w:t>
      </w:r>
      <w:r w:rsidR="007817F2">
        <w:rPr>
          <w:rFonts w:ascii="Arial" w:hAnsi="Arial" w:cs="David" w:hint="cs"/>
          <w:b/>
          <w:bCs/>
          <w:rtl/>
        </w:rPr>
        <w:t>ירידות מחירים אלו קוזזו בחלקן על ידי</w:t>
      </w:r>
      <w:r w:rsidR="0071260A">
        <w:rPr>
          <w:rFonts w:ascii="Arial" w:hAnsi="Arial" w:cs="David" w:hint="cs"/>
          <w:b/>
          <w:bCs/>
          <w:rtl/>
        </w:rPr>
        <w:t xml:space="preserve"> זרם</w:t>
      </w:r>
      <w:r w:rsidR="00DD1590">
        <w:rPr>
          <w:rFonts w:ascii="Arial" w:hAnsi="Arial" w:cs="David" w:hint="cs"/>
          <w:b/>
          <w:bCs/>
          <w:rtl/>
        </w:rPr>
        <w:t xml:space="preserve"> </w:t>
      </w:r>
      <w:r w:rsidR="00E25D32">
        <w:rPr>
          <w:rFonts w:ascii="Arial" w:hAnsi="Arial" w:cs="David" w:hint="cs"/>
          <w:b/>
          <w:bCs/>
          <w:rtl/>
        </w:rPr>
        <w:t>השקעות אחרות של תושבי ישראל בחו"ל,</w:t>
      </w:r>
      <w:r w:rsidR="007817F2">
        <w:rPr>
          <w:rFonts w:ascii="Arial" w:hAnsi="Arial" w:cs="David" w:hint="cs"/>
          <w:b/>
          <w:bCs/>
          <w:rtl/>
        </w:rPr>
        <w:t xml:space="preserve"> </w:t>
      </w:r>
      <w:r w:rsidR="00697BD9">
        <w:rPr>
          <w:rFonts w:ascii="Arial" w:hAnsi="Arial" w:cs="David" w:hint="cs"/>
          <w:b/>
          <w:bCs/>
          <w:rtl/>
        </w:rPr>
        <w:t xml:space="preserve">שעיקרו זרם </w:t>
      </w:r>
      <w:r w:rsidR="007817F2">
        <w:rPr>
          <w:rFonts w:ascii="Arial" w:hAnsi="Arial" w:cs="David" w:hint="cs"/>
          <w:b/>
          <w:bCs/>
          <w:rtl/>
        </w:rPr>
        <w:t>הפקדות של</w:t>
      </w:r>
      <w:r w:rsidR="00E25D32">
        <w:rPr>
          <w:rFonts w:ascii="Arial" w:hAnsi="Arial" w:cs="David" w:hint="cs"/>
          <w:b/>
          <w:bCs/>
          <w:rtl/>
        </w:rPr>
        <w:t xml:space="preserve"> בנקים ישראלים</w:t>
      </w:r>
      <w:r w:rsidR="007817F2">
        <w:rPr>
          <w:rFonts w:ascii="Arial" w:hAnsi="Arial" w:cs="David" w:hint="cs"/>
          <w:b/>
          <w:bCs/>
          <w:rtl/>
        </w:rPr>
        <w:t xml:space="preserve"> בחו"ל בהיקף של כ-</w:t>
      </w:r>
      <w:r w:rsidR="00F00B73">
        <w:rPr>
          <w:rFonts w:ascii="Arial" w:hAnsi="Arial" w:cs="David" w:hint="cs"/>
          <w:b/>
          <w:bCs/>
          <w:rtl/>
        </w:rPr>
        <w:t>4.8 מיליארד</w:t>
      </w:r>
      <w:r w:rsidR="007817F2">
        <w:rPr>
          <w:rFonts w:ascii="Arial" w:hAnsi="Arial" w:cs="David" w:hint="cs"/>
          <w:b/>
          <w:bCs/>
          <w:rtl/>
        </w:rPr>
        <w:t>י</w:t>
      </w:r>
      <w:r w:rsidR="00F00B73">
        <w:rPr>
          <w:rFonts w:ascii="Arial" w:hAnsi="Arial" w:cs="David" w:hint="cs"/>
          <w:b/>
          <w:bCs/>
          <w:rtl/>
        </w:rPr>
        <w:t xml:space="preserve"> דולר</w:t>
      </w:r>
      <w:r w:rsidR="007817F2">
        <w:rPr>
          <w:rFonts w:ascii="Arial" w:hAnsi="Arial" w:cs="David" w:hint="cs"/>
          <w:b/>
          <w:bCs/>
          <w:rtl/>
        </w:rPr>
        <w:t>ים</w:t>
      </w:r>
      <w:r w:rsidR="00697BD9">
        <w:rPr>
          <w:rFonts w:ascii="Arial" w:hAnsi="Arial" w:cs="David" w:hint="cs"/>
          <w:b/>
          <w:bCs/>
          <w:rtl/>
        </w:rPr>
        <w:t>.</w:t>
      </w:r>
      <w:r w:rsidR="00F00B73">
        <w:rPr>
          <w:rFonts w:ascii="Arial" w:hAnsi="Arial" w:cs="David" w:hint="cs"/>
          <w:b/>
          <w:bCs/>
          <w:rtl/>
        </w:rPr>
        <w:t xml:space="preserve"> </w:t>
      </w:r>
    </w:p>
    <w:p w:rsidR="00624014" w:rsidRPr="009F2B5B" w:rsidRDefault="002F5DFE" w:rsidP="009F2B5B">
      <w:pPr>
        <w:pStyle w:val="af7"/>
        <w:numPr>
          <w:ilvl w:val="0"/>
          <w:numId w:val="9"/>
        </w:numPr>
        <w:spacing w:line="360" w:lineRule="auto"/>
        <w:ind w:right="426"/>
        <w:jc w:val="both"/>
        <w:rPr>
          <w:rFonts w:ascii="Arial" w:hAnsi="Arial" w:cs="David"/>
          <w:b/>
          <w:bCs/>
        </w:rPr>
      </w:pPr>
      <w:r w:rsidRPr="00624014">
        <w:rPr>
          <w:rFonts w:ascii="Arial" w:hAnsi="Arial" w:cs="David" w:hint="cs"/>
          <w:b/>
          <w:bCs/>
          <w:rtl/>
        </w:rPr>
        <w:t xml:space="preserve">יתרת ההתחייבויות של המשק לחו"ל </w:t>
      </w:r>
      <w:r w:rsidR="0071260A">
        <w:rPr>
          <w:rFonts w:ascii="Arial" w:hAnsi="Arial" w:cs="David" w:hint="cs"/>
          <w:b/>
          <w:bCs/>
          <w:rtl/>
        </w:rPr>
        <w:t>ירדה</w:t>
      </w:r>
      <w:r w:rsidRPr="00624014">
        <w:rPr>
          <w:rFonts w:ascii="Arial" w:hAnsi="Arial" w:cs="David" w:hint="cs"/>
          <w:b/>
          <w:bCs/>
          <w:rtl/>
        </w:rPr>
        <w:t xml:space="preserve"> במהלך הרביע ה</w:t>
      </w:r>
      <w:r w:rsidR="00FB7A17">
        <w:rPr>
          <w:rFonts w:ascii="Arial" w:hAnsi="Arial" w:cs="David" w:hint="cs"/>
          <w:b/>
          <w:bCs/>
          <w:rtl/>
        </w:rPr>
        <w:t>ראשון</w:t>
      </w:r>
      <w:r w:rsidRPr="00624014">
        <w:rPr>
          <w:rFonts w:ascii="Arial" w:hAnsi="Arial" w:cs="David" w:hint="cs"/>
          <w:b/>
          <w:bCs/>
          <w:rtl/>
        </w:rPr>
        <w:t xml:space="preserve"> בכ-</w:t>
      </w:r>
      <w:r w:rsidR="0071260A">
        <w:rPr>
          <w:rFonts w:ascii="Arial" w:hAnsi="Arial" w:cs="David" w:hint="cs"/>
          <w:b/>
          <w:bCs/>
          <w:rtl/>
        </w:rPr>
        <w:t>12</w:t>
      </w:r>
      <w:r w:rsidRPr="00624014">
        <w:rPr>
          <w:rFonts w:ascii="Arial" w:hAnsi="Arial" w:cs="David" w:hint="cs"/>
          <w:b/>
          <w:bCs/>
          <w:rtl/>
        </w:rPr>
        <w:t xml:space="preserve"> מיליארדי דולרים (</w:t>
      </w:r>
      <w:r w:rsidR="0071260A">
        <w:rPr>
          <w:rFonts w:ascii="Arial" w:hAnsi="Arial" w:cs="David" w:hint="cs"/>
          <w:b/>
          <w:bCs/>
          <w:rtl/>
        </w:rPr>
        <w:t>3.6</w:t>
      </w:r>
      <w:r w:rsidRPr="00624014">
        <w:rPr>
          <w:rFonts w:ascii="Arial" w:hAnsi="Arial" w:cs="David" w:hint="cs"/>
          <w:b/>
          <w:bCs/>
          <w:rtl/>
        </w:rPr>
        <w:t>%</w:t>
      </w:r>
      <w:r w:rsidR="00BC3C86">
        <w:rPr>
          <w:rFonts w:ascii="Arial" w:hAnsi="Arial" w:cs="David" w:hint="cs"/>
          <w:b/>
          <w:bCs/>
          <w:rtl/>
        </w:rPr>
        <w:t>-</w:t>
      </w:r>
      <w:r w:rsidRPr="00624014">
        <w:rPr>
          <w:rFonts w:ascii="Arial" w:hAnsi="Arial" w:cs="David" w:hint="cs"/>
          <w:b/>
          <w:bCs/>
          <w:rtl/>
        </w:rPr>
        <w:t xml:space="preserve">) ועמדה בסוף </w:t>
      </w:r>
      <w:r w:rsidR="0071260A">
        <w:rPr>
          <w:rFonts w:ascii="Arial" w:hAnsi="Arial" w:cs="David" w:hint="cs"/>
          <w:b/>
          <w:bCs/>
          <w:rtl/>
        </w:rPr>
        <w:t>מרץ</w:t>
      </w:r>
      <w:r w:rsidRPr="00624014">
        <w:rPr>
          <w:rFonts w:ascii="Arial" w:hAnsi="Arial" w:cs="David" w:hint="cs"/>
          <w:b/>
          <w:bCs/>
          <w:rtl/>
        </w:rPr>
        <w:t xml:space="preserve"> </w:t>
      </w:r>
      <w:r w:rsidR="005151C1" w:rsidRPr="00624014">
        <w:rPr>
          <w:rFonts w:ascii="Arial" w:hAnsi="Arial" w:cs="David" w:hint="cs"/>
          <w:b/>
          <w:bCs/>
          <w:rtl/>
        </w:rPr>
        <w:t xml:space="preserve">על </w:t>
      </w:r>
      <w:r w:rsidRPr="00624014">
        <w:rPr>
          <w:rFonts w:ascii="Arial" w:hAnsi="Arial" w:cs="David" w:hint="cs"/>
          <w:b/>
          <w:bCs/>
          <w:rtl/>
        </w:rPr>
        <w:t>כ-</w:t>
      </w:r>
      <w:r w:rsidR="00CD15AB">
        <w:rPr>
          <w:rFonts w:ascii="Arial" w:hAnsi="Arial" w:cs="David" w:hint="cs"/>
          <w:b/>
          <w:bCs/>
          <w:rtl/>
        </w:rPr>
        <w:t>3</w:t>
      </w:r>
      <w:r w:rsidR="0071260A">
        <w:rPr>
          <w:rFonts w:ascii="Arial" w:hAnsi="Arial" w:cs="David" w:hint="cs"/>
          <w:b/>
          <w:bCs/>
          <w:rtl/>
        </w:rPr>
        <w:t>23</w:t>
      </w:r>
      <w:r w:rsidR="00755D0D">
        <w:rPr>
          <w:rFonts w:ascii="Arial" w:hAnsi="Arial" w:cs="David" w:hint="cs"/>
          <w:b/>
          <w:bCs/>
          <w:rtl/>
        </w:rPr>
        <w:t xml:space="preserve"> </w:t>
      </w:r>
      <w:r w:rsidRPr="00624014">
        <w:rPr>
          <w:rFonts w:ascii="Arial" w:hAnsi="Arial" w:cs="David" w:hint="cs"/>
          <w:b/>
          <w:bCs/>
          <w:rtl/>
        </w:rPr>
        <w:t>מיליארדים</w:t>
      </w:r>
      <w:r w:rsidR="003912C6" w:rsidRPr="00624014">
        <w:rPr>
          <w:rFonts w:ascii="Arial" w:hAnsi="Arial" w:cs="David" w:hint="cs"/>
          <w:b/>
          <w:bCs/>
          <w:rtl/>
        </w:rPr>
        <w:t xml:space="preserve">. </w:t>
      </w:r>
      <w:r w:rsidR="00AD7D0A">
        <w:rPr>
          <w:rFonts w:ascii="Arial" w:hAnsi="Arial" w:cs="David" w:hint="cs"/>
          <w:b/>
          <w:bCs/>
          <w:rtl/>
        </w:rPr>
        <w:t>הי</w:t>
      </w:r>
      <w:r w:rsidR="00205AEF">
        <w:rPr>
          <w:rFonts w:ascii="Arial" w:hAnsi="Arial" w:cs="David" w:hint="cs"/>
          <w:b/>
          <w:bCs/>
          <w:rtl/>
        </w:rPr>
        <w:t>רי</w:t>
      </w:r>
      <w:r w:rsidR="00AD7D0A">
        <w:rPr>
          <w:rFonts w:ascii="Arial" w:hAnsi="Arial" w:cs="David" w:hint="cs"/>
          <w:b/>
          <w:bCs/>
          <w:rtl/>
        </w:rPr>
        <w:t xml:space="preserve">דה </w:t>
      </w:r>
      <w:r w:rsidR="00205AEF">
        <w:rPr>
          <w:rFonts w:ascii="Arial" w:hAnsi="Arial" w:cs="David" w:hint="cs"/>
          <w:b/>
          <w:bCs/>
          <w:rtl/>
        </w:rPr>
        <w:t xml:space="preserve">ביתרה </w:t>
      </w:r>
      <w:r w:rsidR="00693A83">
        <w:rPr>
          <w:rFonts w:ascii="Arial" w:hAnsi="Arial" w:cs="David" w:hint="cs"/>
          <w:b/>
          <w:bCs/>
          <w:rtl/>
        </w:rPr>
        <w:t xml:space="preserve">נבעה </w:t>
      </w:r>
      <w:r w:rsidR="00AD7D0A">
        <w:rPr>
          <w:rFonts w:ascii="Arial" w:hAnsi="Arial" w:cs="David" w:hint="cs"/>
          <w:b/>
          <w:bCs/>
          <w:rtl/>
        </w:rPr>
        <w:t xml:space="preserve">ברובה </w:t>
      </w:r>
      <w:r w:rsidR="00693A83">
        <w:rPr>
          <w:rFonts w:ascii="Arial" w:hAnsi="Arial" w:cs="David" w:hint="cs"/>
          <w:b/>
          <w:bCs/>
          <w:rtl/>
        </w:rPr>
        <w:t>מ</w:t>
      </w:r>
      <w:r w:rsidR="00AD7D0A">
        <w:rPr>
          <w:rFonts w:ascii="Arial" w:hAnsi="Arial" w:cs="David" w:hint="cs"/>
          <w:b/>
          <w:bCs/>
          <w:rtl/>
        </w:rPr>
        <w:t>היריד</w:t>
      </w:r>
      <w:r w:rsidR="00693A83">
        <w:rPr>
          <w:rFonts w:ascii="Arial" w:hAnsi="Arial" w:cs="David" w:hint="cs"/>
          <w:b/>
          <w:bCs/>
          <w:rtl/>
        </w:rPr>
        <w:t>ות</w:t>
      </w:r>
      <w:r w:rsidR="00AD7D0A">
        <w:rPr>
          <w:rFonts w:ascii="Arial" w:hAnsi="Arial" w:cs="David" w:hint="cs"/>
          <w:b/>
          <w:bCs/>
          <w:rtl/>
        </w:rPr>
        <w:t xml:space="preserve"> במחירי </w:t>
      </w:r>
      <w:r w:rsidR="00693A83">
        <w:rPr>
          <w:rFonts w:ascii="Arial" w:hAnsi="Arial" w:cs="David" w:hint="cs"/>
          <w:b/>
          <w:bCs/>
          <w:rtl/>
        </w:rPr>
        <w:t>המניות הישראליות</w:t>
      </w:r>
      <w:r w:rsidR="00D17848">
        <w:rPr>
          <w:rFonts w:ascii="Arial" w:hAnsi="Arial" w:cs="David" w:hint="cs"/>
          <w:b/>
          <w:bCs/>
          <w:rtl/>
        </w:rPr>
        <w:t xml:space="preserve"> </w:t>
      </w:r>
      <w:r w:rsidR="00693A83">
        <w:rPr>
          <w:rFonts w:ascii="Arial" w:hAnsi="Arial" w:cs="David" w:hint="cs"/>
          <w:b/>
          <w:bCs/>
          <w:rtl/>
        </w:rPr>
        <w:t>שמוחזקות על ידי תושבי חוץ</w:t>
      </w:r>
      <w:r w:rsidR="00755D0D">
        <w:rPr>
          <w:rFonts w:ascii="Arial" w:hAnsi="Arial" w:cs="David" w:hint="cs"/>
          <w:b/>
          <w:bCs/>
          <w:rtl/>
        </w:rPr>
        <w:t>.</w:t>
      </w:r>
      <w:r w:rsidR="00693A83">
        <w:rPr>
          <w:rFonts w:ascii="Arial" w:hAnsi="Arial" w:cs="David" w:hint="cs"/>
          <w:b/>
          <w:bCs/>
          <w:rtl/>
        </w:rPr>
        <w:t xml:space="preserve"> </w:t>
      </w:r>
      <w:r w:rsidR="00944F4C">
        <w:rPr>
          <w:rFonts w:ascii="Arial" w:hAnsi="Arial" w:cs="David" w:hint="cs"/>
          <w:b/>
          <w:bCs/>
          <w:rtl/>
        </w:rPr>
        <w:t xml:space="preserve">מנגד, במהלך הרביע הראשון של שנת 2020 </w:t>
      </w:r>
      <w:r w:rsidR="00693A83">
        <w:rPr>
          <w:rFonts w:ascii="Arial" w:hAnsi="Arial" w:cs="David" w:hint="cs"/>
          <w:b/>
          <w:bCs/>
          <w:rtl/>
        </w:rPr>
        <w:t xml:space="preserve">נרשם </w:t>
      </w:r>
      <w:r w:rsidR="00944F4C">
        <w:rPr>
          <w:rFonts w:ascii="Arial" w:hAnsi="Arial" w:cs="David" w:hint="cs"/>
          <w:b/>
          <w:bCs/>
          <w:rtl/>
        </w:rPr>
        <w:t xml:space="preserve">זרם השקעות חיובי בהשקעות </w:t>
      </w:r>
      <w:r w:rsidR="00693A83">
        <w:rPr>
          <w:rFonts w:ascii="Arial" w:hAnsi="Arial" w:cs="David" w:hint="cs"/>
          <w:b/>
          <w:bCs/>
          <w:rtl/>
        </w:rPr>
        <w:t>ה</w:t>
      </w:r>
      <w:r w:rsidR="00944F4C">
        <w:rPr>
          <w:rFonts w:ascii="Arial" w:hAnsi="Arial" w:cs="David" w:hint="cs"/>
          <w:b/>
          <w:bCs/>
          <w:rtl/>
        </w:rPr>
        <w:t>ישירות (4.6 מיליארד</w:t>
      </w:r>
      <w:r w:rsidR="00F00B73">
        <w:rPr>
          <w:rFonts w:ascii="Arial" w:hAnsi="Arial" w:cs="David" w:hint="cs"/>
          <w:b/>
          <w:bCs/>
          <w:rtl/>
        </w:rPr>
        <w:t>י</w:t>
      </w:r>
      <w:r w:rsidR="00944F4C">
        <w:rPr>
          <w:rFonts w:ascii="Arial" w:hAnsi="Arial" w:cs="David" w:hint="cs"/>
          <w:b/>
          <w:bCs/>
          <w:rtl/>
        </w:rPr>
        <w:t xml:space="preserve"> דולר</w:t>
      </w:r>
      <w:r w:rsidR="00F00B73">
        <w:rPr>
          <w:rFonts w:ascii="Arial" w:hAnsi="Arial" w:cs="David" w:hint="cs"/>
          <w:b/>
          <w:bCs/>
          <w:rtl/>
        </w:rPr>
        <w:t>ים</w:t>
      </w:r>
      <w:r w:rsidR="00944F4C">
        <w:rPr>
          <w:rFonts w:ascii="Arial" w:hAnsi="Arial" w:cs="David" w:hint="cs"/>
          <w:b/>
          <w:bCs/>
          <w:rtl/>
        </w:rPr>
        <w:t xml:space="preserve">) ובהשקעות </w:t>
      </w:r>
      <w:r w:rsidR="00693A83">
        <w:rPr>
          <w:rFonts w:ascii="Arial" w:hAnsi="Arial" w:cs="David" w:hint="cs"/>
          <w:b/>
          <w:bCs/>
          <w:rtl/>
        </w:rPr>
        <w:t>ה</w:t>
      </w:r>
      <w:r w:rsidR="00944F4C">
        <w:rPr>
          <w:rFonts w:ascii="Arial" w:hAnsi="Arial" w:cs="David" w:hint="cs"/>
          <w:b/>
          <w:bCs/>
          <w:rtl/>
        </w:rPr>
        <w:t>פיננסיות (2.3 מיליארדי דולרים).</w:t>
      </w:r>
    </w:p>
    <w:p w:rsidR="00536949" w:rsidRDefault="00536949" w:rsidP="00536949">
      <w:pPr>
        <w:pStyle w:val="af7"/>
        <w:rPr>
          <w:rFonts w:ascii="Arial" w:hAnsi="Arial" w:cs="David"/>
          <w:b/>
          <w:bCs/>
          <w:rtl/>
        </w:rPr>
      </w:pPr>
    </w:p>
    <w:p w:rsidR="005D712A" w:rsidRPr="00536949" w:rsidRDefault="005D712A" w:rsidP="00536949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>
        <w:rPr>
          <w:rFonts w:ascii="Arial" w:hAnsi="Arial" w:cs="David" w:hint="cs"/>
          <w:b/>
          <w:bCs/>
          <w:rtl/>
        </w:rPr>
        <w:t xml:space="preserve">על רקע משבר הקורונה נרשמו ירידות מחירים </w:t>
      </w:r>
      <w:r w:rsidR="00536949">
        <w:rPr>
          <w:rFonts w:ascii="Arial" w:hAnsi="Arial" w:cs="David" w:hint="cs"/>
          <w:b/>
          <w:bCs/>
          <w:rtl/>
        </w:rPr>
        <w:t xml:space="preserve">חדות </w:t>
      </w:r>
      <w:r>
        <w:rPr>
          <w:rFonts w:ascii="Arial" w:hAnsi="Arial" w:cs="David" w:hint="cs"/>
          <w:b/>
          <w:bCs/>
          <w:rtl/>
        </w:rPr>
        <w:t xml:space="preserve">שהשפיעו </w:t>
      </w:r>
      <w:r w:rsidR="00536949">
        <w:rPr>
          <w:rFonts w:ascii="Arial" w:hAnsi="Arial" w:cs="David" w:hint="cs"/>
          <w:b/>
          <w:bCs/>
          <w:rtl/>
        </w:rPr>
        <w:t>יותר על צד הנכסים מאשר</w:t>
      </w:r>
      <w:r>
        <w:rPr>
          <w:rFonts w:ascii="Arial" w:hAnsi="Arial" w:cs="David" w:hint="cs"/>
          <w:b/>
          <w:bCs/>
          <w:rtl/>
        </w:rPr>
        <w:t xml:space="preserve"> על צד ההתחייבויות מול חו"ל. </w:t>
      </w:r>
      <w:r w:rsidRPr="00536949">
        <w:rPr>
          <w:rFonts w:ascii="Arial" w:hAnsi="Arial" w:cs="David" w:hint="cs"/>
          <w:b/>
          <w:bCs/>
          <w:rtl/>
        </w:rPr>
        <w:t>ירידות המחירים, בעיקר בחודש מרץ, הקטינו את יתרת הנכסים בכ-30 מיליארדי דולרים (כ-6% מהיתרה). במקביל,</w:t>
      </w:r>
      <w:r w:rsidR="00536949">
        <w:rPr>
          <w:rFonts w:ascii="Arial" w:hAnsi="Arial" w:cs="David" w:hint="cs"/>
          <w:b/>
          <w:bCs/>
          <w:rtl/>
        </w:rPr>
        <w:t xml:space="preserve"> ירידות המחירים הקטינו את</w:t>
      </w:r>
      <w:r w:rsidRPr="00536949">
        <w:rPr>
          <w:rFonts w:ascii="Arial" w:hAnsi="Arial" w:cs="David" w:hint="cs"/>
          <w:b/>
          <w:bCs/>
          <w:rtl/>
        </w:rPr>
        <w:t xml:space="preserve"> יתרת ההתחייבויות בכ-15 מיליארדי דולרים (כ-4% מהיתרה)</w:t>
      </w:r>
      <w:r w:rsidR="00536949">
        <w:rPr>
          <w:rFonts w:ascii="Arial" w:hAnsi="Arial" w:cs="David" w:hint="cs"/>
          <w:b/>
          <w:bCs/>
          <w:rtl/>
        </w:rPr>
        <w:t>.</w:t>
      </w:r>
    </w:p>
    <w:p w:rsidR="00203A0D" w:rsidRPr="006F0654" w:rsidRDefault="00203A0D" w:rsidP="003A681A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6F0654">
        <w:rPr>
          <w:rFonts w:ascii="Arial" w:hAnsi="Arial" w:cs="David" w:hint="cs"/>
          <w:b/>
          <w:bCs/>
          <w:rtl/>
        </w:rPr>
        <w:t xml:space="preserve">עודף הנכסים על ההתחייבויות במכשירי חוב בלבד (החוב חיצוני השלילי נטו), </w:t>
      </w:r>
      <w:r w:rsidR="006D19A1" w:rsidRPr="006F0654">
        <w:rPr>
          <w:rFonts w:ascii="Arial" w:hAnsi="Arial" w:cs="David" w:hint="cs"/>
          <w:b/>
          <w:bCs/>
          <w:rtl/>
        </w:rPr>
        <w:t>ירד</w:t>
      </w:r>
      <w:r w:rsidRPr="006F0654">
        <w:rPr>
          <w:rFonts w:ascii="Arial" w:hAnsi="Arial" w:cs="David" w:hint="cs"/>
          <w:b/>
          <w:bCs/>
          <w:rtl/>
        </w:rPr>
        <w:t xml:space="preserve"> במהלך הרביע ה</w:t>
      </w:r>
      <w:r w:rsidR="00FB7A17" w:rsidRPr="006F0654">
        <w:rPr>
          <w:rFonts w:ascii="Arial" w:hAnsi="Arial" w:cs="David" w:hint="cs"/>
          <w:b/>
          <w:bCs/>
          <w:rtl/>
        </w:rPr>
        <w:t>ראשון</w:t>
      </w:r>
      <w:r w:rsidRPr="006F0654">
        <w:rPr>
          <w:rFonts w:ascii="Arial" w:hAnsi="Arial" w:cs="David" w:hint="cs"/>
          <w:b/>
          <w:bCs/>
          <w:rtl/>
        </w:rPr>
        <w:t xml:space="preserve"> </w:t>
      </w:r>
      <w:proofErr w:type="spellStart"/>
      <w:r w:rsidRPr="006F0654">
        <w:rPr>
          <w:rFonts w:ascii="Arial" w:hAnsi="Arial" w:cs="David" w:hint="cs"/>
          <w:b/>
          <w:bCs/>
          <w:rtl/>
        </w:rPr>
        <w:t>ב</w:t>
      </w:r>
      <w:r w:rsidR="003A681A">
        <w:rPr>
          <w:rFonts w:ascii="Arial" w:hAnsi="Arial" w:cs="David" w:hint="cs"/>
          <w:b/>
          <w:bCs/>
          <w:rtl/>
        </w:rPr>
        <w:t>כ</w:t>
      </w:r>
      <w:proofErr w:type="spellEnd"/>
      <w:r w:rsidRPr="006F0654">
        <w:rPr>
          <w:rFonts w:ascii="Arial" w:hAnsi="Arial" w:cs="David" w:hint="cs"/>
          <w:b/>
          <w:bCs/>
          <w:rtl/>
        </w:rPr>
        <w:t xml:space="preserve">- </w:t>
      </w:r>
      <w:r w:rsidR="003A681A">
        <w:rPr>
          <w:rFonts w:ascii="David" w:hAnsi="David" w:cs="David" w:hint="cs"/>
          <w:b/>
          <w:bCs/>
          <w:rtl/>
        </w:rPr>
        <w:t>3</w:t>
      </w:r>
      <w:r w:rsidR="008D5031" w:rsidRPr="006F0654">
        <w:rPr>
          <w:rFonts w:ascii="Arial" w:hAnsi="Arial" w:cs="David" w:hint="cs"/>
          <w:b/>
          <w:bCs/>
          <w:rtl/>
        </w:rPr>
        <w:t xml:space="preserve"> </w:t>
      </w:r>
      <w:r w:rsidRPr="006F0654">
        <w:rPr>
          <w:rFonts w:ascii="Arial" w:hAnsi="Arial" w:cs="David" w:hint="cs"/>
          <w:b/>
          <w:bCs/>
          <w:rtl/>
        </w:rPr>
        <w:t>מיליארדי דולרים (</w:t>
      </w:r>
      <w:r w:rsidR="006D19A1" w:rsidRPr="006F0654">
        <w:rPr>
          <w:rFonts w:ascii="Arial" w:hAnsi="Arial" w:cs="David" w:hint="cs"/>
          <w:b/>
          <w:bCs/>
          <w:rtl/>
        </w:rPr>
        <w:t>1.7</w:t>
      </w:r>
      <w:r w:rsidRPr="006F0654">
        <w:rPr>
          <w:rFonts w:ascii="Arial" w:hAnsi="Arial" w:cs="David" w:hint="cs"/>
          <w:b/>
          <w:bCs/>
          <w:rtl/>
        </w:rPr>
        <w:t>%</w:t>
      </w:r>
      <w:r w:rsidR="00D3259C" w:rsidRPr="006F0654">
        <w:rPr>
          <w:rFonts w:ascii="Arial" w:hAnsi="Arial" w:cs="David" w:hint="cs"/>
          <w:b/>
          <w:bCs/>
          <w:rtl/>
        </w:rPr>
        <w:t>-</w:t>
      </w:r>
      <w:r w:rsidRPr="006F0654">
        <w:rPr>
          <w:rFonts w:ascii="Arial" w:hAnsi="Arial" w:cs="David" w:hint="cs"/>
          <w:b/>
          <w:bCs/>
          <w:rtl/>
        </w:rPr>
        <w:t xml:space="preserve">) </w:t>
      </w:r>
      <w:r w:rsidR="00D3259C" w:rsidRPr="006F0654">
        <w:rPr>
          <w:rFonts w:ascii="Arial" w:hAnsi="Arial" w:cs="David" w:hint="cs"/>
          <w:b/>
          <w:bCs/>
          <w:rtl/>
        </w:rPr>
        <w:t xml:space="preserve">ועמד </w:t>
      </w:r>
      <w:r w:rsidRPr="006F0654">
        <w:rPr>
          <w:rFonts w:ascii="Arial" w:hAnsi="Arial" w:cs="David" w:hint="cs"/>
          <w:b/>
          <w:bCs/>
          <w:rtl/>
        </w:rPr>
        <w:t xml:space="preserve">בסוף </w:t>
      </w:r>
      <w:r w:rsidR="0071260A" w:rsidRPr="006F0654">
        <w:rPr>
          <w:rFonts w:ascii="Arial" w:hAnsi="Arial" w:cs="David" w:hint="cs"/>
          <w:b/>
          <w:bCs/>
          <w:rtl/>
        </w:rPr>
        <w:t>מרץ</w:t>
      </w:r>
      <w:r w:rsidRPr="006F0654">
        <w:rPr>
          <w:rFonts w:ascii="Arial" w:hAnsi="Arial" w:cs="David" w:hint="cs"/>
          <w:b/>
          <w:bCs/>
          <w:rtl/>
        </w:rPr>
        <w:t xml:space="preserve"> </w:t>
      </w:r>
      <w:r w:rsidR="00D3259C" w:rsidRPr="006F0654">
        <w:rPr>
          <w:rFonts w:ascii="Arial" w:hAnsi="Arial" w:cs="David" w:hint="cs"/>
          <w:b/>
          <w:bCs/>
          <w:rtl/>
        </w:rPr>
        <w:t>על כ-</w:t>
      </w:r>
      <w:r w:rsidRPr="006F0654">
        <w:rPr>
          <w:rFonts w:ascii="Arial" w:hAnsi="Arial" w:cs="David" w:hint="cs"/>
          <w:b/>
          <w:bCs/>
          <w:rtl/>
        </w:rPr>
        <w:t xml:space="preserve"> </w:t>
      </w:r>
      <w:r w:rsidR="006D19A1" w:rsidRPr="006F0654">
        <w:rPr>
          <w:rFonts w:ascii="Arial" w:hAnsi="Arial" w:cs="David" w:hint="cs"/>
          <w:b/>
          <w:bCs/>
          <w:rtl/>
        </w:rPr>
        <w:t>167</w:t>
      </w:r>
      <w:r w:rsidRPr="006F0654">
        <w:rPr>
          <w:rFonts w:ascii="Arial" w:hAnsi="Arial" w:cs="David" w:hint="cs"/>
          <w:b/>
          <w:bCs/>
          <w:rtl/>
        </w:rPr>
        <w:t xml:space="preserve"> מיליארדי</w:t>
      </w:r>
      <w:r w:rsidR="00D3259C" w:rsidRPr="006F0654">
        <w:rPr>
          <w:rFonts w:ascii="Arial" w:hAnsi="Arial" w:cs="David" w:hint="cs"/>
          <w:b/>
          <w:bCs/>
          <w:rtl/>
        </w:rPr>
        <w:t>ם</w:t>
      </w:r>
      <w:r w:rsidRPr="006F0654">
        <w:rPr>
          <w:rFonts w:ascii="Arial" w:hAnsi="Arial" w:cs="David" w:hint="cs"/>
          <w:b/>
          <w:bCs/>
          <w:rtl/>
        </w:rPr>
        <w:t>.</w:t>
      </w:r>
    </w:p>
    <w:p w:rsidR="00203A0D" w:rsidRPr="006F0654" w:rsidRDefault="00203A0D" w:rsidP="00203A0D">
      <w:pPr>
        <w:pStyle w:val="af7"/>
        <w:rPr>
          <w:rFonts w:ascii="Arial" w:hAnsi="Arial" w:cs="David"/>
          <w:b/>
          <w:bCs/>
          <w:rtl/>
        </w:rPr>
      </w:pPr>
    </w:p>
    <w:p w:rsidR="00095D4E" w:rsidRDefault="00075CF6" w:rsidP="00EA65B4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637350">
        <w:rPr>
          <w:rFonts w:ascii="Arial" w:hAnsi="Arial" w:cs="David" w:hint="cs"/>
          <w:b/>
          <w:bCs/>
          <w:rtl/>
        </w:rPr>
        <w:t>היחס שבין החוב החיצוני ברוטו לתמ"ג</w:t>
      </w:r>
      <w:r w:rsidRPr="00637350">
        <w:rPr>
          <w:rFonts w:ascii="Arial" w:hAnsi="Arial" w:cs="David" w:hint="cs"/>
          <w:rtl/>
        </w:rPr>
        <w:t xml:space="preserve"> </w:t>
      </w:r>
      <w:r w:rsidR="00EA65B4" w:rsidRPr="00637350">
        <w:rPr>
          <w:rFonts w:ascii="Arial" w:hAnsi="Arial" w:cs="David" w:hint="cs"/>
          <w:b/>
          <w:bCs/>
          <w:rtl/>
        </w:rPr>
        <w:t xml:space="preserve">ירד </w:t>
      </w:r>
      <w:r w:rsidRPr="00637350">
        <w:rPr>
          <w:rFonts w:ascii="Arial" w:hAnsi="Arial" w:cs="David" w:hint="cs"/>
          <w:b/>
          <w:bCs/>
          <w:rtl/>
        </w:rPr>
        <w:t>במהלך הרביע ה</w:t>
      </w:r>
      <w:r w:rsidR="00FB7A17" w:rsidRPr="00637350">
        <w:rPr>
          <w:rFonts w:ascii="Arial" w:hAnsi="Arial" w:cs="David" w:hint="cs"/>
          <w:b/>
          <w:bCs/>
          <w:rtl/>
        </w:rPr>
        <w:t>ראשון</w:t>
      </w:r>
      <w:r w:rsidRPr="00637350">
        <w:rPr>
          <w:rFonts w:ascii="Arial" w:hAnsi="Arial" w:cs="David" w:hint="cs"/>
          <w:b/>
          <w:bCs/>
          <w:rtl/>
        </w:rPr>
        <w:t xml:space="preserve"> ב-0.</w:t>
      </w:r>
      <w:r w:rsidR="00EA65B4" w:rsidRPr="00637350">
        <w:rPr>
          <w:rFonts w:ascii="Arial" w:hAnsi="Arial" w:cs="David" w:hint="cs"/>
          <w:b/>
          <w:bCs/>
          <w:rtl/>
        </w:rPr>
        <w:t xml:space="preserve">2 </w:t>
      </w:r>
      <w:r w:rsidRPr="00637350">
        <w:rPr>
          <w:rFonts w:ascii="Arial" w:hAnsi="Arial" w:cs="David" w:hint="cs"/>
          <w:b/>
          <w:bCs/>
          <w:rtl/>
        </w:rPr>
        <w:t xml:space="preserve">נקודות האחוז ועמד בסוף </w:t>
      </w:r>
      <w:r w:rsidR="00382546" w:rsidRPr="00637350">
        <w:rPr>
          <w:rFonts w:ascii="Arial" w:hAnsi="Arial" w:cs="David" w:hint="cs"/>
          <w:b/>
          <w:bCs/>
          <w:rtl/>
        </w:rPr>
        <w:t xml:space="preserve">מרץ </w:t>
      </w:r>
      <w:r w:rsidRPr="00637350">
        <w:rPr>
          <w:rFonts w:ascii="Arial" w:hAnsi="Arial" w:cs="David" w:hint="cs"/>
          <w:b/>
          <w:bCs/>
          <w:rtl/>
        </w:rPr>
        <w:t>על 2</w:t>
      </w:r>
      <w:r w:rsidR="00FD191E" w:rsidRPr="00637350">
        <w:rPr>
          <w:rFonts w:ascii="Arial" w:hAnsi="Arial" w:cs="David" w:hint="cs"/>
          <w:b/>
          <w:bCs/>
          <w:rtl/>
        </w:rPr>
        <w:t>6</w:t>
      </w:r>
      <w:r w:rsidRPr="00637350">
        <w:rPr>
          <w:rFonts w:ascii="Arial" w:hAnsi="Arial" w:cs="David" w:hint="cs"/>
          <w:b/>
          <w:bCs/>
          <w:rtl/>
        </w:rPr>
        <w:t>.</w:t>
      </w:r>
      <w:r w:rsidR="00EA65B4" w:rsidRPr="00637350">
        <w:rPr>
          <w:rFonts w:ascii="Arial" w:hAnsi="Arial" w:cs="David" w:hint="cs"/>
          <w:b/>
          <w:bCs/>
          <w:rtl/>
        </w:rPr>
        <w:t>1</w:t>
      </w:r>
      <w:r w:rsidRPr="00637350">
        <w:rPr>
          <w:rFonts w:ascii="Arial" w:hAnsi="Arial" w:cs="David" w:hint="cs"/>
          <w:b/>
          <w:bCs/>
          <w:rtl/>
        </w:rPr>
        <w:t xml:space="preserve">%. </w:t>
      </w:r>
      <w:r w:rsidR="00EA65B4" w:rsidRPr="00637350">
        <w:rPr>
          <w:rFonts w:ascii="Arial" w:hAnsi="Arial" w:cs="David" w:hint="cs"/>
          <w:b/>
          <w:bCs/>
          <w:rtl/>
        </w:rPr>
        <w:t>הירידה</w:t>
      </w:r>
      <w:r w:rsidR="00EA65B4" w:rsidRPr="00637350">
        <w:rPr>
          <w:rFonts w:ascii="Arial" w:hAnsi="Arial" w:cs="David"/>
          <w:b/>
          <w:bCs/>
          <w:rtl/>
        </w:rPr>
        <w:t xml:space="preserve"> </w:t>
      </w:r>
      <w:r w:rsidRPr="00637350">
        <w:rPr>
          <w:rFonts w:ascii="Arial" w:hAnsi="Arial" w:cs="David"/>
          <w:b/>
          <w:bCs/>
          <w:rtl/>
        </w:rPr>
        <w:t xml:space="preserve">ביחס החוב לתוצר שיקפה שיעור גידול </w:t>
      </w:r>
      <w:r w:rsidR="00FD191E" w:rsidRPr="00637350">
        <w:rPr>
          <w:rFonts w:ascii="Arial" w:hAnsi="Arial" w:cs="David" w:hint="cs"/>
          <w:b/>
          <w:bCs/>
          <w:rtl/>
        </w:rPr>
        <w:t>גבוה</w:t>
      </w:r>
      <w:r w:rsidRPr="00637350">
        <w:rPr>
          <w:rFonts w:ascii="Arial" w:hAnsi="Arial" w:cs="David"/>
          <w:b/>
          <w:bCs/>
          <w:rtl/>
        </w:rPr>
        <w:t xml:space="preserve"> יותר </w:t>
      </w:r>
      <w:r w:rsidR="00EA65B4" w:rsidRPr="00637350">
        <w:rPr>
          <w:rFonts w:ascii="Arial" w:hAnsi="Arial" w:cs="David" w:hint="cs"/>
          <w:b/>
          <w:bCs/>
          <w:rtl/>
        </w:rPr>
        <w:t>בתוצר</w:t>
      </w:r>
      <w:r w:rsidRPr="00637350">
        <w:rPr>
          <w:rFonts w:ascii="Arial" w:hAnsi="Arial" w:cs="David"/>
          <w:b/>
          <w:bCs/>
          <w:rtl/>
        </w:rPr>
        <w:t xml:space="preserve"> </w:t>
      </w:r>
      <w:r w:rsidR="00F81108" w:rsidRPr="00637350">
        <w:rPr>
          <w:rFonts w:ascii="Arial" w:hAnsi="Arial" w:cs="David" w:hint="cs"/>
          <w:b/>
          <w:bCs/>
          <w:rtl/>
        </w:rPr>
        <w:t xml:space="preserve">בהשוואה לשיעור </w:t>
      </w:r>
      <w:r w:rsidR="00EA65B4" w:rsidRPr="00637350">
        <w:rPr>
          <w:rFonts w:ascii="Arial" w:hAnsi="Arial" w:cs="David" w:hint="cs"/>
          <w:b/>
          <w:bCs/>
          <w:rtl/>
        </w:rPr>
        <w:t>ה</w:t>
      </w:r>
      <w:r w:rsidR="00F81108" w:rsidRPr="00637350">
        <w:rPr>
          <w:rFonts w:ascii="Arial" w:hAnsi="Arial" w:cs="David" w:hint="cs"/>
          <w:b/>
          <w:bCs/>
          <w:rtl/>
        </w:rPr>
        <w:t>גידול</w:t>
      </w:r>
      <w:r w:rsidR="008C2A37" w:rsidRPr="00637350">
        <w:rPr>
          <w:rFonts w:ascii="Arial" w:hAnsi="Arial" w:cs="David" w:hint="cs"/>
          <w:b/>
          <w:bCs/>
          <w:rtl/>
        </w:rPr>
        <w:t xml:space="preserve"> </w:t>
      </w:r>
      <w:r w:rsidR="00EA65B4" w:rsidRPr="00637350">
        <w:rPr>
          <w:rFonts w:ascii="Arial" w:hAnsi="Arial" w:cs="David" w:hint="cs"/>
          <w:b/>
          <w:bCs/>
          <w:rtl/>
        </w:rPr>
        <w:t>ביתרת החוב החיצוני</w:t>
      </w:r>
      <w:r w:rsidRPr="00637350">
        <w:rPr>
          <w:rFonts w:ascii="Arial" w:hAnsi="Arial" w:cs="David" w:hint="cs"/>
          <w:b/>
          <w:bCs/>
          <w:rtl/>
        </w:rPr>
        <w:t>.</w:t>
      </w:r>
    </w:p>
    <w:p w:rsidR="005D712A" w:rsidRDefault="005D712A" w:rsidP="005D712A">
      <w:pPr>
        <w:pStyle w:val="af7"/>
        <w:rPr>
          <w:rFonts w:ascii="Arial" w:hAnsi="Arial" w:cs="David"/>
          <w:b/>
          <w:bCs/>
          <w:rtl/>
        </w:rPr>
      </w:pPr>
    </w:p>
    <w:p w:rsidR="00095D4E" w:rsidRDefault="00095D4E" w:rsidP="00095D4E">
      <w:pPr>
        <w:pStyle w:val="af7"/>
        <w:rPr>
          <w:rFonts w:ascii="Arial" w:hAnsi="Arial" w:cs="David"/>
          <w:b/>
          <w:bCs/>
          <w:highlight w:val="yellow"/>
          <w:rtl/>
        </w:rPr>
      </w:pPr>
    </w:p>
    <w:p w:rsidR="00095D4E" w:rsidRPr="00EC3733" w:rsidRDefault="00095D4E" w:rsidP="00095D4E">
      <w:p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</w:p>
    <w:p w:rsidR="00095D4E" w:rsidRDefault="00095D4E" w:rsidP="00095D4E">
      <w:pPr>
        <w:spacing w:after="240"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</w:p>
    <w:p w:rsidR="00095D4E" w:rsidRPr="00580593" w:rsidRDefault="00095D4E" w:rsidP="00095D4E">
      <w:pPr>
        <w:spacing w:after="240"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</w:p>
    <w:p w:rsidR="004D208E" w:rsidRDefault="00092131" w:rsidP="005921B0">
      <w:pPr>
        <w:pStyle w:val="af"/>
        <w:rPr>
          <w:u w:val="none"/>
          <w:rtl/>
        </w:rPr>
      </w:pPr>
      <w:r w:rsidRPr="00B117A4">
        <w:rPr>
          <w:rFonts w:hint="cs"/>
          <w:u w:val="none"/>
          <w:rtl/>
        </w:rPr>
        <w:t xml:space="preserve">לוח 1: </w:t>
      </w:r>
      <w:r w:rsidR="00054C99" w:rsidRPr="00B117A4">
        <w:rPr>
          <w:rFonts w:hint="cs"/>
          <w:u w:val="none"/>
          <w:rtl/>
        </w:rPr>
        <w:t xml:space="preserve">יתרות הנכסים וההתחייבויות </w:t>
      </w:r>
      <w:r w:rsidR="00DD2C6C" w:rsidRPr="00B117A4">
        <w:rPr>
          <w:rFonts w:hint="cs"/>
          <w:u w:val="none"/>
          <w:rtl/>
        </w:rPr>
        <w:t xml:space="preserve">של המשק מול חו"ל </w:t>
      </w:r>
      <w:r w:rsidR="00054C99" w:rsidRPr="00B117A4">
        <w:rPr>
          <w:rFonts w:hint="cs"/>
          <w:u w:val="none"/>
          <w:rtl/>
        </w:rPr>
        <w:t>והשינויים בהם</w:t>
      </w:r>
    </w:p>
    <w:p w:rsidR="008554AE" w:rsidRPr="008554AE" w:rsidRDefault="008E4BF0" w:rsidP="005921B0">
      <w:pPr>
        <w:pStyle w:val="af"/>
        <w:rPr>
          <w:u w:val="none"/>
          <w:rtl/>
        </w:rPr>
      </w:pPr>
      <w:r w:rsidRPr="008E4BF0">
        <w:rPr>
          <w:noProof/>
          <w:rtl/>
          <w:lang w:eastAsia="en-US"/>
        </w:rPr>
        <w:drawing>
          <wp:inline distT="0" distB="0" distL="0" distR="0" wp14:anchorId="5D2A5C77" wp14:editId="67ABFE62">
            <wp:extent cx="6210300" cy="2525686"/>
            <wp:effectExtent l="0" t="0" r="0" b="825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5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17" w:rsidRPr="00A53CC2" w:rsidRDefault="00AE1217" w:rsidP="005921B0">
      <w:pPr>
        <w:pStyle w:val="af"/>
        <w:rPr>
          <w:highlight w:val="yellow"/>
          <w:u w:val="none"/>
          <w:rtl/>
        </w:rPr>
      </w:pPr>
    </w:p>
    <w:p w:rsidR="00E95D04" w:rsidRPr="00CD5FF7" w:rsidRDefault="000447A6" w:rsidP="00E95D04">
      <w:pPr>
        <w:pStyle w:val="1"/>
        <w:rPr>
          <w:rStyle w:val="12"/>
          <w:b/>
          <w:bCs/>
          <w:u w:val="none"/>
          <w:rtl/>
        </w:rPr>
      </w:pPr>
      <w:r w:rsidRPr="00CD5FF7">
        <w:rPr>
          <w:rStyle w:val="12"/>
          <w:rFonts w:hint="cs"/>
          <w:b/>
          <w:bCs/>
          <w:u w:val="none"/>
          <w:rtl/>
        </w:rPr>
        <w:t>יתרת</w:t>
      </w:r>
      <w:r w:rsidR="00E95D04" w:rsidRPr="00CD5FF7">
        <w:rPr>
          <w:rStyle w:val="12"/>
          <w:rFonts w:hint="cs"/>
          <w:b/>
          <w:bCs/>
          <w:u w:val="none"/>
          <w:rtl/>
        </w:rPr>
        <w:t xml:space="preserve"> הנכסים של תושבי ישראל בחו"ל  </w:t>
      </w:r>
    </w:p>
    <w:p w:rsidR="00E6040F" w:rsidRPr="00E6040F" w:rsidRDefault="00E6040F" w:rsidP="00580593">
      <w:pPr>
        <w:spacing w:line="360" w:lineRule="auto"/>
        <w:ind w:right="426"/>
        <w:jc w:val="both"/>
        <w:rPr>
          <w:rFonts w:ascii="Arial" w:hAnsi="Arial" w:cs="David"/>
        </w:rPr>
      </w:pPr>
      <w:r w:rsidRPr="00E6040F">
        <w:rPr>
          <w:rFonts w:ascii="Arial" w:hAnsi="Arial" w:cs="David" w:hint="cs"/>
          <w:rtl/>
        </w:rPr>
        <w:t xml:space="preserve">יתרת הנכסים של תושבי ישראל בחו"ל </w:t>
      </w:r>
      <w:r w:rsidR="00924790">
        <w:rPr>
          <w:rFonts w:ascii="Arial" w:hAnsi="Arial" w:cs="David" w:hint="cs"/>
          <w:rtl/>
        </w:rPr>
        <w:t>ירדה</w:t>
      </w:r>
      <w:r w:rsidRPr="00E6040F">
        <w:rPr>
          <w:rFonts w:ascii="Arial" w:hAnsi="Arial" w:cs="David" w:hint="cs"/>
          <w:rtl/>
        </w:rPr>
        <w:t xml:space="preserve"> ברביע ה</w:t>
      </w:r>
      <w:r w:rsidR="00FB7A17">
        <w:rPr>
          <w:rFonts w:ascii="Arial" w:hAnsi="Arial" w:cs="David" w:hint="cs"/>
          <w:rtl/>
        </w:rPr>
        <w:t>ראשון</w:t>
      </w:r>
      <w:r w:rsidRPr="00E6040F">
        <w:rPr>
          <w:rFonts w:ascii="Arial" w:hAnsi="Arial" w:cs="David" w:hint="cs"/>
          <w:rtl/>
        </w:rPr>
        <w:t xml:space="preserve"> של </w:t>
      </w:r>
      <w:r w:rsidR="00FB7A17">
        <w:rPr>
          <w:rFonts w:ascii="Arial" w:hAnsi="Arial" w:cs="David" w:hint="cs"/>
          <w:rtl/>
        </w:rPr>
        <w:t>שנת 2020</w:t>
      </w:r>
      <w:r w:rsidRPr="00E6040F">
        <w:rPr>
          <w:rFonts w:ascii="Arial" w:hAnsi="Arial" w:cs="David" w:hint="cs"/>
          <w:rtl/>
        </w:rPr>
        <w:t xml:space="preserve"> בכ-</w:t>
      </w:r>
      <w:r w:rsidR="00F329BF">
        <w:rPr>
          <w:rFonts w:ascii="Arial" w:hAnsi="Arial" w:cs="David" w:hint="cs"/>
          <w:rtl/>
        </w:rPr>
        <w:t>21.3</w:t>
      </w:r>
      <w:r w:rsidRPr="00E6040F">
        <w:rPr>
          <w:rFonts w:ascii="Arial" w:hAnsi="Arial" w:cs="David" w:hint="cs"/>
          <w:rtl/>
        </w:rPr>
        <w:t xml:space="preserve"> מיליארדי דולרים (</w:t>
      </w:r>
      <w:r w:rsidR="00F329BF">
        <w:rPr>
          <w:rFonts w:ascii="Arial" w:hAnsi="Arial" w:cs="David" w:hint="cs"/>
          <w:rtl/>
        </w:rPr>
        <w:t>4.3</w:t>
      </w:r>
      <w:r w:rsidRPr="00E6040F">
        <w:rPr>
          <w:rFonts w:ascii="Arial" w:hAnsi="Arial" w:cs="David" w:hint="cs"/>
          <w:rtl/>
        </w:rPr>
        <w:t>%</w:t>
      </w:r>
      <w:r w:rsidR="00580593">
        <w:rPr>
          <w:rFonts w:ascii="Arial" w:hAnsi="Arial" w:cs="David" w:hint="cs"/>
          <w:rtl/>
        </w:rPr>
        <w:t>-</w:t>
      </w:r>
      <w:r w:rsidRPr="00E6040F">
        <w:rPr>
          <w:rFonts w:ascii="Arial" w:hAnsi="Arial" w:cs="David" w:hint="cs"/>
          <w:rtl/>
        </w:rPr>
        <w:t xml:space="preserve">) ועמדה בסוף </w:t>
      </w:r>
      <w:r w:rsidR="0071260A">
        <w:rPr>
          <w:rFonts w:ascii="Arial" w:hAnsi="Arial" w:cs="David" w:hint="cs"/>
          <w:rtl/>
        </w:rPr>
        <w:t>מרץ</w:t>
      </w:r>
      <w:r w:rsidRPr="00E6040F">
        <w:rPr>
          <w:rFonts w:ascii="Arial" w:hAnsi="Arial" w:cs="David" w:hint="cs"/>
          <w:rtl/>
        </w:rPr>
        <w:t xml:space="preserve"> על כ-</w:t>
      </w:r>
      <w:r w:rsidR="00F329BF">
        <w:rPr>
          <w:rFonts w:ascii="Arial" w:hAnsi="Arial" w:cs="David" w:hint="cs"/>
          <w:rtl/>
        </w:rPr>
        <w:t>476</w:t>
      </w:r>
      <w:r w:rsidRPr="00E6040F">
        <w:rPr>
          <w:rFonts w:ascii="Arial" w:hAnsi="Arial" w:cs="David" w:hint="cs"/>
          <w:rtl/>
        </w:rPr>
        <w:t xml:space="preserve"> מיליארדים. ה</w:t>
      </w:r>
      <w:r w:rsidR="00F329BF">
        <w:rPr>
          <w:rFonts w:ascii="Arial" w:hAnsi="Arial" w:cs="David" w:hint="cs"/>
          <w:rtl/>
        </w:rPr>
        <w:t>ירידה</w:t>
      </w:r>
      <w:r w:rsidRPr="00E6040F">
        <w:rPr>
          <w:rFonts w:ascii="Arial" w:hAnsi="Arial" w:cs="David" w:hint="cs"/>
          <w:rtl/>
        </w:rPr>
        <w:t xml:space="preserve"> ביתרה נבעה </w:t>
      </w:r>
      <w:r w:rsidR="00F329BF">
        <w:rPr>
          <w:rFonts w:ascii="Arial" w:hAnsi="Arial" w:cs="David" w:hint="cs"/>
          <w:rtl/>
        </w:rPr>
        <w:t>מירידה חדה במחירים</w:t>
      </w:r>
      <w:r w:rsidR="006F0654">
        <w:rPr>
          <w:rFonts w:ascii="Arial" w:hAnsi="Arial" w:cs="David" w:hint="cs"/>
          <w:rtl/>
        </w:rPr>
        <w:t xml:space="preserve"> </w:t>
      </w:r>
      <w:r w:rsidR="006F0654" w:rsidRPr="00E8538A">
        <w:rPr>
          <w:rFonts w:ascii="Arial" w:hAnsi="Arial" w:cs="David" w:hint="eastAsia"/>
          <w:rtl/>
        </w:rPr>
        <w:t>על</w:t>
      </w:r>
      <w:r w:rsidR="006F0654" w:rsidRPr="00E8538A">
        <w:rPr>
          <w:rFonts w:ascii="Arial" w:hAnsi="Arial" w:cs="David"/>
          <w:rtl/>
        </w:rPr>
        <w:t xml:space="preserve"> </w:t>
      </w:r>
      <w:r w:rsidR="006F0654" w:rsidRPr="00E8538A">
        <w:rPr>
          <w:rFonts w:ascii="Arial" w:hAnsi="Arial" w:cs="David" w:hint="eastAsia"/>
          <w:rtl/>
        </w:rPr>
        <w:t>רקע</w:t>
      </w:r>
      <w:r w:rsidR="006F0654" w:rsidRPr="00E8538A">
        <w:rPr>
          <w:rFonts w:ascii="Arial" w:hAnsi="Arial" w:cs="David"/>
          <w:rtl/>
        </w:rPr>
        <w:t xml:space="preserve"> </w:t>
      </w:r>
      <w:r w:rsidR="006F0654" w:rsidRPr="00E8538A">
        <w:rPr>
          <w:rFonts w:ascii="Arial" w:hAnsi="Arial" w:cs="David" w:hint="eastAsia"/>
          <w:rtl/>
        </w:rPr>
        <w:t>משבר</w:t>
      </w:r>
      <w:r w:rsidR="006F0654" w:rsidRPr="00E8538A">
        <w:rPr>
          <w:rFonts w:ascii="Arial" w:hAnsi="Arial" w:cs="David"/>
          <w:rtl/>
        </w:rPr>
        <w:t xml:space="preserve"> </w:t>
      </w:r>
      <w:r w:rsidR="006F0654" w:rsidRPr="00E8538A">
        <w:rPr>
          <w:rFonts w:ascii="Arial" w:hAnsi="Arial" w:cs="David" w:hint="eastAsia"/>
          <w:rtl/>
        </w:rPr>
        <w:t>הקורונה</w:t>
      </w:r>
      <w:r w:rsidR="004D43C0">
        <w:rPr>
          <w:rFonts w:ascii="Arial" w:hAnsi="Arial" w:cs="David" w:hint="cs"/>
          <w:rtl/>
        </w:rPr>
        <w:t xml:space="preserve">, </w:t>
      </w:r>
      <w:r w:rsidR="00F329BF">
        <w:rPr>
          <w:rFonts w:ascii="Arial" w:hAnsi="Arial" w:cs="David" w:hint="cs"/>
          <w:rtl/>
        </w:rPr>
        <w:t xml:space="preserve">בעיקר בהון מניות, בתיק </w:t>
      </w:r>
      <w:r w:rsidR="00580593">
        <w:rPr>
          <w:rFonts w:ascii="Arial" w:hAnsi="Arial" w:cs="David" w:hint="cs"/>
          <w:rtl/>
        </w:rPr>
        <w:t>ני</w:t>
      </w:r>
      <w:r w:rsidR="00F329BF">
        <w:rPr>
          <w:rFonts w:ascii="Arial" w:hAnsi="Arial" w:cs="David" w:hint="cs"/>
          <w:rtl/>
        </w:rPr>
        <w:t>"ע בחו"ל</w:t>
      </w:r>
      <w:r w:rsidR="00B509F1">
        <w:rPr>
          <w:rFonts w:ascii="Arial" w:hAnsi="Arial" w:cs="David" w:hint="cs"/>
          <w:rtl/>
        </w:rPr>
        <w:t>.</w:t>
      </w:r>
      <w:r w:rsidR="00F329BF">
        <w:rPr>
          <w:rFonts w:ascii="Arial" w:hAnsi="Arial" w:cs="David" w:hint="cs"/>
          <w:rtl/>
        </w:rPr>
        <w:t xml:space="preserve"> השפע</w:t>
      </w:r>
      <w:r w:rsidR="00897C20">
        <w:rPr>
          <w:rFonts w:ascii="Arial" w:hAnsi="Arial" w:cs="David" w:hint="cs"/>
          <w:rtl/>
        </w:rPr>
        <w:t>תה</w:t>
      </w:r>
      <w:r w:rsidR="00F329BF">
        <w:rPr>
          <w:rFonts w:ascii="Arial" w:hAnsi="Arial" w:cs="David" w:hint="cs"/>
          <w:rtl/>
        </w:rPr>
        <w:t xml:space="preserve"> של יריד</w:t>
      </w:r>
      <w:r w:rsidR="00897C20">
        <w:rPr>
          <w:rFonts w:ascii="Arial" w:hAnsi="Arial" w:cs="David" w:hint="cs"/>
          <w:rtl/>
        </w:rPr>
        <w:t>ת</w:t>
      </w:r>
      <w:r w:rsidR="00F329BF">
        <w:rPr>
          <w:rFonts w:ascii="Arial" w:hAnsi="Arial" w:cs="David" w:hint="cs"/>
          <w:rtl/>
        </w:rPr>
        <w:t xml:space="preserve"> </w:t>
      </w:r>
      <w:r w:rsidR="00897C20">
        <w:rPr>
          <w:rFonts w:ascii="Arial" w:hAnsi="Arial" w:cs="David" w:hint="cs"/>
          <w:rtl/>
        </w:rPr>
        <w:t>ה</w:t>
      </w:r>
      <w:r w:rsidR="00F329BF">
        <w:rPr>
          <w:rFonts w:ascii="Arial" w:hAnsi="Arial" w:cs="David" w:hint="cs"/>
          <w:rtl/>
        </w:rPr>
        <w:t xml:space="preserve">מחירים </w:t>
      </w:r>
      <w:r w:rsidR="00580593">
        <w:rPr>
          <w:rFonts w:ascii="Arial" w:hAnsi="Arial" w:cs="David" w:hint="cs"/>
          <w:rtl/>
        </w:rPr>
        <w:t xml:space="preserve">על </w:t>
      </w:r>
      <w:r w:rsidR="00897C20">
        <w:rPr>
          <w:rFonts w:ascii="Arial" w:hAnsi="Arial" w:cs="David" w:hint="cs"/>
          <w:rtl/>
        </w:rPr>
        <w:t xml:space="preserve">יתרת הנכסים בחו"ל, </w:t>
      </w:r>
      <w:r w:rsidR="00F329BF">
        <w:rPr>
          <w:rFonts w:ascii="Arial" w:hAnsi="Arial" w:cs="David" w:hint="cs"/>
          <w:rtl/>
        </w:rPr>
        <w:t>קו</w:t>
      </w:r>
      <w:r w:rsidR="00580593">
        <w:rPr>
          <w:rFonts w:ascii="Arial" w:hAnsi="Arial" w:cs="David" w:hint="cs"/>
          <w:rtl/>
        </w:rPr>
        <w:t>זז</w:t>
      </w:r>
      <w:r w:rsidR="00F329BF">
        <w:rPr>
          <w:rFonts w:ascii="Arial" w:hAnsi="Arial" w:cs="David" w:hint="cs"/>
          <w:rtl/>
        </w:rPr>
        <w:t>ה בחלקה ע"י זרם חיובי של השקעות אחרות בחו"ל.</w:t>
      </w:r>
    </w:p>
    <w:p w:rsidR="00CD5FF7" w:rsidRPr="00897C20" w:rsidRDefault="00CD5FF7" w:rsidP="0091695B">
      <w:pPr>
        <w:spacing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</w:p>
    <w:p w:rsidR="00D064D6" w:rsidRPr="0033717C" w:rsidRDefault="00B90A51" w:rsidP="007E5415">
      <w:pPr>
        <w:pStyle w:val="af7"/>
        <w:numPr>
          <w:ilvl w:val="0"/>
          <w:numId w:val="15"/>
        </w:numPr>
        <w:spacing w:line="360" w:lineRule="auto"/>
        <w:ind w:right="426"/>
        <w:jc w:val="both"/>
        <w:rPr>
          <w:rFonts w:ascii="Arial" w:hAnsi="Arial" w:cs="David"/>
          <w:rtl/>
        </w:rPr>
      </w:pPr>
      <w:r w:rsidRPr="0033717C">
        <w:rPr>
          <w:rStyle w:val="20"/>
          <w:rFonts w:hint="cs"/>
          <w:b/>
          <w:bCs/>
          <w:rtl/>
        </w:rPr>
        <w:t>שווי ההשקעות הישירות</w:t>
      </w:r>
      <w:r w:rsidRPr="0033717C">
        <w:rPr>
          <w:rFonts w:ascii="Arial" w:hAnsi="Arial" w:cs="David" w:hint="cs"/>
          <w:b/>
          <w:bCs/>
          <w:rtl/>
        </w:rPr>
        <w:t xml:space="preserve"> </w:t>
      </w:r>
      <w:r w:rsidR="00624395" w:rsidRPr="0033717C">
        <w:rPr>
          <w:rFonts w:ascii="Arial" w:hAnsi="Arial" w:cs="David" w:hint="cs"/>
          <w:rtl/>
        </w:rPr>
        <w:t xml:space="preserve">עלה במהלך הרביע </w:t>
      </w:r>
      <w:r w:rsidR="00B34352" w:rsidRPr="0033717C">
        <w:rPr>
          <w:rFonts w:ascii="Arial" w:hAnsi="Arial" w:cs="David" w:hint="cs"/>
          <w:rtl/>
        </w:rPr>
        <w:t>ה</w:t>
      </w:r>
      <w:r w:rsidR="00FB7A17">
        <w:rPr>
          <w:rFonts w:ascii="Arial" w:hAnsi="Arial" w:cs="David" w:hint="cs"/>
          <w:rtl/>
        </w:rPr>
        <w:t>ראשון</w:t>
      </w:r>
      <w:r w:rsidR="00624395" w:rsidRPr="0033717C">
        <w:rPr>
          <w:rFonts w:ascii="Arial" w:hAnsi="Arial" w:cs="David" w:hint="cs"/>
          <w:rtl/>
        </w:rPr>
        <w:t xml:space="preserve"> בכ-</w:t>
      </w:r>
      <w:r w:rsidR="00897C20">
        <w:rPr>
          <w:rFonts w:ascii="Arial" w:hAnsi="Arial" w:cs="David" w:hint="cs"/>
          <w:rtl/>
        </w:rPr>
        <w:t>0.9</w:t>
      </w:r>
      <w:r w:rsidR="00624395" w:rsidRPr="0033717C">
        <w:rPr>
          <w:rFonts w:ascii="Arial" w:hAnsi="Arial" w:cs="David" w:hint="cs"/>
          <w:rtl/>
        </w:rPr>
        <w:t xml:space="preserve"> מיליארד</w:t>
      </w:r>
      <w:r w:rsidR="00240AFA" w:rsidRPr="0033717C">
        <w:rPr>
          <w:rFonts w:ascii="Arial" w:hAnsi="Arial" w:cs="David" w:hint="cs"/>
          <w:rtl/>
        </w:rPr>
        <w:t xml:space="preserve"> דולר</w:t>
      </w:r>
      <w:r w:rsidR="00624395" w:rsidRPr="0033717C">
        <w:rPr>
          <w:rFonts w:ascii="Arial" w:hAnsi="Arial" w:cs="David" w:hint="cs"/>
          <w:rtl/>
        </w:rPr>
        <w:t xml:space="preserve"> (</w:t>
      </w:r>
      <w:r w:rsidR="00897C20">
        <w:rPr>
          <w:rFonts w:ascii="Arial" w:hAnsi="Arial" w:cs="David" w:hint="cs"/>
          <w:rtl/>
        </w:rPr>
        <w:t>0.8</w:t>
      </w:r>
      <w:r w:rsidR="00624395" w:rsidRPr="0033717C">
        <w:rPr>
          <w:rFonts w:ascii="Arial" w:hAnsi="Arial" w:cs="David" w:hint="cs"/>
          <w:rtl/>
        </w:rPr>
        <w:t>%) בעיקר כתוצאה מ</w:t>
      </w:r>
      <w:r w:rsidR="0018795A" w:rsidRPr="0033717C">
        <w:rPr>
          <w:rFonts w:ascii="Arial" w:hAnsi="Arial" w:cs="David" w:hint="cs"/>
          <w:rtl/>
        </w:rPr>
        <w:t xml:space="preserve">זרם </w:t>
      </w:r>
      <w:r w:rsidR="00624395" w:rsidRPr="0033717C">
        <w:rPr>
          <w:rFonts w:ascii="Arial" w:hAnsi="Arial" w:cs="David" w:hint="cs"/>
          <w:rtl/>
        </w:rPr>
        <w:t>השקעות ישירות נטו בהון מניות</w:t>
      </w:r>
      <w:r w:rsidR="00240AFA" w:rsidRPr="0033717C">
        <w:rPr>
          <w:rFonts w:ascii="Arial" w:hAnsi="Arial" w:cs="David" w:hint="cs"/>
          <w:rtl/>
        </w:rPr>
        <w:t xml:space="preserve"> </w:t>
      </w:r>
      <w:r w:rsidR="00624395" w:rsidRPr="0033717C">
        <w:rPr>
          <w:rFonts w:ascii="Arial" w:hAnsi="Arial" w:cs="David" w:hint="cs"/>
          <w:rtl/>
        </w:rPr>
        <w:t xml:space="preserve">בהיקף של </w:t>
      </w:r>
      <w:r w:rsidR="003D3D47" w:rsidRPr="0033717C">
        <w:rPr>
          <w:rFonts w:ascii="Arial" w:hAnsi="Arial" w:cs="David" w:hint="cs"/>
          <w:rtl/>
        </w:rPr>
        <w:t>כ-</w:t>
      </w:r>
      <w:r w:rsidR="00960F7B" w:rsidRPr="00AB5EBC">
        <w:rPr>
          <w:rFonts w:ascii="Arial" w:hAnsi="Arial" w:cs="David" w:hint="cs"/>
          <w:rtl/>
        </w:rPr>
        <w:t>1.</w:t>
      </w:r>
      <w:r w:rsidR="00897C20">
        <w:rPr>
          <w:rFonts w:ascii="Arial" w:hAnsi="Arial" w:cs="David" w:hint="cs"/>
          <w:rtl/>
        </w:rPr>
        <w:t>7</w:t>
      </w:r>
      <w:r w:rsidR="003D3D47" w:rsidRPr="0033717C">
        <w:rPr>
          <w:rFonts w:ascii="Arial" w:hAnsi="Arial" w:cs="David" w:hint="cs"/>
          <w:rtl/>
        </w:rPr>
        <w:t xml:space="preserve"> </w:t>
      </w:r>
      <w:r w:rsidR="00240AFA" w:rsidRPr="0033717C">
        <w:rPr>
          <w:rFonts w:ascii="Arial" w:hAnsi="Arial" w:cs="David" w:hint="cs"/>
          <w:rtl/>
        </w:rPr>
        <w:t>מיליארד</w:t>
      </w:r>
      <w:r w:rsidR="00D06DD7" w:rsidRPr="0033717C">
        <w:rPr>
          <w:rFonts w:ascii="Arial" w:hAnsi="Arial" w:cs="David" w:hint="cs"/>
          <w:rtl/>
        </w:rPr>
        <w:t>י</w:t>
      </w:r>
      <w:r w:rsidR="00240AFA" w:rsidRPr="0033717C">
        <w:rPr>
          <w:rFonts w:ascii="Arial" w:hAnsi="Arial" w:cs="David" w:hint="cs"/>
          <w:rtl/>
        </w:rPr>
        <w:t xml:space="preserve"> </w:t>
      </w:r>
      <w:r w:rsidR="00540A3F" w:rsidRPr="0033717C">
        <w:rPr>
          <w:rFonts w:ascii="Arial" w:hAnsi="Arial" w:cs="David" w:hint="cs"/>
          <w:rtl/>
        </w:rPr>
        <w:t xml:space="preserve">דולרים </w:t>
      </w:r>
      <w:r w:rsidR="00B34352" w:rsidRPr="0033717C">
        <w:rPr>
          <w:rFonts w:ascii="Arial" w:hAnsi="Arial" w:cs="David" w:hint="cs"/>
          <w:rtl/>
        </w:rPr>
        <w:t>(</w:t>
      </w:r>
      <w:r w:rsidR="007E5415">
        <w:rPr>
          <w:rFonts w:ascii="Arial" w:hAnsi="Arial" w:cs="David" w:hint="cs"/>
          <w:rtl/>
        </w:rPr>
        <w:t>1.5</w:t>
      </w:r>
      <w:r w:rsidR="00B34352" w:rsidRPr="0033717C">
        <w:rPr>
          <w:rFonts w:ascii="Arial" w:hAnsi="Arial" w:cs="David" w:hint="cs"/>
          <w:rtl/>
        </w:rPr>
        <w:t>%</w:t>
      </w:r>
      <w:r w:rsidR="00960F7B">
        <w:rPr>
          <w:rFonts w:ascii="Arial" w:hAnsi="Arial" w:cs="David" w:hint="cs"/>
          <w:rtl/>
        </w:rPr>
        <w:t xml:space="preserve"> מיתרת ההשקעות </w:t>
      </w:r>
      <w:r w:rsidR="007E5415">
        <w:rPr>
          <w:rFonts w:ascii="Arial" w:hAnsi="Arial" w:cs="David" w:hint="cs"/>
          <w:rtl/>
        </w:rPr>
        <w:t>ה</w:t>
      </w:r>
      <w:r w:rsidR="006B6098">
        <w:rPr>
          <w:rFonts w:ascii="Arial" w:hAnsi="Arial" w:cs="David" w:hint="cs"/>
          <w:rtl/>
        </w:rPr>
        <w:t>ישירות</w:t>
      </w:r>
      <w:r w:rsidR="00B34352" w:rsidRPr="0033717C">
        <w:rPr>
          <w:rFonts w:ascii="Arial" w:hAnsi="Arial" w:cs="David" w:hint="cs"/>
          <w:rtl/>
        </w:rPr>
        <w:t>)</w:t>
      </w:r>
      <w:r w:rsidR="00624395" w:rsidRPr="0033717C">
        <w:rPr>
          <w:rFonts w:ascii="Arial" w:hAnsi="Arial" w:cs="David" w:hint="cs"/>
          <w:rtl/>
        </w:rPr>
        <w:t>.</w:t>
      </w:r>
      <w:r w:rsidR="00AB6839">
        <w:rPr>
          <w:rFonts w:ascii="Arial" w:hAnsi="Arial" w:cs="David" w:hint="cs"/>
          <w:rtl/>
        </w:rPr>
        <w:t xml:space="preserve"> </w:t>
      </w:r>
    </w:p>
    <w:p w:rsidR="00637350" w:rsidRDefault="002216F2" w:rsidP="00325186">
      <w:pPr>
        <w:pStyle w:val="2"/>
        <w:ind w:left="720"/>
        <w:rPr>
          <w:rFonts w:ascii="Arial" w:hAnsi="Arial"/>
          <w:rtl/>
        </w:rPr>
      </w:pPr>
      <w:r w:rsidRPr="007108B0">
        <w:rPr>
          <w:rFonts w:hint="cs"/>
          <w:b/>
          <w:bCs/>
          <w:rtl/>
        </w:rPr>
        <w:t xml:space="preserve">שווי תיק </w:t>
      </w:r>
      <w:r w:rsidR="003624A8" w:rsidRPr="007108B0">
        <w:rPr>
          <w:rFonts w:hint="cs"/>
          <w:b/>
          <w:bCs/>
          <w:rtl/>
        </w:rPr>
        <w:t>ניירות הערך</w:t>
      </w:r>
      <w:r w:rsidRPr="007108B0">
        <w:rPr>
          <w:rFonts w:hint="cs"/>
          <w:rtl/>
        </w:rPr>
        <w:t xml:space="preserve"> </w:t>
      </w:r>
      <w:r w:rsidR="007E2B6A">
        <w:rPr>
          <w:rFonts w:hint="cs"/>
          <w:rtl/>
        </w:rPr>
        <w:t xml:space="preserve">ירד </w:t>
      </w:r>
      <w:r w:rsidRPr="007108B0">
        <w:rPr>
          <w:rFonts w:hint="cs"/>
          <w:rtl/>
        </w:rPr>
        <w:t>במהלך הרביע ה</w:t>
      </w:r>
      <w:r w:rsidR="007E2B6A">
        <w:rPr>
          <w:rFonts w:hint="cs"/>
          <w:rtl/>
        </w:rPr>
        <w:t>ראשון</w:t>
      </w:r>
      <w:r w:rsidRPr="007108B0">
        <w:rPr>
          <w:rFonts w:hint="cs"/>
          <w:rtl/>
        </w:rPr>
        <w:t xml:space="preserve"> בכ-</w:t>
      </w:r>
      <w:r w:rsidR="007E2B6A">
        <w:rPr>
          <w:rFonts w:hint="cs"/>
          <w:rtl/>
        </w:rPr>
        <w:t xml:space="preserve">28.8 </w:t>
      </w:r>
      <w:r w:rsidRPr="007108B0">
        <w:rPr>
          <w:rFonts w:hint="cs"/>
          <w:rtl/>
        </w:rPr>
        <w:t>מיליארדי דולרים (</w:t>
      </w:r>
      <w:r w:rsidR="007E2B6A">
        <w:rPr>
          <w:rFonts w:hint="cs"/>
          <w:rtl/>
        </w:rPr>
        <w:t>16</w:t>
      </w:r>
      <w:r w:rsidR="0033717C" w:rsidRPr="007108B0">
        <w:rPr>
          <w:rFonts w:hint="cs"/>
          <w:rtl/>
        </w:rPr>
        <w:t>.</w:t>
      </w:r>
      <w:r w:rsidR="007E2B6A">
        <w:rPr>
          <w:rFonts w:hint="cs"/>
          <w:rtl/>
        </w:rPr>
        <w:t>8</w:t>
      </w:r>
      <w:r w:rsidRPr="007108B0">
        <w:rPr>
          <w:rFonts w:hint="cs"/>
          <w:rtl/>
        </w:rPr>
        <w:t>%</w:t>
      </w:r>
      <w:r w:rsidR="007E5415">
        <w:rPr>
          <w:rFonts w:hint="cs"/>
          <w:rtl/>
        </w:rPr>
        <w:t>-</w:t>
      </w:r>
      <w:r w:rsidRPr="007108B0">
        <w:rPr>
          <w:rFonts w:hint="cs"/>
          <w:rtl/>
        </w:rPr>
        <w:t xml:space="preserve">) בעיקר כתוצאה </w:t>
      </w:r>
      <w:r w:rsidR="00AB5EBC">
        <w:rPr>
          <w:rFonts w:hint="cs"/>
          <w:rtl/>
        </w:rPr>
        <w:t xml:space="preserve"> </w:t>
      </w:r>
      <w:r w:rsidR="007E2B6A">
        <w:rPr>
          <w:rFonts w:hint="cs"/>
          <w:rtl/>
        </w:rPr>
        <w:t>מירידות</w:t>
      </w:r>
      <w:r w:rsidR="00AB5EBC" w:rsidRPr="007108B0">
        <w:rPr>
          <w:rFonts w:hint="cs"/>
          <w:rtl/>
        </w:rPr>
        <w:t xml:space="preserve"> במחירי המניות ו</w:t>
      </w:r>
      <w:r w:rsidR="00AB5EBC">
        <w:rPr>
          <w:rFonts w:hint="cs"/>
          <w:rtl/>
        </w:rPr>
        <w:t>א</w:t>
      </w:r>
      <w:r w:rsidR="00AB5EBC" w:rsidRPr="007108B0">
        <w:rPr>
          <w:rFonts w:hint="cs"/>
          <w:rtl/>
        </w:rPr>
        <w:t>ג"ח הזרות שמחזיקים תושבי ישראל</w:t>
      </w:r>
      <w:r w:rsidR="00AB5EBC">
        <w:rPr>
          <w:rFonts w:hint="cs"/>
          <w:rtl/>
        </w:rPr>
        <w:t>,</w:t>
      </w:r>
      <w:r w:rsidR="00AB5EBC" w:rsidRPr="007108B0">
        <w:rPr>
          <w:rFonts w:hint="cs"/>
          <w:rtl/>
        </w:rPr>
        <w:t xml:space="preserve"> בהיקף של כ- </w:t>
      </w:r>
      <w:r w:rsidR="007E2B6A">
        <w:rPr>
          <w:rFonts w:hint="cs"/>
          <w:rtl/>
        </w:rPr>
        <w:t>23.2</w:t>
      </w:r>
      <w:r w:rsidR="00AB5EBC" w:rsidRPr="007108B0">
        <w:rPr>
          <w:rFonts w:hint="cs"/>
          <w:rtl/>
        </w:rPr>
        <w:t xml:space="preserve"> </w:t>
      </w:r>
      <w:r w:rsidR="00AB5EBC">
        <w:rPr>
          <w:rFonts w:hint="cs"/>
          <w:rtl/>
        </w:rPr>
        <w:t>מיליארד</w:t>
      </w:r>
      <w:r w:rsidR="007E5415">
        <w:rPr>
          <w:rFonts w:hint="cs"/>
          <w:rtl/>
        </w:rPr>
        <w:t>י דולרים</w:t>
      </w:r>
      <w:r w:rsidR="00AB5EBC" w:rsidRPr="007108B0">
        <w:rPr>
          <w:rFonts w:hint="cs"/>
          <w:rtl/>
        </w:rPr>
        <w:t xml:space="preserve"> (</w:t>
      </w:r>
      <w:r w:rsidR="007E5415">
        <w:rPr>
          <w:rFonts w:ascii="David" w:hAnsi="David"/>
        </w:rPr>
        <w:t>-</w:t>
      </w:r>
      <w:r w:rsidR="003E4F33">
        <w:rPr>
          <w:rFonts w:ascii="David" w:hAnsi="David"/>
        </w:rPr>
        <w:t>23.3</w:t>
      </w:r>
      <w:r w:rsidR="00AB5EBC" w:rsidRPr="000D1252">
        <w:rPr>
          <w:rFonts w:ascii="David" w:hAnsi="David"/>
        </w:rPr>
        <w:t>%</w:t>
      </w:r>
      <w:r w:rsidR="007E5415">
        <w:rPr>
          <w:rFonts w:ascii="David" w:hAnsi="David" w:hint="cs"/>
          <w:rtl/>
        </w:rPr>
        <w:t xml:space="preserve"> מיתרת ההשקעות הפיננסיות</w:t>
      </w:r>
      <w:r w:rsidR="002E49B0">
        <w:rPr>
          <w:rFonts w:ascii="David" w:hAnsi="David" w:hint="cs"/>
          <w:rtl/>
        </w:rPr>
        <w:t xml:space="preserve"> </w:t>
      </w:r>
      <w:r w:rsidR="003E4F33">
        <w:rPr>
          <w:rFonts w:ascii="David" w:hAnsi="David" w:hint="cs"/>
          <w:rtl/>
        </w:rPr>
        <w:t>במניות</w:t>
      </w:r>
      <w:r w:rsidR="00AB5EBC" w:rsidRPr="000D1252">
        <w:rPr>
          <w:rFonts w:ascii="David" w:hAnsi="David"/>
          <w:rtl/>
        </w:rPr>
        <w:t xml:space="preserve">) </w:t>
      </w:r>
      <w:r w:rsidR="00AB5EBC" w:rsidRPr="007108B0">
        <w:rPr>
          <w:rFonts w:hint="cs"/>
          <w:rtl/>
        </w:rPr>
        <w:t>וכ-</w:t>
      </w:r>
      <w:r w:rsidR="007E2B6A">
        <w:t>3.8</w:t>
      </w:r>
      <w:r w:rsidR="00AB5EBC" w:rsidRPr="007108B0">
        <w:rPr>
          <w:rFonts w:hint="cs"/>
          <w:rtl/>
        </w:rPr>
        <w:t xml:space="preserve"> מיליארדים (</w:t>
      </w:r>
      <w:r w:rsidR="006B6A13">
        <w:rPr>
          <w:rFonts w:ascii="David" w:hAnsi="David"/>
        </w:rPr>
        <w:t>-</w:t>
      </w:r>
      <w:r w:rsidR="003E4F33">
        <w:rPr>
          <w:rFonts w:ascii="David" w:hAnsi="David"/>
        </w:rPr>
        <w:t>5.3%</w:t>
      </w:r>
      <w:r w:rsidR="00AB5EBC" w:rsidRPr="007108B0">
        <w:rPr>
          <w:rFonts w:hint="cs"/>
          <w:rtl/>
        </w:rPr>
        <w:t>), בהתאמה</w:t>
      </w:r>
      <w:r w:rsidR="00325186">
        <w:rPr>
          <w:rFonts w:hint="cs"/>
          <w:rtl/>
        </w:rPr>
        <w:t>,</w:t>
      </w:r>
      <w:r w:rsidR="00536949">
        <w:rPr>
          <w:rFonts w:hint="cs"/>
          <w:rtl/>
        </w:rPr>
        <w:t xml:space="preserve"> </w:t>
      </w:r>
      <w:r w:rsidR="006F0654">
        <w:rPr>
          <w:rFonts w:hint="cs"/>
          <w:rtl/>
        </w:rPr>
        <w:t xml:space="preserve"> </w:t>
      </w:r>
      <w:r w:rsidR="006F0654" w:rsidRPr="003E4F33">
        <w:rPr>
          <w:rFonts w:hint="cs"/>
          <w:rtl/>
        </w:rPr>
        <w:t>ז</w:t>
      </w:r>
      <w:r w:rsidR="006F0654" w:rsidRPr="00E8538A">
        <w:rPr>
          <w:rFonts w:hint="eastAsia"/>
          <w:rtl/>
        </w:rPr>
        <w:t>את</w:t>
      </w:r>
      <w:r w:rsidR="006F0654" w:rsidRPr="00E8538A">
        <w:rPr>
          <w:rtl/>
        </w:rPr>
        <w:t xml:space="preserve"> </w:t>
      </w:r>
      <w:r w:rsidR="006F0654" w:rsidRPr="00E8538A">
        <w:rPr>
          <w:rFonts w:hint="eastAsia"/>
          <w:rtl/>
        </w:rPr>
        <w:t>על</w:t>
      </w:r>
      <w:r w:rsidR="006F0654" w:rsidRPr="00E8538A">
        <w:rPr>
          <w:rtl/>
        </w:rPr>
        <w:t xml:space="preserve"> </w:t>
      </w:r>
      <w:r w:rsidR="006F0654" w:rsidRPr="00E8538A">
        <w:rPr>
          <w:rFonts w:hint="eastAsia"/>
          <w:rtl/>
        </w:rPr>
        <w:t>רקע</w:t>
      </w:r>
      <w:r w:rsidR="006F0654" w:rsidRPr="00E8538A">
        <w:rPr>
          <w:rtl/>
        </w:rPr>
        <w:t xml:space="preserve"> </w:t>
      </w:r>
      <w:r w:rsidR="006F0654" w:rsidRPr="00E8538A">
        <w:rPr>
          <w:rFonts w:hint="eastAsia"/>
          <w:rtl/>
        </w:rPr>
        <w:t>משבר</w:t>
      </w:r>
      <w:r w:rsidR="006F0654" w:rsidRPr="00E8538A">
        <w:rPr>
          <w:rtl/>
        </w:rPr>
        <w:t xml:space="preserve"> </w:t>
      </w:r>
      <w:r w:rsidR="006F0654" w:rsidRPr="00637350">
        <w:rPr>
          <w:rFonts w:hint="eastAsia"/>
          <w:rtl/>
        </w:rPr>
        <w:t>הקורונה</w:t>
      </w:r>
      <w:r w:rsidR="00AB5EBC" w:rsidRPr="00637350">
        <w:rPr>
          <w:rFonts w:ascii="Arial" w:hAnsi="Arial" w:hint="cs"/>
          <w:rtl/>
        </w:rPr>
        <w:t xml:space="preserve">. </w:t>
      </w:r>
    </w:p>
    <w:p w:rsidR="002216F2" w:rsidRPr="007108B0" w:rsidRDefault="00AB5EBC" w:rsidP="006B6A13">
      <w:pPr>
        <w:pStyle w:val="2"/>
        <w:ind w:left="720"/>
        <w:rPr>
          <w:rtl/>
        </w:rPr>
      </w:pPr>
      <w:r w:rsidRPr="00637350">
        <w:rPr>
          <w:rFonts w:ascii="Arial" w:hAnsi="Arial" w:hint="cs"/>
          <w:rtl/>
        </w:rPr>
        <w:t xml:space="preserve">כמו </w:t>
      </w:r>
      <w:r>
        <w:rPr>
          <w:rFonts w:ascii="Arial" w:hAnsi="Arial" w:hint="cs"/>
          <w:rtl/>
        </w:rPr>
        <w:t xml:space="preserve">כן, </w:t>
      </w:r>
      <w:r w:rsidR="007E5415">
        <w:rPr>
          <w:rFonts w:ascii="Arial" w:hAnsi="Arial" w:hint="cs"/>
          <w:rtl/>
        </w:rPr>
        <w:t xml:space="preserve">לירידה </w:t>
      </w:r>
      <w:r w:rsidR="006B6098">
        <w:rPr>
          <w:rFonts w:ascii="Arial" w:hAnsi="Arial" w:hint="cs"/>
          <w:rtl/>
        </w:rPr>
        <w:t xml:space="preserve">בשווי </w:t>
      </w:r>
      <w:r w:rsidR="007E5415">
        <w:rPr>
          <w:rFonts w:ascii="Arial" w:hAnsi="Arial" w:hint="cs"/>
          <w:rtl/>
        </w:rPr>
        <w:t>ה</w:t>
      </w:r>
      <w:r w:rsidR="006B6098">
        <w:rPr>
          <w:rFonts w:ascii="Arial" w:hAnsi="Arial" w:hint="cs"/>
          <w:rtl/>
        </w:rPr>
        <w:t xml:space="preserve">תיק </w:t>
      </w:r>
      <w:r w:rsidR="007E5415">
        <w:rPr>
          <w:rFonts w:ascii="Arial" w:hAnsi="Arial" w:hint="cs"/>
          <w:rtl/>
        </w:rPr>
        <w:t xml:space="preserve">תרמו </w:t>
      </w:r>
      <w:r w:rsidR="0066592D" w:rsidRPr="00AB5EBC">
        <w:rPr>
          <w:rFonts w:ascii="Arial" w:hAnsi="Arial" w:hint="cs"/>
          <w:rtl/>
        </w:rPr>
        <w:t>מ</w:t>
      </w:r>
      <w:r w:rsidR="007E2B6A">
        <w:rPr>
          <w:rFonts w:ascii="Arial" w:hAnsi="Arial" w:hint="cs"/>
          <w:rtl/>
        </w:rPr>
        <w:t>ימושים</w:t>
      </w:r>
      <w:r w:rsidR="007E5415">
        <w:rPr>
          <w:rFonts w:ascii="Arial" w:hAnsi="Arial" w:hint="cs"/>
          <w:rtl/>
        </w:rPr>
        <w:t xml:space="preserve"> נטו</w:t>
      </w:r>
      <w:r w:rsidR="002E49B0">
        <w:rPr>
          <w:rFonts w:ascii="Arial" w:hAnsi="Arial" w:hint="cs"/>
          <w:rtl/>
        </w:rPr>
        <w:t xml:space="preserve"> בסך של כ-1.5 מיליארדי דולרים</w:t>
      </w:r>
      <w:r w:rsidR="002E49B0">
        <w:rPr>
          <w:rFonts w:ascii="Arial" w:hAnsi="Arial"/>
        </w:rPr>
        <w:t>;</w:t>
      </w:r>
      <w:r w:rsidR="0066592D" w:rsidRPr="00AB5EBC">
        <w:rPr>
          <w:rFonts w:ascii="Arial" w:hAnsi="Arial" w:hint="cs"/>
          <w:rtl/>
        </w:rPr>
        <w:t xml:space="preserve"> </w:t>
      </w:r>
      <w:r w:rsidR="002E49B0">
        <w:rPr>
          <w:rFonts w:ascii="Arial" w:hAnsi="Arial" w:hint="cs"/>
          <w:rtl/>
        </w:rPr>
        <w:t xml:space="preserve">מימושים נטו </w:t>
      </w:r>
      <w:r w:rsidR="007E2B6A">
        <w:rPr>
          <w:rFonts w:ascii="Arial" w:hAnsi="Arial" w:hint="cs"/>
          <w:rtl/>
        </w:rPr>
        <w:t>של אג"ח זר</w:t>
      </w:r>
      <w:r w:rsidR="007E5415">
        <w:rPr>
          <w:rFonts w:ascii="Arial" w:hAnsi="Arial" w:hint="cs"/>
          <w:rtl/>
        </w:rPr>
        <w:t>ות</w:t>
      </w:r>
      <w:r w:rsidR="0066592D">
        <w:rPr>
          <w:rFonts w:hint="cs"/>
          <w:rtl/>
        </w:rPr>
        <w:t xml:space="preserve"> </w:t>
      </w:r>
      <w:r w:rsidR="0066592D" w:rsidRPr="007108B0">
        <w:rPr>
          <w:rFonts w:hint="cs"/>
          <w:rtl/>
        </w:rPr>
        <w:t xml:space="preserve">בהיקף של כ- </w:t>
      </w:r>
      <w:r w:rsidR="005C1533">
        <w:rPr>
          <w:rFonts w:hint="cs"/>
          <w:rtl/>
        </w:rPr>
        <w:t>4.4</w:t>
      </w:r>
      <w:r w:rsidR="0066592D" w:rsidRPr="007108B0">
        <w:rPr>
          <w:rFonts w:hint="cs"/>
          <w:rtl/>
        </w:rPr>
        <w:t xml:space="preserve"> מיליארדים </w:t>
      </w:r>
      <w:r w:rsidR="002E49B0">
        <w:rPr>
          <w:rFonts w:hint="cs"/>
          <w:rtl/>
        </w:rPr>
        <w:t>ש</w:t>
      </w:r>
      <w:r w:rsidR="007E5415">
        <w:rPr>
          <w:rFonts w:hint="cs"/>
          <w:rtl/>
        </w:rPr>
        <w:t>קוזז</w:t>
      </w:r>
      <w:r w:rsidR="006F0654">
        <w:rPr>
          <w:rFonts w:hint="cs"/>
          <w:rtl/>
        </w:rPr>
        <w:t>ו</w:t>
      </w:r>
      <w:r w:rsidR="007E5415">
        <w:rPr>
          <w:rFonts w:hint="cs"/>
          <w:rtl/>
        </w:rPr>
        <w:t xml:space="preserve"> בחלקם על ידי </w:t>
      </w:r>
      <w:r w:rsidR="005C1533">
        <w:rPr>
          <w:rFonts w:hint="cs"/>
          <w:rtl/>
        </w:rPr>
        <w:t xml:space="preserve">זרם השקעות </w:t>
      </w:r>
      <w:r w:rsidR="00020B99" w:rsidRPr="007108B0">
        <w:rPr>
          <w:rFonts w:hint="cs"/>
          <w:rtl/>
        </w:rPr>
        <w:t xml:space="preserve">נטו </w:t>
      </w:r>
      <w:r w:rsidR="005C1533">
        <w:rPr>
          <w:rFonts w:hint="cs"/>
          <w:rtl/>
        </w:rPr>
        <w:t>במניות</w:t>
      </w:r>
      <w:r w:rsidR="00020B99" w:rsidRPr="007108B0">
        <w:rPr>
          <w:rFonts w:hint="cs"/>
          <w:rtl/>
        </w:rPr>
        <w:t xml:space="preserve"> זרות בהיקף של כ-</w:t>
      </w:r>
      <w:r w:rsidR="005C1533">
        <w:rPr>
          <w:rFonts w:hint="cs"/>
          <w:rtl/>
        </w:rPr>
        <w:t>2.9</w:t>
      </w:r>
      <w:r w:rsidR="0033717C" w:rsidRPr="007108B0">
        <w:rPr>
          <w:rFonts w:hint="cs"/>
          <w:rtl/>
        </w:rPr>
        <w:t xml:space="preserve"> </w:t>
      </w:r>
      <w:r w:rsidR="00020B99" w:rsidRPr="007108B0">
        <w:rPr>
          <w:rFonts w:hint="cs"/>
          <w:rtl/>
        </w:rPr>
        <w:t>מיליארדי דולרים</w:t>
      </w:r>
      <w:r w:rsidR="007A7FAC">
        <w:rPr>
          <w:rFonts w:hint="cs"/>
          <w:rtl/>
        </w:rPr>
        <w:t>.</w:t>
      </w:r>
      <w:r w:rsidR="002E49B0">
        <w:rPr>
          <w:rFonts w:hint="cs"/>
          <w:rtl/>
        </w:rPr>
        <w:t xml:space="preserve"> עיקר המימושים בוצעו ע"י</w:t>
      </w:r>
      <w:r w:rsidR="006B6A13" w:rsidRPr="006B6A13">
        <w:rPr>
          <w:rFonts w:hint="cs"/>
          <w:rtl/>
        </w:rPr>
        <w:t xml:space="preserve"> </w:t>
      </w:r>
      <w:r w:rsidR="006B6A13">
        <w:rPr>
          <w:rFonts w:hint="cs"/>
          <w:rtl/>
        </w:rPr>
        <w:t>משקי הבית והבנקים, (כ-3.6 מיליארדי דולרים</w:t>
      </w:r>
      <w:r w:rsidR="00637350">
        <w:rPr>
          <w:rFonts w:hint="cs"/>
          <w:rtl/>
        </w:rPr>
        <w:t xml:space="preserve"> </w:t>
      </w:r>
      <w:r w:rsidR="006B6A13">
        <w:rPr>
          <w:rFonts w:hint="cs"/>
          <w:rtl/>
        </w:rPr>
        <w:t xml:space="preserve">ו-3.4 מיליארדים, בהתאמה) בעוד המשקיעים המוסדיים השקיעו נטו סך של כ-5.3 מיליארדי דולרים במהלך הרביע . </w:t>
      </w:r>
      <w:r w:rsidR="006B6A13" w:rsidRPr="007A7FAC">
        <w:rPr>
          <w:rFonts w:hint="cs"/>
          <w:rtl/>
        </w:rPr>
        <w:t>(תרשים 1)</w:t>
      </w:r>
    </w:p>
    <w:p w:rsidR="00933151" w:rsidRDefault="00E8538A" w:rsidP="00E8538A">
      <w:pPr>
        <w:pStyle w:val="2"/>
        <w:ind w:left="720"/>
        <w:rPr>
          <w:noProof/>
          <w:rtl/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4BCBA012">
            <wp:extent cx="4019369" cy="2734883"/>
            <wp:effectExtent l="0" t="0" r="635" b="889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642" cy="2762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799" w:rsidRDefault="00FB1799" w:rsidP="00700C9B">
      <w:pPr>
        <w:pStyle w:val="2"/>
        <w:rPr>
          <w:highlight w:val="yellow"/>
          <w:rtl/>
        </w:rPr>
      </w:pPr>
    </w:p>
    <w:p w:rsidR="009F633E" w:rsidRPr="009F633E" w:rsidRDefault="00E95D04" w:rsidP="006B6A13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Style w:val="20"/>
          <w:rFonts w:ascii="Arial" w:hAnsi="Arial"/>
        </w:rPr>
      </w:pPr>
      <w:r w:rsidRPr="009F633E">
        <w:rPr>
          <w:rStyle w:val="20"/>
          <w:rFonts w:hint="cs"/>
          <w:b/>
          <w:bCs/>
          <w:rtl/>
        </w:rPr>
        <w:t>שווי ההשקעות האחרות</w:t>
      </w:r>
      <w:r w:rsidRPr="009F633E">
        <w:rPr>
          <w:rFonts w:ascii="Arial" w:hAnsi="Arial" w:cs="David" w:hint="cs"/>
          <w:b/>
          <w:bCs/>
          <w:rtl/>
        </w:rPr>
        <w:t xml:space="preserve"> </w:t>
      </w:r>
      <w:r w:rsidRPr="009F633E">
        <w:rPr>
          <w:rFonts w:ascii="Arial" w:hAnsi="Arial" w:cs="David" w:hint="cs"/>
          <w:rtl/>
        </w:rPr>
        <w:t xml:space="preserve">בחו"ל </w:t>
      </w:r>
      <w:r w:rsidR="006770C0">
        <w:rPr>
          <w:rFonts w:ascii="Arial" w:hAnsi="Arial" w:cs="David" w:hint="cs"/>
          <w:rtl/>
        </w:rPr>
        <w:t>עלה</w:t>
      </w:r>
      <w:r w:rsidR="00B3376B" w:rsidRPr="009F633E">
        <w:rPr>
          <w:rFonts w:ascii="Arial" w:hAnsi="Arial" w:cs="David" w:hint="cs"/>
          <w:rtl/>
        </w:rPr>
        <w:t xml:space="preserve"> במהלך</w:t>
      </w:r>
      <w:r w:rsidRPr="009F633E">
        <w:rPr>
          <w:rFonts w:ascii="Arial" w:hAnsi="Arial" w:cs="David" w:hint="cs"/>
          <w:rtl/>
        </w:rPr>
        <w:t xml:space="preserve"> </w:t>
      </w:r>
      <w:r w:rsidR="00B3376B" w:rsidRPr="009F633E">
        <w:rPr>
          <w:rFonts w:ascii="Arial" w:hAnsi="Arial" w:cs="David" w:hint="cs"/>
          <w:rtl/>
        </w:rPr>
        <w:t>ה</w:t>
      </w:r>
      <w:r w:rsidRPr="009F633E">
        <w:rPr>
          <w:rFonts w:ascii="Arial" w:hAnsi="Arial" w:cs="David" w:hint="cs"/>
          <w:rtl/>
        </w:rPr>
        <w:t xml:space="preserve">רביע </w:t>
      </w:r>
      <w:r w:rsidR="002A768F" w:rsidRPr="009F633E">
        <w:rPr>
          <w:rFonts w:ascii="Arial" w:hAnsi="Arial" w:cs="David" w:hint="cs"/>
          <w:rtl/>
        </w:rPr>
        <w:t>ה</w:t>
      </w:r>
      <w:r w:rsidR="00FB7A17">
        <w:rPr>
          <w:rFonts w:ascii="Arial" w:hAnsi="Arial" w:cs="David" w:hint="cs"/>
          <w:rtl/>
        </w:rPr>
        <w:t>ראשון</w:t>
      </w:r>
      <w:r w:rsidR="006F0654">
        <w:rPr>
          <w:rFonts w:ascii="Arial" w:hAnsi="Arial" w:cs="David" w:hint="cs"/>
          <w:rtl/>
        </w:rPr>
        <w:t xml:space="preserve"> </w:t>
      </w:r>
      <w:proofErr w:type="spellStart"/>
      <w:r w:rsidR="006F0654">
        <w:rPr>
          <w:rFonts w:ascii="Arial" w:hAnsi="Arial" w:cs="David" w:hint="cs"/>
          <w:rtl/>
        </w:rPr>
        <w:t>ב</w:t>
      </w:r>
      <w:r w:rsidR="009E585A">
        <w:rPr>
          <w:rFonts w:ascii="Arial" w:hAnsi="Arial" w:cs="David" w:hint="cs"/>
          <w:rtl/>
        </w:rPr>
        <w:t>כ</w:t>
      </w:r>
      <w:proofErr w:type="spellEnd"/>
      <w:r w:rsidR="009E585A">
        <w:rPr>
          <w:rFonts w:ascii="Arial" w:hAnsi="Arial" w:cs="David" w:hint="cs"/>
          <w:rtl/>
        </w:rPr>
        <w:t>-</w:t>
      </w:r>
      <w:r w:rsidR="00FF172B">
        <w:rPr>
          <w:rFonts w:ascii="David" w:hAnsi="David" w:cs="David"/>
        </w:rPr>
        <w:t>7.6</w:t>
      </w:r>
      <w:r w:rsidR="009F633E" w:rsidRPr="009F633E">
        <w:rPr>
          <w:rFonts w:ascii="Arial" w:hAnsi="Arial" w:cs="David" w:hint="cs"/>
          <w:rtl/>
        </w:rPr>
        <w:t xml:space="preserve"> </w:t>
      </w:r>
      <w:r w:rsidR="00B3376B" w:rsidRPr="009F633E">
        <w:rPr>
          <w:rFonts w:ascii="Arial" w:hAnsi="Arial" w:cs="David" w:hint="cs"/>
          <w:rtl/>
        </w:rPr>
        <w:t>מיליארדי דולרים</w:t>
      </w:r>
      <w:r w:rsidR="009E585A">
        <w:rPr>
          <w:rFonts w:ascii="Arial" w:hAnsi="Arial" w:cs="David" w:hint="cs"/>
          <w:rtl/>
        </w:rPr>
        <w:t xml:space="preserve"> </w:t>
      </w:r>
      <w:r w:rsidR="00B3376B" w:rsidRPr="009F633E">
        <w:rPr>
          <w:rFonts w:ascii="Arial" w:hAnsi="Arial" w:cs="David" w:hint="cs"/>
          <w:rtl/>
        </w:rPr>
        <w:t>(</w:t>
      </w:r>
      <w:r w:rsidR="006770C0">
        <w:rPr>
          <w:rFonts w:ascii="Arial" w:hAnsi="Arial" w:cs="David" w:hint="cs"/>
          <w:rtl/>
        </w:rPr>
        <w:t>8.</w:t>
      </w:r>
      <w:r w:rsidR="00FF172B">
        <w:rPr>
          <w:rFonts w:ascii="Arial" w:hAnsi="Arial" w:cs="David" w:hint="cs"/>
          <w:rtl/>
        </w:rPr>
        <w:t>6</w:t>
      </w:r>
      <w:r w:rsidR="006770C0">
        <w:rPr>
          <w:rFonts w:ascii="Arial" w:hAnsi="Arial" w:cs="David" w:hint="cs"/>
          <w:rtl/>
        </w:rPr>
        <w:t>%</w:t>
      </w:r>
      <w:r w:rsidR="00B3376B" w:rsidRPr="009F633E">
        <w:rPr>
          <w:rFonts w:ascii="Arial" w:hAnsi="Arial" w:cs="David" w:hint="cs"/>
          <w:rtl/>
        </w:rPr>
        <w:t>)</w:t>
      </w:r>
      <w:r w:rsidR="009265CF" w:rsidRPr="009F633E">
        <w:rPr>
          <w:rFonts w:ascii="Arial" w:hAnsi="Arial" w:cs="David" w:hint="cs"/>
          <w:rtl/>
        </w:rPr>
        <w:t xml:space="preserve">. </w:t>
      </w:r>
      <w:r w:rsidR="009F633E" w:rsidRPr="009F633E">
        <w:rPr>
          <w:rFonts w:ascii="Arial" w:hAnsi="Arial" w:cs="David" w:hint="cs"/>
          <w:rtl/>
        </w:rPr>
        <w:t>ה</w:t>
      </w:r>
      <w:r w:rsidR="00F337FE">
        <w:rPr>
          <w:rFonts w:ascii="Arial" w:hAnsi="Arial" w:cs="David" w:hint="cs"/>
          <w:rtl/>
        </w:rPr>
        <w:t>עלייה</w:t>
      </w:r>
      <w:r w:rsidR="00891003">
        <w:rPr>
          <w:rFonts w:ascii="Arial" w:hAnsi="Arial" w:cs="David" w:hint="cs"/>
          <w:rtl/>
        </w:rPr>
        <w:t xml:space="preserve"> נבע</w:t>
      </w:r>
      <w:r w:rsidR="0030441C">
        <w:rPr>
          <w:rFonts w:ascii="Arial" w:hAnsi="Arial" w:cs="David" w:hint="cs"/>
          <w:rtl/>
        </w:rPr>
        <w:t>ה</w:t>
      </w:r>
      <w:r w:rsidR="009265CF" w:rsidRPr="009F633E">
        <w:rPr>
          <w:rFonts w:ascii="Arial" w:hAnsi="Arial" w:cs="David" w:hint="cs"/>
          <w:rtl/>
        </w:rPr>
        <w:t xml:space="preserve"> בעיקר</w:t>
      </w:r>
      <w:r w:rsidR="009F633E" w:rsidRPr="009F633E">
        <w:rPr>
          <w:rFonts w:ascii="Arial" w:hAnsi="Arial" w:cs="David" w:hint="cs"/>
          <w:rtl/>
        </w:rPr>
        <w:t xml:space="preserve"> </w:t>
      </w:r>
      <w:r w:rsidR="00FF172B">
        <w:rPr>
          <w:rFonts w:ascii="Arial" w:hAnsi="Arial" w:cs="David" w:hint="cs"/>
          <w:rtl/>
        </w:rPr>
        <w:t>מזרם ה</w:t>
      </w:r>
      <w:r w:rsidR="0030441C">
        <w:rPr>
          <w:rFonts w:ascii="Arial" w:hAnsi="Arial" w:cs="David" w:hint="cs"/>
          <w:rtl/>
        </w:rPr>
        <w:t xml:space="preserve">פקדות נטו של בנקים ישראליים </w:t>
      </w:r>
      <w:r w:rsidR="00FF172B">
        <w:rPr>
          <w:rFonts w:ascii="Arial" w:hAnsi="Arial" w:cs="David" w:hint="cs"/>
          <w:rtl/>
        </w:rPr>
        <w:t xml:space="preserve">בפיקדונות בחו"ל </w:t>
      </w:r>
      <w:r w:rsidR="006B6A13">
        <w:rPr>
          <w:rFonts w:ascii="Arial" w:hAnsi="Arial" w:cs="David" w:hint="cs"/>
          <w:rtl/>
        </w:rPr>
        <w:t>ב</w:t>
      </w:r>
      <w:r w:rsidR="00FF172B">
        <w:rPr>
          <w:rFonts w:ascii="Arial" w:hAnsi="Arial" w:cs="David" w:hint="cs"/>
          <w:rtl/>
        </w:rPr>
        <w:t>סך</w:t>
      </w:r>
      <w:r w:rsidR="006B6A13">
        <w:rPr>
          <w:rFonts w:ascii="Arial" w:hAnsi="Arial" w:cs="David" w:hint="cs"/>
          <w:rtl/>
        </w:rPr>
        <w:t xml:space="preserve"> של</w:t>
      </w:r>
      <w:r w:rsidR="00FF172B">
        <w:rPr>
          <w:rFonts w:ascii="Arial" w:hAnsi="Arial" w:cs="David" w:hint="cs"/>
          <w:rtl/>
        </w:rPr>
        <w:t xml:space="preserve"> 4.8</w:t>
      </w:r>
      <w:r w:rsidR="0030441C">
        <w:rPr>
          <w:rFonts w:ascii="Arial" w:hAnsi="Arial" w:cs="David" w:hint="cs"/>
          <w:rtl/>
        </w:rPr>
        <w:t xml:space="preserve"> מיליארדי דולרים.  לעל</w:t>
      </w:r>
      <w:r w:rsidR="006F0654">
        <w:rPr>
          <w:rFonts w:ascii="Arial" w:hAnsi="Arial" w:cs="David" w:hint="cs"/>
          <w:rtl/>
        </w:rPr>
        <w:t xml:space="preserve">ייה ביתרת ההשקעות האחרות תרם גם </w:t>
      </w:r>
      <w:r w:rsidR="0030441C">
        <w:rPr>
          <w:rFonts w:ascii="Arial" w:hAnsi="Arial" w:cs="David" w:hint="cs"/>
          <w:rtl/>
        </w:rPr>
        <w:t>זרם</w:t>
      </w:r>
      <w:r w:rsidR="00FF172B">
        <w:rPr>
          <w:rFonts w:ascii="Arial" w:hAnsi="Arial" w:cs="David" w:hint="cs"/>
          <w:rtl/>
        </w:rPr>
        <w:t xml:space="preserve"> הלוואות פיננסיות</w:t>
      </w:r>
      <w:r w:rsidR="0030441C">
        <w:rPr>
          <w:rFonts w:ascii="Arial" w:hAnsi="Arial" w:cs="David" w:hint="cs"/>
          <w:rtl/>
        </w:rPr>
        <w:t xml:space="preserve"> שניתנו לתושבי חוץ (</w:t>
      </w:r>
      <w:r w:rsidR="004516AB">
        <w:rPr>
          <w:rFonts w:ascii="Arial" w:hAnsi="Arial" w:cs="David" w:hint="cs"/>
          <w:rtl/>
        </w:rPr>
        <w:t>כ-</w:t>
      </w:r>
      <w:r w:rsidR="00FF172B">
        <w:rPr>
          <w:rFonts w:ascii="Arial" w:hAnsi="Arial" w:cs="David" w:hint="cs"/>
          <w:rtl/>
        </w:rPr>
        <w:t>1.6</w:t>
      </w:r>
      <w:r w:rsidR="0030441C">
        <w:rPr>
          <w:rFonts w:ascii="Arial" w:hAnsi="Arial" w:cs="David" w:hint="cs"/>
          <w:rtl/>
        </w:rPr>
        <w:t xml:space="preserve"> מיליארדים)</w:t>
      </w:r>
      <w:r w:rsidR="00FF172B">
        <w:rPr>
          <w:rFonts w:ascii="Arial" w:hAnsi="Arial" w:cs="David" w:hint="cs"/>
          <w:rtl/>
        </w:rPr>
        <w:t xml:space="preserve"> ו</w:t>
      </w:r>
      <w:r w:rsidR="004516AB">
        <w:rPr>
          <w:rFonts w:ascii="Arial" w:hAnsi="Arial" w:cs="David" w:hint="cs"/>
          <w:rtl/>
        </w:rPr>
        <w:t>זרם השקעות ב</w:t>
      </w:r>
      <w:r w:rsidR="00042BC1">
        <w:rPr>
          <w:rFonts w:ascii="Arial" w:hAnsi="Arial" w:cs="David" w:hint="cs"/>
          <w:rtl/>
        </w:rPr>
        <w:t xml:space="preserve">נכסים אחרים </w:t>
      </w:r>
      <w:r w:rsidR="0030441C">
        <w:rPr>
          <w:rFonts w:ascii="Arial" w:hAnsi="Arial" w:cs="David" w:hint="cs"/>
          <w:rtl/>
        </w:rPr>
        <w:t>(</w:t>
      </w:r>
      <w:r w:rsidR="00042BC1">
        <w:rPr>
          <w:rFonts w:ascii="Arial" w:hAnsi="Arial" w:cs="David" w:hint="cs"/>
          <w:rtl/>
        </w:rPr>
        <w:t>1.3</w:t>
      </w:r>
      <w:r w:rsidR="0030441C">
        <w:rPr>
          <w:rFonts w:ascii="Arial" w:hAnsi="Arial" w:cs="David" w:hint="cs"/>
          <w:rtl/>
        </w:rPr>
        <w:t xml:space="preserve"> מיליארדים)</w:t>
      </w:r>
      <w:r w:rsidR="00D57CB6">
        <w:rPr>
          <w:rFonts w:ascii="Arial" w:hAnsi="Arial" w:cs="David" w:hint="cs"/>
          <w:rtl/>
        </w:rPr>
        <w:t xml:space="preserve">. </w:t>
      </w:r>
    </w:p>
    <w:p w:rsidR="006818A7" w:rsidRDefault="002216F2" w:rsidP="006B6A13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Fonts w:ascii="Arial" w:hAnsi="Arial" w:cs="David"/>
        </w:rPr>
      </w:pPr>
      <w:r w:rsidRPr="009F633E">
        <w:rPr>
          <w:rStyle w:val="20"/>
          <w:rFonts w:hint="cs"/>
          <w:b/>
          <w:bCs/>
          <w:rtl/>
        </w:rPr>
        <w:t xml:space="preserve">שווי </w:t>
      </w:r>
      <w:r w:rsidR="006F0654">
        <w:rPr>
          <w:rStyle w:val="20"/>
          <w:rFonts w:hint="cs"/>
          <w:b/>
          <w:bCs/>
          <w:rtl/>
        </w:rPr>
        <w:t>נכסי הרזר</w:t>
      </w:r>
      <w:r w:rsidR="006D09B3">
        <w:rPr>
          <w:rStyle w:val="20"/>
          <w:rFonts w:hint="cs"/>
          <w:b/>
          <w:bCs/>
          <w:rtl/>
        </w:rPr>
        <w:t>בה</w:t>
      </w:r>
      <w:r w:rsidRPr="009F633E">
        <w:rPr>
          <w:rFonts w:ascii="Arial" w:hAnsi="Arial" w:cs="David" w:hint="cs"/>
          <w:rtl/>
        </w:rPr>
        <w:t xml:space="preserve"> </w:t>
      </w:r>
      <w:r w:rsidR="006D09B3">
        <w:rPr>
          <w:rFonts w:ascii="Arial" w:hAnsi="Arial" w:cs="David" w:hint="cs"/>
          <w:rtl/>
        </w:rPr>
        <w:t>לא השתנה</w:t>
      </w:r>
      <w:r w:rsidR="006D09B3" w:rsidRPr="009F633E">
        <w:rPr>
          <w:rFonts w:ascii="Arial" w:hAnsi="Arial" w:cs="David" w:hint="cs"/>
          <w:rtl/>
        </w:rPr>
        <w:t xml:space="preserve"> </w:t>
      </w:r>
      <w:r w:rsidRPr="009F633E">
        <w:rPr>
          <w:rFonts w:ascii="Arial" w:hAnsi="Arial" w:cs="David" w:hint="cs"/>
          <w:rtl/>
        </w:rPr>
        <w:t>במהלך הרביע ה</w:t>
      </w:r>
      <w:r w:rsidR="00FB7A17">
        <w:rPr>
          <w:rFonts w:ascii="Arial" w:hAnsi="Arial" w:cs="David" w:hint="cs"/>
          <w:rtl/>
        </w:rPr>
        <w:t>ראשון</w:t>
      </w:r>
      <w:r w:rsidR="00DC198A" w:rsidRPr="009F633E">
        <w:rPr>
          <w:rFonts w:ascii="Arial" w:hAnsi="Arial" w:cs="David" w:hint="cs"/>
          <w:rtl/>
        </w:rPr>
        <w:t xml:space="preserve"> </w:t>
      </w:r>
      <w:r w:rsidR="006D09B3" w:rsidRPr="009F633E">
        <w:rPr>
          <w:rFonts w:ascii="Arial" w:hAnsi="Arial" w:cs="David" w:hint="cs"/>
          <w:rtl/>
        </w:rPr>
        <w:t>ו</w:t>
      </w:r>
      <w:r w:rsidR="006D09B3">
        <w:rPr>
          <w:rFonts w:ascii="Arial" w:hAnsi="Arial" w:cs="David" w:hint="cs"/>
          <w:rtl/>
        </w:rPr>
        <w:t>נותר</w:t>
      </w:r>
      <w:r w:rsidR="006D09B3" w:rsidRPr="009F633E">
        <w:rPr>
          <w:rFonts w:ascii="Arial" w:hAnsi="Arial" w:cs="David" w:hint="cs"/>
          <w:rtl/>
        </w:rPr>
        <w:t xml:space="preserve"> </w:t>
      </w:r>
      <w:r w:rsidRPr="009F633E">
        <w:rPr>
          <w:rFonts w:ascii="Arial" w:hAnsi="Arial" w:cs="David" w:hint="cs"/>
          <w:rtl/>
        </w:rPr>
        <w:t xml:space="preserve">בסוף הרביע </w:t>
      </w:r>
      <w:r w:rsidR="006D09B3">
        <w:rPr>
          <w:rFonts w:ascii="Arial" w:hAnsi="Arial" w:cs="David" w:hint="cs"/>
          <w:rtl/>
        </w:rPr>
        <w:t xml:space="preserve">ברמה של </w:t>
      </w:r>
      <w:r w:rsidR="00783BBE">
        <w:rPr>
          <w:rFonts w:ascii="Arial" w:hAnsi="Arial" w:cs="David" w:hint="cs"/>
          <w:rtl/>
        </w:rPr>
        <w:t>כ-</w:t>
      </w:r>
      <w:r w:rsidR="00807E84">
        <w:rPr>
          <w:rFonts w:ascii="Arial" w:hAnsi="Arial" w:cs="David" w:hint="cs"/>
          <w:rtl/>
        </w:rPr>
        <w:t>126</w:t>
      </w:r>
      <w:r w:rsidRPr="009F633E">
        <w:rPr>
          <w:rFonts w:ascii="Arial" w:hAnsi="Arial" w:cs="David" w:hint="cs"/>
          <w:rtl/>
        </w:rPr>
        <w:t xml:space="preserve"> מיליארדים.</w:t>
      </w:r>
      <w:r w:rsidR="00C15BEF">
        <w:rPr>
          <w:rFonts w:ascii="Arial" w:hAnsi="Arial" w:cs="David" w:hint="cs"/>
          <w:rtl/>
        </w:rPr>
        <w:t xml:space="preserve"> </w:t>
      </w:r>
      <w:r w:rsidR="006D09B3">
        <w:rPr>
          <w:rFonts w:ascii="Arial" w:hAnsi="Arial" w:cs="David" w:hint="cs"/>
          <w:rtl/>
        </w:rPr>
        <w:t xml:space="preserve"> רכישות מט"ח  קוזזו ברובם על ידי </w:t>
      </w:r>
      <w:r w:rsidR="0013029B">
        <w:rPr>
          <w:rFonts w:ascii="Arial" w:hAnsi="Arial" w:cs="David" w:hint="cs"/>
          <w:rtl/>
        </w:rPr>
        <w:t>ירידות מחירים</w:t>
      </w:r>
      <w:r w:rsidR="006D09B3">
        <w:rPr>
          <w:rFonts w:ascii="Arial" w:hAnsi="Arial" w:cs="David" w:hint="cs"/>
          <w:rtl/>
        </w:rPr>
        <w:t xml:space="preserve"> על רקע משבר הקורונה</w:t>
      </w:r>
      <w:r w:rsidR="006B6A13">
        <w:rPr>
          <w:rFonts w:ascii="Arial" w:hAnsi="Arial" w:cs="David" w:hint="cs"/>
          <w:rtl/>
        </w:rPr>
        <w:t>.</w:t>
      </w:r>
    </w:p>
    <w:p w:rsidR="00595D2C" w:rsidRPr="006818A7" w:rsidRDefault="00D064D6" w:rsidP="00981A78">
      <w:pPr>
        <w:pStyle w:val="af7"/>
        <w:numPr>
          <w:ilvl w:val="0"/>
          <w:numId w:val="16"/>
        </w:numPr>
        <w:spacing w:after="240" w:line="360" w:lineRule="auto"/>
        <w:ind w:right="426"/>
        <w:jc w:val="both"/>
        <w:rPr>
          <w:rFonts w:ascii="Arial" w:hAnsi="Arial" w:cs="David"/>
          <w:rtl/>
        </w:rPr>
      </w:pPr>
      <w:r w:rsidRPr="006818A7">
        <w:rPr>
          <w:rStyle w:val="20"/>
          <w:rFonts w:hint="cs"/>
          <w:b/>
          <w:bCs/>
          <w:rtl/>
        </w:rPr>
        <w:t>הרכב התיק בחו"ל</w:t>
      </w:r>
      <w:r w:rsidR="00981A78">
        <w:rPr>
          <w:rFonts w:ascii="Arial" w:hAnsi="Arial" w:cs="David" w:hint="cs"/>
          <w:rtl/>
        </w:rPr>
        <w:t>:</w:t>
      </w:r>
      <w:r w:rsidR="00443DE4">
        <w:rPr>
          <w:rFonts w:ascii="Arial" w:hAnsi="Arial" w:cs="David" w:hint="cs"/>
          <w:rtl/>
        </w:rPr>
        <w:t xml:space="preserve"> </w:t>
      </w:r>
      <w:r w:rsidR="00981A78">
        <w:rPr>
          <w:rFonts w:ascii="Arial" w:hAnsi="Arial" w:cs="David" w:hint="cs"/>
          <w:rtl/>
        </w:rPr>
        <w:t>הירידות במחירי המניות הזרות שמחזיקים תושבי ישראל הביאו</w:t>
      </w:r>
      <w:r w:rsidR="00F23FA6" w:rsidRPr="006818A7">
        <w:rPr>
          <w:rFonts w:ascii="Arial" w:hAnsi="Arial" w:cs="David" w:hint="cs"/>
          <w:rtl/>
        </w:rPr>
        <w:t xml:space="preserve"> </w:t>
      </w:r>
      <w:r w:rsidR="00981A78">
        <w:rPr>
          <w:rFonts w:ascii="Arial" w:hAnsi="Arial" w:cs="David" w:hint="cs"/>
          <w:rtl/>
        </w:rPr>
        <w:t>ל</w:t>
      </w:r>
      <w:r w:rsidR="00544A8A">
        <w:rPr>
          <w:rFonts w:ascii="Arial" w:hAnsi="Arial" w:cs="David" w:hint="cs"/>
          <w:rtl/>
        </w:rPr>
        <w:t xml:space="preserve">ירידה </w:t>
      </w:r>
      <w:r w:rsidR="007F3887" w:rsidRPr="006818A7">
        <w:rPr>
          <w:rFonts w:ascii="Arial" w:hAnsi="Arial" w:cs="David" w:hint="cs"/>
          <w:rtl/>
        </w:rPr>
        <w:t xml:space="preserve">של </w:t>
      </w:r>
      <w:r w:rsidR="00544A8A">
        <w:rPr>
          <w:rFonts w:ascii="Arial" w:hAnsi="Arial" w:cs="David" w:hint="cs"/>
          <w:rtl/>
        </w:rPr>
        <w:t>2</w:t>
      </w:r>
      <w:r w:rsidR="0030435D" w:rsidRPr="006818A7">
        <w:rPr>
          <w:rFonts w:ascii="Arial" w:hAnsi="Arial" w:cs="David" w:hint="cs"/>
          <w:rtl/>
        </w:rPr>
        <w:t xml:space="preserve"> </w:t>
      </w:r>
      <w:r w:rsidR="007F3887" w:rsidRPr="006818A7">
        <w:rPr>
          <w:rFonts w:ascii="Arial" w:hAnsi="Arial" w:cs="David" w:hint="cs"/>
          <w:rtl/>
        </w:rPr>
        <w:t>נקוד</w:t>
      </w:r>
      <w:r w:rsidR="000A38BE" w:rsidRPr="006818A7">
        <w:rPr>
          <w:rFonts w:ascii="Arial" w:hAnsi="Arial" w:cs="David" w:hint="cs"/>
          <w:rtl/>
        </w:rPr>
        <w:t>ו</w:t>
      </w:r>
      <w:r w:rsidR="007F3887" w:rsidRPr="006818A7">
        <w:rPr>
          <w:rFonts w:ascii="Arial" w:hAnsi="Arial" w:cs="David" w:hint="cs"/>
          <w:rtl/>
        </w:rPr>
        <w:t xml:space="preserve">ת האחוז </w:t>
      </w:r>
      <w:r w:rsidR="00F23FA6" w:rsidRPr="006818A7">
        <w:rPr>
          <w:rFonts w:ascii="Arial" w:hAnsi="Arial" w:cs="David" w:hint="cs"/>
          <w:rtl/>
        </w:rPr>
        <w:t>במשקלם של מכשירי ההון בתיק הנכסים של תושבי ישראל בחו"ל</w:t>
      </w:r>
      <w:r w:rsidR="007F3887" w:rsidRPr="006818A7">
        <w:rPr>
          <w:rFonts w:ascii="Arial" w:hAnsi="Arial" w:cs="David" w:hint="cs"/>
          <w:rtl/>
        </w:rPr>
        <w:t xml:space="preserve">, כך שבסוף </w:t>
      </w:r>
      <w:r w:rsidR="0071260A" w:rsidRPr="006818A7">
        <w:rPr>
          <w:rFonts w:ascii="Arial" w:hAnsi="Arial" w:cs="David" w:hint="cs"/>
          <w:rtl/>
        </w:rPr>
        <w:t>מרץ</w:t>
      </w:r>
      <w:r w:rsidR="007F3887" w:rsidRPr="006818A7">
        <w:rPr>
          <w:rFonts w:ascii="Arial" w:hAnsi="Arial" w:cs="David" w:hint="cs"/>
          <w:rtl/>
        </w:rPr>
        <w:t xml:space="preserve"> הם היו</w:t>
      </w:r>
      <w:r w:rsidR="00511669" w:rsidRPr="006818A7">
        <w:rPr>
          <w:rFonts w:ascii="Arial" w:hAnsi="Arial" w:cs="David" w:hint="cs"/>
          <w:rtl/>
        </w:rPr>
        <w:t>ו</w:t>
      </w:r>
      <w:r w:rsidR="007F3887" w:rsidRPr="006818A7">
        <w:rPr>
          <w:rFonts w:ascii="Arial" w:hAnsi="Arial" w:cs="David" w:hint="cs"/>
          <w:rtl/>
        </w:rPr>
        <w:t xml:space="preserve"> </w:t>
      </w:r>
      <w:r w:rsidR="00CD3010" w:rsidRPr="006818A7">
        <w:rPr>
          <w:rFonts w:ascii="Arial" w:hAnsi="Arial" w:cs="David" w:hint="cs"/>
          <w:rtl/>
        </w:rPr>
        <w:t>4</w:t>
      </w:r>
      <w:r w:rsidR="00544A8A">
        <w:rPr>
          <w:rFonts w:ascii="Arial" w:hAnsi="Arial" w:cs="David" w:hint="cs"/>
          <w:rtl/>
        </w:rPr>
        <w:t>3</w:t>
      </w:r>
      <w:r w:rsidR="007F3887" w:rsidRPr="006818A7">
        <w:rPr>
          <w:rFonts w:ascii="Arial" w:hAnsi="Arial" w:cs="David" w:hint="cs"/>
          <w:rtl/>
        </w:rPr>
        <w:t>% מסך התיק</w:t>
      </w:r>
      <w:r w:rsidR="00A329F1" w:rsidRPr="006818A7">
        <w:rPr>
          <w:rFonts w:ascii="Arial" w:hAnsi="Arial" w:cs="David" w:hint="cs"/>
          <w:rtl/>
        </w:rPr>
        <w:t>.</w:t>
      </w:r>
      <w:r w:rsidR="00B236D1" w:rsidRPr="006818A7">
        <w:rPr>
          <w:rFonts w:ascii="Arial" w:hAnsi="Arial" w:cs="David" w:hint="cs"/>
          <w:b/>
          <w:bCs/>
          <w:rtl/>
        </w:rPr>
        <w:t xml:space="preserve"> </w:t>
      </w:r>
    </w:p>
    <w:p w:rsidR="002216F2" w:rsidRPr="00A53CC2" w:rsidRDefault="002216F2" w:rsidP="0034126E">
      <w:pPr>
        <w:spacing w:before="240" w:line="360" w:lineRule="auto"/>
        <w:ind w:right="426"/>
        <w:jc w:val="both"/>
        <w:rPr>
          <w:rFonts w:ascii="Arial" w:hAnsi="Arial" w:cs="David"/>
          <w:b/>
          <w:bCs/>
          <w:highlight w:val="yellow"/>
          <w:rtl/>
        </w:rPr>
      </w:pPr>
    </w:p>
    <w:p w:rsidR="00890447" w:rsidRPr="00740143" w:rsidRDefault="00890447" w:rsidP="00890447">
      <w:pPr>
        <w:pStyle w:val="1"/>
        <w:rPr>
          <w:rtl/>
        </w:rPr>
      </w:pPr>
      <w:r w:rsidRPr="00740143">
        <w:rPr>
          <w:rStyle w:val="12"/>
          <w:rFonts w:hint="cs"/>
          <w:b/>
          <w:bCs/>
          <w:u w:val="none"/>
          <w:rtl/>
        </w:rPr>
        <w:t>יתרת ההתחייבויו</w:t>
      </w:r>
      <w:r w:rsidRPr="00740143">
        <w:rPr>
          <w:rStyle w:val="12"/>
          <w:rFonts w:hint="eastAsia"/>
          <w:b/>
          <w:bCs/>
          <w:u w:val="none"/>
          <w:rtl/>
        </w:rPr>
        <w:t>ת</w:t>
      </w:r>
      <w:r w:rsidRPr="00740143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740143">
        <w:rPr>
          <w:rFonts w:hint="cs"/>
          <w:rtl/>
        </w:rPr>
        <w:t xml:space="preserve"> </w:t>
      </w:r>
    </w:p>
    <w:p w:rsidR="00F544FE" w:rsidRPr="00F544FE" w:rsidRDefault="00F544FE" w:rsidP="006B6A13">
      <w:pPr>
        <w:spacing w:line="360" w:lineRule="auto"/>
        <w:jc w:val="both"/>
        <w:rPr>
          <w:rFonts w:ascii="Arial" w:hAnsi="Arial" w:cs="David"/>
        </w:rPr>
      </w:pPr>
      <w:r w:rsidRPr="00F544FE">
        <w:rPr>
          <w:rFonts w:ascii="Arial" w:hAnsi="Arial" w:cs="David" w:hint="cs"/>
          <w:rtl/>
        </w:rPr>
        <w:t xml:space="preserve">יתרת ההתחייבויות של המשק לחו"ל </w:t>
      </w:r>
      <w:r w:rsidR="00CA5B85">
        <w:rPr>
          <w:rFonts w:ascii="Arial" w:hAnsi="Arial" w:cs="David" w:hint="cs"/>
          <w:rtl/>
        </w:rPr>
        <w:t xml:space="preserve">ירדה </w:t>
      </w:r>
      <w:r w:rsidRPr="00F544FE">
        <w:rPr>
          <w:rFonts w:ascii="Arial" w:hAnsi="Arial" w:cs="David" w:hint="cs"/>
          <w:rtl/>
        </w:rPr>
        <w:t xml:space="preserve">במהלך הרביע </w:t>
      </w:r>
      <w:r w:rsidR="006B6A13">
        <w:rPr>
          <w:rFonts w:ascii="Arial" w:hAnsi="Arial" w:cs="David" w:hint="cs"/>
          <w:rtl/>
        </w:rPr>
        <w:t>הראשון</w:t>
      </w:r>
      <w:r w:rsidR="006B6A13" w:rsidRPr="00F544FE">
        <w:rPr>
          <w:rFonts w:ascii="Arial" w:hAnsi="Arial" w:cs="David" w:hint="cs"/>
          <w:rtl/>
        </w:rPr>
        <w:t xml:space="preserve"> </w:t>
      </w:r>
      <w:r w:rsidRPr="00F544FE">
        <w:rPr>
          <w:rFonts w:ascii="Arial" w:hAnsi="Arial" w:cs="David" w:hint="cs"/>
          <w:rtl/>
        </w:rPr>
        <w:t>בכ-</w:t>
      </w:r>
      <w:r w:rsidR="00D25677">
        <w:rPr>
          <w:rFonts w:ascii="Arial" w:hAnsi="Arial" w:cs="David" w:hint="cs"/>
          <w:rtl/>
        </w:rPr>
        <w:t>1</w:t>
      </w:r>
      <w:r w:rsidR="001C5B25">
        <w:rPr>
          <w:rFonts w:ascii="Arial" w:hAnsi="Arial" w:cs="David" w:hint="cs"/>
          <w:rtl/>
        </w:rPr>
        <w:t>2</w:t>
      </w:r>
      <w:r w:rsidRPr="00F544FE">
        <w:rPr>
          <w:rFonts w:ascii="Arial" w:hAnsi="Arial" w:cs="David" w:hint="cs"/>
          <w:rtl/>
        </w:rPr>
        <w:t xml:space="preserve"> מיליארדי דולרים (</w:t>
      </w:r>
      <w:r w:rsidR="003E3867">
        <w:rPr>
          <w:rFonts w:ascii="Arial" w:hAnsi="Arial" w:cs="David" w:hint="cs"/>
          <w:rtl/>
        </w:rPr>
        <w:t>3.6</w:t>
      </w:r>
      <w:r w:rsidRPr="00F544FE">
        <w:rPr>
          <w:rFonts w:ascii="Arial" w:hAnsi="Arial" w:cs="David" w:hint="cs"/>
          <w:rtl/>
        </w:rPr>
        <w:t>%</w:t>
      </w:r>
      <w:r w:rsidR="00CA5B85">
        <w:rPr>
          <w:rFonts w:ascii="Arial" w:hAnsi="Arial" w:cs="David" w:hint="cs"/>
          <w:rtl/>
        </w:rPr>
        <w:t>-</w:t>
      </w:r>
      <w:r w:rsidRPr="00F544FE">
        <w:rPr>
          <w:rFonts w:ascii="Arial" w:hAnsi="Arial" w:cs="David" w:hint="cs"/>
          <w:rtl/>
        </w:rPr>
        <w:t xml:space="preserve">) ועמדה בסוף </w:t>
      </w:r>
      <w:r w:rsidR="001C5B25">
        <w:rPr>
          <w:rFonts w:ascii="Arial" w:hAnsi="Arial" w:cs="David" w:hint="cs"/>
          <w:rtl/>
        </w:rPr>
        <w:t>מרץ</w:t>
      </w:r>
      <w:r w:rsidRPr="00F544FE">
        <w:rPr>
          <w:rFonts w:ascii="Arial" w:hAnsi="Arial" w:cs="David" w:hint="cs"/>
          <w:rtl/>
        </w:rPr>
        <w:t xml:space="preserve"> על כ-</w:t>
      </w:r>
      <w:r w:rsidR="002626EC">
        <w:rPr>
          <w:rFonts w:ascii="Arial" w:hAnsi="Arial" w:cs="David" w:hint="cs"/>
          <w:rtl/>
        </w:rPr>
        <w:t>3</w:t>
      </w:r>
      <w:r w:rsidR="001C5B25">
        <w:rPr>
          <w:rFonts w:ascii="Arial" w:hAnsi="Arial" w:cs="David" w:hint="cs"/>
          <w:rtl/>
        </w:rPr>
        <w:t>24</w:t>
      </w:r>
      <w:r w:rsidRPr="00F544FE">
        <w:rPr>
          <w:rFonts w:ascii="Arial" w:hAnsi="Arial" w:cs="David" w:hint="cs"/>
          <w:rtl/>
        </w:rPr>
        <w:t xml:space="preserve"> מיליארדי</w:t>
      </w:r>
      <w:r w:rsidR="00CA5B85">
        <w:rPr>
          <w:rFonts w:ascii="Arial" w:hAnsi="Arial" w:cs="David" w:hint="cs"/>
          <w:rtl/>
        </w:rPr>
        <w:t>ם</w:t>
      </w:r>
      <w:r w:rsidRPr="00F544FE">
        <w:rPr>
          <w:rFonts w:ascii="Arial" w:hAnsi="Arial" w:cs="David" w:hint="cs"/>
          <w:rtl/>
        </w:rPr>
        <w:t xml:space="preserve">. </w:t>
      </w:r>
      <w:r w:rsidR="00CB3D99">
        <w:rPr>
          <w:rFonts w:ascii="Arial" w:hAnsi="Arial" w:cs="David" w:hint="cs"/>
          <w:rtl/>
        </w:rPr>
        <w:t>ה</w:t>
      </w:r>
      <w:r w:rsidR="001C5B25">
        <w:rPr>
          <w:rFonts w:ascii="Arial" w:hAnsi="Arial" w:cs="David" w:hint="cs"/>
          <w:rtl/>
        </w:rPr>
        <w:t>ירידה</w:t>
      </w:r>
      <w:r w:rsidRPr="00F544FE">
        <w:rPr>
          <w:rFonts w:ascii="Arial" w:hAnsi="Arial" w:cs="David" w:hint="cs"/>
          <w:rtl/>
        </w:rPr>
        <w:t xml:space="preserve"> נבעה</w:t>
      </w:r>
      <w:r w:rsidR="00624014">
        <w:rPr>
          <w:rFonts w:ascii="Arial" w:hAnsi="Arial" w:cs="David" w:hint="cs"/>
          <w:rtl/>
        </w:rPr>
        <w:t xml:space="preserve"> </w:t>
      </w:r>
      <w:r w:rsidR="0013029B">
        <w:rPr>
          <w:rFonts w:ascii="Arial" w:hAnsi="Arial" w:cs="David" w:hint="cs"/>
          <w:rtl/>
        </w:rPr>
        <w:t xml:space="preserve">בעיקר </w:t>
      </w:r>
      <w:r w:rsidR="001C5B25">
        <w:rPr>
          <w:rFonts w:ascii="Arial" w:hAnsi="Arial" w:cs="David" w:hint="cs"/>
          <w:rtl/>
        </w:rPr>
        <w:t>מיריד</w:t>
      </w:r>
      <w:r w:rsidR="00CA5B85">
        <w:rPr>
          <w:rFonts w:ascii="Arial" w:hAnsi="Arial" w:cs="David" w:hint="cs"/>
          <w:rtl/>
        </w:rPr>
        <w:t>ו</w:t>
      </w:r>
      <w:r w:rsidR="001C5B25">
        <w:rPr>
          <w:rFonts w:ascii="Arial" w:hAnsi="Arial" w:cs="David" w:hint="cs"/>
          <w:rtl/>
        </w:rPr>
        <w:t xml:space="preserve">ת </w:t>
      </w:r>
      <w:r w:rsidR="00CA5B85">
        <w:rPr>
          <w:rFonts w:ascii="Arial" w:hAnsi="Arial" w:cs="David" w:hint="cs"/>
          <w:rtl/>
        </w:rPr>
        <w:t>ב</w:t>
      </w:r>
      <w:r w:rsidR="001C5B25">
        <w:rPr>
          <w:rFonts w:ascii="Arial" w:hAnsi="Arial" w:cs="David" w:hint="cs"/>
          <w:rtl/>
        </w:rPr>
        <w:t>מחירי</w:t>
      </w:r>
      <w:r w:rsidR="00CA5B85">
        <w:rPr>
          <w:rFonts w:ascii="Arial" w:hAnsi="Arial" w:cs="David" w:hint="cs"/>
          <w:rtl/>
        </w:rPr>
        <w:t xml:space="preserve"> המניות הישראליות שמחזיקים תושבי חוץ (פיננסיות וישירות)</w:t>
      </w:r>
      <w:r w:rsidR="00677D08">
        <w:rPr>
          <w:rFonts w:ascii="Arial" w:hAnsi="Arial" w:cs="David" w:hint="cs"/>
          <w:rtl/>
        </w:rPr>
        <w:t>.</w:t>
      </w:r>
      <w:r w:rsidR="001C5B25">
        <w:rPr>
          <w:rFonts w:ascii="Arial" w:hAnsi="Arial" w:cs="David" w:hint="cs"/>
          <w:rtl/>
        </w:rPr>
        <w:t xml:space="preserve"> </w:t>
      </w:r>
      <w:r w:rsidR="00677D08">
        <w:rPr>
          <w:rFonts w:ascii="Arial" w:hAnsi="Arial" w:cs="David" w:hint="cs"/>
          <w:rtl/>
        </w:rPr>
        <w:t xml:space="preserve">מנגד, ברביע הראשון </w:t>
      </w:r>
      <w:r w:rsidR="00CA5B85">
        <w:rPr>
          <w:rFonts w:ascii="Arial" w:hAnsi="Arial" w:cs="David" w:hint="cs"/>
          <w:rtl/>
        </w:rPr>
        <w:t>נרשם</w:t>
      </w:r>
      <w:r w:rsidR="00677D08">
        <w:rPr>
          <w:rFonts w:ascii="Arial" w:hAnsi="Arial" w:cs="David" w:hint="cs"/>
          <w:rtl/>
        </w:rPr>
        <w:t xml:space="preserve"> זרם </w:t>
      </w:r>
      <w:r w:rsidR="00CA5B85">
        <w:rPr>
          <w:rFonts w:ascii="Arial" w:hAnsi="Arial" w:cs="David" w:hint="cs"/>
          <w:rtl/>
        </w:rPr>
        <w:t>חיובי</w:t>
      </w:r>
      <w:r w:rsidR="006B6A13">
        <w:rPr>
          <w:rFonts w:ascii="Arial" w:hAnsi="Arial" w:cs="David" w:hint="cs"/>
          <w:rtl/>
        </w:rPr>
        <w:t xml:space="preserve"> </w:t>
      </w:r>
      <w:r w:rsidR="00CA5B85">
        <w:rPr>
          <w:rFonts w:ascii="Arial" w:hAnsi="Arial" w:cs="David" w:hint="cs"/>
          <w:rtl/>
        </w:rPr>
        <w:t xml:space="preserve">של </w:t>
      </w:r>
      <w:r w:rsidR="00677D08">
        <w:rPr>
          <w:rFonts w:ascii="Arial" w:hAnsi="Arial" w:cs="David" w:hint="cs"/>
          <w:rtl/>
        </w:rPr>
        <w:t xml:space="preserve">השקעות </w:t>
      </w:r>
      <w:r w:rsidR="00CA5B85">
        <w:rPr>
          <w:rFonts w:ascii="Arial" w:hAnsi="Arial" w:cs="David" w:hint="cs"/>
          <w:rtl/>
        </w:rPr>
        <w:t xml:space="preserve">ישירות במניות ישראליות והשקעות פיננסיות </w:t>
      </w:r>
      <w:r w:rsidR="00677D08">
        <w:rPr>
          <w:rFonts w:ascii="Arial" w:hAnsi="Arial" w:cs="David" w:hint="cs"/>
          <w:rtl/>
        </w:rPr>
        <w:t>באג"ח</w:t>
      </w:r>
      <w:r w:rsidR="00CA5B85">
        <w:rPr>
          <w:rFonts w:ascii="Arial" w:hAnsi="Arial" w:cs="David" w:hint="cs"/>
          <w:rtl/>
        </w:rPr>
        <w:t xml:space="preserve"> ישראליות</w:t>
      </w:r>
      <w:r w:rsidR="00677D08">
        <w:rPr>
          <w:rFonts w:ascii="Arial" w:hAnsi="Arial" w:cs="David" w:hint="cs"/>
          <w:rtl/>
        </w:rPr>
        <w:t>.</w:t>
      </w:r>
    </w:p>
    <w:p w:rsidR="00F544FE" w:rsidRPr="00F544FE" w:rsidRDefault="00F544FE" w:rsidP="00FA6806">
      <w:pPr>
        <w:spacing w:line="360" w:lineRule="auto"/>
        <w:jc w:val="both"/>
        <w:rPr>
          <w:rFonts w:ascii="Arial" w:hAnsi="Arial" w:cs="David"/>
        </w:rPr>
      </w:pPr>
    </w:p>
    <w:p w:rsidR="000435BB" w:rsidRPr="00A14FF9" w:rsidRDefault="00890447" w:rsidP="006B6A13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A14FF9">
        <w:rPr>
          <w:rStyle w:val="20"/>
          <w:rFonts w:hint="cs"/>
          <w:b/>
          <w:bCs/>
          <w:rtl/>
        </w:rPr>
        <w:t>שווי ההשקעות הישירות במשק</w:t>
      </w:r>
      <w:r w:rsidRPr="00A14FF9">
        <w:rPr>
          <w:rFonts w:ascii="Arial" w:hAnsi="Arial" w:cs="David" w:hint="cs"/>
          <w:b/>
          <w:bCs/>
          <w:rtl/>
        </w:rPr>
        <w:t xml:space="preserve"> </w:t>
      </w:r>
      <w:r w:rsidR="001F5E46">
        <w:rPr>
          <w:rFonts w:ascii="Arial" w:hAnsi="Arial" w:cs="David" w:hint="cs"/>
          <w:rtl/>
        </w:rPr>
        <w:t>לא השתנה במהלך</w:t>
      </w:r>
      <w:r w:rsidRPr="00A14FF9">
        <w:rPr>
          <w:rFonts w:ascii="Arial" w:hAnsi="Arial" w:cs="David" w:hint="cs"/>
          <w:rtl/>
        </w:rPr>
        <w:t xml:space="preserve"> הרביע </w:t>
      </w:r>
      <w:r w:rsidR="00C0049C" w:rsidRPr="00A14FF9">
        <w:rPr>
          <w:rFonts w:ascii="Arial" w:hAnsi="Arial" w:cs="David" w:hint="cs"/>
          <w:rtl/>
        </w:rPr>
        <w:t>ה</w:t>
      </w:r>
      <w:r w:rsidR="00FB7A17">
        <w:rPr>
          <w:rFonts w:ascii="Arial" w:hAnsi="Arial" w:cs="David" w:hint="cs"/>
          <w:rtl/>
        </w:rPr>
        <w:t>ראשון</w:t>
      </w:r>
      <w:r w:rsidR="001F5E46">
        <w:rPr>
          <w:rFonts w:ascii="Arial" w:hAnsi="Arial" w:cs="David" w:hint="cs"/>
          <w:rtl/>
        </w:rPr>
        <w:t xml:space="preserve">: </w:t>
      </w:r>
      <w:r w:rsidR="0018795A" w:rsidRPr="00A14FF9">
        <w:rPr>
          <w:rFonts w:ascii="Arial" w:hAnsi="Arial" w:cs="David" w:hint="cs"/>
          <w:rtl/>
        </w:rPr>
        <w:t xml:space="preserve">זרם </w:t>
      </w:r>
      <w:r w:rsidRPr="00A14FF9">
        <w:rPr>
          <w:rFonts w:ascii="Arial" w:hAnsi="Arial" w:cs="David" w:hint="cs"/>
          <w:rtl/>
        </w:rPr>
        <w:t xml:space="preserve">השקעות ישירות נטו </w:t>
      </w:r>
      <w:r w:rsidR="0046284A" w:rsidRPr="00A14FF9">
        <w:rPr>
          <w:rFonts w:ascii="Arial" w:hAnsi="Arial" w:cs="David" w:hint="cs"/>
          <w:rtl/>
        </w:rPr>
        <w:t xml:space="preserve">של תושבי חוץ </w:t>
      </w:r>
      <w:r w:rsidR="006301E0" w:rsidRPr="00A14FF9">
        <w:rPr>
          <w:rFonts w:ascii="Arial" w:hAnsi="Arial" w:cs="David" w:hint="cs"/>
          <w:rtl/>
        </w:rPr>
        <w:t>בהון מניות ישראליות</w:t>
      </w:r>
      <w:r w:rsidR="00A14FF9" w:rsidRPr="00A14FF9">
        <w:rPr>
          <w:rFonts w:ascii="Arial" w:hAnsi="Arial" w:cs="David" w:hint="cs"/>
          <w:rtl/>
        </w:rPr>
        <w:t xml:space="preserve"> בהיקף של כ-</w:t>
      </w:r>
      <w:r w:rsidR="00E01137">
        <w:rPr>
          <w:rFonts w:ascii="Arial" w:hAnsi="Arial" w:cs="David" w:hint="cs"/>
          <w:rtl/>
        </w:rPr>
        <w:t>4.6</w:t>
      </w:r>
      <w:r w:rsidR="002626EC">
        <w:rPr>
          <w:rFonts w:ascii="Arial" w:hAnsi="Arial" w:cs="David" w:hint="cs"/>
          <w:rtl/>
        </w:rPr>
        <w:t xml:space="preserve"> מיליארדים</w:t>
      </w:r>
      <w:r w:rsidR="001F5E46">
        <w:rPr>
          <w:rFonts w:ascii="Arial" w:hAnsi="Arial" w:cs="David" w:hint="cs"/>
          <w:rtl/>
        </w:rPr>
        <w:t xml:space="preserve"> קוזז ברובו על ידי ירידות במחירי המניות (3.7 מיליארדים) והשפעת </w:t>
      </w:r>
      <w:r w:rsidR="006B6A13">
        <w:rPr>
          <w:rFonts w:ascii="Arial" w:hAnsi="Arial" w:cs="David" w:hint="cs"/>
          <w:rtl/>
        </w:rPr>
        <w:t xml:space="preserve">הייסוף </w:t>
      </w:r>
      <w:r w:rsidR="001F5E46">
        <w:rPr>
          <w:rFonts w:ascii="Arial" w:hAnsi="Arial" w:cs="David" w:hint="cs"/>
          <w:rtl/>
        </w:rPr>
        <w:t xml:space="preserve">בשער החליפין </w:t>
      </w:r>
      <w:r w:rsidR="00FA04B7">
        <w:rPr>
          <w:rFonts w:ascii="Arial" w:hAnsi="Arial" w:cs="David" w:hint="cs"/>
          <w:rtl/>
        </w:rPr>
        <w:t xml:space="preserve">של השקל מול הדולר </w:t>
      </w:r>
      <w:r w:rsidR="001F5E46">
        <w:rPr>
          <w:rFonts w:ascii="Arial" w:hAnsi="Arial" w:cs="David" w:hint="cs"/>
          <w:rtl/>
        </w:rPr>
        <w:t>(0.5 מיליארד דולר)</w:t>
      </w:r>
      <w:r w:rsidR="00562DE8">
        <w:rPr>
          <w:rFonts w:ascii="Arial" w:hAnsi="Arial" w:cs="David" w:hint="cs"/>
          <w:rtl/>
        </w:rPr>
        <w:t>.</w:t>
      </w:r>
      <w:r w:rsidR="006301E0" w:rsidRPr="00A14FF9">
        <w:rPr>
          <w:rFonts w:ascii="Arial" w:hAnsi="Arial" w:cs="David" w:hint="cs"/>
          <w:rtl/>
        </w:rPr>
        <w:t xml:space="preserve"> </w:t>
      </w:r>
    </w:p>
    <w:p w:rsidR="00FA5AFC" w:rsidRPr="00716555" w:rsidRDefault="00695D66" w:rsidP="00707B75">
      <w:pPr>
        <w:pStyle w:val="af7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rtl/>
        </w:rPr>
      </w:pPr>
      <w:r w:rsidRPr="00005A1C">
        <w:rPr>
          <w:rStyle w:val="20"/>
          <w:rFonts w:hint="cs"/>
          <w:b/>
          <w:bCs/>
          <w:rtl/>
        </w:rPr>
        <w:t xml:space="preserve">שווי </w:t>
      </w:r>
      <w:r w:rsidR="003624A8" w:rsidRPr="00005A1C">
        <w:rPr>
          <w:rStyle w:val="20"/>
          <w:rFonts w:hint="cs"/>
          <w:b/>
          <w:bCs/>
          <w:rtl/>
        </w:rPr>
        <w:t xml:space="preserve">תיק ניירות הערך </w:t>
      </w:r>
      <w:r w:rsidR="000506CB">
        <w:rPr>
          <w:rFonts w:ascii="Arial" w:hAnsi="Arial" w:cs="David" w:hint="cs"/>
          <w:rtl/>
        </w:rPr>
        <w:t>ירד</w:t>
      </w:r>
      <w:r w:rsidRPr="00005A1C">
        <w:rPr>
          <w:rFonts w:ascii="Arial" w:hAnsi="Arial" w:cs="David" w:hint="cs"/>
          <w:b/>
          <w:bCs/>
          <w:rtl/>
        </w:rPr>
        <w:t xml:space="preserve"> </w:t>
      </w:r>
      <w:r w:rsidRPr="00005A1C">
        <w:rPr>
          <w:rFonts w:ascii="Arial" w:hAnsi="Arial" w:cs="David" w:hint="cs"/>
          <w:rtl/>
        </w:rPr>
        <w:t xml:space="preserve">במהלך הרביע </w:t>
      </w:r>
      <w:r w:rsidR="0034126E" w:rsidRPr="00005A1C">
        <w:rPr>
          <w:rFonts w:ascii="Arial" w:hAnsi="Arial" w:cs="David" w:hint="cs"/>
          <w:rtl/>
        </w:rPr>
        <w:t>ה</w:t>
      </w:r>
      <w:r w:rsidR="00FB7A17">
        <w:rPr>
          <w:rFonts w:ascii="Arial" w:hAnsi="Arial" w:cs="David" w:hint="cs"/>
          <w:rtl/>
        </w:rPr>
        <w:t>ראשון</w:t>
      </w:r>
      <w:r w:rsidR="009D0C43" w:rsidRPr="00005A1C">
        <w:rPr>
          <w:rFonts w:ascii="Arial" w:hAnsi="Arial" w:cs="David" w:hint="cs"/>
          <w:rtl/>
        </w:rPr>
        <w:t xml:space="preserve"> ב</w:t>
      </w:r>
      <w:r w:rsidRPr="00005A1C">
        <w:rPr>
          <w:rFonts w:ascii="Arial" w:hAnsi="Arial" w:cs="David" w:hint="cs"/>
          <w:rtl/>
        </w:rPr>
        <w:t>כ-</w:t>
      </w:r>
      <w:r w:rsidR="000506CB">
        <w:rPr>
          <w:rFonts w:ascii="Arial" w:hAnsi="Arial" w:cs="David" w:hint="cs"/>
          <w:rtl/>
        </w:rPr>
        <w:t>10.3</w:t>
      </w:r>
      <w:r w:rsidRPr="00005A1C">
        <w:rPr>
          <w:rFonts w:ascii="Arial" w:hAnsi="Arial" w:cs="David" w:hint="cs"/>
          <w:rtl/>
        </w:rPr>
        <w:t xml:space="preserve"> מיליארדי דולרים (</w:t>
      </w:r>
      <w:r w:rsidR="000506CB">
        <w:rPr>
          <w:rFonts w:ascii="Arial" w:hAnsi="Arial" w:cs="David" w:hint="cs"/>
          <w:rtl/>
        </w:rPr>
        <w:t>8.7</w:t>
      </w:r>
      <w:r w:rsidR="004E4E2E">
        <w:rPr>
          <w:rFonts w:ascii="Arial" w:hAnsi="Arial" w:cs="David" w:hint="cs"/>
          <w:rtl/>
        </w:rPr>
        <w:t>%</w:t>
      </w:r>
      <w:r w:rsidR="00450ED9">
        <w:rPr>
          <w:rFonts w:ascii="Arial" w:hAnsi="Arial" w:cs="David" w:hint="cs"/>
          <w:rtl/>
        </w:rPr>
        <w:t>-</w:t>
      </w:r>
      <w:r w:rsidR="004E4E2E">
        <w:rPr>
          <w:rFonts w:ascii="Arial" w:hAnsi="Arial" w:cs="David" w:hint="cs"/>
          <w:rtl/>
        </w:rPr>
        <w:t>)</w:t>
      </w:r>
      <w:r w:rsidR="00221960" w:rsidRPr="00005A1C">
        <w:rPr>
          <w:rFonts w:ascii="Arial" w:hAnsi="Arial" w:cs="David" w:hint="cs"/>
          <w:rtl/>
        </w:rPr>
        <w:t>.</w:t>
      </w:r>
      <w:r w:rsidR="009645C4" w:rsidRPr="00005A1C">
        <w:rPr>
          <w:rFonts w:ascii="Arial" w:hAnsi="Arial" w:cs="David" w:hint="cs"/>
          <w:rtl/>
        </w:rPr>
        <w:t xml:space="preserve"> </w:t>
      </w:r>
      <w:r w:rsidR="00562DE8">
        <w:rPr>
          <w:rFonts w:ascii="Arial" w:hAnsi="Arial" w:cs="David" w:hint="cs"/>
          <w:rtl/>
        </w:rPr>
        <w:t xml:space="preserve">בעיקר </w:t>
      </w:r>
      <w:r w:rsidR="008F6EC3" w:rsidRPr="00005A1C">
        <w:rPr>
          <w:rFonts w:ascii="Arial" w:hAnsi="Arial" w:cs="David" w:hint="cs"/>
          <w:rtl/>
        </w:rPr>
        <w:t xml:space="preserve">כתוצאה </w:t>
      </w:r>
      <w:r w:rsidR="004E4E2E">
        <w:rPr>
          <w:rFonts w:ascii="Arial" w:hAnsi="Arial" w:cs="David" w:hint="cs"/>
          <w:rtl/>
        </w:rPr>
        <w:t>מ</w:t>
      </w:r>
      <w:r w:rsidR="000506CB">
        <w:rPr>
          <w:rFonts w:ascii="Arial" w:hAnsi="Arial" w:cs="David" w:hint="cs"/>
          <w:rtl/>
        </w:rPr>
        <w:t>ירידה</w:t>
      </w:r>
      <w:r w:rsidR="009D0C43" w:rsidRPr="00005A1C">
        <w:rPr>
          <w:rFonts w:ascii="Arial" w:hAnsi="Arial" w:cs="David" w:hint="cs"/>
          <w:rtl/>
        </w:rPr>
        <w:t xml:space="preserve"> </w:t>
      </w:r>
      <w:r w:rsidR="00FA5AFC" w:rsidRPr="00005A1C">
        <w:rPr>
          <w:rFonts w:ascii="Arial" w:hAnsi="Arial" w:cs="David" w:hint="cs"/>
          <w:rtl/>
        </w:rPr>
        <w:t>במחירי המניות הישראליות</w:t>
      </w:r>
      <w:r w:rsidR="00562DE8">
        <w:rPr>
          <w:rFonts w:ascii="Arial" w:hAnsi="Arial" w:cs="David" w:hint="cs"/>
          <w:rtl/>
        </w:rPr>
        <w:t xml:space="preserve"> המוחזקות בתיק,</w:t>
      </w:r>
      <w:r w:rsidR="006F0654">
        <w:rPr>
          <w:rFonts w:ascii="Arial" w:hAnsi="Arial" w:cs="David" w:hint="cs"/>
          <w:rtl/>
        </w:rPr>
        <w:t xml:space="preserve"> </w:t>
      </w:r>
      <w:r w:rsidR="006F0654" w:rsidRPr="00E8538A">
        <w:rPr>
          <w:rFonts w:ascii="Arial" w:hAnsi="Arial" w:cs="David" w:hint="eastAsia"/>
          <w:rtl/>
        </w:rPr>
        <w:t>על</w:t>
      </w:r>
      <w:r w:rsidR="006F0654" w:rsidRPr="00E8538A">
        <w:rPr>
          <w:rFonts w:ascii="Arial" w:hAnsi="Arial" w:cs="David"/>
          <w:rtl/>
        </w:rPr>
        <w:t xml:space="preserve"> </w:t>
      </w:r>
      <w:r w:rsidR="006F0654" w:rsidRPr="00E8538A">
        <w:rPr>
          <w:rFonts w:ascii="Arial" w:hAnsi="Arial" w:cs="David" w:hint="eastAsia"/>
          <w:rtl/>
        </w:rPr>
        <w:t>רקע</w:t>
      </w:r>
      <w:r w:rsidR="006F0654" w:rsidRPr="00E8538A">
        <w:rPr>
          <w:rFonts w:ascii="Arial" w:hAnsi="Arial" w:cs="David"/>
          <w:rtl/>
        </w:rPr>
        <w:t xml:space="preserve"> </w:t>
      </w:r>
      <w:r w:rsidR="006F0654" w:rsidRPr="00E8538A">
        <w:rPr>
          <w:rFonts w:ascii="Arial" w:hAnsi="Arial" w:cs="David" w:hint="eastAsia"/>
          <w:rtl/>
        </w:rPr>
        <w:t>משבר</w:t>
      </w:r>
      <w:r w:rsidR="006F0654" w:rsidRPr="00E8538A">
        <w:rPr>
          <w:rFonts w:ascii="Arial" w:hAnsi="Arial" w:cs="David"/>
          <w:rtl/>
        </w:rPr>
        <w:t xml:space="preserve"> </w:t>
      </w:r>
      <w:r w:rsidR="006F0654" w:rsidRPr="00E8538A">
        <w:rPr>
          <w:rFonts w:ascii="Arial" w:hAnsi="Arial" w:cs="David" w:hint="eastAsia"/>
          <w:rtl/>
        </w:rPr>
        <w:t>הקורונה</w:t>
      </w:r>
      <w:r w:rsidR="006B6A13">
        <w:rPr>
          <w:rFonts w:ascii="Arial" w:hAnsi="Arial" w:cs="David" w:hint="cs"/>
          <w:rtl/>
        </w:rPr>
        <w:t>,</w:t>
      </w:r>
      <w:r w:rsidR="00FA5AFC" w:rsidRPr="00E8538A">
        <w:rPr>
          <w:rFonts w:ascii="Arial" w:hAnsi="Arial" w:cs="David"/>
          <w:rtl/>
        </w:rPr>
        <w:t xml:space="preserve"> </w:t>
      </w:r>
      <w:r w:rsidR="00FA5AFC" w:rsidRPr="00005A1C">
        <w:rPr>
          <w:rFonts w:ascii="Arial" w:hAnsi="Arial" w:cs="David" w:hint="cs"/>
          <w:rtl/>
        </w:rPr>
        <w:t xml:space="preserve">בהיקף של כ- </w:t>
      </w:r>
      <w:r w:rsidR="000506CB">
        <w:rPr>
          <w:rFonts w:ascii="Arial" w:hAnsi="Arial" w:cs="David" w:hint="cs"/>
          <w:rtl/>
        </w:rPr>
        <w:t>11.2</w:t>
      </w:r>
      <w:r w:rsidR="00FA5AFC" w:rsidRPr="00005A1C">
        <w:rPr>
          <w:rFonts w:ascii="Arial" w:hAnsi="Arial" w:cs="David" w:hint="cs"/>
          <w:rtl/>
        </w:rPr>
        <w:t xml:space="preserve"> מיליארדי דולרים</w:t>
      </w:r>
      <w:r w:rsidR="00562DE8">
        <w:rPr>
          <w:rFonts w:ascii="Arial" w:hAnsi="Arial" w:cs="David" w:hint="cs"/>
          <w:rtl/>
        </w:rPr>
        <w:t xml:space="preserve"> (</w:t>
      </w:r>
      <w:r w:rsidR="004B5925">
        <w:rPr>
          <w:rFonts w:ascii="Arial" w:hAnsi="Arial" w:cs="David" w:hint="cs"/>
          <w:rtl/>
        </w:rPr>
        <w:t>14.2</w:t>
      </w:r>
      <w:r w:rsidR="004E4E2E">
        <w:rPr>
          <w:rFonts w:ascii="Arial" w:hAnsi="Arial" w:cs="David" w:hint="cs"/>
          <w:rtl/>
        </w:rPr>
        <w:t>%</w:t>
      </w:r>
      <w:r w:rsidR="00450ED9">
        <w:rPr>
          <w:rFonts w:ascii="Arial" w:hAnsi="Arial" w:cs="David" w:hint="cs"/>
          <w:rtl/>
        </w:rPr>
        <w:t>-</w:t>
      </w:r>
      <w:r w:rsidR="004E4E2E">
        <w:rPr>
          <w:rFonts w:ascii="Arial" w:hAnsi="Arial" w:cs="David" w:hint="cs"/>
          <w:rtl/>
        </w:rPr>
        <w:t xml:space="preserve"> </w:t>
      </w:r>
      <w:r w:rsidR="00562DE8">
        <w:rPr>
          <w:rFonts w:ascii="Arial" w:hAnsi="Arial" w:cs="David" w:hint="cs"/>
          <w:rtl/>
        </w:rPr>
        <w:t>מיתרת ההשקעות</w:t>
      </w:r>
      <w:r w:rsidR="006F0654">
        <w:rPr>
          <w:rFonts w:ascii="Arial" w:hAnsi="Arial" w:cs="David" w:hint="cs"/>
          <w:rtl/>
        </w:rPr>
        <w:t xml:space="preserve"> </w:t>
      </w:r>
      <w:r w:rsidR="00562DE8">
        <w:rPr>
          <w:rFonts w:ascii="Arial" w:hAnsi="Arial" w:cs="David" w:hint="cs"/>
          <w:rtl/>
        </w:rPr>
        <w:t>הפיננסיות</w:t>
      </w:r>
      <w:r w:rsidR="004B5925">
        <w:rPr>
          <w:rFonts w:ascii="Arial" w:hAnsi="Arial" w:cs="David" w:hint="cs"/>
          <w:rtl/>
        </w:rPr>
        <w:t xml:space="preserve"> במניות</w:t>
      </w:r>
      <w:r w:rsidR="00562DE8">
        <w:rPr>
          <w:rFonts w:ascii="Arial" w:hAnsi="Arial" w:cs="David" w:hint="cs"/>
          <w:rtl/>
        </w:rPr>
        <w:t>)</w:t>
      </w:r>
      <w:r w:rsidR="00AE1926" w:rsidRPr="00005A1C">
        <w:rPr>
          <w:rFonts w:ascii="Arial" w:hAnsi="Arial" w:cs="David" w:hint="cs"/>
          <w:rtl/>
        </w:rPr>
        <w:t>.</w:t>
      </w:r>
      <w:r w:rsidR="00B71D86" w:rsidRPr="00005A1C">
        <w:rPr>
          <w:rFonts w:ascii="Arial" w:hAnsi="Arial" w:cs="David" w:hint="cs"/>
          <w:rtl/>
        </w:rPr>
        <w:t xml:space="preserve"> </w:t>
      </w:r>
      <w:r w:rsidR="00716555" w:rsidRPr="00716555">
        <w:rPr>
          <w:rFonts w:ascii="Arial" w:hAnsi="Arial" w:cs="David" w:hint="cs"/>
          <w:rtl/>
        </w:rPr>
        <w:t>מנגד</w:t>
      </w:r>
      <w:r w:rsidR="00CF1210" w:rsidRPr="00716555">
        <w:rPr>
          <w:rFonts w:ascii="Arial" w:hAnsi="Arial" w:cs="David" w:hint="cs"/>
          <w:rtl/>
        </w:rPr>
        <w:t xml:space="preserve">, נרשמו </w:t>
      </w:r>
      <w:r w:rsidR="000506CB">
        <w:rPr>
          <w:rFonts w:ascii="Arial" w:hAnsi="Arial" w:cs="David" w:hint="cs"/>
          <w:rtl/>
        </w:rPr>
        <w:t>השקעות</w:t>
      </w:r>
      <w:r w:rsidR="00AE1926" w:rsidRPr="00716555">
        <w:rPr>
          <w:rFonts w:ascii="Arial" w:hAnsi="Arial" w:cs="David" w:hint="cs"/>
          <w:rtl/>
        </w:rPr>
        <w:t xml:space="preserve"> נטו של תושבי חוץ </w:t>
      </w:r>
      <w:r w:rsidR="004E4E2E">
        <w:rPr>
          <w:rFonts w:ascii="Arial" w:hAnsi="Arial" w:cs="David" w:hint="cs"/>
          <w:rtl/>
        </w:rPr>
        <w:t>ב</w:t>
      </w:r>
      <w:r w:rsidR="000506CB">
        <w:rPr>
          <w:rFonts w:ascii="Arial" w:hAnsi="Arial" w:cs="David" w:hint="cs"/>
          <w:rtl/>
        </w:rPr>
        <w:t>אג"ח</w:t>
      </w:r>
      <w:r w:rsidR="00AE1926" w:rsidRPr="00716555">
        <w:rPr>
          <w:rFonts w:ascii="Arial" w:hAnsi="Arial" w:cs="David" w:hint="cs"/>
          <w:rtl/>
        </w:rPr>
        <w:t xml:space="preserve"> ישראליות בסך של</w:t>
      </w:r>
      <w:r w:rsidR="00CF1210" w:rsidRPr="00716555">
        <w:rPr>
          <w:rFonts w:ascii="Arial" w:hAnsi="Arial" w:cs="David" w:hint="cs"/>
          <w:rtl/>
        </w:rPr>
        <w:t xml:space="preserve"> כ-</w:t>
      </w:r>
      <w:r w:rsidR="00AE1926" w:rsidRPr="00716555">
        <w:rPr>
          <w:rFonts w:ascii="Arial" w:hAnsi="Arial" w:cs="David" w:hint="cs"/>
          <w:rtl/>
        </w:rPr>
        <w:t xml:space="preserve"> </w:t>
      </w:r>
      <w:r w:rsidR="000506CB">
        <w:rPr>
          <w:rFonts w:ascii="Arial" w:hAnsi="Arial" w:cs="David" w:hint="cs"/>
          <w:rtl/>
        </w:rPr>
        <w:t>2.8</w:t>
      </w:r>
      <w:r w:rsidR="00CF1210" w:rsidRPr="00716555">
        <w:rPr>
          <w:rFonts w:ascii="Arial" w:hAnsi="Arial" w:cs="David" w:hint="cs"/>
          <w:rtl/>
        </w:rPr>
        <w:t xml:space="preserve"> מיליארד</w:t>
      </w:r>
      <w:r w:rsidR="00450ED9">
        <w:rPr>
          <w:rFonts w:ascii="Arial" w:hAnsi="Arial" w:cs="David" w:hint="cs"/>
          <w:rtl/>
        </w:rPr>
        <w:t>י</w:t>
      </w:r>
      <w:r w:rsidR="00CF1210" w:rsidRPr="00716555">
        <w:rPr>
          <w:rFonts w:ascii="Arial" w:hAnsi="Arial" w:cs="David" w:hint="cs"/>
          <w:rtl/>
        </w:rPr>
        <w:t xml:space="preserve"> דולר</w:t>
      </w:r>
      <w:r w:rsidR="00450ED9">
        <w:rPr>
          <w:rFonts w:ascii="Arial" w:hAnsi="Arial" w:cs="David" w:hint="cs"/>
          <w:rtl/>
        </w:rPr>
        <w:t>ים</w:t>
      </w:r>
      <w:r w:rsidR="00AE1926" w:rsidRPr="00716555">
        <w:rPr>
          <w:rFonts w:ascii="Arial" w:hAnsi="Arial" w:cs="David" w:hint="cs"/>
          <w:rtl/>
        </w:rPr>
        <w:t>.</w:t>
      </w:r>
      <w:r w:rsidR="00FA5AFC" w:rsidRPr="00716555">
        <w:rPr>
          <w:rFonts w:ascii="Arial" w:hAnsi="Arial" w:cs="David" w:hint="cs"/>
          <w:rtl/>
        </w:rPr>
        <w:t xml:space="preserve"> </w:t>
      </w:r>
    </w:p>
    <w:p w:rsidR="002216F2" w:rsidRDefault="002216F2" w:rsidP="006F0654">
      <w:pPr>
        <w:pStyle w:val="af7"/>
        <w:numPr>
          <w:ilvl w:val="0"/>
          <w:numId w:val="17"/>
        </w:numPr>
        <w:spacing w:before="240" w:line="360" w:lineRule="auto"/>
        <w:jc w:val="both"/>
        <w:rPr>
          <w:rFonts w:ascii="Arial" w:hAnsi="Arial" w:cs="David"/>
        </w:rPr>
      </w:pPr>
      <w:r w:rsidRPr="008C765A">
        <w:rPr>
          <w:rStyle w:val="20"/>
          <w:rFonts w:hint="cs"/>
          <w:b/>
          <w:bCs/>
          <w:rtl/>
        </w:rPr>
        <w:lastRenderedPageBreak/>
        <w:t>שווי התיק של תושבי חוץ בבורסה לני"ע בתל-אביב</w:t>
      </w:r>
      <w:r w:rsidRPr="008C765A">
        <w:rPr>
          <w:rFonts w:ascii="Arial" w:hAnsi="Arial" w:cs="David" w:hint="cs"/>
          <w:b/>
          <w:bCs/>
          <w:rtl/>
        </w:rPr>
        <w:t xml:space="preserve">, </w:t>
      </w:r>
      <w:r w:rsidRPr="008C765A">
        <w:rPr>
          <w:rFonts w:ascii="Arial" w:hAnsi="Arial" w:cs="David" w:hint="cs"/>
          <w:rtl/>
        </w:rPr>
        <w:t>המהווה חלק מיתרת ההשקעות של תושבי חוץ</w:t>
      </w:r>
      <w:r w:rsidRPr="008C765A">
        <w:rPr>
          <w:rFonts w:ascii="Arial" w:hAnsi="Arial" w:cs="David" w:hint="cs"/>
          <w:b/>
          <w:bCs/>
          <w:rtl/>
        </w:rPr>
        <w:t xml:space="preserve"> </w:t>
      </w:r>
      <w:r w:rsidRPr="008C765A">
        <w:rPr>
          <w:rFonts w:ascii="Arial" w:hAnsi="Arial" w:cs="David" w:hint="cs"/>
          <w:rtl/>
        </w:rPr>
        <w:t xml:space="preserve">במשק, </w:t>
      </w:r>
      <w:r w:rsidR="00902D00">
        <w:rPr>
          <w:rFonts w:ascii="Arial" w:hAnsi="Arial" w:cs="David" w:hint="cs"/>
          <w:rtl/>
        </w:rPr>
        <w:t>ירד</w:t>
      </w:r>
      <w:r w:rsidR="000761AC" w:rsidRPr="008C765A">
        <w:rPr>
          <w:rFonts w:ascii="Arial" w:hAnsi="Arial" w:cs="David" w:hint="cs"/>
          <w:rtl/>
        </w:rPr>
        <w:t xml:space="preserve"> </w:t>
      </w:r>
      <w:r w:rsidRPr="008C765A">
        <w:rPr>
          <w:rFonts w:ascii="Arial" w:hAnsi="Arial" w:cs="David" w:hint="cs"/>
          <w:rtl/>
        </w:rPr>
        <w:t>ברביע ה</w:t>
      </w:r>
      <w:r w:rsidR="00902D00">
        <w:rPr>
          <w:rFonts w:ascii="Arial" w:hAnsi="Arial" w:cs="David" w:hint="cs"/>
          <w:rtl/>
        </w:rPr>
        <w:t>ראשון</w:t>
      </w:r>
      <w:r w:rsidRPr="008C765A">
        <w:rPr>
          <w:rFonts w:ascii="Arial" w:hAnsi="Arial" w:cs="David" w:hint="cs"/>
          <w:rtl/>
        </w:rPr>
        <w:t xml:space="preserve"> </w:t>
      </w:r>
      <w:proofErr w:type="spellStart"/>
      <w:r w:rsidRPr="008C765A">
        <w:rPr>
          <w:rFonts w:ascii="Arial" w:hAnsi="Arial" w:cs="David" w:hint="cs"/>
          <w:rtl/>
        </w:rPr>
        <w:t>בכ</w:t>
      </w:r>
      <w:proofErr w:type="spellEnd"/>
      <w:r w:rsidRPr="008C765A">
        <w:rPr>
          <w:rFonts w:ascii="Arial" w:hAnsi="Arial" w:cs="David" w:hint="cs"/>
          <w:rtl/>
        </w:rPr>
        <w:t>-</w:t>
      </w:r>
      <w:r w:rsidR="00902D00">
        <w:rPr>
          <w:rFonts w:ascii="David" w:hAnsi="David" w:cs="David"/>
        </w:rPr>
        <w:t>6.6</w:t>
      </w:r>
      <w:r w:rsidRPr="008C765A">
        <w:rPr>
          <w:rFonts w:ascii="Arial" w:hAnsi="Arial" w:cs="David" w:hint="cs"/>
          <w:rtl/>
        </w:rPr>
        <w:t xml:space="preserve"> מיליארדי דולרים ועמד בסוף </w:t>
      </w:r>
      <w:r w:rsidR="00902D00">
        <w:rPr>
          <w:rFonts w:ascii="Arial" w:hAnsi="Arial" w:cs="David" w:hint="cs"/>
          <w:rtl/>
        </w:rPr>
        <w:t>מרץ</w:t>
      </w:r>
      <w:r w:rsidRPr="008C765A">
        <w:rPr>
          <w:rFonts w:ascii="Arial" w:hAnsi="Arial" w:cs="David" w:hint="cs"/>
          <w:rtl/>
        </w:rPr>
        <w:t xml:space="preserve"> על </w:t>
      </w:r>
      <w:r w:rsidR="00902D00">
        <w:rPr>
          <w:rFonts w:ascii="Arial" w:hAnsi="Arial" w:cs="David" w:hint="cs"/>
          <w:rtl/>
        </w:rPr>
        <w:t>42.4</w:t>
      </w:r>
      <w:r w:rsidR="00141843" w:rsidRPr="008C765A">
        <w:rPr>
          <w:rFonts w:ascii="Arial" w:hAnsi="Arial" w:cs="David" w:hint="cs"/>
          <w:rtl/>
        </w:rPr>
        <w:t xml:space="preserve"> מיליארדים. </w:t>
      </w:r>
      <w:r w:rsidR="00291259" w:rsidRPr="008C765A">
        <w:rPr>
          <w:rFonts w:ascii="Arial" w:hAnsi="Arial" w:cs="David" w:hint="cs"/>
          <w:rtl/>
        </w:rPr>
        <w:t>השינוי</w:t>
      </w:r>
      <w:r w:rsidRPr="008C765A">
        <w:rPr>
          <w:rFonts w:ascii="Arial" w:hAnsi="Arial" w:cs="David" w:hint="cs"/>
          <w:rtl/>
        </w:rPr>
        <w:t xml:space="preserve"> בשווי התיק </w:t>
      </w:r>
      <w:r w:rsidR="00141843" w:rsidRPr="008C765A">
        <w:rPr>
          <w:rFonts w:ascii="Arial" w:hAnsi="Arial" w:cs="David" w:hint="cs"/>
          <w:rtl/>
        </w:rPr>
        <w:t xml:space="preserve">התרחש </w:t>
      </w:r>
      <w:r w:rsidRPr="008C765A">
        <w:rPr>
          <w:rFonts w:ascii="Arial" w:hAnsi="Arial" w:cs="David" w:hint="cs"/>
          <w:rtl/>
        </w:rPr>
        <w:t xml:space="preserve">כתוצאה </w:t>
      </w:r>
      <w:r w:rsidR="00862102" w:rsidRPr="008C765A">
        <w:rPr>
          <w:rFonts w:ascii="Arial" w:hAnsi="Arial" w:cs="David" w:hint="cs"/>
          <w:rtl/>
        </w:rPr>
        <w:t>מ</w:t>
      </w:r>
      <w:r w:rsidR="00862102">
        <w:rPr>
          <w:rFonts w:ascii="Arial" w:hAnsi="Arial" w:cs="David" w:hint="cs"/>
          <w:rtl/>
        </w:rPr>
        <w:t>יריד</w:t>
      </w:r>
      <w:r w:rsidR="006F0654">
        <w:rPr>
          <w:rFonts w:ascii="Arial" w:hAnsi="Arial" w:cs="David" w:hint="cs"/>
          <w:rtl/>
        </w:rPr>
        <w:t>ות</w:t>
      </w:r>
      <w:r w:rsidR="00862102" w:rsidRPr="008C765A">
        <w:rPr>
          <w:rFonts w:ascii="Arial" w:hAnsi="Arial" w:cs="David" w:hint="cs"/>
          <w:rtl/>
        </w:rPr>
        <w:t xml:space="preserve"> במחירי המניות הישראליות הנסחרות בארץ (ישירות </w:t>
      </w:r>
      <w:r w:rsidR="00862102">
        <w:rPr>
          <w:rFonts w:ascii="Arial" w:hAnsi="Arial" w:cs="David" w:hint="cs"/>
          <w:rtl/>
        </w:rPr>
        <w:t>ובתיק ני"ע</w:t>
      </w:r>
      <w:r w:rsidR="00862102" w:rsidRPr="008C765A">
        <w:rPr>
          <w:rFonts w:ascii="Arial" w:hAnsi="Arial" w:cs="David" w:hint="cs"/>
          <w:rtl/>
        </w:rPr>
        <w:t>)</w:t>
      </w:r>
      <w:r w:rsidR="00862102">
        <w:rPr>
          <w:rFonts w:ascii="Arial" w:hAnsi="Arial" w:cs="David" w:hint="cs"/>
          <w:rtl/>
        </w:rPr>
        <w:t xml:space="preserve"> שקוזז</w:t>
      </w:r>
      <w:r w:rsidR="006F0654">
        <w:rPr>
          <w:rFonts w:ascii="Arial" w:hAnsi="Arial" w:cs="David" w:hint="cs"/>
          <w:rtl/>
        </w:rPr>
        <w:t>ו</w:t>
      </w:r>
      <w:r w:rsidR="00862102">
        <w:rPr>
          <w:rFonts w:ascii="Arial" w:hAnsi="Arial" w:cs="David" w:hint="cs"/>
          <w:rtl/>
        </w:rPr>
        <w:t xml:space="preserve"> </w:t>
      </w:r>
      <w:r w:rsidR="006F0654">
        <w:rPr>
          <w:rFonts w:ascii="Arial" w:hAnsi="Arial" w:cs="David" w:hint="cs"/>
          <w:rtl/>
        </w:rPr>
        <w:t>בחלקן</w:t>
      </w:r>
      <w:r w:rsidR="00DC2BDF">
        <w:rPr>
          <w:rFonts w:ascii="Arial" w:hAnsi="Arial" w:cs="David" w:hint="cs"/>
          <w:rtl/>
        </w:rPr>
        <w:t xml:space="preserve"> על ידי </w:t>
      </w:r>
      <w:r w:rsidR="002C414A">
        <w:rPr>
          <w:rFonts w:ascii="Arial" w:hAnsi="Arial" w:cs="David" w:hint="cs"/>
          <w:rtl/>
        </w:rPr>
        <w:t xml:space="preserve">זרם השקעות </w:t>
      </w:r>
      <w:r w:rsidR="00DC2BDF">
        <w:rPr>
          <w:rFonts w:ascii="Arial" w:hAnsi="Arial" w:cs="David" w:hint="cs"/>
          <w:rtl/>
        </w:rPr>
        <w:t>נטו</w:t>
      </w:r>
      <w:r w:rsidR="006F0654">
        <w:rPr>
          <w:rFonts w:ascii="Arial" w:hAnsi="Arial" w:cs="David" w:hint="cs"/>
          <w:rtl/>
        </w:rPr>
        <w:t xml:space="preserve">, </w:t>
      </w:r>
      <w:r w:rsidR="00862102">
        <w:rPr>
          <w:rFonts w:ascii="Arial" w:hAnsi="Arial" w:cs="David" w:hint="cs"/>
          <w:rtl/>
        </w:rPr>
        <w:t xml:space="preserve">בעיקר </w:t>
      </w:r>
      <w:r w:rsidR="002C414A">
        <w:rPr>
          <w:rFonts w:ascii="Arial" w:hAnsi="Arial" w:cs="David" w:hint="cs"/>
          <w:rtl/>
        </w:rPr>
        <w:t>באג"ח ישראליות</w:t>
      </w:r>
      <w:r w:rsidRPr="008C765A">
        <w:rPr>
          <w:rFonts w:ascii="Arial" w:hAnsi="Arial" w:cs="David" w:hint="cs"/>
          <w:rtl/>
        </w:rPr>
        <w:t xml:space="preserve">. (תרשים 2 ותרשים 3) </w:t>
      </w:r>
    </w:p>
    <w:p w:rsidR="002D7D8A" w:rsidRPr="008C765A" w:rsidRDefault="002D7D8A" w:rsidP="006A005A">
      <w:pPr>
        <w:pStyle w:val="af7"/>
        <w:spacing w:before="240" w:line="360" w:lineRule="auto"/>
        <w:jc w:val="center"/>
        <w:rPr>
          <w:rFonts w:ascii="Arial" w:hAnsi="Arial" w:cs="David"/>
          <w:rtl/>
        </w:rPr>
      </w:pPr>
    </w:p>
    <w:tbl>
      <w:tblPr>
        <w:tblStyle w:val="af1"/>
        <w:bidiVisual/>
        <w:tblW w:w="16224" w:type="dxa"/>
        <w:tblInd w:w="-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10968"/>
      </w:tblGrid>
      <w:tr w:rsidR="00AE1217" w:rsidRPr="00A53CC2" w:rsidTr="00AE1217">
        <w:trPr>
          <w:trHeight w:val="1176"/>
        </w:trPr>
        <w:tc>
          <w:tcPr>
            <w:tcW w:w="5256" w:type="dxa"/>
          </w:tcPr>
          <w:p w:rsidR="002216F2" w:rsidRPr="00A53CC2" w:rsidRDefault="00AE1217" w:rsidP="00AE1217">
            <w:pPr>
              <w:spacing w:line="360" w:lineRule="auto"/>
              <w:jc w:val="right"/>
              <w:rPr>
                <w:highlight w:val="yellow"/>
                <w:rtl/>
              </w:rPr>
            </w:pPr>
            <w:r w:rsidRPr="00A53CC2">
              <w:rPr>
                <w:noProof/>
                <w:highlight w:val="yellow"/>
                <w:lang w:eastAsia="en-US"/>
              </w:rPr>
              <w:drawing>
                <wp:inline distT="0" distB="0" distL="0" distR="0" wp14:anchorId="65FF7E01" wp14:editId="1591D318">
                  <wp:extent cx="3200400" cy="2291662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008" cy="2322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8" w:type="dxa"/>
          </w:tcPr>
          <w:p w:rsidR="0052669F" w:rsidRDefault="006A005A" w:rsidP="006A005A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noProof/>
                <w:rtl/>
                <w:lang w:eastAsia="en-US"/>
              </w:rPr>
            </w:pPr>
            <w:r w:rsidRPr="006A005A">
              <w:rPr>
                <w:rFonts w:hint="cs"/>
                <w:noProof/>
                <w:rtl/>
                <w:lang w:eastAsia="en-US"/>
              </w:rPr>
              <w:t xml:space="preserve">                  </w:t>
            </w:r>
          </w:p>
          <w:p w:rsidR="002216F2" w:rsidRPr="006A005A" w:rsidRDefault="0052669F" w:rsidP="0052669F">
            <w:pPr>
              <w:pStyle w:val="2"/>
              <w:tabs>
                <w:tab w:val="left" w:pos="6348"/>
              </w:tabs>
              <w:ind w:left="720" w:right="0"/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042AF63">
                  <wp:extent cx="4159848" cy="2535423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692" cy="2556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rtl/>
                <w:lang w:eastAsia="en-US"/>
              </w:rPr>
              <w:drawing>
                <wp:inline distT="0" distB="0" distL="0" distR="0" wp14:anchorId="66586BA5">
                  <wp:extent cx="4151163" cy="2662518"/>
                  <wp:effectExtent l="0" t="0" r="1905" b="508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115" cy="2699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5A32" w:rsidRPr="00221960" w:rsidRDefault="008B5A32" w:rsidP="00B6470A">
            <w:pPr>
              <w:pStyle w:val="af7"/>
              <w:numPr>
                <w:ilvl w:val="0"/>
                <w:numId w:val="17"/>
              </w:numPr>
              <w:spacing w:before="240" w:line="360" w:lineRule="auto"/>
              <w:jc w:val="both"/>
              <w:rPr>
                <w:rStyle w:val="20"/>
                <w:rFonts w:ascii="Arial" w:hAnsi="Arial"/>
              </w:rPr>
            </w:pPr>
            <w:r w:rsidRPr="00221960">
              <w:rPr>
                <w:rStyle w:val="20"/>
                <w:rFonts w:hint="cs"/>
                <w:b/>
                <w:bCs/>
                <w:rtl/>
              </w:rPr>
              <w:t>שווי ההשקעות האחרות במשק</w:t>
            </w:r>
            <w:r w:rsidRPr="00221960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r w:rsidR="001D059C">
              <w:rPr>
                <w:rFonts w:ascii="Arial" w:hAnsi="Arial" w:cs="David" w:hint="cs"/>
                <w:rtl/>
              </w:rPr>
              <w:t>ירד</w:t>
            </w:r>
            <w:r w:rsidRPr="00221960">
              <w:rPr>
                <w:rFonts w:ascii="Arial" w:hAnsi="Arial" w:cs="David" w:hint="cs"/>
                <w:rtl/>
              </w:rPr>
              <w:t xml:space="preserve"> במהלך הרביע ה</w:t>
            </w:r>
            <w:r w:rsidR="00FB7A17">
              <w:rPr>
                <w:rFonts w:ascii="Arial" w:hAnsi="Arial" w:cs="David" w:hint="cs"/>
                <w:rtl/>
              </w:rPr>
              <w:t>ראשון</w:t>
            </w:r>
            <w:r w:rsidR="007074EA">
              <w:rPr>
                <w:rFonts w:ascii="Arial" w:hAnsi="Arial" w:cs="David" w:hint="cs"/>
                <w:rtl/>
              </w:rPr>
              <w:t xml:space="preserve"> בכ-</w:t>
            </w:r>
            <w:r w:rsidR="001D059C">
              <w:rPr>
                <w:rFonts w:ascii="Arial" w:hAnsi="Arial" w:cs="David" w:hint="cs"/>
                <w:rtl/>
              </w:rPr>
              <w:t xml:space="preserve">1.5 </w:t>
            </w:r>
            <w:r w:rsidR="00067A97">
              <w:rPr>
                <w:rFonts w:ascii="Arial" w:hAnsi="Arial" w:cs="David" w:hint="cs"/>
                <w:rtl/>
              </w:rPr>
              <w:t>מיליארד</w:t>
            </w:r>
            <w:r w:rsidRPr="00221960">
              <w:rPr>
                <w:rFonts w:ascii="Arial" w:hAnsi="Arial" w:cs="David" w:hint="cs"/>
                <w:rtl/>
              </w:rPr>
              <w:t xml:space="preserve"> דולר (2.</w:t>
            </w:r>
            <w:r w:rsidR="001D059C">
              <w:rPr>
                <w:rFonts w:ascii="Arial" w:hAnsi="Arial" w:cs="David" w:hint="cs"/>
                <w:rtl/>
              </w:rPr>
              <w:t>9</w:t>
            </w:r>
            <w:r w:rsidRPr="00221960">
              <w:rPr>
                <w:rFonts w:ascii="Arial" w:hAnsi="Arial" w:cs="David" w:hint="cs"/>
                <w:rtl/>
              </w:rPr>
              <w:t>%</w:t>
            </w:r>
            <w:r w:rsidR="00B6470A">
              <w:rPr>
                <w:rFonts w:ascii="Arial" w:hAnsi="Arial" w:cs="David" w:hint="cs"/>
                <w:rtl/>
              </w:rPr>
              <w:t>-</w:t>
            </w:r>
            <w:r>
              <w:rPr>
                <w:rFonts w:ascii="Arial" w:hAnsi="Arial" w:cs="David" w:hint="cs"/>
                <w:rtl/>
              </w:rPr>
              <w:t>),</w:t>
            </w:r>
            <w:r w:rsidRPr="00221960">
              <w:rPr>
                <w:rFonts w:ascii="Arial" w:hAnsi="Arial" w:cs="David" w:hint="cs"/>
                <w:rtl/>
              </w:rPr>
              <w:t xml:space="preserve"> בעיקר כתוצאה </w:t>
            </w:r>
            <w:r w:rsidR="00B6470A">
              <w:rPr>
                <w:rFonts w:ascii="Arial" w:hAnsi="Arial" w:cs="David" w:hint="cs"/>
                <w:rtl/>
              </w:rPr>
              <w:t xml:space="preserve">מפירעונות נטו </w:t>
            </w:r>
            <w:r w:rsidR="007074EA">
              <w:rPr>
                <w:rFonts w:ascii="Arial" w:hAnsi="Arial" w:cs="David" w:hint="cs"/>
                <w:rtl/>
              </w:rPr>
              <w:t>ב</w:t>
            </w:r>
            <w:r>
              <w:rPr>
                <w:rFonts w:ascii="Arial" w:hAnsi="Arial" w:cs="David" w:hint="cs"/>
                <w:rtl/>
              </w:rPr>
              <w:t xml:space="preserve">אשראי </w:t>
            </w:r>
            <w:r w:rsidR="00B6470A">
              <w:rPr>
                <w:rFonts w:ascii="Arial" w:hAnsi="Arial" w:cs="David" w:hint="cs"/>
                <w:rtl/>
              </w:rPr>
              <w:t>ה</w:t>
            </w:r>
            <w:r>
              <w:rPr>
                <w:rFonts w:ascii="Arial" w:hAnsi="Arial" w:cs="David" w:hint="cs"/>
                <w:rtl/>
              </w:rPr>
              <w:t xml:space="preserve">ספקים </w:t>
            </w:r>
            <w:r w:rsidR="00D42BF8">
              <w:rPr>
                <w:rFonts w:ascii="Arial" w:hAnsi="Arial" w:cs="David" w:hint="cs"/>
                <w:rtl/>
              </w:rPr>
              <w:t>ב</w:t>
            </w:r>
            <w:r>
              <w:rPr>
                <w:rFonts w:ascii="Arial" w:hAnsi="Arial" w:cs="David" w:hint="cs"/>
                <w:rtl/>
              </w:rPr>
              <w:t>היקף של כ-</w:t>
            </w:r>
            <w:r w:rsidR="001D059C">
              <w:rPr>
                <w:rFonts w:ascii="Arial" w:hAnsi="Arial" w:cs="David" w:hint="cs"/>
                <w:rtl/>
              </w:rPr>
              <w:t>1.2</w:t>
            </w:r>
            <w:r w:rsidR="007074EA">
              <w:rPr>
                <w:rFonts w:ascii="Arial" w:hAnsi="Arial" w:cs="David" w:hint="cs"/>
                <w:rtl/>
              </w:rPr>
              <w:t xml:space="preserve"> מיליארדי דולר</w:t>
            </w:r>
            <w:r w:rsidR="00B6470A">
              <w:rPr>
                <w:rFonts w:ascii="Arial" w:hAnsi="Arial" w:cs="David" w:hint="cs"/>
                <w:rtl/>
              </w:rPr>
              <w:t>ים</w:t>
            </w:r>
            <w:r w:rsidR="001D059C">
              <w:rPr>
                <w:rStyle w:val="20"/>
                <w:rFonts w:ascii="Arial" w:hAnsi="Arial" w:hint="cs"/>
                <w:rtl/>
              </w:rPr>
              <w:t xml:space="preserve"> ובאשראי פיננסי בהיקף של כ-</w:t>
            </w:r>
            <w:r w:rsidR="00693183">
              <w:rPr>
                <w:rStyle w:val="20"/>
                <w:rFonts w:ascii="Arial" w:hAnsi="Arial" w:hint="cs"/>
                <w:rtl/>
              </w:rPr>
              <w:t xml:space="preserve">0.9 </w:t>
            </w:r>
            <w:r w:rsidR="00067A97">
              <w:rPr>
                <w:rStyle w:val="20"/>
                <w:rFonts w:ascii="Arial" w:hAnsi="Arial" w:hint="cs"/>
                <w:rtl/>
              </w:rPr>
              <w:t>מיליארד</w:t>
            </w:r>
            <w:r w:rsidR="006B6A13">
              <w:rPr>
                <w:rStyle w:val="20"/>
                <w:rFonts w:ascii="Arial" w:hAnsi="Arial" w:hint="cs"/>
                <w:rtl/>
              </w:rPr>
              <w:t>ים</w:t>
            </w:r>
            <w:r w:rsidR="00067A97">
              <w:rPr>
                <w:rStyle w:val="20"/>
                <w:rFonts w:ascii="Arial" w:hAnsi="Arial" w:hint="cs"/>
                <w:rtl/>
              </w:rPr>
              <w:t>.</w:t>
            </w:r>
          </w:p>
          <w:p w:rsidR="002D7D8A" w:rsidRPr="00A53CC2" w:rsidRDefault="002D7D8A" w:rsidP="002D7D8A">
            <w:pPr>
              <w:pStyle w:val="2"/>
              <w:tabs>
                <w:tab w:val="left" w:pos="6348"/>
              </w:tabs>
              <w:ind w:left="720" w:right="0"/>
              <w:jc w:val="left"/>
              <w:rPr>
                <w:b/>
                <w:bCs/>
                <w:highlight w:val="yellow"/>
                <w:rtl/>
              </w:rPr>
            </w:pPr>
          </w:p>
        </w:tc>
      </w:tr>
    </w:tbl>
    <w:p w:rsidR="00695D66" w:rsidRPr="00F16211" w:rsidRDefault="00695D66" w:rsidP="00F16211">
      <w:pPr>
        <w:spacing w:line="360" w:lineRule="auto"/>
        <w:jc w:val="both"/>
        <w:rPr>
          <w:rFonts w:ascii="Arial" w:hAnsi="Arial" w:cs="David"/>
          <w:rtl/>
        </w:rPr>
      </w:pPr>
      <w:r w:rsidRPr="00F16211">
        <w:rPr>
          <w:rFonts w:ascii="Arial" w:hAnsi="Arial" w:cs="David" w:hint="cs"/>
          <w:b/>
          <w:bCs/>
          <w:rtl/>
        </w:rPr>
        <w:t>יתרת ההתחייבויות במכשירי חוב בלבד</w:t>
      </w:r>
      <w:r w:rsidRPr="00F16211">
        <w:rPr>
          <w:rFonts w:ascii="Arial" w:hAnsi="Arial" w:cs="David" w:hint="cs"/>
          <w:rtl/>
        </w:rPr>
        <w:t xml:space="preserve"> המהווה את </w:t>
      </w:r>
      <w:r w:rsidRPr="00F16211">
        <w:rPr>
          <w:rFonts w:ascii="Arial" w:hAnsi="Arial" w:cs="David" w:hint="cs"/>
          <w:b/>
          <w:bCs/>
          <w:rtl/>
        </w:rPr>
        <w:t>החוב החיצוני ברוטו של המשק</w:t>
      </w:r>
      <w:r w:rsidRPr="00F16211">
        <w:rPr>
          <w:rFonts w:ascii="Arial" w:hAnsi="Arial" w:cs="David" w:hint="cs"/>
          <w:rtl/>
        </w:rPr>
        <w:t xml:space="preserve"> </w:t>
      </w:r>
      <w:r w:rsidR="00870AB1" w:rsidRPr="00F16211">
        <w:rPr>
          <w:rFonts w:ascii="Arial" w:hAnsi="Arial" w:cs="David" w:hint="cs"/>
          <w:rtl/>
        </w:rPr>
        <w:t>עלתה</w:t>
      </w:r>
      <w:r w:rsidRPr="00F16211">
        <w:rPr>
          <w:rFonts w:ascii="Arial" w:hAnsi="Arial" w:cs="David" w:hint="cs"/>
          <w:rtl/>
        </w:rPr>
        <w:t xml:space="preserve"> במהלך הרביע </w:t>
      </w:r>
      <w:r w:rsidR="00DD2561" w:rsidRPr="00F16211">
        <w:rPr>
          <w:rFonts w:ascii="Arial" w:hAnsi="Arial" w:cs="David" w:hint="cs"/>
          <w:rtl/>
        </w:rPr>
        <w:t>ה</w:t>
      </w:r>
      <w:r w:rsidR="00FB7A17" w:rsidRPr="00F16211">
        <w:rPr>
          <w:rFonts w:ascii="Arial" w:hAnsi="Arial" w:cs="David" w:hint="cs"/>
          <w:rtl/>
        </w:rPr>
        <w:t>ראשון</w:t>
      </w:r>
      <w:r w:rsidRPr="00F16211">
        <w:rPr>
          <w:rFonts w:ascii="Arial" w:hAnsi="Arial" w:cs="David" w:hint="cs"/>
          <w:b/>
          <w:bCs/>
          <w:rtl/>
        </w:rPr>
        <w:t xml:space="preserve"> </w:t>
      </w:r>
      <w:r w:rsidRPr="00F16211">
        <w:rPr>
          <w:rFonts w:ascii="Arial" w:hAnsi="Arial" w:cs="David" w:hint="cs"/>
          <w:rtl/>
        </w:rPr>
        <w:t>בכ-</w:t>
      </w:r>
      <w:r w:rsidR="00041CF6" w:rsidRPr="00F16211">
        <w:rPr>
          <w:rFonts w:ascii="Arial" w:hAnsi="Arial" w:cs="David" w:hint="cs"/>
          <w:rtl/>
        </w:rPr>
        <w:t>0.6</w:t>
      </w:r>
      <w:r w:rsidRPr="00F16211">
        <w:rPr>
          <w:rFonts w:ascii="Arial" w:hAnsi="Arial" w:cs="David" w:hint="cs"/>
          <w:rtl/>
        </w:rPr>
        <w:t xml:space="preserve"> מיליארדי דולרים</w:t>
      </w:r>
      <w:r w:rsidRPr="00F16211">
        <w:rPr>
          <w:rFonts w:ascii="Arial" w:hAnsi="Arial" w:cs="David" w:hint="cs"/>
          <w:b/>
          <w:bCs/>
          <w:rtl/>
        </w:rPr>
        <w:t xml:space="preserve"> </w:t>
      </w:r>
      <w:r w:rsidRPr="00F16211">
        <w:rPr>
          <w:rFonts w:ascii="Arial" w:hAnsi="Arial" w:cs="David" w:hint="cs"/>
          <w:rtl/>
        </w:rPr>
        <w:t>(</w:t>
      </w:r>
      <w:r w:rsidR="00041CF6" w:rsidRPr="00F16211">
        <w:rPr>
          <w:rFonts w:ascii="Arial" w:hAnsi="Arial" w:cs="David" w:hint="cs"/>
          <w:rtl/>
        </w:rPr>
        <w:t>0.6</w:t>
      </w:r>
      <w:r w:rsidRPr="00F16211">
        <w:rPr>
          <w:rFonts w:ascii="Arial" w:hAnsi="Arial" w:cs="David" w:hint="cs"/>
          <w:rtl/>
        </w:rPr>
        <w:t>%)</w:t>
      </w:r>
      <w:r w:rsidR="00870AB1" w:rsidRPr="00F16211">
        <w:rPr>
          <w:rFonts w:ascii="Arial" w:hAnsi="Arial" w:cs="David" w:hint="cs"/>
          <w:rtl/>
        </w:rPr>
        <w:t xml:space="preserve"> </w:t>
      </w:r>
      <w:r w:rsidRPr="00F16211">
        <w:rPr>
          <w:rFonts w:ascii="Arial" w:hAnsi="Arial" w:cs="David" w:hint="cs"/>
          <w:rtl/>
        </w:rPr>
        <w:t xml:space="preserve">לרמה של </w:t>
      </w:r>
      <w:r w:rsidR="00202209" w:rsidRPr="00F16211">
        <w:rPr>
          <w:rFonts w:ascii="Arial" w:hAnsi="Arial" w:cs="David" w:hint="cs"/>
          <w:rtl/>
        </w:rPr>
        <w:t>10</w:t>
      </w:r>
      <w:r w:rsidR="00041CF6" w:rsidRPr="00F16211">
        <w:rPr>
          <w:rFonts w:ascii="Arial" w:hAnsi="Arial" w:cs="David" w:hint="cs"/>
          <w:rtl/>
        </w:rPr>
        <w:t>4</w:t>
      </w:r>
      <w:r w:rsidR="00202209" w:rsidRPr="00F16211">
        <w:rPr>
          <w:rFonts w:ascii="Arial" w:hAnsi="Arial" w:cs="David" w:hint="cs"/>
          <w:rtl/>
        </w:rPr>
        <w:t>.</w:t>
      </w:r>
      <w:r w:rsidR="00041CF6" w:rsidRPr="00F16211">
        <w:rPr>
          <w:rFonts w:ascii="Arial" w:hAnsi="Arial" w:cs="David" w:hint="cs"/>
          <w:rtl/>
        </w:rPr>
        <w:t>7</w:t>
      </w:r>
      <w:r w:rsidRPr="00F16211">
        <w:rPr>
          <w:rFonts w:ascii="Arial" w:hAnsi="Arial" w:cs="David" w:hint="cs"/>
          <w:rtl/>
        </w:rPr>
        <w:t xml:space="preserve"> מיליארדים, בעיקר </w:t>
      </w:r>
      <w:r w:rsidR="00BE4078" w:rsidRPr="00F16211">
        <w:rPr>
          <w:rFonts w:ascii="Arial" w:hAnsi="Arial" w:cs="David" w:hint="cs"/>
          <w:rtl/>
        </w:rPr>
        <w:t xml:space="preserve">כתוצאה </w:t>
      </w:r>
      <w:r w:rsidR="00D346F0">
        <w:rPr>
          <w:rFonts w:ascii="Arial" w:hAnsi="Arial" w:cs="David" w:hint="cs"/>
          <w:rtl/>
        </w:rPr>
        <w:t>מ</w:t>
      </w:r>
      <w:r w:rsidR="00983BAB">
        <w:rPr>
          <w:rFonts w:ascii="Arial" w:hAnsi="Arial" w:cs="David" w:hint="cs"/>
          <w:rtl/>
        </w:rPr>
        <w:t xml:space="preserve">זרם </w:t>
      </w:r>
      <w:r w:rsidR="00041CF6" w:rsidRPr="00F16211">
        <w:rPr>
          <w:rFonts w:ascii="Arial" w:hAnsi="Arial" w:cs="David" w:hint="cs"/>
          <w:rtl/>
        </w:rPr>
        <w:t>השקעה באג</w:t>
      </w:r>
      <w:r w:rsidR="006F0654">
        <w:rPr>
          <w:rFonts w:ascii="Arial" w:hAnsi="Arial" w:cs="David" w:hint="cs"/>
          <w:rtl/>
        </w:rPr>
        <w:t>"</w:t>
      </w:r>
      <w:r w:rsidR="00041CF6" w:rsidRPr="00F16211">
        <w:rPr>
          <w:rFonts w:ascii="Arial" w:hAnsi="Arial" w:cs="David" w:hint="cs"/>
          <w:rtl/>
        </w:rPr>
        <w:t>ח ישראלי</w:t>
      </w:r>
      <w:r w:rsidR="00D346F0">
        <w:rPr>
          <w:rFonts w:ascii="Arial" w:hAnsi="Arial" w:cs="David" w:hint="cs"/>
          <w:rtl/>
        </w:rPr>
        <w:t>ות</w:t>
      </w:r>
      <w:r w:rsidR="00041CF6" w:rsidRPr="00F16211">
        <w:rPr>
          <w:rFonts w:ascii="Arial" w:hAnsi="Arial" w:cs="David" w:hint="cs"/>
          <w:rtl/>
        </w:rPr>
        <w:t xml:space="preserve"> שק</w:t>
      </w:r>
      <w:r w:rsidR="00983BAB">
        <w:rPr>
          <w:rFonts w:ascii="Arial" w:hAnsi="Arial" w:cs="David" w:hint="cs"/>
          <w:rtl/>
        </w:rPr>
        <w:t>וזז בחלקו על ידי</w:t>
      </w:r>
      <w:r w:rsidR="00041CF6" w:rsidRPr="00F16211">
        <w:rPr>
          <w:rFonts w:ascii="Arial" w:hAnsi="Arial" w:cs="David" w:hint="cs"/>
          <w:rtl/>
        </w:rPr>
        <w:t xml:space="preserve"> מימושים</w:t>
      </w:r>
      <w:r w:rsidR="00983BAB">
        <w:rPr>
          <w:rFonts w:ascii="Arial" w:hAnsi="Arial" w:cs="David" w:hint="cs"/>
          <w:rtl/>
        </w:rPr>
        <w:t xml:space="preserve"> נטו</w:t>
      </w:r>
      <w:r w:rsidR="00041CF6" w:rsidRPr="00F16211">
        <w:rPr>
          <w:rFonts w:ascii="Arial" w:hAnsi="Arial" w:cs="David" w:hint="cs"/>
          <w:rtl/>
        </w:rPr>
        <w:t xml:space="preserve"> ב</w:t>
      </w:r>
      <w:r w:rsidR="00202209" w:rsidRPr="00F16211">
        <w:rPr>
          <w:rFonts w:ascii="Arial" w:hAnsi="Arial" w:cs="David" w:hint="cs"/>
          <w:rtl/>
        </w:rPr>
        <w:t>אשראי ספקים ו</w:t>
      </w:r>
      <w:r w:rsidR="00983BAB">
        <w:rPr>
          <w:rFonts w:ascii="Arial" w:hAnsi="Arial" w:cs="David" w:hint="cs"/>
          <w:rtl/>
        </w:rPr>
        <w:t>ב</w:t>
      </w:r>
      <w:r w:rsidR="00202209" w:rsidRPr="00F16211">
        <w:rPr>
          <w:rFonts w:ascii="Arial" w:hAnsi="Arial" w:cs="David" w:hint="cs"/>
          <w:rtl/>
        </w:rPr>
        <w:t xml:space="preserve">הלוואות </w:t>
      </w:r>
      <w:r w:rsidR="00041CF6" w:rsidRPr="00F16211">
        <w:rPr>
          <w:rFonts w:ascii="Arial" w:hAnsi="Arial" w:cs="David" w:hint="cs"/>
          <w:rtl/>
        </w:rPr>
        <w:t>פיננסיות</w:t>
      </w:r>
      <w:r w:rsidR="00870AB1" w:rsidRPr="00F16211">
        <w:rPr>
          <w:rFonts w:ascii="Arial" w:hAnsi="Arial" w:cs="David" w:hint="cs"/>
          <w:rtl/>
        </w:rPr>
        <w:t>.</w:t>
      </w:r>
    </w:p>
    <w:p w:rsidR="00202209" w:rsidRPr="00D22C5A" w:rsidRDefault="00202209" w:rsidP="00202209">
      <w:pPr>
        <w:spacing w:line="360" w:lineRule="auto"/>
        <w:jc w:val="both"/>
        <w:rPr>
          <w:rFonts w:ascii="Arial" w:hAnsi="Arial" w:cs="David"/>
          <w:rtl/>
        </w:rPr>
      </w:pPr>
    </w:p>
    <w:p w:rsidR="00695D66" w:rsidRDefault="00695D66" w:rsidP="00F65B61">
      <w:pPr>
        <w:spacing w:line="360" w:lineRule="auto"/>
        <w:jc w:val="both"/>
        <w:rPr>
          <w:rtl/>
        </w:rPr>
      </w:pPr>
      <w:r w:rsidRPr="00D22C5A">
        <w:rPr>
          <w:rFonts w:ascii="Arial" w:hAnsi="Arial" w:cs="David" w:hint="cs"/>
          <w:b/>
          <w:bCs/>
          <w:rtl/>
        </w:rPr>
        <w:lastRenderedPageBreak/>
        <w:t xml:space="preserve">היחס שבין החוב החיצוני </w:t>
      </w:r>
      <w:r w:rsidR="00BE4078" w:rsidRPr="00D22C5A">
        <w:rPr>
          <w:rFonts w:ascii="Arial" w:hAnsi="Arial" w:cs="David" w:hint="cs"/>
          <w:b/>
          <w:bCs/>
          <w:rtl/>
        </w:rPr>
        <w:t xml:space="preserve">ברוטו </w:t>
      </w:r>
      <w:r w:rsidRPr="00D22C5A">
        <w:rPr>
          <w:rFonts w:ascii="Arial" w:hAnsi="Arial" w:cs="David" w:hint="cs"/>
          <w:b/>
          <w:bCs/>
          <w:rtl/>
        </w:rPr>
        <w:t>לתמ"ג</w:t>
      </w:r>
      <w:r w:rsidRPr="00D22C5A">
        <w:rPr>
          <w:rFonts w:ascii="Arial" w:hAnsi="Arial" w:cs="David" w:hint="cs"/>
          <w:rtl/>
        </w:rPr>
        <w:t xml:space="preserve"> </w:t>
      </w:r>
      <w:r w:rsidR="00806A80">
        <w:rPr>
          <w:rFonts w:ascii="Arial" w:hAnsi="Arial" w:cs="David" w:hint="cs"/>
          <w:rtl/>
        </w:rPr>
        <w:t>ירד</w:t>
      </w:r>
      <w:r w:rsidR="00806A80" w:rsidRPr="00D22C5A">
        <w:rPr>
          <w:rFonts w:ascii="Arial" w:hAnsi="Arial" w:cs="David" w:hint="cs"/>
          <w:rtl/>
        </w:rPr>
        <w:t xml:space="preserve"> </w:t>
      </w:r>
      <w:r w:rsidRPr="00D22C5A">
        <w:rPr>
          <w:rFonts w:ascii="Arial" w:hAnsi="Arial" w:cs="David" w:hint="cs"/>
          <w:rtl/>
        </w:rPr>
        <w:t xml:space="preserve">במהלך הרביע </w:t>
      </w:r>
      <w:r w:rsidR="00DD2561" w:rsidRPr="00D22C5A">
        <w:rPr>
          <w:rFonts w:ascii="Arial" w:hAnsi="Arial" w:cs="David" w:hint="cs"/>
          <w:rtl/>
        </w:rPr>
        <w:t>ה</w:t>
      </w:r>
      <w:r w:rsidR="00FB7A17">
        <w:rPr>
          <w:rFonts w:ascii="Arial" w:hAnsi="Arial" w:cs="David" w:hint="cs"/>
          <w:rtl/>
        </w:rPr>
        <w:t>ראשון</w:t>
      </w:r>
      <w:r w:rsidRPr="00D22C5A">
        <w:rPr>
          <w:rFonts w:ascii="Arial" w:hAnsi="Arial" w:cs="David" w:hint="cs"/>
          <w:rtl/>
        </w:rPr>
        <w:t xml:space="preserve"> </w:t>
      </w:r>
      <w:r w:rsidR="00F26A11" w:rsidRPr="00D22C5A">
        <w:rPr>
          <w:rFonts w:ascii="Arial" w:hAnsi="Arial" w:cs="David" w:hint="cs"/>
          <w:rtl/>
        </w:rPr>
        <w:t>ב-</w:t>
      </w:r>
      <w:r w:rsidR="00D22C5A" w:rsidRPr="00D22C5A">
        <w:rPr>
          <w:rFonts w:ascii="Arial" w:hAnsi="Arial" w:cs="David" w:hint="cs"/>
          <w:rtl/>
        </w:rPr>
        <w:t>0.</w:t>
      </w:r>
      <w:r w:rsidR="00806A80">
        <w:rPr>
          <w:rFonts w:ascii="Arial" w:hAnsi="Arial" w:cs="David" w:hint="cs"/>
          <w:rtl/>
        </w:rPr>
        <w:t>2</w:t>
      </w:r>
      <w:r w:rsidR="00806A80" w:rsidRPr="00D22C5A">
        <w:rPr>
          <w:rFonts w:ascii="Arial" w:hAnsi="Arial" w:cs="David" w:hint="cs"/>
          <w:rtl/>
        </w:rPr>
        <w:t xml:space="preserve"> </w:t>
      </w:r>
      <w:r w:rsidR="00F26A11" w:rsidRPr="00D22C5A">
        <w:rPr>
          <w:rFonts w:ascii="Arial" w:hAnsi="Arial" w:cs="David" w:hint="cs"/>
          <w:rtl/>
        </w:rPr>
        <w:t xml:space="preserve">נקודות האחוז </w:t>
      </w:r>
      <w:r w:rsidRPr="00D22C5A">
        <w:rPr>
          <w:rFonts w:ascii="Arial" w:hAnsi="Arial" w:cs="David" w:hint="cs"/>
          <w:rtl/>
        </w:rPr>
        <w:t xml:space="preserve">ועמד בסוף </w:t>
      </w:r>
      <w:r w:rsidR="0071260A">
        <w:rPr>
          <w:rFonts w:ascii="Arial" w:hAnsi="Arial" w:cs="David" w:hint="cs"/>
          <w:rtl/>
        </w:rPr>
        <w:t>מרץ</w:t>
      </w:r>
      <w:r w:rsidR="00AE5180" w:rsidRPr="00D22C5A">
        <w:rPr>
          <w:rFonts w:ascii="Arial" w:hAnsi="Arial" w:cs="David" w:hint="cs"/>
          <w:rtl/>
        </w:rPr>
        <w:t xml:space="preserve"> על </w:t>
      </w:r>
      <w:r w:rsidR="0010435E">
        <w:rPr>
          <w:rFonts w:ascii="Arial" w:hAnsi="Arial" w:cs="David" w:hint="cs"/>
          <w:rtl/>
        </w:rPr>
        <w:t>26.</w:t>
      </w:r>
      <w:r w:rsidR="00806A80">
        <w:rPr>
          <w:rFonts w:ascii="Arial" w:hAnsi="Arial" w:cs="David" w:hint="cs"/>
          <w:rtl/>
        </w:rPr>
        <w:t>1</w:t>
      </w:r>
      <w:r w:rsidRPr="00D22C5A">
        <w:rPr>
          <w:rFonts w:ascii="Arial" w:hAnsi="Arial" w:cs="David" w:hint="cs"/>
          <w:rtl/>
        </w:rPr>
        <w:t>%</w:t>
      </w:r>
      <w:r w:rsidR="00F92B7D" w:rsidRPr="00D22C5A">
        <w:rPr>
          <w:rFonts w:ascii="Arial" w:hAnsi="Arial" w:cs="David" w:hint="cs"/>
          <w:rtl/>
        </w:rPr>
        <w:t>.</w:t>
      </w:r>
      <w:r w:rsidRPr="00D22C5A">
        <w:rPr>
          <w:rFonts w:ascii="Arial" w:hAnsi="Arial" w:cs="David" w:hint="cs"/>
          <w:rtl/>
        </w:rPr>
        <w:t xml:space="preserve"> </w:t>
      </w:r>
      <w:r w:rsidR="00806A80">
        <w:rPr>
          <w:rFonts w:ascii="Arial" w:hAnsi="Arial" w:cs="David" w:hint="cs"/>
          <w:rtl/>
        </w:rPr>
        <w:t>הירידה</w:t>
      </w:r>
      <w:r w:rsidR="00806A80" w:rsidRPr="00D3041A">
        <w:rPr>
          <w:rFonts w:ascii="Arial" w:hAnsi="Arial" w:cs="David"/>
          <w:rtl/>
        </w:rPr>
        <w:t xml:space="preserve"> </w:t>
      </w:r>
      <w:r w:rsidR="00D3041A" w:rsidRPr="00D3041A">
        <w:rPr>
          <w:rFonts w:ascii="Arial" w:hAnsi="Arial" w:cs="David"/>
          <w:rtl/>
        </w:rPr>
        <w:t xml:space="preserve">ביחס החוב לתוצר שיקפה שיעור גידול </w:t>
      </w:r>
      <w:r w:rsidR="0010435E">
        <w:rPr>
          <w:rFonts w:ascii="Arial" w:hAnsi="Arial" w:cs="David" w:hint="cs"/>
          <w:rtl/>
        </w:rPr>
        <w:t>גבוה</w:t>
      </w:r>
      <w:r w:rsidR="005517E7" w:rsidRPr="00D3041A">
        <w:rPr>
          <w:rFonts w:ascii="Arial" w:hAnsi="Arial" w:cs="David"/>
          <w:rtl/>
        </w:rPr>
        <w:t xml:space="preserve"> י</w:t>
      </w:r>
      <w:r w:rsidR="005517E7">
        <w:rPr>
          <w:rFonts w:ascii="Arial" w:hAnsi="Arial" w:cs="David"/>
          <w:rtl/>
        </w:rPr>
        <w:t xml:space="preserve">ותר </w:t>
      </w:r>
      <w:r w:rsidR="00806A80">
        <w:rPr>
          <w:rFonts w:ascii="Arial" w:hAnsi="Arial" w:cs="David"/>
          <w:rtl/>
        </w:rPr>
        <w:t>בתוצר</w:t>
      </w:r>
      <w:r w:rsidR="00806A80">
        <w:rPr>
          <w:rFonts w:ascii="Arial" w:hAnsi="Arial" w:cs="David" w:hint="cs"/>
          <w:rtl/>
        </w:rPr>
        <w:t xml:space="preserve"> (במונחים דולריים) </w:t>
      </w:r>
      <w:r w:rsidR="00D3041A">
        <w:rPr>
          <w:rFonts w:ascii="Arial" w:hAnsi="Arial" w:cs="David"/>
          <w:rtl/>
        </w:rPr>
        <w:t>בהשוואה לשיעור הגידול</w:t>
      </w:r>
      <w:r w:rsidR="00806A80">
        <w:rPr>
          <w:rFonts w:ascii="Arial" w:hAnsi="Arial" w:cs="David" w:hint="cs"/>
          <w:rtl/>
        </w:rPr>
        <w:t xml:space="preserve"> ב</w:t>
      </w:r>
      <w:r w:rsidR="00F65B61">
        <w:rPr>
          <w:rFonts w:ascii="Arial" w:hAnsi="Arial" w:cs="David"/>
          <w:rtl/>
        </w:rPr>
        <w:t>יתרת החוב החיצוני</w:t>
      </w:r>
      <w:r w:rsidR="000B1132" w:rsidRPr="00D22C5A">
        <w:rPr>
          <w:rFonts w:ascii="Arial" w:hAnsi="Arial" w:cs="David" w:hint="cs"/>
          <w:rtl/>
        </w:rPr>
        <w:t>.</w:t>
      </w:r>
      <w:r w:rsidRPr="00D22C5A">
        <w:rPr>
          <w:rFonts w:ascii="Arial" w:hAnsi="Arial" w:cs="David" w:hint="cs"/>
          <w:rtl/>
        </w:rPr>
        <w:t xml:space="preserve"> (תרשים </w:t>
      </w:r>
      <w:r w:rsidR="00F16B2F" w:rsidRPr="00D22C5A">
        <w:rPr>
          <w:rFonts w:ascii="Arial" w:hAnsi="Arial" w:cs="David" w:hint="cs"/>
          <w:rtl/>
        </w:rPr>
        <w:t>4</w:t>
      </w:r>
      <w:r w:rsidR="00F65B61">
        <w:rPr>
          <w:rFonts w:ascii="Arial" w:hAnsi="Arial" w:cs="David" w:hint="cs"/>
          <w:rtl/>
        </w:rPr>
        <w:t>)</w:t>
      </w:r>
      <w:r w:rsidRPr="00D22C5A">
        <w:rPr>
          <w:rFonts w:ascii="Arial" w:hAnsi="Arial" w:cs="David" w:hint="cs"/>
          <w:rtl/>
        </w:rPr>
        <w:t xml:space="preserve">  </w:t>
      </w:r>
    </w:p>
    <w:p w:rsidR="0052669F" w:rsidRDefault="0052669F" w:rsidP="00806A80">
      <w:pPr>
        <w:spacing w:line="360" w:lineRule="auto"/>
        <w:jc w:val="both"/>
        <w:rPr>
          <w:rtl/>
        </w:rPr>
      </w:pPr>
    </w:p>
    <w:p w:rsidR="008436CB" w:rsidRPr="00D22C5A" w:rsidRDefault="0052669F" w:rsidP="006646CA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6B70F53">
            <wp:extent cx="4632384" cy="2823434"/>
            <wp:effectExtent l="0" t="0" r="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178" cy="2842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056" w:rsidRDefault="00B70056" w:rsidP="00B70056">
      <w:pPr>
        <w:pStyle w:val="1"/>
        <w:numPr>
          <w:ilvl w:val="0"/>
          <w:numId w:val="0"/>
        </w:numPr>
        <w:ind w:left="643"/>
      </w:pPr>
    </w:p>
    <w:p w:rsidR="000F55DA" w:rsidRDefault="006F7093" w:rsidP="00B70056">
      <w:pPr>
        <w:pStyle w:val="1"/>
      </w:pPr>
      <w:r w:rsidRPr="00D22C5A">
        <w:rPr>
          <w:rFonts w:hint="cs"/>
          <w:rtl/>
        </w:rPr>
        <w:t>עודף הנכסים על ההתחייבויות</w:t>
      </w:r>
      <w:r w:rsidR="00CC3A41" w:rsidRPr="00D22C5A">
        <w:rPr>
          <w:rFonts w:hint="cs"/>
          <w:rtl/>
        </w:rPr>
        <w:t xml:space="preserve"> של המשק מול חו"ל</w:t>
      </w:r>
    </w:p>
    <w:p w:rsidR="00B70056" w:rsidRPr="00D22C5A" w:rsidRDefault="00B70056" w:rsidP="00B70056">
      <w:pPr>
        <w:pStyle w:val="1"/>
        <w:numPr>
          <w:ilvl w:val="0"/>
          <w:numId w:val="0"/>
        </w:numPr>
        <w:ind w:left="643"/>
      </w:pPr>
    </w:p>
    <w:p w:rsidR="00A16F73" w:rsidRDefault="00791CDA" w:rsidP="0013029B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הירידה</w:t>
      </w:r>
      <w:r w:rsidRPr="00832460">
        <w:rPr>
          <w:rFonts w:ascii="Arial" w:hAnsi="Arial" w:cs="David" w:hint="cs"/>
          <w:rtl/>
        </w:rPr>
        <w:t xml:space="preserve"> ביתרת </w:t>
      </w:r>
      <w:r w:rsidR="0013029B">
        <w:rPr>
          <w:rFonts w:ascii="Arial" w:hAnsi="Arial" w:cs="David" w:hint="cs"/>
          <w:rtl/>
        </w:rPr>
        <w:t>הנכסים</w:t>
      </w:r>
      <w:r w:rsidR="0013029B" w:rsidRPr="00832460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בהיקף</w:t>
      </w:r>
      <w:r w:rsidRPr="00832460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גדול</w:t>
      </w:r>
      <w:r w:rsidRPr="00832460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יותר מהירידה </w:t>
      </w:r>
      <w:r w:rsidRPr="00832460">
        <w:rPr>
          <w:rFonts w:ascii="Arial" w:hAnsi="Arial" w:cs="David" w:hint="cs"/>
          <w:rtl/>
        </w:rPr>
        <w:t xml:space="preserve">ביתרת </w:t>
      </w:r>
      <w:r w:rsidR="0013029B">
        <w:rPr>
          <w:rFonts w:ascii="Arial" w:hAnsi="Arial" w:cs="David" w:hint="cs"/>
          <w:rtl/>
        </w:rPr>
        <w:t xml:space="preserve">ההתחייבויות </w:t>
      </w:r>
      <w:r>
        <w:rPr>
          <w:rFonts w:ascii="Arial" w:hAnsi="Arial" w:cs="David" w:hint="cs"/>
          <w:rtl/>
        </w:rPr>
        <w:t>הביאה לירידה של 9.2</w:t>
      </w:r>
      <w:r w:rsidRPr="00D22C5A">
        <w:rPr>
          <w:rFonts w:ascii="Arial" w:hAnsi="Arial" w:cs="David" w:hint="cs"/>
          <w:rtl/>
        </w:rPr>
        <w:t xml:space="preserve"> מיליארדי דולרים (</w:t>
      </w:r>
      <w:r>
        <w:rPr>
          <w:rFonts w:ascii="Arial" w:hAnsi="Arial" w:cs="David" w:hint="cs"/>
          <w:rtl/>
        </w:rPr>
        <w:t>5.7</w:t>
      </w:r>
      <w:r w:rsidRPr="00D22C5A">
        <w:rPr>
          <w:rFonts w:ascii="Arial" w:hAnsi="Arial" w:cs="David" w:hint="cs"/>
          <w:rtl/>
        </w:rPr>
        <w:t xml:space="preserve">%) </w:t>
      </w:r>
      <w:r>
        <w:rPr>
          <w:rFonts w:ascii="Arial" w:hAnsi="Arial" w:cs="David" w:hint="cs"/>
          <w:rtl/>
        </w:rPr>
        <w:t>ב</w:t>
      </w:r>
      <w:r w:rsidR="000F55DA" w:rsidRPr="00D22C5A">
        <w:rPr>
          <w:rFonts w:ascii="Arial" w:hAnsi="Arial" w:cs="David" w:hint="cs"/>
          <w:rtl/>
        </w:rPr>
        <w:t>עודף הנכסים על ההתחייבויות של המשק מול חו"ל</w:t>
      </w:r>
      <w:r w:rsidR="00094308">
        <w:rPr>
          <w:rFonts w:ascii="Arial" w:hAnsi="Arial" w:cs="David" w:hint="cs"/>
          <w:rtl/>
        </w:rPr>
        <w:t>, ש</w:t>
      </w:r>
      <w:r w:rsidR="00094308" w:rsidRPr="00D22C5A">
        <w:rPr>
          <w:rFonts w:ascii="Arial" w:hAnsi="Arial" w:cs="David" w:hint="cs"/>
          <w:rtl/>
        </w:rPr>
        <w:t xml:space="preserve">עמד </w:t>
      </w:r>
      <w:r w:rsidR="00B46419" w:rsidRPr="00D22C5A">
        <w:rPr>
          <w:rFonts w:ascii="Arial" w:hAnsi="Arial" w:cs="David" w:hint="cs"/>
          <w:rtl/>
        </w:rPr>
        <w:t>ב</w:t>
      </w:r>
      <w:r w:rsidR="000E2DCA" w:rsidRPr="00D22C5A">
        <w:rPr>
          <w:rFonts w:ascii="Arial" w:hAnsi="Arial" w:cs="David" w:hint="cs"/>
          <w:rtl/>
        </w:rPr>
        <w:t xml:space="preserve">סוף </w:t>
      </w:r>
      <w:r w:rsidR="0071260A">
        <w:rPr>
          <w:rFonts w:ascii="Arial" w:hAnsi="Arial" w:cs="David" w:hint="cs"/>
          <w:rtl/>
        </w:rPr>
        <w:t>מרץ</w:t>
      </w:r>
      <w:r w:rsidR="004C7474" w:rsidRPr="00D22C5A">
        <w:rPr>
          <w:rFonts w:ascii="Arial" w:hAnsi="Arial" w:cs="David" w:hint="cs"/>
          <w:rtl/>
        </w:rPr>
        <w:t xml:space="preserve"> </w:t>
      </w:r>
      <w:r w:rsidR="007057B4" w:rsidRPr="00D22C5A">
        <w:rPr>
          <w:rFonts w:ascii="Arial" w:hAnsi="Arial" w:cs="David" w:hint="cs"/>
          <w:rtl/>
        </w:rPr>
        <w:t>על</w:t>
      </w:r>
      <w:r w:rsidR="00D258EC" w:rsidRPr="00D22C5A">
        <w:rPr>
          <w:rFonts w:ascii="Arial" w:hAnsi="Arial" w:cs="David" w:hint="cs"/>
          <w:rtl/>
        </w:rPr>
        <w:t xml:space="preserve"> </w:t>
      </w:r>
      <w:r w:rsidR="000F3BD1">
        <w:rPr>
          <w:rFonts w:ascii="Arial" w:hAnsi="Arial" w:cs="David" w:hint="cs"/>
          <w:rtl/>
        </w:rPr>
        <w:t>15</w:t>
      </w:r>
      <w:r w:rsidR="00A371E6">
        <w:rPr>
          <w:rFonts w:ascii="Arial" w:hAnsi="Arial" w:cs="David" w:hint="cs"/>
          <w:rtl/>
        </w:rPr>
        <w:t>2</w:t>
      </w:r>
      <w:r w:rsidR="00835E07">
        <w:rPr>
          <w:rFonts w:ascii="Arial" w:hAnsi="Arial" w:cs="David" w:hint="cs"/>
          <w:rtl/>
        </w:rPr>
        <w:t>.</w:t>
      </w:r>
      <w:r w:rsidR="00A371E6">
        <w:rPr>
          <w:rFonts w:ascii="Arial" w:hAnsi="Arial" w:cs="David" w:hint="cs"/>
          <w:rtl/>
        </w:rPr>
        <w:t>5</w:t>
      </w:r>
      <w:r w:rsidR="000F3BD1">
        <w:rPr>
          <w:rFonts w:ascii="Arial" w:hAnsi="Arial" w:cs="David" w:hint="cs"/>
          <w:rtl/>
        </w:rPr>
        <w:t xml:space="preserve"> </w:t>
      </w:r>
      <w:r w:rsidR="007057B4" w:rsidRPr="00D22C5A">
        <w:rPr>
          <w:rFonts w:ascii="Arial" w:hAnsi="Arial" w:cs="David" w:hint="cs"/>
          <w:rtl/>
        </w:rPr>
        <w:t>מיליארדי</w:t>
      </w:r>
      <w:r w:rsidR="008708DF" w:rsidRPr="00D22C5A">
        <w:rPr>
          <w:rFonts w:ascii="Arial" w:hAnsi="Arial" w:cs="David" w:hint="cs"/>
          <w:rtl/>
        </w:rPr>
        <w:t>ם</w:t>
      </w:r>
      <w:r w:rsidR="00036848" w:rsidRPr="00D22C5A">
        <w:rPr>
          <w:rFonts w:ascii="Arial" w:hAnsi="Arial" w:cs="David" w:hint="cs"/>
          <w:rtl/>
        </w:rPr>
        <w:t xml:space="preserve"> (תרשים 5)</w:t>
      </w:r>
      <w:r w:rsidR="007057B4" w:rsidRPr="00D22C5A">
        <w:rPr>
          <w:rFonts w:ascii="Arial" w:hAnsi="Arial" w:cs="David" w:hint="cs"/>
          <w:rtl/>
        </w:rPr>
        <w:t xml:space="preserve">. </w:t>
      </w:r>
    </w:p>
    <w:p w:rsidR="00A23889" w:rsidRPr="00832460" w:rsidRDefault="00A23889" w:rsidP="00791CDA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8964DB" w:rsidRPr="00A53CC2" w:rsidRDefault="008964DB" w:rsidP="008964DB">
      <w:pPr>
        <w:spacing w:line="360" w:lineRule="auto"/>
        <w:ind w:right="426"/>
        <w:jc w:val="both"/>
        <w:rPr>
          <w:rFonts w:ascii="Arial" w:hAnsi="Arial" w:cs="David"/>
          <w:highlight w:val="yellow"/>
          <w:rtl/>
        </w:rPr>
      </w:pPr>
    </w:p>
    <w:p w:rsidR="008964DB" w:rsidRDefault="006646CA" w:rsidP="0034171E">
      <w:pPr>
        <w:spacing w:line="360" w:lineRule="auto"/>
        <w:ind w:right="426"/>
        <w:jc w:val="center"/>
        <w:rPr>
          <w:rFonts w:ascii="Arial" w:hAnsi="Arial" w:cs="David"/>
          <w:highlight w:val="yellow"/>
          <w:rtl/>
        </w:rPr>
      </w:pPr>
      <w:r>
        <w:rPr>
          <w:rFonts w:ascii="Arial" w:hAnsi="Arial" w:cs="David"/>
          <w:noProof/>
          <w:highlight w:val="yellow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801430</wp:posOffset>
            </wp:positionH>
            <wp:positionV relativeFrom="paragraph">
              <wp:posOffset>-3594</wp:posOffset>
            </wp:positionV>
            <wp:extent cx="4882515" cy="3105509"/>
            <wp:effectExtent l="0" t="0" r="0" b="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3105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F53" w:rsidRDefault="00F23F53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6646CA" w:rsidRPr="00A53CC2" w:rsidRDefault="006646CA" w:rsidP="00F23F53">
      <w:pPr>
        <w:spacing w:line="360" w:lineRule="auto"/>
        <w:ind w:right="426"/>
        <w:rPr>
          <w:rFonts w:ascii="Arial" w:hAnsi="Arial" w:cs="David"/>
          <w:highlight w:val="yellow"/>
          <w:rtl/>
        </w:rPr>
      </w:pPr>
    </w:p>
    <w:p w:rsidR="001C20BD" w:rsidRDefault="001C20BD" w:rsidP="008964DB">
      <w:pPr>
        <w:pStyle w:val="1"/>
      </w:pPr>
      <w:r w:rsidRPr="00D45CA2">
        <w:rPr>
          <w:rFonts w:hint="cs"/>
          <w:rtl/>
        </w:rPr>
        <w:t xml:space="preserve">עודף הנכסים על ההתחייבויות של המשק מול חו"ל במכשירי חוב בלבד </w:t>
      </w:r>
    </w:p>
    <w:p w:rsidR="007E0804" w:rsidRPr="00D45CA2" w:rsidRDefault="007E0804" w:rsidP="007E0804">
      <w:pPr>
        <w:pStyle w:val="1"/>
        <w:numPr>
          <w:ilvl w:val="0"/>
          <w:numId w:val="0"/>
        </w:numPr>
        <w:ind w:left="643"/>
      </w:pPr>
    </w:p>
    <w:p w:rsidR="001F545C" w:rsidRPr="00D45CA2" w:rsidRDefault="001C20BD" w:rsidP="006F0654">
      <w:pPr>
        <w:spacing w:line="360" w:lineRule="auto"/>
        <w:jc w:val="both"/>
        <w:rPr>
          <w:rFonts w:ascii="Arial" w:hAnsi="Arial" w:cs="David"/>
          <w:rtl/>
        </w:rPr>
      </w:pPr>
      <w:r w:rsidRPr="00D45CA2">
        <w:rPr>
          <w:rFonts w:ascii="Arial" w:hAnsi="Arial" w:cs="David" w:hint="cs"/>
          <w:rtl/>
        </w:rPr>
        <w:t>עודף הנכסים על ההתחייבויות במכשירי חוב בלבד (ה</w:t>
      </w:r>
      <w:r w:rsidR="00785F18" w:rsidRPr="00D45CA2">
        <w:rPr>
          <w:rFonts w:ascii="Arial" w:hAnsi="Arial" w:cs="David" w:hint="cs"/>
          <w:rtl/>
        </w:rPr>
        <w:t xml:space="preserve">חוב חיצוני </w:t>
      </w:r>
      <w:r w:rsidRPr="00D45CA2">
        <w:rPr>
          <w:rFonts w:ascii="Arial" w:hAnsi="Arial" w:cs="David" w:hint="cs"/>
          <w:rtl/>
        </w:rPr>
        <w:t>ה</w:t>
      </w:r>
      <w:r w:rsidR="00785F18" w:rsidRPr="00D45CA2">
        <w:rPr>
          <w:rFonts w:ascii="Arial" w:hAnsi="Arial" w:cs="David" w:hint="cs"/>
          <w:rtl/>
        </w:rPr>
        <w:t>שלילי</w:t>
      </w:r>
      <w:r w:rsidRPr="00D45CA2">
        <w:rPr>
          <w:rFonts w:ascii="Arial" w:hAnsi="Arial" w:cs="David" w:hint="cs"/>
          <w:rtl/>
        </w:rPr>
        <w:t xml:space="preserve"> נטו)</w:t>
      </w:r>
      <w:r w:rsidR="001F545C" w:rsidRPr="00D45CA2">
        <w:rPr>
          <w:rFonts w:ascii="Arial" w:hAnsi="Arial" w:cs="David" w:hint="cs"/>
          <w:rtl/>
        </w:rPr>
        <w:t xml:space="preserve">, </w:t>
      </w:r>
      <w:r w:rsidR="00BD1C5F">
        <w:rPr>
          <w:rFonts w:ascii="Arial" w:hAnsi="Arial" w:cs="David" w:hint="cs"/>
          <w:rtl/>
        </w:rPr>
        <w:t>ירד</w:t>
      </w:r>
      <w:r w:rsidR="0087100C" w:rsidRPr="00D45CA2">
        <w:rPr>
          <w:rFonts w:ascii="Arial" w:hAnsi="Arial" w:cs="David" w:hint="cs"/>
          <w:rtl/>
        </w:rPr>
        <w:t xml:space="preserve"> </w:t>
      </w:r>
      <w:r w:rsidR="00AA4817" w:rsidRPr="00D45CA2">
        <w:rPr>
          <w:rFonts w:ascii="Arial" w:hAnsi="Arial" w:cs="David" w:hint="cs"/>
          <w:rtl/>
        </w:rPr>
        <w:t>במהלך</w:t>
      </w:r>
      <w:r w:rsidR="00785F18" w:rsidRPr="00D45CA2">
        <w:rPr>
          <w:rFonts w:ascii="Arial" w:hAnsi="Arial" w:cs="David" w:hint="cs"/>
          <w:rtl/>
        </w:rPr>
        <w:t xml:space="preserve"> </w:t>
      </w:r>
      <w:r w:rsidR="00AA4817" w:rsidRPr="00D45CA2">
        <w:rPr>
          <w:rFonts w:ascii="Arial" w:hAnsi="Arial" w:cs="David" w:hint="cs"/>
          <w:rtl/>
        </w:rPr>
        <w:t>ה</w:t>
      </w:r>
      <w:r w:rsidR="00EA0CA3" w:rsidRPr="00D45CA2">
        <w:rPr>
          <w:rFonts w:ascii="Arial" w:hAnsi="Arial" w:cs="David" w:hint="cs"/>
          <w:rtl/>
        </w:rPr>
        <w:t xml:space="preserve">רביע </w:t>
      </w:r>
      <w:r w:rsidR="00AD1765" w:rsidRPr="00D45CA2">
        <w:rPr>
          <w:rFonts w:ascii="Arial" w:hAnsi="Arial" w:cs="David" w:hint="cs"/>
          <w:rtl/>
        </w:rPr>
        <w:t>ה</w:t>
      </w:r>
      <w:r w:rsidR="00FB7A17">
        <w:rPr>
          <w:rFonts w:ascii="Arial" w:hAnsi="Arial" w:cs="David" w:hint="cs"/>
          <w:rtl/>
        </w:rPr>
        <w:t>ראשון</w:t>
      </w:r>
      <w:r w:rsidR="006F0654">
        <w:rPr>
          <w:rFonts w:ascii="Arial" w:hAnsi="Arial" w:cs="David" w:hint="cs"/>
          <w:rtl/>
        </w:rPr>
        <w:t xml:space="preserve"> </w:t>
      </w:r>
      <w:r w:rsidR="003F2CC2" w:rsidRPr="00D45CA2">
        <w:rPr>
          <w:rFonts w:ascii="Arial" w:hAnsi="Arial" w:cs="David" w:hint="cs"/>
          <w:rtl/>
        </w:rPr>
        <w:t>ב-</w:t>
      </w:r>
      <w:r w:rsidR="005A6716">
        <w:rPr>
          <w:rFonts w:ascii="Arial" w:hAnsi="Arial" w:cs="David" w:hint="cs"/>
          <w:rtl/>
        </w:rPr>
        <w:t xml:space="preserve"> </w:t>
      </w:r>
      <w:r w:rsidR="00BD1C5F">
        <w:rPr>
          <w:rFonts w:ascii="Arial" w:hAnsi="Arial" w:cs="David" w:hint="cs"/>
          <w:rtl/>
        </w:rPr>
        <w:t>2.</w:t>
      </w:r>
      <w:r w:rsidR="007E0804">
        <w:rPr>
          <w:rFonts w:ascii="Arial" w:hAnsi="Arial" w:cs="David" w:hint="cs"/>
          <w:rtl/>
        </w:rPr>
        <w:t>9</w:t>
      </w:r>
      <w:r w:rsidR="00B14645">
        <w:rPr>
          <w:rFonts w:ascii="Arial" w:hAnsi="Arial" w:cs="David" w:hint="cs"/>
          <w:rtl/>
        </w:rPr>
        <w:t xml:space="preserve"> </w:t>
      </w:r>
      <w:r w:rsidR="003F2CC2" w:rsidRPr="00D45CA2">
        <w:rPr>
          <w:rFonts w:ascii="Arial" w:hAnsi="Arial" w:cs="David" w:hint="cs"/>
          <w:rtl/>
        </w:rPr>
        <w:t>מיליארד</w:t>
      </w:r>
      <w:r w:rsidR="00A16522" w:rsidRPr="00D45CA2">
        <w:rPr>
          <w:rFonts w:ascii="Arial" w:hAnsi="Arial" w:cs="David" w:hint="cs"/>
          <w:rtl/>
        </w:rPr>
        <w:t>י</w:t>
      </w:r>
      <w:r w:rsidR="003F2CC2" w:rsidRPr="00D45CA2">
        <w:rPr>
          <w:rFonts w:ascii="Arial" w:hAnsi="Arial" w:cs="David" w:hint="cs"/>
          <w:rtl/>
        </w:rPr>
        <w:t xml:space="preserve"> דולר</w:t>
      </w:r>
      <w:r w:rsidR="00A16522" w:rsidRPr="00D45CA2">
        <w:rPr>
          <w:rFonts w:ascii="Arial" w:hAnsi="Arial" w:cs="David" w:hint="cs"/>
          <w:rtl/>
        </w:rPr>
        <w:t>ים (</w:t>
      </w:r>
      <w:r w:rsidR="00BD1C5F">
        <w:rPr>
          <w:rFonts w:ascii="Arial" w:hAnsi="Arial" w:cs="David" w:hint="cs"/>
          <w:rtl/>
        </w:rPr>
        <w:t>1.</w:t>
      </w:r>
      <w:r w:rsidR="007E0804">
        <w:rPr>
          <w:rFonts w:ascii="Arial" w:hAnsi="Arial" w:cs="David" w:hint="cs"/>
          <w:rtl/>
        </w:rPr>
        <w:t>7</w:t>
      </w:r>
      <w:r w:rsidR="00A16522" w:rsidRPr="00D45CA2">
        <w:rPr>
          <w:rFonts w:ascii="Arial" w:hAnsi="Arial" w:cs="David" w:hint="cs"/>
          <w:rtl/>
        </w:rPr>
        <w:t>%</w:t>
      </w:r>
      <w:r w:rsidR="008A5DA8">
        <w:rPr>
          <w:rFonts w:ascii="Arial" w:hAnsi="Arial" w:cs="David" w:hint="cs"/>
          <w:rtl/>
        </w:rPr>
        <w:t>-</w:t>
      </w:r>
      <w:r w:rsidR="00A16522" w:rsidRPr="00D45CA2">
        <w:rPr>
          <w:rFonts w:ascii="Arial" w:hAnsi="Arial" w:cs="David" w:hint="cs"/>
          <w:rtl/>
        </w:rPr>
        <w:t>)</w:t>
      </w:r>
      <w:r w:rsidR="003F2CC2" w:rsidRPr="00D45CA2">
        <w:rPr>
          <w:rFonts w:ascii="Arial" w:hAnsi="Arial" w:cs="David" w:hint="cs"/>
          <w:rtl/>
        </w:rPr>
        <w:t xml:space="preserve"> </w:t>
      </w:r>
      <w:r w:rsidR="0087100C" w:rsidRPr="00D45CA2">
        <w:rPr>
          <w:rFonts w:ascii="Arial" w:hAnsi="Arial" w:cs="David" w:hint="cs"/>
          <w:rtl/>
        </w:rPr>
        <w:t>ו</w:t>
      </w:r>
      <w:r w:rsidR="00A16522" w:rsidRPr="00D45CA2">
        <w:rPr>
          <w:rFonts w:ascii="Arial" w:hAnsi="Arial" w:cs="David" w:hint="cs"/>
          <w:rtl/>
        </w:rPr>
        <w:t xml:space="preserve">הגיע </w:t>
      </w:r>
      <w:r w:rsidR="00922388" w:rsidRPr="00D45CA2">
        <w:rPr>
          <w:rFonts w:ascii="Arial" w:hAnsi="Arial" w:cs="David" w:hint="cs"/>
          <w:rtl/>
        </w:rPr>
        <w:t xml:space="preserve">בסוף </w:t>
      </w:r>
      <w:r w:rsidR="0071260A">
        <w:rPr>
          <w:rFonts w:ascii="Arial" w:hAnsi="Arial" w:cs="David" w:hint="cs"/>
          <w:rtl/>
        </w:rPr>
        <w:t>מרץ</w:t>
      </w:r>
      <w:r w:rsidR="00922388" w:rsidRPr="00D45CA2">
        <w:rPr>
          <w:rFonts w:ascii="Arial" w:hAnsi="Arial" w:cs="David" w:hint="cs"/>
          <w:rtl/>
        </w:rPr>
        <w:t xml:space="preserve"> </w:t>
      </w:r>
      <w:r w:rsidR="003F2CC2" w:rsidRPr="00D45CA2">
        <w:rPr>
          <w:rFonts w:ascii="Arial" w:hAnsi="Arial" w:cs="David" w:hint="cs"/>
          <w:rtl/>
        </w:rPr>
        <w:t>ל</w:t>
      </w:r>
      <w:r w:rsidR="0087100C" w:rsidRPr="00D45CA2">
        <w:rPr>
          <w:rFonts w:ascii="Arial" w:hAnsi="Arial" w:cs="David" w:hint="cs"/>
          <w:rtl/>
        </w:rPr>
        <w:t>רמה של</w:t>
      </w:r>
      <w:r w:rsidR="00EA0CA3" w:rsidRPr="00D45CA2">
        <w:rPr>
          <w:rFonts w:ascii="Arial" w:hAnsi="Arial" w:cs="David" w:hint="cs"/>
          <w:rtl/>
        </w:rPr>
        <w:t xml:space="preserve"> </w:t>
      </w:r>
      <w:r w:rsidR="00845723">
        <w:rPr>
          <w:rFonts w:ascii="Arial" w:hAnsi="Arial" w:cs="David" w:hint="cs"/>
          <w:rtl/>
        </w:rPr>
        <w:t>16</w:t>
      </w:r>
      <w:r w:rsidR="00BD1C5F">
        <w:rPr>
          <w:rFonts w:ascii="Arial" w:hAnsi="Arial" w:cs="David" w:hint="cs"/>
          <w:rtl/>
        </w:rPr>
        <w:t>7</w:t>
      </w:r>
      <w:r w:rsidR="00845723">
        <w:rPr>
          <w:rFonts w:ascii="Arial" w:hAnsi="Arial" w:cs="David" w:hint="cs"/>
          <w:rtl/>
        </w:rPr>
        <w:t>.</w:t>
      </w:r>
      <w:r w:rsidR="00BD1C5F">
        <w:rPr>
          <w:rFonts w:ascii="Arial" w:hAnsi="Arial" w:cs="David" w:hint="cs"/>
          <w:rtl/>
        </w:rPr>
        <w:t>2</w:t>
      </w:r>
      <w:r w:rsidR="00F9624C" w:rsidRPr="00D45CA2">
        <w:rPr>
          <w:rFonts w:ascii="Arial" w:hAnsi="Arial" w:cs="David" w:hint="cs"/>
          <w:rtl/>
        </w:rPr>
        <w:t xml:space="preserve"> </w:t>
      </w:r>
      <w:r w:rsidR="00EA0CA3" w:rsidRPr="00D45CA2">
        <w:rPr>
          <w:rFonts w:ascii="Arial" w:hAnsi="Arial" w:cs="David" w:hint="cs"/>
          <w:rtl/>
        </w:rPr>
        <w:t>מיליארד</w:t>
      </w:r>
      <w:r w:rsidR="00F9624C" w:rsidRPr="00D45CA2">
        <w:rPr>
          <w:rFonts w:ascii="Arial" w:hAnsi="Arial" w:cs="David" w:hint="cs"/>
          <w:rtl/>
        </w:rPr>
        <w:t>י</w:t>
      </w:r>
      <w:r w:rsidR="00EA0CA3" w:rsidRPr="00D45CA2">
        <w:rPr>
          <w:rFonts w:ascii="Arial" w:hAnsi="Arial" w:cs="David" w:hint="cs"/>
          <w:rtl/>
        </w:rPr>
        <w:t xml:space="preserve"> דולר</w:t>
      </w:r>
      <w:r w:rsidR="00F9624C" w:rsidRPr="00D45CA2">
        <w:rPr>
          <w:rFonts w:ascii="Arial" w:hAnsi="Arial" w:cs="David" w:hint="cs"/>
          <w:rtl/>
        </w:rPr>
        <w:t>ים</w:t>
      </w:r>
      <w:r w:rsidR="00EA0CA3" w:rsidRPr="00D45CA2">
        <w:rPr>
          <w:rFonts w:ascii="Arial" w:hAnsi="Arial" w:cs="David" w:hint="cs"/>
          <w:rtl/>
        </w:rPr>
        <w:t xml:space="preserve"> </w:t>
      </w:r>
      <w:r w:rsidR="00172E92" w:rsidRPr="00D45CA2">
        <w:rPr>
          <w:rFonts w:ascii="Arial" w:hAnsi="Arial" w:cs="David" w:hint="cs"/>
          <w:rtl/>
        </w:rPr>
        <w:t xml:space="preserve">(תרשים </w:t>
      </w:r>
      <w:r w:rsidR="00212D62" w:rsidRPr="00D45CA2">
        <w:rPr>
          <w:rFonts w:ascii="Arial" w:hAnsi="Arial" w:cs="David" w:hint="cs"/>
          <w:rtl/>
        </w:rPr>
        <w:t>6</w:t>
      </w:r>
      <w:r w:rsidR="00172E92" w:rsidRPr="00D45CA2">
        <w:rPr>
          <w:rFonts w:ascii="Arial" w:hAnsi="Arial" w:cs="David" w:hint="cs"/>
          <w:rtl/>
        </w:rPr>
        <w:t>)</w:t>
      </w:r>
      <w:r w:rsidR="001F545C" w:rsidRPr="00D45CA2">
        <w:rPr>
          <w:rFonts w:ascii="Arial" w:hAnsi="Arial" w:cs="David" w:hint="cs"/>
          <w:rtl/>
        </w:rPr>
        <w:t>.</w:t>
      </w:r>
      <w:r w:rsidR="00785F18" w:rsidRPr="00D45CA2">
        <w:rPr>
          <w:rFonts w:ascii="Arial" w:hAnsi="Arial" w:cs="David" w:hint="cs"/>
          <w:rtl/>
        </w:rPr>
        <w:t xml:space="preserve"> </w:t>
      </w:r>
    </w:p>
    <w:p w:rsidR="009522BF" w:rsidRDefault="009522BF" w:rsidP="006B6A13">
      <w:pPr>
        <w:spacing w:line="360" w:lineRule="auto"/>
        <w:jc w:val="both"/>
        <w:rPr>
          <w:rFonts w:ascii="Arial" w:hAnsi="Arial" w:cs="David"/>
          <w:rtl/>
        </w:rPr>
      </w:pPr>
      <w:r w:rsidRPr="00D45CA2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2A768F" w:rsidRPr="00D45CA2">
        <w:rPr>
          <w:rFonts w:ascii="Arial" w:hAnsi="Arial" w:cs="David" w:hint="cs"/>
          <w:rtl/>
        </w:rPr>
        <w:t xml:space="preserve"> (פירעון/מימוש תוך שנה) </w:t>
      </w:r>
      <w:r w:rsidR="00183594">
        <w:rPr>
          <w:rFonts w:ascii="Arial" w:hAnsi="Arial" w:cs="David" w:hint="cs"/>
          <w:rtl/>
        </w:rPr>
        <w:t>עלתה ברביע ה</w:t>
      </w:r>
      <w:r w:rsidR="00FB7A17">
        <w:rPr>
          <w:rFonts w:ascii="Arial" w:hAnsi="Arial" w:cs="David" w:hint="cs"/>
          <w:rtl/>
        </w:rPr>
        <w:t>ראשון</w:t>
      </w:r>
      <w:r w:rsidR="00183594">
        <w:rPr>
          <w:rFonts w:ascii="Arial" w:hAnsi="Arial" w:cs="David" w:hint="cs"/>
          <w:rtl/>
        </w:rPr>
        <w:t xml:space="preserve"> ב</w:t>
      </w:r>
      <w:r w:rsidR="005B7FF7">
        <w:rPr>
          <w:rFonts w:ascii="Arial" w:hAnsi="Arial" w:cs="David" w:hint="cs"/>
          <w:rtl/>
        </w:rPr>
        <w:t>-</w:t>
      </w:r>
      <w:r w:rsidR="006C6751">
        <w:rPr>
          <w:rFonts w:ascii="Arial" w:hAnsi="Arial" w:cs="David" w:hint="cs"/>
          <w:rtl/>
        </w:rPr>
        <w:t>3.7</w:t>
      </w:r>
      <w:r w:rsidR="006F0654">
        <w:rPr>
          <w:rFonts w:ascii="Arial" w:hAnsi="Arial" w:cs="David" w:hint="cs"/>
          <w:rtl/>
        </w:rPr>
        <w:t xml:space="preserve"> </w:t>
      </w:r>
      <w:r w:rsidR="00183594">
        <w:rPr>
          <w:rFonts w:ascii="Arial" w:hAnsi="Arial" w:cs="David" w:hint="cs"/>
          <w:rtl/>
        </w:rPr>
        <w:t>מיליארדי דולרים</w:t>
      </w:r>
      <w:r w:rsidR="008731B6" w:rsidRPr="00D45CA2">
        <w:rPr>
          <w:rFonts w:ascii="Arial" w:hAnsi="Arial" w:cs="David" w:hint="cs"/>
          <w:rtl/>
        </w:rPr>
        <w:t xml:space="preserve"> </w:t>
      </w:r>
      <w:r w:rsidR="00A16522" w:rsidRPr="00D45CA2">
        <w:rPr>
          <w:rFonts w:ascii="Arial" w:hAnsi="Arial" w:cs="David" w:hint="cs"/>
          <w:rtl/>
        </w:rPr>
        <w:t>ו</w:t>
      </w:r>
      <w:r w:rsidRPr="00D45CA2">
        <w:rPr>
          <w:rFonts w:ascii="Arial" w:hAnsi="Arial" w:cs="David" w:hint="cs"/>
          <w:rtl/>
        </w:rPr>
        <w:t xml:space="preserve">עמדה </w:t>
      </w:r>
      <w:r w:rsidRPr="00D45CA2">
        <w:rPr>
          <w:rFonts w:ascii="Arial" w:hAnsi="Arial" w:cs="David"/>
          <w:rtl/>
        </w:rPr>
        <w:t>בסוף</w:t>
      </w:r>
      <w:r w:rsidR="005F7ED1" w:rsidRPr="00D45CA2">
        <w:rPr>
          <w:rFonts w:ascii="Arial" w:hAnsi="Arial" w:cs="David" w:hint="cs"/>
          <w:rtl/>
        </w:rPr>
        <w:t xml:space="preserve"> </w:t>
      </w:r>
      <w:r w:rsidR="00F86ED1" w:rsidRPr="00D45CA2">
        <w:rPr>
          <w:rFonts w:ascii="Arial" w:hAnsi="Arial" w:cs="David" w:hint="cs"/>
          <w:rtl/>
        </w:rPr>
        <w:t xml:space="preserve">הרביע </w:t>
      </w:r>
      <w:r w:rsidR="008731B6" w:rsidRPr="00D45CA2">
        <w:rPr>
          <w:rFonts w:ascii="Arial" w:hAnsi="Arial" w:cs="David" w:hint="cs"/>
          <w:rtl/>
        </w:rPr>
        <w:t>ה</w:t>
      </w:r>
      <w:r w:rsidR="006C6751">
        <w:rPr>
          <w:rFonts w:ascii="Arial" w:hAnsi="Arial" w:cs="David" w:hint="cs"/>
          <w:rtl/>
        </w:rPr>
        <w:t>ראשון</w:t>
      </w:r>
      <w:r w:rsidR="008731B6" w:rsidRPr="00D45CA2">
        <w:rPr>
          <w:rFonts w:ascii="Arial" w:hAnsi="Arial" w:cs="David" w:hint="cs"/>
          <w:rtl/>
        </w:rPr>
        <w:t xml:space="preserve"> </w:t>
      </w:r>
      <w:r w:rsidRPr="00D45CA2">
        <w:rPr>
          <w:rFonts w:ascii="Arial" w:hAnsi="Arial" w:cs="David" w:hint="cs"/>
          <w:rtl/>
        </w:rPr>
        <w:t xml:space="preserve">על </w:t>
      </w:r>
      <w:r w:rsidR="006C6751">
        <w:rPr>
          <w:rFonts w:ascii="Arial" w:hAnsi="Arial" w:cs="David" w:hint="cs"/>
          <w:rtl/>
        </w:rPr>
        <w:t>181.2</w:t>
      </w:r>
      <w:r w:rsidR="00183594">
        <w:rPr>
          <w:rFonts w:ascii="Arial" w:hAnsi="Arial" w:cs="David"/>
          <w:rtl/>
        </w:rPr>
        <w:t xml:space="preserve"> מיליארד</w:t>
      </w:r>
      <w:r w:rsidRPr="00D45CA2">
        <w:rPr>
          <w:rFonts w:ascii="Arial" w:hAnsi="Arial" w:cs="David" w:hint="cs"/>
          <w:rtl/>
        </w:rPr>
        <w:t>ים</w:t>
      </w:r>
      <w:r w:rsidR="002A768F" w:rsidRPr="00D45CA2">
        <w:rPr>
          <w:rFonts w:ascii="Arial" w:hAnsi="Arial" w:cs="David" w:hint="cs"/>
          <w:rtl/>
        </w:rPr>
        <w:t>,</w:t>
      </w:r>
      <w:r w:rsidR="00A16522" w:rsidRPr="00D45CA2">
        <w:rPr>
          <w:rFonts w:ascii="Arial" w:hAnsi="Arial" w:cs="David" w:hint="cs"/>
          <w:rtl/>
        </w:rPr>
        <w:t xml:space="preserve"> </w:t>
      </w:r>
      <w:r w:rsidR="00183594">
        <w:rPr>
          <w:rFonts w:ascii="Arial" w:hAnsi="Arial" w:cs="David" w:hint="cs"/>
          <w:rtl/>
        </w:rPr>
        <w:t>מתוכם</w:t>
      </w:r>
      <w:r w:rsidR="002A768F" w:rsidRPr="00D45CA2">
        <w:rPr>
          <w:rFonts w:ascii="Arial" w:hAnsi="Arial" w:cs="David" w:hint="cs"/>
          <w:rtl/>
        </w:rPr>
        <w:t xml:space="preserve"> </w:t>
      </w:r>
      <w:r w:rsidR="008B5A32">
        <w:rPr>
          <w:rFonts w:ascii="Arial" w:hAnsi="Arial" w:cs="David" w:hint="cs"/>
          <w:rtl/>
        </w:rPr>
        <w:t>כ-12</w:t>
      </w:r>
      <w:r w:rsidR="006C6751">
        <w:rPr>
          <w:rFonts w:ascii="Arial" w:hAnsi="Arial" w:cs="David" w:hint="cs"/>
          <w:rtl/>
        </w:rPr>
        <w:t>5.9</w:t>
      </w:r>
      <w:r w:rsidR="008B5A32">
        <w:rPr>
          <w:rFonts w:ascii="Arial" w:hAnsi="Arial" w:cs="David" w:hint="cs"/>
          <w:rtl/>
        </w:rPr>
        <w:t xml:space="preserve"> </w:t>
      </w:r>
      <w:r w:rsidR="002A768F" w:rsidRPr="00D45CA2">
        <w:rPr>
          <w:rFonts w:ascii="Arial" w:hAnsi="Arial" w:cs="David" w:hint="cs"/>
          <w:rtl/>
        </w:rPr>
        <w:t>מיליארד</w:t>
      </w:r>
      <w:r w:rsidR="00183594">
        <w:rPr>
          <w:rFonts w:ascii="Arial" w:hAnsi="Arial" w:cs="David" w:hint="cs"/>
          <w:rtl/>
        </w:rPr>
        <w:t>ים</w:t>
      </w:r>
      <w:r w:rsidR="002A768F" w:rsidRPr="00D45CA2">
        <w:rPr>
          <w:rFonts w:ascii="Arial" w:hAnsi="Arial" w:cs="David" w:hint="cs"/>
          <w:rtl/>
        </w:rPr>
        <w:t xml:space="preserve"> </w:t>
      </w:r>
      <w:r w:rsidR="00183594">
        <w:rPr>
          <w:rFonts w:ascii="Arial" w:hAnsi="Arial" w:cs="David" w:hint="cs"/>
          <w:rtl/>
        </w:rPr>
        <w:t xml:space="preserve">הן </w:t>
      </w:r>
      <w:r w:rsidR="00A16522" w:rsidRPr="00D45CA2">
        <w:rPr>
          <w:rFonts w:ascii="Arial" w:hAnsi="Arial" w:cs="David" w:hint="cs"/>
          <w:rtl/>
        </w:rPr>
        <w:t xml:space="preserve">רזרבות </w:t>
      </w:r>
      <w:r w:rsidR="005B7FF7">
        <w:rPr>
          <w:rFonts w:ascii="Arial" w:hAnsi="Arial" w:cs="David" w:hint="cs"/>
          <w:rtl/>
        </w:rPr>
        <w:t>ה</w:t>
      </w:r>
      <w:r w:rsidR="00A16522" w:rsidRPr="00D45CA2">
        <w:rPr>
          <w:rFonts w:ascii="Arial" w:hAnsi="Arial" w:cs="David" w:hint="cs"/>
          <w:rtl/>
        </w:rPr>
        <w:t>מט"ח בבנק ישראל</w:t>
      </w:r>
      <w:r w:rsidR="002A768F" w:rsidRPr="00D45CA2">
        <w:rPr>
          <w:rFonts w:ascii="Arial" w:hAnsi="Arial" w:cs="David" w:hint="cs"/>
          <w:rtl/>
        </w:rPr>
        <w:t>. יתרה זו</w:t>
      </w:r>
      <w:r w:rsidR="00A16522" w:rsidRPr="00D45CA2">
        <w:rPr>
          <w:rFonts w:ascii="Arial" w:hAnsi="Arial" w:cs="David" w:hint="cs"/>
          <w:rtl/>
        </w:rPr>
        <w:t xml:space="preserve"> משקפת יחס כיסוי של פי </w:t>
      </w:r>
      <w:r w:rsidR="00E66ACD">
        <w:rPr>
          <w:rFonts w:ascii="Arial" w:hAnsi="Arial" w:cs="David" w:hint="cs"/>
          <w:rtl/>
        </w:rPr>
        <w:t>4.</w:t>
      </w:r>
      <w:r w:rsidR="001E76D3">
        <w:rPr>
          <w:rFonts w:ascii="Arial" w:hAnsi="Arial" w:cs="David" w:hint="cs"/>
          <w:rtl/>
        </w:rPr>
        <w:t>19</w:t>
      </w:r>
      <w:r w:rsidR="00A16522" w:rsidRPr="00D45CA2">
        <w:rPr>
          <w:rFonts w:ascii="Arial" w:hAnsi="Arial" w:cs="David" w:hint="cs"/>
          <w:rtl/>
        </w:rPr>
        <w:t xml:space="preserve"> מהחוב לזמן קצר.</w:t>
      </w:r>
      <w:r w:rsidR="001E6906" w:rsidRPr="00D45CA2">
        <w:rPr>
          <w:rFonts w:ascii="Arial" w:hAnsi="Arial" w:cs="David" w:hint="cs"/>
          <w:rtl/>
        </w:rPr>
        <w:t xml:space="preserve"> </w:t>
      </w:r>
    </w:p>
    <w:p w:rsidR="00741161" w:rsidRDefault="00741161" w:rsidP="00D45CA2">
      <w:pPr>
        <w:spacing w:line="360" w:lineRule="auto"/>
        <w:jc w:val="both"/>
        <w:rPr>
          <w:rFonts w:ascii="Arial" w:hAnsi="Arial" w:cs="David"/>
          <w:rtl/>
        </w:rPr>
      </w:pPr>
    </w:p>
    <w:p w:rsidR="00741161" w:rsidRDefault="001E76D3" w:rsidP="008B1CA7">
      <w:pPr>
        <w:spacing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0A9CD50C">
            <wp:extent cx="5218745" cy="3180819"/>
            <wp:effectExtent l="0" t="0" r="1270" b="635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46" cy="3193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161" w:rsidRDefault="00741161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David"/>
          <w:rtl/>
        </w:rPr>
      </w:pPr>
    </w:p>
    <w:p w:rsidR="00884A8B" w:rsidRPr="00B516A1" w:rsidRDefault="009B3F52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7" w:history="1">
        <w:r w:rsidR="00FE10AB" w:rsidRPr="00D22C5A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D22C5A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D22C5A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 w:rsidRPr="00D22C5A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8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52" w:rsidRDefault="009B3F52">
      <w:r>
        <w:separator/>
      </w:r>
    </w:p>
  </w:endnote>
  <w:endnote w:type="continuationSeparator" w:id="0">
    <w:p w:rsidR="009B3F52" w:rsidRDefault="009B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52" w:rsidRDefault="009B3F52">
      <w:r>
        <w:separator/>
      </w:r>
    </w:p>
  </w:footnote>
  <w:footnote w:type="continuationSeparator" w:id="0">
    <w:p w:rsidR="009B3F52" w:rsidRDefault="009B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3F2"/>
    <w:multiLevelType w:val="hybridMultilevel"/>
    <w:tmpl w:val="FAD0A0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97A"/>
    <w:multiLevelType w:val="hybridMultilevel"/>
    <w:tmpl w:val="268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24D0D"/>
    <w:multiLevelType w:val="hybridMultilevel"/>
    <w:tmpl w:val="6C8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7443"/>
    <w:multiLevelType w:val="hybridMultilevel"/>
    <w:tmpl w:val="FEBC1B46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1"/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9"/>
    <w:rsid w:val="00000EE1"/>
    <w:rsid w:val="00000FDF"/>
    <w:rsid w:val="00001611"/>
    <w:rsid w:val="00002FA6"/>
    <w:rsid w:val="00005A1C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D2A"/>
    <w:rsid w:val="00011F11"/>
    <w:rsid w:val="000123AD"/>
    <w:rsid w:val="000124A8"/>
    <w:rsid w:val="000135D6"/>
    <w:rsid w:val="00013B67"/>
    <w:rsid w:val="00013C4F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0B99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EB4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1CF6"/>
    <w:rsid w:val="00041FB7"/>
    <w:rsid w:val="00042106"/>
    <w:rsid w:val="00042BC1"/>
    <w:rsid w:val="000435BB"/>
    <w:rsid w:val="0004432B"/>
    <w:rsid w:val="00044505"/>
    <w:rsid w:val="000447A6"/>
    <w:rsid w:val="0004499D"/>
    <w:rsid w:val="00044D1A"/>
    <w:rsid w:val="00044DBE"/>
    <w:rsid w:val="00045B6F"/>
    <w:rsid w:val="00046109"/>
    <w:rsid w:val="000506CB"/>
    <w:rsid w:val="00050D10"/>
    <w:rsid w:val="00051A1A"/>
    <w:rsid w:val="00051A3B"/>
    <w:rsid w:val="00052CED"/>
    <w:rsid w:val="00052D1B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1A9"/>
    <w:rsid w:val="000627DD"/>
    <w:rsid w:val="00062AB0"/>
    <w:rsid w:val="00062B50"/>
    <w:rsid w:val="00063C22"/>
    <w:rsid w:val="000640C9"/>
    <w:rsid w:val="00064381"/>
    <w:rsid w:val="00064757"/>
    <w:rsid w:val="00065963"/>
    <w:rsid w:val="00065EE0"/>
    <w:rsid w:val="00066661"/>
    <w:rsid w:val="00067A97"/>
    <w:rsid w:val="00071201"/>
    <w:rsid w:val="0007222C"/>
    <w:rsid w:val="000725B9"/>
    <w:rsid w:val="00072DE4"/>
    <w:rsid w:val="00073889"/>
    <w:rsid w:val="000740A1"/>
    <w:rsid w:val="00074892"/>
    <w:rsid w:val="00075CF6"/>
    <w:rsid w:val="00075F08"/>
    <w:rsid w:val="000761AC"/>
    <w:rsid w:val="0007648A"/>
    <w:rsid w:val="00076C7A"/>
    <w:rsid w:val="000817D1"/>
    <w:rsid w:val="00082ABB"/>
    <w:rsid w:val="000830F4"/>
    <w:rsid w:val="000837AC"/>
    <w:rsid w:val="000839E6"/>
    <w:rsid w:val="00083E59"/>
    <w:rsid w:val="000852B0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5F3"/>
    <w:rsid w:val="00091631"/>
    <w:rsid w:val="00092131"/>
    <w:rsid w:val="000921CF"/>
    <w:rsid w:val="00093AB6"/>
    <w:rsid w:val="000940CF"/>
    <w:rsid w:val="00094308"/>
    <w:rsid w:val="000949E8"/>
    <w:rsid w:val="00094A8F"/>
    <w:rsid w:val="00094D10"/>
    <w:rsid w:val="00095024"/>
    <w:rsid w:val="0009532A"/>
    <w:rsid w:val="00095D4E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8BE"/>
    <w:rsid w:val="000A3A08"/>
    <w:rsid w:val="000A3A38"/>
    <w:rsid w:val="000A406E"/>
    <w:rsid w:val="000A4372"/>
    <w:rsid w:val="000A4EC6"/>
    <w:rsid w:val="000A6793"/>
    <w:rsid w:val="000B016F"/>
    <w:rsid w:val="000B1132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38"/>
    <w:rsid w:val="000C2541"/>
    <w:rsid w:val="000C3098"/>
    <w:rsid w:val="000C34DE"/>
    <w:rsid w:val="000C4143"/>
    <w:rsid w:val="000C4221"/>
    <w:rsid w:val="000C42BC"/>
    <w:rsid w:val="000C4648"/>
    <w:rsid w:val="000C4BED"/>
    <w:rsid w:val="000C59D9"/>
    <w:rsid w:val="000C5BCF"/>
    <w:rsid w:val="000C72D8"/>
    <w:rsid w:val="000D0678"/>
    <w:rsid w:val="000D1252"/>
    <w:rsid w:val="000D1C5F"/>
    <w:rsid w:val="000D23D5"/>
    <w:rsid w:val="000D2C44"/>
    <w:rsid w:val="000D362D"/>
    <w:rsid w:val="000D38A1"/>
    <w:rsid w:val="000D482A"/>
    <w:rsid w:val="000D4952"/>
    <w:rsid w:val="000D4989"/>
    <w:rsid w:val="000D4E41"/>
    <w:rsid w:val="000D5045"/>
    <w:rsid w:val="000D7BE3"/>
    <w:rsid w:val="000D7D13"/>
    <w:rsid w:val="000E0BB9"/>
    <w:rsid w:val="000E1CA2"/>
    <w:rsid w:val="000E248C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4FE7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BD1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35E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0D57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6D80"/>
    <w:rsid w:val="00127C6D"/>
    <w:rsid w:val="0013007F"/>
    <w:rsid w:val="00130254"/>
    <w:rsid w:val="0013029B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1843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594"/>
    <w:rsid w:val="00183BF7"/>
    <w:rsid w:val="00184398"/>
    <w:rsid w:val="00184936"/>
    <w:rsid w:val="00184F2F"/>
    <w:rsid w:val="001854A0"/>
    <w:rsid w:val="00186B7B"/>
    <w:rsid w:val="00187403"/>
    <w:rsid w:val="0018795A"/>
    <w:rsid w:val="00187B5A"/>
    <w:rsid w:val="00187CD1"/>
    <w:rsid w:val="00190466"/>
    <w:rsid w:val="00190C5E"/>
    <w:rsid w:val="0019132F"/>
    <w:rsid w:val="00191FE2"/>
    <w:rsid w:val="00192594"/>
    <w:rsid w:val="00192C3B"/>
    <w:rsid w:val="00195984"/>
    <w:rsid w:val="00195C6E"/>
    <w:rsid w:val="00196C3C"/>
    <w:rsid w:val="001975D6"/>
    <w:rsid w:val="00197CDA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A7B4A"/>
    <w:rsid w:val="001B1C19"/>
    <w:rsid w:val="001B3C77"/>
    <w:rsid w:val="001B41AC"/>
    <w:rsid w:val="001B5E81"/>
    <w:rsid w:val="001B60EB"/>
    <w:rsid w:val="001B65AD"/>
    <w:rsid w:val="001B65E4"/>
    <w:rsid w:val="001B6796"/>
    <w:rsid w:val="001B6CCF"/>
    <w:rsid w:val="001B6E49"/>
    <w:rsid w:val="001B763A"/>
    <w:rsid w:val="001C1494"/>
    <w:rsid w:val="001C1516"/>
    <w:rsid w:val="001C18D8"/>
    <w:rsid w:val="001C20BD"/>
    <w:rsid w:val="001C282E"/>
    <w:rsid w:val="001C2DA6"/>
    <w:rsid w:val="001C3F70"/>
    <w:rsid w:val="001C4F8A"/>
    <w:rsid w:val="001C5B25"/>
    <w:rsid w:val="001C731D"/>
    <w:rsid w:val="001C7A6F"/>
    <w:rsid w:val="001D059C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E6906"/>
    <w:rsid w:val="001E6C92"/>
    <w:rsid w:val="001E76D3"/>
    <w:rsid w:val="001F0C06"/>
    <w:rsid w:val="001F143F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34F"/>
    <w:rsid w:val="001F545C"/>
    <w:rsid w:val="001F5521"/>
    <w:rsid w:val="001F585A"/>
    <w:rsid w:val="001F5C34"/>
    <w:rsid w:val="001F5E46"/>
    <w:rsid w:val="001F6055"/>
    <w:rsid w:val="00201D80"/>
    <w:rsid w:val="00201E08"/>
    <w:rsid w:val="00201F48"/>
    <w:rsid w:val="00202209"/>
    <w:rsid w:val="0020285F"/>
    <w:rsid w:val="00202D83"/>
    <w:rsid w:val="00203A0D"/>
    <w:rsid w:val="00204BC8"/>
    <w:rsid w:val="00205AEF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48E3"/>
    <w:rsid w:val="00214AB0"/>
    <w:rsid w:val="002150D3"/>
    <w:rsid w:val="002169EA"/>
    <w:rsid w:val="00216A49"/>
    <w:rsid w:val="0021746F"/>
    <w:rsid w:val="00217D61"/>
    <w:rsid w:val="002207F2"/>
    <w:rsid w:val="002216F2"/>
    <w:rsid w:val="00221960"/>
    <w:rsid w:val="00222132"/>
    <w:rsid w:val="0022341E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7BB"/>
    <w:rsid w:val="00231904"/>
    <w:rsid w:val="00232776"/>
    <w:rsid w:val="00233AB2"/>
    <w:rsid w:val="00234091"/>
    <w:rsid w:val="002343BF"/>
    <w:rsid w:val="00234BA6"/>
    <w:rsid w:val="00234D80"/>
    <w:rsid w:val="0023630C"/>
    <w:rsid w:val="00236672"/>
    <w:rsid w:val="002367FB"/>
    <w:rsid w:val="00237D95"/>
    <w:rsid w:val="00240AFA"/>
    <w:rsid w:val="0024119F"/>
    <w:rsid w:val="00241683"/>
    <w:rsid w:val="00241D9B"/>
    <w:rsid w:val="0024226F"/>
    <w:rsid w:val="00242C40"/>
    <w:rsid w:val="002434C9"/>
    <w:rsid w:val="00243F20"/>
    <w:rsid w:val="00244E4A"/>
    <w:rsid w:val="00245854"/>
    <w:rsid w:val="00245CF6"/>
    <w:rsid w:val="0024642F"/>
    <w:rsid w:val="00247155"/>
    <w:rsid w:val="0024715E"/>
    <w:rsid w:val="0025000A"/>
    <w:rsid w:val="00250751"/>
    <w:rsid w:val="00250838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26EC"/>
    <w:rsid w:val="0026436A"/>
    <w:rsid w:val="002644F5"/>
    <w:rsid w:val="00264D4D"/>
    <w:rsid w:val="002652A9"/>
    <w:rsid w:val="002658CA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8FD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20A"/>
    <w:rsid w:val="00284A73"/>
    <w:rsid w:val="00285CFD"/>
    <w:rsid w:val="00285E6E"/>
    <w:rsid w:val="00286792"/>
    <w:rsid w:val="00286ABF"/>
    <w:rsid w:val="00287759"/>
    <w:rsid w:val="00291108"/>
    <w:rsid w:val="00291259"/>
    <w:rsid w:val="0029184D"/>
    <w:rsid w:val="002926E9"/>
    <w:rsid w:val="002934B7"/>
    <w:rsid w:val="00293FCB"/>
    <w:rsid w:val="002941FF"/>
    <w:rsid w:val="002944B2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4B"/>
    <w:rsid w:val="002A5A7C"/>
    <w:rsid w:val="002A5C7D"/>
    <w:rsid w:val="002A5E75"/>
    <w:rsid w:val="002A768F"/>
    <w:rsid w:val="002A7E6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10F"/>
    <w:rsid w:val="002B5805"/>
    <w:rsid w:val="002B58EE"/>
    <w:rsid w:val="002B63D7"/>
    <w:rsid w:val="002B73BC"/>
    <w:rsid w:val="002B761E"/>
    <w:rsid w:val="002C0FA1"/>
    <w:rsid w:val="002C13BA"/>
    <w:rsid w:val="002C1D60"/>
    <w:rsid w:val="002C1D8F"/>
    <w:rsid w:val="002C2844"/>
    <w:rsid w:val="002C28D9"/>
    <w:rsid w:val="002C414A"/>
    <w:rsid w:val="002C47D2"/>
    <w:rsid w:val="002C47DD"/>
    <w:rsid w:val="002C4E3F"/>
    <w:rsid w:val="002C515E"/>
    <w:rsid w:val="002C5397"/>
    <w:rsid w:val="002C56FA"/>
    <w:rsid w:val="002C5916"/>
    <w:rsid w:val="002C6C5A"/>
    <w:rsid w:val="002C738D"/>
    <w:rsid w:val="002C7F82"/>
    <w:rsid w:val="002D0368"/>
    <w:rsid w:val="002D103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D7D8A"/>
    <w:rsid w:val="002E0BD9"/>
    <w:rsid w:val="002E0DA5"/>
    <w:rsid w:val="002E1C54"/>
    <w:rsid w:val="002E3186"/>
    <w:rsid w:val="002E46BC"/>
    <w:rsid w:val="002E4902"/>
    <w:rsid w:val="002E49B0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5DFE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35D"/>
    <w:rsid w:val="0030441C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331F"/>
    <w:rsid w:val="003149AA"/>
    <w:rsid w:val="00315EBF"/>
    <w:rsid w:val="00315F18"/>
    <w:rsid w:val="00316734"/>
    <w:rsid w:val="00316E3B"/>
    <w:rsid w:val="00321BED"/>
    <w:rsid w:val="003225C6"/>
    <w:rsid w:val="0032383B"/>
    <w:rsid w:val="00323EBE"/>
    <w:rsid w:val="00324581"/>
    <w:rsid w:val="00324EA9"/>
    <w:rsid w:val="00324EDC"/>
    <w:rsid w:val="00325186"/>
    <w:rsid w:val="003253E0"/>
    <w:rsid w:val="0032558B"/>
    <w:rsid w:val="003262FB"/>
    <w:rsid w:val="003267D2"/>
    <w:rsid w:val="003309F8"/>
    <w:rsid w:val="00330DD8"/>
    <w:rsid w:val="00331816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3717C"/>
    <w:rsid w:val="00337599"/>
    <w:rsid w:val="0034126E"/>
    <w:rsid w:val="00341687"/>
    <w:rsid w:val="0034171E"/>
    <w:rsid w:val="00341F4D"/>
    <w:rsid w:val="00342682"/>
    <w:rsid w:val="00342B58"/>
    <w:rsid w:val="00343868"/>
    <w:rsid w:val="00344F4B"/>
    <w:rsid w:val="00345B70"/>
    <w:rsid w:val="00346DFF"/>
    <w:rsid w:val="0034718C"/>
    <w:rsid w:val="0034760B"/>
    <w:rsid w:val="00350C8F"/>
    <w:rsid w:val="00351A3B"/>
    <w:rsid w:val="003520E4"/>
    <w:rsid w:val="00352F18"/>
    <w:rsid w:val="00353187"/>
    <w:rsid w:val="00353452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4A8"/>
    <w:rsid w:val="003627BB"/>
    <w:rsid w:val="0036341B"/>
    <w:rsid w:val="003655F7"/>
    <w:rsid w:val="00366E19"/>
    <w:rsid w:val="00367E39"/>
    <w:rsid w:val="003715C6"/>
    <w:rsid w:val="003717B3"/>
    <w:rsid w:val="003722ED"/>
    <w:rsid w:val="003726AE"/>
    <w:rsid w:val="003733E9"/>
    <w:rsid w:val="0037377D"/>
    <w:rsid w:val="00373BAA"/>
    <w:rsid w:val="003741FF"/>
    <w:rsid w:val="00374FC0"/>
    <w:rsid w:val="003753D7"/>
    <w:rsid w:val="003757B1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546"/>
    <w:rsid w:val="003827EF"/>
    <w:rsid w:val="00384667"/>
    <w:rsid w:val="00385233"/>
    <w:rsid w:val="00386897"/>
    <w:rsid w:val="00386B9C"/>
    <w:rsid w:val="00387D92"/>
    <w:rsid w:val="00390878"/>
    <w:rsid w:val="00390C6E"/>
    <w:rsid w:val="003912C6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099"/>
    <w:rsid w:val="003A32C1"/>
    <w:rsid w:val="003A35B6"/>
    <w:rsid w:val="003A3A11"/>
    <w:rsid w:val="003A452F"/>
    <w:rsid w:val="003A4632"/>
    <w:rsid w:val="003A509B"/>
    <w:rsid w:val="003A681A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69C2"/>
    <w:rsid w:val="003B722A"/>
    <w:rsid w:val="003C00A0"/>
    <w:rsid w:val="003C0CDF"/>
    <w:rsid w:val="003C1113"/>
    <w:rsid w:val="003C18AB"/>
    <w:rsid w:val="003C1C07"/>
    <w:rsid w:val="003C20D0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3D47"/>
    <w:rsid w:val="003D42EC"/>
    <w:rsid w:val="003D4CAA"/>
    <w:rsid w:val="003D54FC"/>
    <w:rsid w:val="003D572E"/>
    <w:rsid w:val="003D5A08"/>
    <w:rsid w:val="003D6EF5"/>
    <w:rsid w:val="003D7FAF"/>
    <w:rsid w:val="003E03C2"/>
    <w:rsid w:val="003E28EA"/>
    <w:rsid w:val="003E2EBF"/>
    <w:rsid w:val="003E3867"/>
    <w:rsid w:val="003E498A"/>
    <w:rsid w:val="003E4F33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2CC2"/>
    <w:rsid w:val="003F3174"/>
    <w:rsid w:val="003F3E4F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00D"/>
    <w:rsid w:val="00401DE8"/>
    <w:rsid w:val="004020D7"/>
    <w:rsid w:val="00403380"/>
    <w:rsid w:val="004037EA"/>
    <w:rsid w:val="0040485D"/>
    <w:rsid w:val="00404A30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6153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46C1"/>
    <w:rsid w:val="00435491"/>
    <w:rsid w:val="00435D45"/>
    <w:rsid w:val="0044032A"/>
    <w:rsid w:val="00442634"/>
    <w:rsid w:val="00442C93"/>
    <w:rsid w:val="004431D9"/>
    <w:rsid w:val="00443DE4"/>
    <w:rsid w:val="00444A01"/>
    <w:rsid w:val="00444EFD"/>
    <w:rsid w:val="00446ACE"/>
    <w:rsid w:val="004477EF"/>
    <w:rsid w:val="00447840"/>
    <w:rsid w:val="00447F42"/>
    <w:rsid w:val="00450ED9"/>
    <w:rsid w:val="00450F55"/>
    <w:rsid w:val="004516AB"/>
    <w:rsid w:val="00451909"/>
    <w:rsid w:val="00451A7F"/>
    <w:rsid w:val="00452549"/>
    <w:rsid w:val="0045539C"/>
    <w:rsid w:val="00455CB3"/>
    <w:rsid w:val="00456760"/>
    <w:rsid w:val="00456CD8"/>
    <w:rsid w:val="00456ECE"/>
    <w:rsid w:val="00457CE8"/>
    <w:rsid w:val="00460B96"/>
    <w:rsid w:val="0046117A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6B10"/>
    <w:rsid w:val="00467A05"/>
    <w:rsid w:val="00467F09"/>
    <w:rsid w:val="004700B6"/>
    <w:rsid w:val="00471261"/>
    <w:rsid w:val="004723C1"/>
    <w:rsid w:val="00473385"/>
    <w:rsid w:val="00473BE6"/>
    <w:rsid w:val="00473F16"/>
    <w:rsid w:val="00475491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1CD9"/>
    <w:rsid w:val="00492221"/>
    <w:rsid w:val="00492477"/>
    <w:rsid w:val="00492776"/>
    <w:rsid w:val="00492A6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03A7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B98"/>
    <w:rsid w:val="004A7CC6"/>
    <w:rsid w:val="004A7D21"/>
    <w:rsid w:val="004B0116"/>
    <w:rsid w:val="004B0B04"/>
    <w:rsid w:val="004B1624"/>
    <w:rsid w:val="004B16A8"/>
    <w:rsid w:val="004B1E96"/>
    <w:rsid w:val="004B23E1"/>
    <w:rsid w:val="004B3767"/>
    <w:rsid w:val="004B588B"/>
    <w:rsid w:val="004B5925"/>
    <w:rsid w:val="004B733C"/>
    <w:rsid w:val="004C0706"/>
    <w:rsid w:val="004C0E4C"/>
    <w:rsid w:val="004C0FC6"/>
    <w:rsid w:val="004C1731"/>
    <w:rsid w:val="004C1A4E"/>
    <w:rsid w:val="004C2014"/>
    <w:rsid w:val="004C2157"/>
    <w:rsid w:val="004C2E2D"/>
    <w:rsid w:val="004C324B"/>
    <w:rsid w:val="004C33DF"/>
    <w:rsid w:val="004C4857"/>
    <w:rsid w:val="004C5894"/>
    <w:rsid w:val="004C646E"/>
    <w:rsid w:val="004C6C2B"/>
    <w:rsid w:val="004C6CA0"/>
    <w:rsid w:val="004C6E82"/>
    <w:rsid w:val="004C7474"/>
    <w:rsid w:val="004C79D5"/>
    <w:rsid w:val="004D208E"/>
    <w:rsid w:val="004D43C0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0BC2"/>
    <w:rsid w:val="004E1A65"/>
    <w:rsid w:val="004E1C27"/>
    <w:rsid w:val="004E1CDE"/>
    <w:rsid w:val="004E1D9D"/>
    <w:rsid w:val="004E2A38"/>
    <w:rsid w:val="004E2B8B"/>
    <w:rsid w:val="004E4889"/>
    <w:rsid w:val="004E49AE"/>
    <w:rsid w:val="004E4E2E"/>
    <w:rsid w:val="004E50A7"/>
    <w:rsid w:val="004E5176"/>
    <w:rsid w:val="004E5ADB"/>
    <w:rsid w:val="004E6554"/>
    <w:rsid w:val="004E73C3"/>
    <w:rsid w:val="004E7611"/>
    <w:rsid w:val="004E7783"/>
    <w:rsid w:val="004E78BD"/>
    <w:rsid w:val="004E79A1"/>
    <w:rsid w:val="004E7B04"/>
    <w:rsid w:val="004F00C6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45A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07C24"/>
    <w:rsid w:val="0051087E"/>
    <w:rsid w:val="00511669"/>
    <w:rsid w:val="00511A57"/>
    <w:rsid w:val="00511F43"/>
    <w:rsid w:val="0051262C"/>
    <w:rsid w:val="0051301C"/>
    <w:rsid w:val="00514221"/>
    <w:rsid w:val="005147E8"/>
    <w:rsid w:val="00514C9D"/>
    <w:rsid w:val="00514ECA"/>
    <w:rsid w:val="005151C1"/>
    <w:rsid w:val="00516028"/>
    <w:rsid w:val="0051641C"/>
    <w:rsid w:val="005165CD"/>
    <w:rsid w:val="00516EB3"/>
    <w:rsid w:val="005176ED"/>
    <w:rsid w:val="00517C28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69F"/>
    <w:rsid w:val="00526AA9"/>
    <w:rsid w:val="00526C76"/>
    <w:rsid w:val="00530C49"/>
    <w:rsid w:val="0053166D"/>
    <w:rsid w:val="00531FBD"/>
    <w:rsid w:val="00532487"/>
    <w:rsid w:val="005324F5"/>
    <w:rsid w:val="00532594"/>
    <w:rsid w:val="00534599"/>
    <w:rsid w:val="0053463B"/>
    <w:rsid w:val="00535330"/>
    <w:rsid w:val="00535393"/>
    <w:rsid w:val="005353B3"/>
    <w:rsid w:val="00535467"/>
    <w:rsid w:val="00536949"/>
    <w:rsid w:val="00536DFD"/>
    <w:rsid w:val="00537605"/>
    <w:rsid w:val="0053772E"/>
    <w:rsid w:val="00540A3F"/>
    <w:rsid w:val="005413A0"/>
    <w:rsid w:val="00542A8B"/>
    <w:rsid w:val="00543858"/>
    <w:rsid w:val="00543ED3"/>
    <w:rsid w:val="005444AE"/>
    <w:rsid w:val="005449A3"/>
    <w:rsid w:val="00544A8A"/>
    <w:rsid w:val="005452C6"/>
    <w:rsid w:val="00545A11"/>
    <w:rsid w:val="005465BF"/>
    <w:rsid w:val="00546988"/>
    <w:rsid w:val="00546DD1"/>
    <w:rsid w:val="0055104F"/>
    <w:rsid w:val="005517E7"/>
    <w:rsid w:val="00551C09"/>
    <w:rsid w:val="00551E55"/>
    <w:rsid w:val="00551F46"/>
    <w:rsid w:val="0055223D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DE8"/>
    <w:rsid w:val="00562E06"/>
    <w:rsid w:val="00563811"/>
    <w:rsid w:val="00563D92"/>
    <w:rsid w:val="0056525D"/>
    <w:rsid w:val="0056536B"/>
    <w:rsid w:val="0056598D"/>
    <w:rsid w:val="00566529"/>
    <w:rsid w:val="00566FD6"/>
    <w:rsid w:val="0057281B"/>
    <w:rsid w:val="00572E61"/>
    <w:rsid w:val="00572E7B"/>
    <w:rsid w:val="005731DD"/>
    <w:rsid w:val="00573F6E"/>
    <w:rsid w:val="00574928"/>
    <w:rsid w:val="00575615"/>
    <w:rsid w:val="0057609E"/>
    <w:rsid w:val="00577D6D"/>
    <w:rsid w:val="00580593"/>
    <w:rsid w:val="005806A5"/>
    <w:rsid w:val="005807B6"/>
    <w:rsid w:val="00585ED8"/>
    <w:rsid w:val="00586BB3"/>
    <w:rsid w:val="00586D8B"/>
    <w:rsid w:val="00590183"/>
    <w:rsid w:val="00590EDC"/>
    <w:rsid w:val="005918F3"/>
    <w:rsid w:val="00592141"/>
    <w:rsid w:val="005921B0"/>
    <w:rsid w:val="00595077"/>
    <w:rsid w:val="0059552E"/>
    <w:rsid w:val="0059584C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6716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B7FF7"/>
    <w:rsid w:val="005C0E25"/>
    <w:rsid w:val="005C1533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1FF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12A"/>
    <w:rsid w:val="005D74D8"/>
    <w:rsid w:val="005D7D1D"/>
    <w:rsid w:val="005E0F18"/>
    <w:rsid w:val="005E155A"/>
    <w:rsid w:val="005E24F4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9D3"/>
    <w:rsid w:val="00611AD2"/>
    <w:rsid w:val="00612A75"/>
    <w:rsid w:val="00613673"/>
    <w:rsid w:val="00614194"/>
    <w:rsid w:val="00614473"/>
    <w:rsid w:val="006146F6"/>
    <w:rsid w:val="00615186"/>
    <w:rsid w:val="006151D3"/>
    <w:rsid w:val="0061526E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14"/>
    <w:rsid w:val="00624072"/>
    <w:rsid w:val="006240FF"/>
    <w:rsid w:val="00624395"/>
    <w:rsid w:val="0062473C"/>
    <w:rsid w:val="00625A5B"/>
    <w:rsid w:val="006262EC"/>
    <w:rsid w:val="006264D5"/>
    <w:rsid w:val="0062686E"/>
    <w:rsid w:val="00627074"/>
    <w:rsid w:val="006301E0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350"/>
    <w:rsid w:val="006379AF"/>
    <w:rsid w:val="00640564"/>
    <w:rsid w:val="00640EA4"/>
    <w:rsid w:val="00642AF3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387"/>
    <w:rsid w:val="0065264C"/>
    <w:rsid w:val="006527F9"/>
    <w:rsid w:val="00653878"/>
    <w:rsid w:val="00654804"/>
    <w:rsid w:val="00654AF3"/>
    <w:rsid w:val="00655559"/>
    <w:rsid w:val="006558E0"/>
    <w:rsid w:val="00655C1C"/>
    <w:rsid w:val="006565B6"/>
    <w:rsid w:val="006570F2"/>
    <w:rsid w:val="00657198"/>
    <w:rsid w:val="006576B9"/>
    <w:rsid w:val="00662AC6"/>
    <w:rsid w:val="00662E61"/>
    <w:rsid w:val="00662F84"/>
    <w:rsid w:val="006630E0"/>
    <w:rsid w:val="0066390E"/>
    <w:rsid w:val="00663D13"/>
    <w:rsid w:val="006646B7"/>
    <w:rsid w:val="006646CA"/>
    <w:rsid w:val="00664DBC"/>
    <w:rsid w:val="0066537C"/>
    <w:rsid w:val="0066592D"/>
    <w:rsid w:val="006660A8"/>
    <w:rsid w:val="006666C7"/>
    <w:rsid w:val="006676D5"/>
    <w:rsid w:val="00670AFB"/>
    <w:rsid w:val="00670C47"/>
    <w:rsid w:val="00671F89"/>
    <w:rsid w:val="00672893"/>
    <w:rsid w:val="00672B32"/>
    <w:rsid w:val="0067306C"/>
    <w:rsid w:val="00673C11"/>
    <w:rsid w:val="00673D6C"/>
    <w:rsid w:val="00673F0B"/>
    <w:rsid w:val="006752CA"/>
    <w:rsid w:val="006770C0"/>
    <w:rsid w:val="00677D08"/>
    <w:rsid w:val="00677D63"/>
    <w:rsid w:val="006806D2"/>
    <w:rsid w:val="0068081D"/>
    <w:rsid w:val="006818A7"/>
    <w:rsid w:val="00681C9A"/>
    <w:rsid w:val="00683371"/>
    <w:rsid w:val="00683FF7"/>
    <w:rsid w:val="00684B23"/>
    <w:rsid w:val="00685D31"/>
    <w:rsid w:val="006860C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3183"/>
    <w:rsid w:val="00693A83"/>
    <w:rsid w:val="00694661"/>
    <w:rsid w:val="00694B8F"/>
    <w:rsid w:val="00695684"/>
    <w:rsid w:val="00695D66"/>
    <w:rsid w:val="006962EF"/>
    <w:rsid w:val="00696905"/>
    <w:rsid w:val="00696BAC"/>
    <w:rsid w:val="006979D2"/>
    <w:rsid w:val="00697BD9"/>
    <w:rsid w:val="006A005A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04F"/>
    <w:rsid w:val="006B14AA"/>
    <w:rsid w:val="006B2B8F"/>
    <w:rsid w:val="006B3083"/>
    <w:rsid w:val="006B3F70"/>
    <w:rsid w:val="006B4A9B"/>
    <w:rsid w:val="006B59AB"/>
    <w:rsid w:val="006B5DA4"/>
    <w:rsid w:val="006B6098"/>
    <w:rsid w:val="006B6A13"/>
    <w:rsid w:val="006B701A"/>
    <w:rsid w:val="006B75C6"/>
    <w:rsid w:val="006B7B56"/>
    <w:rsid w:val="006B7B89"/>
    <w:rsid w:val="006C0915"/>
    <w:rsid w:val="006C0940"/>
    <w:rsid w:val="006C15F7"/>
    <w:rsid w:val="006C2973"/>
    <w:rsid w:val="006C397C"/>
    <w:rsid w:val="006C398B"/>
    <w:rsid w:val="006C3A25"/>
    <w:rsid w:val="006C4331"/>
    <w:rsid w:val="006C48AA"/>
    <w:rsid w:val="006C4CEE"/>
    <w:rsid w:val="006C6751"/>
    <w:rsid w:val="006C71BE"/>
    <w:rsid w:val="006D09B3"/>
    <w:rsid w:val="006D1603"/>
    <w:rsid w:val="006D19A1"/>
    <w:rsid w:val="006D27E0"/>
    <w:rsid w:val="006D35E4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450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0654"/>
    <w:rsid w:val="006F1437"/>
    <w:rsid w:val="006F1E66"/>
    <w:rsid w:val="006F234A"/>
    <w:rsid w:val="006F280F"/>
    <w:rsid w:val="006F2A0F"/>
    <w:rsid w:val="006F3332"/>
    <w:rsid w:val="006F38F9"/>
    <w:rsid w:val="006F54F7"/>
    <w:rsid w:val="006F5656"/>
    <w:rsid w:val="006F5CAC"/>
    <w:rsid w:val="006F6A7A"/>
    <w:rsid w:val="006F7093"/>
    <w:rsid w:val="006F7578"/>
    <w:rsid w:val="006F79A1"/>
    <w:rsid w:val="006F7A05"/>
    <w:rsid w:val="006F7C7B"/>
    <w:rsid w:val="006F7E8C"/>
    <w:rsid w:val="00700C9B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4EA"/>
    <w:rsid w:val="00707936"/>
    <w:rsid w:val="00707B75"/>
    <w:rsid w:val="00707D94"/>
    <w:rsid w:val="007108B0"/>
    <w:rsid w:val="00710EE2"/>
    <w:rsid w:val="00711304"/>
    <w:rsid w:val="00711918"/>
    <w:rsid w:val="0071260A"/>
    <w:rsid w:val="007126B0"/>
    <w:rsid w:val="00714E51"/>
    <w:rsid w:val="00715B85"/>
    <w:rsid w:val="007163C4"/>
    <w:rsid w:val="00716555"/>
    <w:rsid w:val="00716704"/>
    <w:rsid w:val="00716EDA"/>
    <w:rsid w:val="00717236"/>
    <w:rsid w:val="00717C0F"/>
    <w:rsid w:val="00717F57"/>
    <w:rsid w:val="00720B65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12C9"/>
    <w:rsid w:val="00733791"/>
    <w:rsid w:val="007346B6"/>
    <w:rsid w:val="007347A9"/>
    <w:rsid w:val="0073706C"/>
    <w:rsid w:val="0073774C"/>
    <w:rsid w:val="00740143"/>
    <w:rsid w:val="0074031A"/>
    <w:rsid w:val="007409A1"/>
    <w:rsid w:val="00740F47"/>
    <w:rsid w:val="00741161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5EC5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4FA4"/>
    <w:rsid w:val="00755321"/>
    <w:rsid w:val="00755D0D"/>
    <w:rsid w:val="007567E5"/>
    <w:rsid w:val="00756BDE"/>
    <w:rsid w:val="00757797"/>
    <w:rsid w:val="0076000D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3ECA"/>
    <w:rsid w:val="00775F8C"/>
    <w:rsid w:val="0077679E"/>
    <w:rsid w:val="0077707D"/>
    <w:rsid w:val="007771A8"/>
    <w:rsid w:val="0077746D"/>
    <w:rsid w:val="00780BF4"/>
    <w:rsid w:val="00780DA9"/>
    <w:rsid w:val="00781463"/>
    <w:rsid w:val="007817F2"/>
    <w:rsid w:val="00781F16"/>
    <w:rsid w:val="00783707"/>
    <w:rsid w:val="00783BBE"/>
    <w:rsid w:val="00783DBE"/>
    <w:rsid w:val="00784606"/>
    <w:rsid w:val="00785458"/>
    <w:rsid w:val="007859C5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1CDA"/>
    <w:rsid w:val="007922D6"/>
    <w:rsid w:val="00792C2A"/>
    <w:rsid w:val="00793171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A7FAC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0804"/>
    <w:rsid w:val="007E1178"/>
    <w:rsid w:val="007E1A1C"/>
    <w:rsid w:val="007E2533"/>
    <w:rsid w:val="007E2737"/>
    <w:rsid w:val="007E2B6A"/>
    <w:rsid w:val="007E3168"/>
    <w:rsid w:val="007E4158"/>
    <w:rsid w:val="007E4451"/>
    <w:rsid w:val="007E457E"/>
    <w:rsid w:val="007E5415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887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0FFD"/>
    <w:rsid w:val="00801E84"/>
    <w:rsid w:val="00802445"/>
    <w:rsid w:val="00802650"/>
    <w:rsid w:val="00802A1A"/>
    <w:rsid w:val="0080374B"/>
    <w:rsid w:val="00803BCE"/>
    <w:rsid w:val="00803FC4"/>
    <w:rsid w:val="00804281"/>
    <w:rsid w:val="008052A0"/>
    <w:rsid w:val="008056F0"/>
    <w:rsid w:val="00806A80"/>
    <w:rsid w:val="00806D32"/>
    <w:rsid w:val="00806E82"/>
    <w:rsid w:val="00807534"/>
    <w:rsid w:val="00807E8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460"/>
    <w:rsid w:val="00832B15"/>
    <w:rsid w:val="00832BAD"/>
    <w:rsid w:val="008341F5"/>
    <w:rsid w:val="00834251"/>
    <w:rsid w:val="00835650"/>
    <w:rsid w:val="00835776"/>
    <w:rsid w:val="0083578E"/>
    <w:rsid w:val="00835E07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6CB"/>
    <w:rsid w:val="008439CE"/>
    <w:rsid w:val="00844D86"/>
    <w:rsid w:val="00845723"/>
    <w:rsid w:val="00845884"/>
    <w:rsid w:val="00845944"/>
    <w:rsid w:val="00845C42"/>
    <w:rsid w:val="00845F46"/>
    <w:rsid w:val="00846D0E"/>
    <w:rsid w:val="0084775C"/>
    <w:rsid w:val="008477F5"/>
    <w:rsid w:val="00847D65"/>
    <w:rsid w:val="00847ECA"/>
    <w:rsid w:val="0085017E"/>
    <w:rsid w:val="00850759"/>
    <w:rsid w:val="0085094D"/>
    <w:rsid w:val="00850AA7"/>
    <w:rsid w:val="0085122F"/>
    <w:rsid w:val="00851240"/>
    <w:rsid w:val="00851350"/>
    <w:rsid w:val="00851DFB"/>
    <w:rsid w:val="00853B22"/>
    <w:rsid w:val="00853E21"/>
    <w:rsid w:val="00854096"/>
    <w:rsid w:val="008554AE"/>
    <w:rsid w:val="00856481"/>
    <w:rsid w:val="008565B0"/>
    <w:rsid w:val="008571E3"/>
    <w:rsid w:val="0085750C"/>
    <w:rsid w:val="008578CB"/>
    <w:rsid w:val="00857BD6"/>
    <w:rsid w:val="00857D91"/>
    <w:rsid w:val="008610A8"/>
    <w:rsid w:val="00861C59"/>
    <w:rsid w:val="00861E02"/>
    <w:rsid w:val="00862102"/>
    <w:rsid w:val="00862A15"/>
    <w:rsid w:val="008637F8"/>
    <w:rsid w:val="00864EA9"/>
    <w:rsid w:val="00864F15"/>
    <w:rsid w:val="00865562"/>
    <w:rsid w:val="008662D5"/>
    <w:rsid w:val="008677EF"/>
    <w:rsid w:val="00867E70"/>
    <w:rsid w:val="0087007C"/>
    <w:rsid w:val="008708DF"/>
    <w:rsid w:val="00870AB1"/>
    <w:rsid w:val="00870DB4"/>
    <w:rsid w:val="0087100C"/>
    <w:rsid w:val="00871B0D"/>
    <w:rsid w:val="0087208C"/>
    <w:rsid w:val="00872666"/>
    <w:rsid w:val="008731B6"/>
    <w:rsid w:val="0087334E"/>
    <w:rsid w:val="00873827"/>
    <w:rsid w:val="00873E8A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511"/>
    <w:rsid w:val="008846F8"/>
    <w:rsid w:val="008849C0"/>
    <w:rsid w:val="00884A8B"/>
    <w:rsid w:val="0088577C"/>
    <w:rsid w:val="00886278"/>
    <w:rsid w:val="00886D95"/>
    <w:rsid w:val="00887000"/>
    <w:rsid w:val="008873B5"/>
    <w:rsid w:val="008877D7"/>
    <w:rsid w:val="0089019C"/>
    <w:rsid w:val="00890447"/>
    <w:rsid w:val="00890869"/>
    <w:rsid w:val="00891003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67C8"/>
    <w:rsid w:val="00897883"/>
    <w:rsid w:val="00897C20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43D1"/>
    <w:rsid w:val="008A4EAA"/>
    <w:rsid w:val="008A52F5"/>
    <w:rsid w:val="008A5311"/>
    <w:rsid w:val="008A578E"/>
    <w:rsid w:val="008A5DA8"/>
    <w:rsid w:val="008A7090"/>
    <w:rsid w:val="008A79AC"/>
    <w:rsid w:val="008A7BF0"/>
    <w:rsid w:val="008B000B"/>
    <w:rsid w:val="008B17A5"/>
    <w:rsid w:val="008B1CA7"/>
    <w:rsid w:val="008B2E03"/>
    <w:rsid w:val="008B2E55"/>
    <w:rsid w:val="008B4E7C"/>
    <w:rsid w:val="008B5734"/>
    <w:rsid w:val="008B5A2F"/>
    <w:rsid w:val="008B5A32"/>
    <w:rsid w:val="008B5EE0"/>
    <w:rsid w:val="008B6014"/>
    <w:rsid w:val="008C25A3"/>
    <w:rsid w:val="008C2A37"/>
    <w:rsid w:val="008C4233"/>
    <w:rsid w:val="008C4F6B"/>
    <w:rsid w:val="008C530B"/>
    <w:rsid w:val="008C54E3"/>
    <w:rsid w:val="008C5DB7"/>
    <w:rsid w:val="008C677F"/>
    <w:rsid w:val="008C7077"/>
    <w:rsid w:val="008C7089"/>
    <w:rsid w:val="008C765A"/>
    <w:rsid w:val="008D15D2"/>
    <w:rsid w:val="008D1A7F"/>
    <w:rsid w:val="008D26D0"/>
    <w:rsid w:val="008D2A62"/>
    <w:rsid w:val="008D3D52"/>
    <w:rsid w:val="008D5031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A6E"/>
    <w:rsid w:val="008E4BF0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53"/>
    <w:rsid w:val="00901682"/>
    <w:rsid w:val="00901951"/>
    <w:rsid w:val="009019C7"/>
    <w:rsid w:val="00901B0E"/>
    <w:rsid w:val="00901C8E"/>
    <w:rsid w:val="00901E8D"/>
    <w:rsid w:val="0090263C"/>
    <w:rsid w:val="009029FB"/>
    <w:rsid w:val="00902D00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5EE3"/>
    <w:rsid w:val="00916742"/>
    <w:rsid w:val="0091686C"/>
    <w:rsid w:val="009168BC"/>
    <w:rsid w:val="0091695B"/>
    <w:rsid w:val="00917E4C"/>
    <w:rsid w:val="00920C63"/>
    <w:rsid w:val="00920D7C"/>
    <w:rsid w:val="00921282"/>
    <w:rsid w:val="0092144C"/>
    <w:rsid w:val="00921B27"/>
    <w:rsid w:val="00921B3A"/>
    <w:rsid w:val="00922388"/>
    <w:rsid w:val="00922702"/>
    <w:rsid w:val="009227E6"/>
    <w:rsid w:val="00922F75"/>
    <w:rsid w:val="00924790"/>
    <w:rsid w:val="00924B57"/>
    <w:rsid w:val="00926466"/>
    <w:rsid w:val="009265CF"/>
    <w:rsid w:val="00926A72"/>
    <w:rsid w:val="00926E10"/>
    <w:rsid w:val="00930517"/>
    <w:rsid w:val="00930751"/>
    <w:rsid w:val="00931172"/>
    <w:rsid w:val="009316BB"/>
    <w:rsid w:val="00931C57"/>
    <w:rsid w:val="00931C8B"/>
    <w:rsid w:val="0093237B"/>
    <w:rsid w:val="00932766"/>
    <w:rsid w:val="00933151"/>
    <w:rsid w:val="0093344B"/>
    <w:rsid w:val="009342A6"/>
    <w:rsid w:val="0093475D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4F4C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608"/>
    <w:rsid w:val="009569B6"/>
    <w:rsid w:val="009579A4"/>
    <w:rsid w:val="00960236"/>
    <w:rsid w:val="009604BE"/>
    <w:rsid w:val="009608EE"/>
    <w:rsid w:val="00960F7B"/>
    <w:rsid w:val="009614FA"/>
    <w:rsid w:val="00961791"/>
    <w:rsid w:val="009627DF"/>
    <w:rsid w:val="00962E0D"/>
    <w:rsid w:val="00963C7A"/>
    <w:rsid w:val="00964410"/>
    <w:rsid w:val="009645C4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3E09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066E"/>
    <w:rsid w:val="00981005"/>
    <w:rsid w:val="00981049"/>
    <w:rsid w:val="00981202"/>
    <w:rsid w:val="0098161E"/>
    <w:rsid w:val="00981A78"/>
    <w:rsid w:val="00981D5C"/>
    <w:rsid w:val="00982366"/>
    <w:rsid w:val="00982CB6"/>
    <w:rsid w:val="00983117"/>
    <w:rsid w:val="0098342D"/>
    <w:rsid w:val="00983BAB"/>
    <w:rsid w:val="0098456F"/>
    <w:rsid w:val="00984F3C"/>
    <w:rsid w:val="009857AF"/>
    <w:rsid w:val="00985EF5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0B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4C23"/>
    <w:rsid w:val="009A52ED"/>
    <w:rsid w:val="009A54BF"/>
    <w:rsid w:val="009A62FF"/>
    <w:rsid w:val="009A7291"/>
    <w:rsid w:val="009A7899"/>
    <w:rsid w:val="009A7C40"/>
    <w:rsid w:val="009B06F4"/>
    <w:rsid w:val="009B19A8"/>
    <w:rsid w:val="009B2DFB"/>
    <w:rsid w:val="009B33C8"/>
    <w:rsid w:val="009B35FE"/>
    <w:rsid w:val="009B3F52"/>
    <w:rsid w:val="009B406D"/>
    <w:rsid w:val="009B4914"/>
    <w:rsid w:val="009B4FC4"/>
    <w:rsid w:val="009B54AC"/>
    <w:rsid w:val="009B5D73"/>
    <w:rsid w:val="009B6B87"/>
    <w:rsid w:val="009C09AB"/>
    <w:rsid w:val="009C1028"/>
    <w:rsid w:val="009C1FB0"/>
    <w:rsid w:val="009C275B"/>
    <w:rsid w:val="009C41BB"/>
    <w:rsid w:val="009C4FF2"/>
    <w:rsid w:val="009C55BF"/>
    <w:rsid w:val="009C61E7"/>
    <w:rsid w:val="009C75DB"/>
    <w:rsid w:val="009D0C43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00F"/>
    <w:rsid w:val="009E265C"/>
    <w:rsid w:val="009E2940"/>
    <w:rsid w:val="009E29EE"/>
    <w:rsid w:val="009E33F9"/>
    <w:rsid w:val="009E461E"/>
    <w:rsid w:val="009E4654"/>
    <w:rsid w:val="009E5843"/>
    <w:rsid w:val="009E585A"/>
    <w:rsid w:val="009E58DE"/>
    <w:rsid w:val="009E7260"/>
    <w:rsid w:val="009E7911"/>
    <w:rsid w:val="009F1611"/>
    <w:rsid w:val="009F167B"/>
    <w:rsid w:val="009F1E12"/>
    <w:rsid w:val="009F2485"/>
    <w:rsid w:val="009F29CF"/>
    <w:rsid w:val="009F2B5B"/>
    <w:rsid w:val="009F50C0"/>
    <w:rsid w:val="009F55F1"/>
    <w:rsid w:val="009F633E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4FF9"/>
    <w:rsid w:val="00A161BA"/>
    <w:rsid w:val="00A161D3"/>
    <w:rsid w:val="00A1641A"/>
    <w:rsid w:val="00A16522"/>
    <w:rsid w:val="00A166CA"/>
    <w:rsid w:val="00A16F73"/>
    <w:rsid w:val="00A20002"/>
    <w:rsid w:val="00A20193"/>
    <w:rsid w:val="00A21C8B"/>
    <w:rsid w:val="00A21E0E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A53"/>
    <w:rsid w:val="00A24D52"/>
    <w:rsid w:val="00A263B9"/>
    <w:rsid w:val="00A26E38"/>
    <w:rsid w:val="00A272AE"/>
    <w:rsid w:val="00A30B5D"/>
    <w:rsid w:val="00A30C05"/>
    <w:rsid w:val="00A313A0"/>
    <w:rsid w:val="00A31EF6"/>
    <w:rsid w:val="00A3228C"/>
    <w:rsid w:val="00A328B2"/>
    <w:rsid w:val="00A329F1"/>
    <w:rsid w:val="00A33AAF"/>
    <w:rsid w:val="00A34CAB"/>
    <w:rsid w:val="00A352BD"/>
    <w:rsid w:val="00A359AA"/>
    <w:rsid w:val="00A363A2"/>
    <w:rsid w:val="00A371E6"/>
    <w:rsid w:val="00A40EBD"/>
    <w:rsid w:val="00A415D8"/>
    <w:rsid w:val="00A41B20"/>
    <w:rsid w:val="00A41F61"/>
    <w:rsid w:val="00A4221A"/>
    <w:rsid w:val="00A426EC"/>
    <w:rsid w:val="00A4283A"/>
    <w:rsid w:val="00A43387"/>
    <w:rsid w:val="00A43A32"/>
    <w:rsid w:val="00A43D58"/>
    <w:rsid w:val="00A44F43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CC2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66EA"/>
    <w:rsid w:val="00A87A94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817"/>
    <w:rsid w:val="00AA4DF3"/>
    <w:rsid w:val="00AA52FC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5EBC"/>
    <w:rsid w:val="00AB6839"/>
    <w:rsid w:val="00AB6887"/>
    <w:rsid w:val="00AB688B"/>
    <w:rsid w:val="00AB728C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C723C"/>
    <w:rsid w:val="00AD02CB"/>
    <w:rsid w:val="00AD050B"/>
    <w:rsid w:val="00AD08B6"/>
    <w:rsid w:val="00AD12C1"/>
    <w:rsid w:val="00AD1765"/>
    <w:rsid w:val="00AD1C0D"/>
    <w:rsid w:val="00AD1E60"/>
    <w:rsid w:val="00AD2397"/>
    <w:rsid w:val="00AD2C76"/>
    <w:rsid w:val="00AD2FE4"/>
    <w:rsid w:val="00AD4C5B"/>
    <w:rsid w:val="00AD51DC"/>
    <w:rsid w:val="00AD56CC"/>
    <w:rsid w:val="00AD5FCC"/>
    <w:rsid w:val="00AD61B2"/>
    <w:rsid w:val="00AD736C"/>
    <w:rsid w:val="00AD7907"/>
    <w:rsid w:val="00AD79C3"/>
    <w:rsid w:val="00AD79F3"/>
    <w:rsid w:val="00AD79FA"/>
    <w:rsid w:val="00AD7D0A"/>
    <w:rsid w:val="00AD7F31"/>
    <w:rsid w:val="00AE0830"/>
    <w:rsid w:val="00AE1217"/>
    <w:rsid w:val="00AE1423"/>
    <w:rsid w:val="00AE1926"/>
    <w:rsid w:val="00AE1E77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059E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07DA1"/>
    <w:rsid w:val="00B104C1"/>
    <w:rsid w:val="00B104C4"/>
    <w:rsid w:val="00B106F1"/>
    <w:rsid w:val="00B114BA"/>
    <w:rsid w:val="00B117A4"/>
    <w:rsid w:val="00B11A80"/>
    <w:rsid w:val="00B11BBF"/>
    <w:rsid w:val="00B12347"/>
    <w:rsid w:val="00B1302B"/>
    <w:rsid w:val="00B142D7"/>
    <w:rsid w:val="00B14645"/>
    <w:rsid w:val="00B16C21"/>
    <w:rsid w:val="00B16F10"/>
    <w:rsid w:val="00B20550"/>
    <w:rsid w:val="00B20930"/>
    <w:rsid w:val="00B21854"/>
    <w:rsid w:val="00B22F1B"/>
    <w:rsid w:val="00B22FA4"/>
    <w:rsid w:val="00B2343C"/>
    <w:rsid w:val="00B236D1"/>
    <w:rsid w:val="00B23D35"/>
    <w:rsid w:val="00B24031"/>
    <w:rsid w:val="00B2487A"/>
    <w:rsid w:val="00B248E1"/>
    <w:rsid w:val="00B2509E"/>
    <w:rsid w:val="00B258B1"/>
    <w:rsid w:val="00B278B5"/>
    <w:rsid w:val="00B3105F"/>
    <w:rsid w:val="00B311C5"/>
    <w:rsid w:val="00B31A99"/>
    <w:rsid w:val="00B32084"/>
    <w:rsid w:val="00B32626"/>
    <w:rsid w:val="00B332F0"/>
    <w:rsid w:val="00B3376B"/>
    <w:rsid w:val="00B33887"/>
    <w:rsid w:val="00B34352"/>
    <w:rsid w:val="00B34C14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6ECC"/>
    <w:rsid w:val="00B4717F"/>
    <w:rsid w:val="00B47A7A"/>
    <w:rsid w:val="00B5023F"/>
    <w:rsid w:val="00B509A5"/>
    <w:rsid w:val="00B509F1"/>
    <w:rsid w:val="00B50C3E"/>
    <w:rsid w:val="00B513EA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70A"/>
    <w:rsid w:val="00B64D9F"/>
    <w:rsid w:val="00B65419"/>
    <w:rsid w:val="00B65648"/>
    <w:rsid w:val="00B657A3"/>
    <w:rsid w:val="00B67F71"/>
    <w:rsid w:val="00B70056"/>
    <w:rsid w:val="00B7100F"/>
    <w:rsid w:val="00B71D86"/>
    <w:rsid w:val="00B729F3"/>
    <w:rsid w:val="00B72BCB"/>
    <w:rsid w:val="00B740A3"/>
    <w:rsid w:val="00B748EA"/>
    <w:rsid w:val="00B74BAD"/>
    <w:rsid w:val="00B74C18"/>
    <w:rsid w:val="00B74EA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4BEF"/>
    <w:rsid w:val="00B94C0B"/>
    <w:rsid w:val="00B95782"/>
    <w:rsid w:val="00B96039"/>
    <w:rsid w:val="00B96311"/>
    <w:rsid w:val="00B96C6A"/>
    <w:rsid w:val="00B97377"/>
    <w:rsid w:val="00BA0D1A"/>
    <w:rsid w:val="00BA138F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B7FB2"/>
    <w:rsid w:val="00BC0BAA"/>
    <w:rsid w:val="00BC1D2F"/>
    <w:rsid w:val="00BC2AB4"/>
    <w:rsid w:val="00BC3A7C"/>
    <w:rsid w:val="00BC3C86"/>
    <w:rsid w:val="00BC4074"/>
    <w:rsid w:val="00BC41B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1C5F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2D8"/>
    <w:rsid w:val="00BF3526"/>
    <w:rsid w:val="00BF3B15"/>
    <w:rsid w:val="00BF4033"/>
    <w:rsid w:val="00BF4894"/>
    <w:rsid w:val="00BF49C3"/>
    <w:rsid w:val="00BF59A5"/>
    <w:rsid w:val="00BF6126"/>
    <w:rsid w:val="00BF640F"/>
    <w:rsid w:val="00BF691B"/>
    <w:rsid w:val="00BF6B5B"/>
    <w:rsid w:val="00BF7738"/>
    <w:rsid w:val="00C0049C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5BEF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26BC"/>
    <w:rsid w:val="00C32C39"/>
    <w:rsid w:val="00C33F8D"/>
    <w:rsid w:val="00C340A3"/>
    <w:rsid w:val="00C340A4"/>
    <w:rsid w:val="00C346B9"/>
    <w:rsid w:val="00C34D3E"/>
    <w:rsid w:val="00C3617B"/>
    <w:rsid w:val="00C36CF6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1E8"/>
    <w:rsid w:val="00C46875"/>
    <w:rsid w:val="00C46E6D"/>
    <w:rsid w:val="00C522D3"/>
    <w:rsid w:val="00C52920"/>
    <w:rsid w:val="00C534F9"/>
    <w:rsid w:val="00C53A37"/>
    <w:rsid w:val="00C53C33"/>
    <w:rsid w:val="00C53DE0"/>
    <w:rsid w:val="00C551D4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BB1"/>
    <w:rsid w:val="00C707B1"/>
    <w:rsid w:val="00C70984"/>
    <w:rsid w:val="00C724CC"/>
    <w:rsid w:val="00C726B1"/>
    <w:rsid w:val="00C727BC"/>
    <w:rsid w:val="00C72855"/>
    <w:rsid w:val="00C738FD"/>
    <w:rsid w:val="00C73C05"/>
    <w:rsid w:val="00C73E9E"/>
    <w:rsid w:val="00C741C4"/>
    <w:rsid w:val="00C754AF"/>
    <w:rsid w:val="00C7572D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3C49"/>
    <w:rsid w:val="00C8441D"/>
    <w:rsid w:val="00C8443C"/>
    <w:rsid w:val="00C86128"/>
    <w:rsid w:val="00C904BB"/>
    <w:rsid w:val="00C9097E"/>
    <w:rsid w:val="00C91CAC"/>
    <w:rsid w:val="00C9222C"/>
    <w:rsid w:val="00C9223D"/>
    <w:rsid w:val="00C92681"/>
    <w:rsid w:val="00C940F0"/>
    <w:rsid w:val="00C94B38"/>
    <w:rsid w:val="00C94E2B"/>
    <w:rsid w:val="00C94FC4"/>
    <w:rsid w:val="00C9581D"/>
    <w:rsid w:val="00C95E3E"/>
    <w:rsid w:val="00C96A3D"/>
    <w:rsid w:val="00C976E1"/>
    <w:rsid w:val="00C97AC5"/>
    <w:rsid w:val="00CA02AE"/>
    <w:rsid w:val="00CA0E23"/>
    <w:rsid w:val="00CA3086"/>
    <w:rsid w:val="00CA3246"/>
    <w:rsid w:val="00CA3BEF"/>
    <w:rsid w:val="00CA446F"/>
    <w:rsid w:val="00CA44A5"/>
    <w:rsid w:val="00CA46A6"/>
    <w:rsid w:val="00CA54B5"/>
    <w:rsid w:val="00CA5B8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D99"/>
    <w:rsid w:val="00CB3F68"/>
    <w:rsid w:val="00CB4D60"/>
    <w:rsid w:val="00CB5F9F"/>
    <w:rsid w:val="00CB7354"/>
    <w:rsid w:val="00CB76F3"/>
    <w:rsid w:val="00CB782C"/>
    <w:rsid w:val="00CB7AE3"/>
    <w:rsid w:val="00CB7C32"/>
    <w:rsid w:val="00CC0410"/>
    <w:rsid w:val="00CC0765"/>
    <w:rsid w:val="00CC089B"/>
    <w:rsid w:val="00CC0B70"/>
    <w:rsid w:val="00CC0E5F"/>
    <w:rsid w:val="00CC1B06"/>
    <w:rsid w:val="00CC1DF6"/>
    <w:rsid w:val="00CC2913"/>
    <w:rsid w:val="00CC2BA4"/>
    <w:rsid w:val="00CC31CE"/>
    <w:rsid w:val="00CC3276"/>
    <w:rsid w:val="00CC3575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5AB"/>
    <w:rsid w:val="00CD165A"/>
    <w:rsid w:val="00CD2F05"/>
    <w:rsid w:val="00CD3010"/>
    <w:rsid w:val="00CD3A99"/>
    <w:rsid w:val="00CD568A"/>
    <w:rsid w:val="00CD5D7E"/>
    <w:rsid w:val="00CD5E2E"/>
    <w:rsid w:val="00CD5FF7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210"/>
    <w:rsid w:val="00CF1C5D"/>
    <w:rsid w:val="00CF1D9B"/>
    <w:rsid w:val="00CF2EBF"/>
    <w:rsid w:val="00CF3650"/>
    <w:rsid w:val="00CF431A"/>
    <w:rsid w:val="00CF5F1A"/>
    <w:rsid w:val="00CF6600"/>
    <w:rsid w:val="00CF6C3C"/>
    <w:rsid w:val="00D00BDB"/>
    <w:rsid w:val="00D01A38"/>
    <w:rsid w:val="00D01AC4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6DD7"/>
    <w:rsid w:val="00D07014"/>
    <w:rsid w:val="00D10890"/>
    <w:rsid w:val="00D111E8"/>
    <w:rsid w:val="00D119F5"/>
    <w:rsid w:val="00D11AE3"/>
    <w:rsid w:val="00D12048"/>
    <w:rsid w:val="00D129B3"/>
    <w:rsid w:val="00D13C77"/>
    <w:rsid w:val="00D14B82"/>
    <w:rsid w:val="00D150F0"/>
    <w:rsid w:val="00D163E8"/>
    <w:rsid w:val="00D16FB0"/>
    <w:rsid w:val="00D17848"/>
    <w:rsid w:val="00D17949"/>
    <w:rsid w:val="00D200EA"/>
    <w:rsid w:val="00D2013F"/>
    <w:rsid w:val="00D20F0D"/>
    <w:rsid w:val="00D21138"/>
    <w:rsid w:val="00D21D55"/>
    <w:rsid w:val="00D21FDB"/>
    <w:rsid w:val="00D22C5A"/>
    <w:rsid w:val="00D22F19"/>
    <w:rsid w:val="00D2309F"/>
    <w:rsid w:val="00D23367"/>
    <w:rsid w:val="00D23819"/>
    <w:rsid w:val="00D241DC"/>
    <w:rsid w:val="00D24B6B"/>
    <w:rsid w:val="00D24C40"/>
    <w:rsid w:val="00D25677"/>
    <w:rsid w:val="00D258EC"/>
    <w:rsid w:val="00D269C9"/>
    <w:rsid w:val="00D26F2C"/>
    <w:rsid w:val="00D27C06"/>
    <w:rsid w:val="00D3041A"/>
    <w:rsid w:val="00D30F39"/>
    <w:rsid w:val="00D31602"/>
    <w:rsid w:val="00D3219B"/>
    <w:rsid w:val="00D3259C"/>
    <w:rsid w:val="00D346F0"/>
    <w:rsid w:val="00D357B6"/>
    <w:rsid w:val="00D36232"/>
    <w:rsid w:val="00D37802"/>
    <w:rsid w:val="00D37C1D"/>
    <w:rsid w:val="00D40788"/>
    <w:rsid w:val="00D4138B"/>
    <w:rsid w:val="00D41BEE"/>
    <w:rsid w:val="00D42151"/>
    <w:rsid w:val="00D42238"/>
    <w:rsid w:val="00D42580"/>
    <w:rsid w:val="00D42BF8"/>
    <w:rsid w:val="00D42CB7"/>
    <w:rsid w:val="00D42CF0"/>
    <w:rsid w:val="00D42D51"/>
    <w:rsid w:val="00D43875"/>
    <w:rsid w:val="00D43BBB"/>
    <w:rsid w:val="00D441F8"/>
    <w:rsid w:val="00D443B3"/>
    <w:rsid w:val="00D44E54"/>
    <w:rsid w:val="00D45999"/>
    <w:rsid w:val="00D45BF1"/>
    <w:rsid w:val="00D45CA2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793"/>
    <w:rsid w:val="00D55E77"/>
    <w:rsid w:val="00D563E0"/>
    <w:rsid w:val="00D569AA"/>
    <w:rsid w:val="00D56FDA"/>
    <w:rsid w:val="00D57CB6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541D"/>
    <w:rsid w:val="00D661C2"/>
    <w:rsid w:val="00D665D6"/>
    <w:rsid w:val="00D671D0"/>
    <w:rsid w:val="00D70743"/>
    <w:rsid w:val="00D70E5B"/>
    <w:rsid w:val="00D71C55"/>
    <w:rsid w:val="00D72460"/>
    <w:rsid w:val="00D726D6"/>
    <w:rsid w:val="00D72967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97D25"/>
    <w:rsid w:val="00DA0D1D"/>
    <w:rsid w:val="00DA0E9D"/>
    <w:rsid w:val="00DA1590"/>
    <w:rsid w:val="00DA2134"/>
    <w:rsid w:val="00DA2704"/>
    <w:rsid w:val="00DA2A67"/>
    <w:rsid w:val="00DA2B20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A7BD2"/>
    <w:rsid w:val="00DB2C69"/>
    <w:rsid w:val="00DB3443"/>
    <w:rsid w:val="00DB511C"/>
    <w:rsid w:val="00DB7F9B"/>
    <w:rsid w:val="00DC0047"/>
    <w:rsid w:val="00DC0AD7"/>
    <w:rsid w:val="00DC1290"/>
    <w:rsid w:val="00DC15F9"/>
    <w:rsid w:val="00DC198A"/>
    <w:rsid w:val="00DC2BDF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0D1F"/>
    <w:rsid w:val="00DD1590"/>
    <w:rsid w:val="00DD2561"/>
    <w:rsid w:val="00DD290C"/>
    <w:rsid w:val="00DD2C6C"/>
    <w:rsid w:val="00DD3088"/>
    <w:rsid w:val="00DD31EF"/>
    <w:rsid w:val="00DD4C4E"/>
    <w:rsid w:val="00DD55B1"/>
    <w:rsid w:val="00DD6E4F"/>
    <w:rsid w:val="00DD7140"/>
    <w:rsid w:val="00DD7A9D"/>
    <w:rsid w:val="00DE0340"/>
    <w:rsid w:val="00DE1385"/>
    <w:rsid w:val="00DE229E"/>
    <w:rsid w:val="00DE24AC"/>
    <w:rsid w:val="00DE2D91"/>
    <w:rsid w:val="00DE3C7C"/>
    <w:rsid w:val="00DE3FB3"/>
    <w:rsid w:val="00DE4AFA"/>
    <w:rsid w:val="00DE4D7A"/>
    <w:rsid w:val="00DE5994"/>
    <w:rsid w:val="00DE5B6B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2E39"/>
    <w:rsid w:val="00DF44D3"/>
    <w:rsid w:val="00DF5EB5"/>
    <w:rsid w:val="00DF6148"/>
    <w:rsid w:val="00DF67AE"/>
    <w:rsid w:val="00DF6832"/>
    <w:rsid w:val="00DF6967"/>
    <w:rsid w:val="00DF6E21"/>
    <w:rsid w:val="00DF7BDD"/>
    <w:rsid w:val="00E00723"/>
    <w:rsid w:val="00E01137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32"/>
    <w:rsid w:val="00E25DD0"/>
    <w:rsid w:val="00E27F2A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318E"/>
    <w:rsid w:val="00E440D9"/>
    <w:rsid w:val="00E44ED9"/>
    <w:rsid w:val="00E45365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40F"/>
    <w:rsid w:val="00E60557"/>
    <w:rsid w:val="00E60A22"/>
    <w:rsid w:val="00E61D79"/>
    <w:rsid w:val="00E62756"/>
    <w:rsid w:val="00E657C5"/>
    <w:rsid w:val="00E66137"/>
    <w:rsid w:val="00E66A62"/>
    <w:rsid w:val="00E66ACD"/>
    <w:rsid w:val="00E67248"/>
    <w:rsid w:val="00E700F4"/>
    <w:rsid w:val="00E72125"/>
    <w:rsid w:val="00E722AE"/>
    <w:rsid w:val="00E728CB"/>
    <w:rsid w:val="00E732C7"/>
    <w:rsid w:val="00E7356D"/>
    <w:rsid w:val="00E73CFA"/>
    <w:rsid w:val="00E741FA"/>
    <w:rsid w:val="00E74259"/>
    <w:rsid w:val="00E74D0C"/>
    <w:rsid w:val="00E7552B"/>
    <w:rsid w:val="00E75770"/>
    <w:rsid w:val="00E75D24"/>
    <w:rsid w:val="00E75DEE"/>
    <w:rsid w:val="00E76B37"/>
    <w:rsid w:val="00E76F93"/>
    <w:rsid w:val="00E77CF3"/>
    <w:rsid w:val="00E77F1F"/>
    <w:rsid w:val="00E81A7A"/>
    <w:rsid w:val="00E82A05"/>
    <w:rsid w:val="00E8368C"/>
    <w:rsid w:val="00E83924"/>
    <w:rsid w:val="00E83B48"/>
    <w:rsid w:val="00E84226"/>
    <w:rsid w:val="00E85156"/>
    <w:rsid w:val="00E8525D"/>
    <w:rsid w:val="00E8538A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3A"/>
    <w:rsid w:val="00E90F70"/>
    <w:rsid w:val="00E91B53"/>
    <w:rsid w:val="00E91CAF"/>
    <w:rsid w:val="00E91D66"/>
    <w:rsid w:val="00E93F6D"/>
    <w:rsid w:val="00E946BC"/>
    <w:rsid w:val="00E951A9"/>
    <w:rsid w:val="00E9538C"/>
    <w:rsid w:val="00E95830"/>
    <w:rsid w:val="00E95A20"/>
    <w:rsid w:val="00E95D04"/>
    <w:rsid w:val="00EA094B"/>
    <w:rsid w:val="00EA0CA3"/>
    <w:rsid w:val="00EA129E"/>
    <w:rsid w:val="00EA148F"/>
    <w:rsid w:val="00EA20B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5722"/>
    <w:rsid w:val="00EA64C3"/>
    <w:rsid w:val="00EA65B4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3532"/>
    <w:rsid w:val="00EC3733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098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68A"/>
    <w:rsid w:val="00EE1816"/>
    <w:rsid w:val="00EE3362"/>
    <w:rsid w:val="00EE59CB"/>
    <w:rsid w:val="00EE63FC"/>
    <w:rsid w:val="00EE694C"/>
    <w:rsid w:val="00EE6E80"/>
    <w:rsid w:val="00EE704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B73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5E8"/>
    <w:rsid w:val="00F14803"/>
    <w:rsid w:val="00F16211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3F5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9BF"/>
    <w:rsid w:val="00F32B89"/>
    <w:rsid w:val="00F3344C"/>
    <w:rsid w:val="00F337FE"/>
    <w:rsid w:val="00F35045"/>
    <w:rsid w:val="00F354FF"/>
    <w:rsid w:val="00F35736"/>
    <w:rsid w:val="00F358B1"/>
    <w:rsid w:val="00F36664"/>
    <w:rsid w:val="00F36EBE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53D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2F"/>
    <w:rsid w:val="00F544FE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1E7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5B61"/>
    <w:rsid w:val="00F660ED"/>
    <w:rsid w:val="00F66AA9"/>
    <w:rsid w:val="00F66AF1"/>
    <w:rsid w:val="00F67488"/>
    <w:rsid w:val="00F67C82"/>
    <w:rsid w:val="00F70B47"/>
    <w:rsid w:val="00F717D8"/>
    <w:rsid w:val="00F71D75"/>
    <w:rsid w:val="00F74145"/>
    <w:rsid w:val="00F746AA"/>
    <w:rsid w:val="00F76DD8"/>
    <w:rsid w:val="00F77A88"/>
    <w:rsid w:val="00F80F3A"/>
    <w:rsid w:val="00F81108"/>
    <w:rsid w:val="00F8111D"/>
    <w:rsid w:val="00F81531"/>
    <w:rsid w:val="00F82753"/>
    <w:rsid w:val="00F83769"/>
    <w:rsid w:val="00F847F1"/>
    <w:rsid w:val="00F848B6"/>
    <w:rsid w:val="00F86ED1"/>
    <w:rsid w:val="00F872B7"/>
    <w:rsid w:val="00F90AE7"/>
    <w:rsid w:val="00F9229B"/>
    <w:rsid w:val="00F92B7D"/>
    <w:rsid w:val="00F93CFB"/>
    <w:rsid w:val="00F946D9"/>
    <w:rsid w:val="00F9493D"/>
    <w:rsid w:val="00F94DA7"/>
    <w:rsid w:val="00F9624C"/>
    <w:rsid w:val="00F965A6"/>
    <w:rsid w:val="00F968C5"/>
    <w:rsid w:val="00F96D43"/>
    <w:rsid w:val="00F96FB7"/>
    <w:rsid w:val="00F975E9"/>
    <w:rsid w:val="00F97E2C"/>
    <w:rsid w:val="00F97E67"/>
    <w:rsid w:val="00FA04B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806"/>
    <w:rsid w:val="00FA6B3C"/>
    <w:rsid w:val="00FA6D66"/>
    <w:rsid w:val="00FA6F50"/>
    <w:rsid w:val="00FB0E71"/>
    <w:rsid w:val="00FB1297"/>
    <w:rsid w:val="00FB1799"/>
    <w:rsid w:val="00FB2FD8"/>
    <w:rsid w:val="00FB36A9"/>
    <w:rsid w:val="00FB3781"/>
    <w:rsid w:val="00FB4298"/>
    <w:rsid w:val="00FB45E3"/>
    <w:rsid w:val="00FB46E8"/>
    <w:rsid w:val="00FB4A9D"/>
    <w:rsid w:val="00FB6233"/>
    <w:rsid w:val="00FB7A17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191E"/>
    <w:rsid w:val="00FD19B3"/>
    <w:rsid w:val="00FD28B0"/>
    <w:rsid w:val="00FD28BF"/>
    <w:rsid w:val="00FD2942"/>
    <w:rsid w:val="00FD3084"/>
    <w:rsid w:val="00FD34D6"/>
    <w:rsid w:val="00FD38AF"/>
    <w:rsid w:val="00FD4B8E"/>
    <w:rsid w:val="00FD511E"/>
    <w:rsid w:val="00FD536E"/>
    <w:rsid w:val="00FD60FB"/>
    <w:rsid w:val="00FD74F0"/>
    <w:rsid w:val="00FE0110"/>
    <w:rsid w:val="00FE05ED"/>
    <w:rsid w:val="00FE0D28"/>
    <w:rsid w:val="00FE10AB"/>
    <w:rsid w:val="00FE2821"/>
    <w:rsid w:val="00FE2D8D"/>
    <w:rsid w:val="00FE3B8A"/>
    <w:rsid w:val="00FE3CE6"/>
    <w:rsid w:val="00FE3D65"/>
    <w:rsid w:val="00FE4FB0"/>
    <w:rsid w:val="00FE5115"/>
    <w:rsid w:val="00FE73E2"/>
    <w:rsid w:val="00FE7414"/>
    <w:rsid w:val="00FF0219"/>
    <w:rsid w:val="00FF106A"/>
    <w:rsid w:val="00FF172B"/>
    <w:rsid w:val="00FF1787"/>
    <w:rsid w:val="00FF1FED"/>
    <w:rsid w:val="00FF231C"/>
    <w:rsid w:val="00FF27A6"/>
    <w:rsid w:val="00FF31D8"/>
    <w:rsid w:val="00FF3A00"/>
    <w:rsid w:val="00FF49C9"/>
    <w:rsid w:val="00FF4F2A"/>
    <w:rsid w:val="00FF55B9"/>
    <w:rsid w:val="00FF5990"/>
    <w:rsid w:val="00FF5E59"/>
    <w:rsid w:val="00FF6690"/>
    <w:rsid w:val="00FF6C44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F23FA6"/>
    <w:rPr>
      <w:sz w:val="16"/>
      <w:szCs w:val="16"/>
    </w:rPr>
  </w:style>
  <w:style w:type="paragraph" w:styleId="af3">
    <w:name w:val="annotation text"/>
    <w:basedOn w:val="a"/>
    <w:link w:val="af4"/>
    <w:rsid w:val="00F23FA6"/>
    <w:rPr>
      <w:sz w:val="20"/>
      <w:szCs w:val="20"/>
    </w:rPr>
  </w:style>
  <w:style w:type="character" w:customStyle="1" w:styleId="af4">
    <w:name w:val="טקסט הערה תו"/>
    <w:basedOn w:val="a0"/>
    <w:link w:val="af3"/>
    <w:rsid w:val="00F23FA6"/>
    <w:rPr>
      <w:lang w:eastAsia="he-IL"/>
    </w:rPr>
  </w:style>
  <w:style w:type="paragraph" w:styleId="af5">
    <w:name w:val="annotation subject"/>
    <w:basedOn w:val="af3"/>
    <w:next w:val="af3"/>
    <w:link w:val="af6"/>
    <w:rsid w:val="00F23FA6"/>
    <w:rPr>
      <w:b/>
      <w:bCs/>
    </w:rPr>
  </w:style>
  <w:style w:type="character" w:customStyle="1" w:styleId="af6">
    <w:name w:val="נושא הערה תו"/>
    <w:basedOn w:val="af4"/>
    <w:link w:val="af5"/>
    <w:rsid w:val="00F23FA6"/>
    <w:rPr>
      <w:b/>
      <w:bCs/>
      <w:lang w:eastAsia="he-IL"/>
    </w:rPr>
  </w:style>
  <w:style w:type="paragraph" w:styleId="af7">
    <w:name w:val="List Paragraph"/>
    <w:basedOn w:val="a"/>
    <w:uiPriority w:val="34"/>
    <w:qFormat/>
    <w:rsid w:val="005E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oi.org.il/he/DataAndStatistics/Pages/MainPage.aspx?Level=2&amp;Sid=27&amp;SubjectType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76B82-71E7-441F-BB82-7EC5E18DA2ED}"/>
</file>

<file path=customXml/itemProps2.xml><?xml version="1.0" encoding="utf-8"?>
<ds:datastoreItem xmlns:ds="http://schemas.openxmlformats.org/officeDocument/2006/customXml" ds:itemID="{5EB37929-38EB-4002-8E03-41C0801E68BB}"/>
</file>

<file path=customXml/itemProps3.xml><?xml version="1.0" encoding="utf-8"?>
<ds:datastoreItem xmlns:ds="http://schemas.openxmlformats.org/officeDocument/2006/customXml" ds:itemID="{C2492367-2EFA-4F28-AB74-3FC6F74ED30A}"/>
</file>

<file path=customXml/itemProps4.xml><?xml version="1.0" encoding="utf-8"?>
<ds:datastoreItem xmlns:ds="http://schemas.openxmlformats.org/officeDocument/2006/customXml" ds:itemID="{6A13A24E-20A4-4AB8-A6E2-AF0CB5AE4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6429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2020-06-24T10:21:00Z</dcterms:created>
  <dcterms:modified xsi:type="dcterms:W3CDTF">2020-06-24T10:21:00Z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