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26" w:rsidRPr="000D4672" w:rsidRDefault="00AA4926" w:rsidP="00AA4926">
      <w:pPr>
        <w:jc w:val="center"/>
      </w:pPr>
      <w:r>
        <w:rPr>
          <w:noProof/>
        </w:rPr>
        <w:drawing>
          <wp:inline distT="0" distB="0" distL="0" distR="0">
            <wp:extent cx="683759" cy="676275"/>
            <wp:effectExtent l="0" t="0" r="2540" b="9525"/>
            <wp:docPr id="3" name="תמונה 3"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3260" cy="676275"/>
                    </a:xfrm>
                    <a:prstGeom prst="rect">
                      <a:avLst/>
                    </a:prstGeom>
                    <a:noFill/>
                    <a:ln>
                      <a:noFill/>
                    </a:ln>
                  </pic:spPr>
                </pic:pic>
              </a:graphicData>
            </a:graphic>
          </wp:inline>
        </w:drawing>
      </w:r>
    </w:p>
    <w:p w:rsidR="00AA4926" w:rsidRPr="00000A06" w:rsidRDefault="00AA4926" w:rsidP="00AA4926">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AA4926" w:rsidRPr="00000A06" w:rsidRDefault="00AA4926" w:rsidP="00AA4926">
      <w:pPr>
        <w:pStyle w:val="regpar"/>
        <w:spacing w:line="300" w:lineRule="atLeast"/>
        <w:ind w:firstLine="0"/>
        <w:jc w:val="center"/>
        <w:rPr>
          <w:rFonts w:ascii="Times New Roman" w:hAnsi="Times New Roman" w:cs="Times New Roman"/>
          <w:b/>
        </w:rPr>
      </w:pPr>
      <w:r w:rsidRPr="00000A06">
        <w:rPr>
          <w:rFonts w:ascii="Times New Roman" w:hAnsi="Times New Roman" w:cs="Times New Roman"/>
        </w:rPr>
        <w:t>Office of the Spokes</w:t>
      </w:r>
      <w:r>
        <w:rPr>
          <w:rFonts w:ascii="Times New Roman" w:hAnsi="Times New Roman" w:cs="Times New Roman"/>
        </w:rPr>
        <w:t>person</w:t>
      </w:r>
      <w:r w:rsidRPr="00000A06">
        <w:rPr>
          <w:rFonts w:ascii="Times New Roman" w:hAnsi="Times New Roman" w:cs="Times New Roman"/>
        </w:rPr>
        <w:t xml:space="preserve"> and Economic Information</w:t>
      </w:r>
    </w:p>
    <w:p w:rsidR="00AA4926" w:rsidRPr="00AA4926" w:rsidRDefault="00AA4926" w:rsidP="00AA4926">
      <w:pPr>
        <w:jc w:val="center"/>
        <w:rPr>
          <w:rFonts w:asciiTheme="majorBidi" w:hAnsiTheme="majorBidi" w:cstheme="majorBidi"/>
          <w:b/>
          <w:bCs/>
        </w:rPr>
      </w:pPr>
      <w:r w:rsidRPr="00AA4926">
        <w:rPr>
          <w:rFonts w:asciiTheme="majorBidi" w:hAnsiTheme="majorBidi" w:cstheme="majorBidi"/>
          <w:b/>
          <w:bCs/>
        </w:rPr>
        <w:t>Press Release</w:t>
      </w:r>
    </w:p>
    <w:p w:rsidR="00AA4926" w:rsidRPr="00AA4926" w:rsidRDefault="00AA4926" w:rsidP="00AA4926">
      <w:pPr>
        <w:jc w:val="right"/>
        <w:rPr>
          <w:rFonts w:asciiTheme="majorBidi" w:hAnsiTheme="majorBidi" w:cstheme="majorBidi"/>
        </w:rPr>
      </w:pPr>
      <w:r w:rsidRPr="00AA4926">
        <w:rPr>
          <w:rFonts w:asciiTheme="majorBidi" w:hAnsiTheme="majorBidi" w:cstheme="majorBidi"/>
        </w:rPr>
        <w:t>May 19, 2014</w:t>
      </w:r>
    </w:p>
    <w:p w:rsidR="00653E07" w:rsidRPr="00AA4926" w:rsidRDefault="00653E07" w:rsidP="0004073F">
      <w:pPr>
        <w:rPr>
          <w:rFonts w:asciiTheme="majorBidi" w:hAnsiTheme="majorBidi" w:cstheme="majorBidi"/>
          <w:sz w:val="24"/>
          <w:szCs w:val="24"/>
        </w:rPr>
      </w:pPr>
      <w:r w:rsidRPr="00AA4926">
        <w:rPr>
          <w:rFonts w:asciiTheme="majorBidi" w:hAnsiTheme="majorBidi" w:cstheme="majorBidi"/>
          <w:sz w:val="24"/>
          <w:szCs w:val="24"/>
        </w:rPr>
        <w:t>An excerpt from the upcoming "Recent Economic Deve</w:t>
      </w:r>
      <w:bookmarkStart w:id="0" w:name="_GoBack"/>
      <w:bookmarkEnd w:id="0"/>
      <w:r w:rsidRPr="00AA4926">
        <w:rPr>
          <w:rFonts w:asciiTheme="majorBidi" w:hAnsiTheme="majorBidi" w:cstheme="majorBidi"/>
          <w:sz w:val="24"/>
          <w:szCs w:val="24"/>
        </w:rPr>
        <w:t>lopments (137)" that will soon be published:</w:t>
      </w:r>
    </w:p>
    <w:p w:rsidR="00653E07" w:rsidRPr="00AA4926" w:rsidRDefault="00653E07" w:rsidP="009F2B49">
      <w:pPr>
        <w:spacing w:after="0"/>
        <w:jc w:val="center"/>
        <w:rPr>
          <w:rFonts w:asciiTheme="majorBidi" w:hAnsiTheme="majorBidi" w:cstheme="majorBidi"/>
          <w:b/>
          <w:bCs/>
          <w:sz w:val="18"/>
          <w:szCs w:val="18"/>
        </w:rPr>
      </w:pPr>
    </w:p>
    <w:p w:rsidR="009110FF" w:rsidRPr="00AA4926" w:rsidRDefault="00B57EE3" w:rsidP="009F2B49">
      <w:pPr>
        <w:spacing w:after="0"/>
        <w:jc w:val="center"/>
        <w:rPr>
          <w:rFonts w:asciiTheme="majorBidi" w:hAnsiTheme="majorBidi" w:cstheme="majorBidi"/>
          <w:b/>
          <w:bCs/>
          <w:sz w:val="26"/>
          <w:szCs w:val="26"/>
          <w:u w:val="single"/>
        </w:rPr>
      </w:pPr>
      <w:r w:rsidRPr="00AA4926">
        <w:rPr>
          <w:rFonts w:asciiTheme="majorBidi" w:hAnsiTheme="majorBidi" w:cstheme="majorBidi"/>
          <w:b/>
          <w:bCs/>
          <w:sz w:val="26"/>
          <w:szCs w:val="26"/>
          <w:u w:val="single"/>
        </w:rPr>
        <w:t xml:space="preserve">Preliminary estimates ahead of </w:t>
      </w:r>
      <w:r w:rsidR="009F2B49" w:rsidRPr="00AA4926">
        <w:rPr>
          <w:rFonts w:asciiTheme="majorBidi" w:hAnsiTheme="majorBidi" w:cstheme="majorBidi"/>
          <w:b/>
          <w:bCs/>
          <w:sz w:val="26"/>
          <w:szCs w:val="26"/>
          <w:u w:val="single"/>
        </w:rPr>
        <w:t xml:space="preserve">the </w:t>
      </w:r>
      <w:r w:rsidRPr="00AA4926">
        <w:rPr>
          <w:rFonts w:asciiTheme="majorBidi" w:hAnsiTheme="majorBidi" w:cstheme="majorBidi"/>
          <w:b/>
          <w:bCs/>
          <w:sz w:val="26"/>
          <w:szCs w:val="26"/>
          <w:u w:val="single"/>
        </w:rPr>
        <w:t xml:space="preserve">2015 budget, and </w:t>
      </w:r>
      <w:r w:rsidR="009F2B49" w:rsidRPr="00AA4926">
        <w:rPr>
          <w:rFonts w:asciiTheme="majorBidi" w:hAnsiTheme="majorBidi" w:cstheme="majorBidi"/>
          <w:b/>
          <w:bCs/>
          <w:sz w:val="26"/>
          <w:szCs w:val="26"/>
          <w:u w:val="single"/>
        </w:rPr>
        <w:t xml:space="preserve">fiscal </w:t>
      </w:r>
      <w:r w:rsidRPr="00AA4926">
        <w:rPr>
          <w:rFonts w:asciiTheme="majorBidi" w:hAnsiTheme="majorBidi" w:cstheme="majorBidi"/>
          <w:b/>
          <w:bCs/>
          <w:sz w:val="26"/>
          <w:szCs w:val="26"/>
          <w:u w:val="single"/>
        </w:rPr>
        <w:t>trends for the remainder of the decade</w:t>
      </w:r>
    </w:p>
    <w:p w:rsidR="00B57EE3" w:rsidRPr="009440D5" w:rsidRDefault="00B57EE3" w:rsidP="00C461D1">
      <w:pPr>
        <w:spacing w:after="0"/>
        <w:jc w:val="both"/>
        <w:rPr>
          <w:rFonts w:asciiTheme="majorBidi" w:hAnsiTheme="majorBidi" w:cstheme="majorBidi"/>
          <w:sz w:val="24"/>
          <w:szCs w:val="24"/>
        </w:rPr>
      </w:pPr>
    </w:p>
    <w:p w:rsidR="00B57EE3" w:rsidRPr="009440D5" w:rsidRDefault="00B57EE3" w:rsidP="009F2B49">
      <w:pPr>
        <w:pStyle w:val="a3"/>
        <w:numPr>
          <w:ilvl w:val="0"/>
          <w:numId w:val="2"/>
        </w:numPr>
        <w:spacing w:after="0"/>
        <w:jc w:val="both"/>
        <w:rPr>
          <w:rFonts w:asciiTheme="majorBidi" w:hAnsiTheme="majorBidi" w:cstheme="majorBidi"/>
          <w:b/>
          <w:bCs/>
          <w:sz w:val="24"/>
          <w:szCs w:val="24"/>
        </w:rPr>
      </w:pPr>
      <w:r w:rsidRPr="009440D5">
        <w:rPr>
          <w:rFonts w:asciiTheme="majorBidi" w:hAnsiTheme="majorBidi" w:cstheme="majorBidi"/>
          <w:b/>
          <w:bCs/>
          <w:sz w:val="24"/>
          <w:szCs w:val="24"/>
        </w:rPr>
        <w:t xml:space="preserve">The fiscal adjustment in the 2013–14 </w:t>
      </w:r>
      <w:proofErr w:type="gramStart"/>
      <w:r w:rsidR="009F2B49">
        <w:rPr>
          <w:rFonts w:asciiTheme="majorBidi" w:hAnsiTheme="majorBidi" w:cstheme="majorBidi"/>
          <w:b/>
          <w:bCs/>
          <w:sz w:val="24"/>
          <w:szCs w:val="24"/>
        </w:rPr>
        <w:t>budget</w:t>
      </w:r>
      <w:proofErr w:type="gramEnd"/>
      <w:r w:rsidR="009F2B49">
        <w:rPr>
          <w:rFonts w:asciiTheme="majorBidi" w:hAnsiTheme="majorBidi" w:cstheme="majorBidi"/>
          <w:b/>
          <w:bCs/>
          <w:sz w:val="24"/>
          <w:szCs w:val="24"/>
        </w:rPr>
        <w:t xml:space="preserve"> </w:t>
      </w:r>
      <w:r w:rsidRPr="009440D5">
        <w:rPr>
          <w:rFonts w:asciiTheme="majorBidi" w:hAnsiTheme="majorBidi" w:cstheme="majorBidi"/>
          <w:b/>
          <w:bCs/>
          <w:sz w:val="24"/>
          <w:szCs w:val="24"/>
        </w:rPr>
        <w:t xml:space="preserve">led to a reversal of the increase in the deficit, restored the credibility of the government’s commitment to </w:t>
      </w:r>
      <w:r w:rsidR="009F2B49">
        <w:rPr>
          <w:rFonts w:asciiTheme="majorBidi" w:hAnsiTheme="majorBidi" w:cstheme="majorBidi"/>
          <w:b/>
          <w:bCs/>
          <w:sz w:val="24"/>
          <w:szCs w:val="24"/>
        </w:rPr>
        <w:t>the</w:t>
      </w:r>
      <w:r w:rsidR="009F2B49" w:rsidRPr="009440D5">
        <w:rPr>
          <w:rFonts w:asciiTheme="majorBidi" w:hAnsiTheme="majorBidi" w:cstheme="majorBidi"/>
          <w:b/>
          <w:bCs/>
          <w:sz w:val="24"/>
          <w:szCs w:val="24"/>
        </w:rPr>
        <w:t xml:space="preserve"> </w:t>
      </w:r>
      <w:r w:rsidRPr="009440D5">
        <w:rPr>
          <w:rFonts w:asciiTheme="majorBidi" w:hAnsiTheme="majorBidi" w:cstheme="majorBidi"/>
          <w:b/>
          <w:bCs/>
          <w:sz w:val="24"/>
          <w:szCs w:val="24"/>
        </w:rPr>
        <w:t xml:space="preserve">declining deficit path, and contributed to a decline in interest rate spreads between Israel and </w:t>
      </w:r>
      <w:r w:rsidR="009F2B49">
        <w:rPr>
          <w:rFonts w:asciiTheme="majorBidi" w:hAnsiTheme="majorBidi" w:cstheme="majorBidi"/>
          <w:b/>
          <w:bCs/>
          <w:sz w:val="24"/>
          <w:szCs w:val="24"/>
        </w:rPr>
        <w:t xml:space="preserve">other </w:t>
      </w:r>
      <w:r w:rsidRPr="009440D5">
        <w:rPr>
          <w:rFonts w:asciiTheme="majorBidi" w:hAnsiTheme="majorBidi" w:cstheme="majorBidi"/>
          <w:b/>
          <w:bCs/>
          <w:sz w:val="24"/>
          <w:szCs w:val="24"/>
        </w:rPr>
        <w:t>advanced economies.</w:t>
      </w:r>
      <w:r w:rsidR="00243506" w:rsidRPr="009440D5">
        <w:rPr>
          <w:rFonts w:asciiTheme="majorBidi" w:hAnsiTheme="majorBidi" w:cstheme="majorBidi"/>
          <w:b/>
          <w:bCs/>
          <w:sz w:val="24"/>
          <w:szCs w:val="24"/>
        </w:rPr>
        <w:t xml:space="preserve"> </w:t>
      </w:r>
    </w:p>
    <w:p w:rsidR="00B57EE3" w:rsidRPr="009440D5" w:rsidRDefault="00B57EE3" w:rsidP="00B06028">
      <w:pPr>
        <w:pStyle w:val="a3"/>
        <w:numPr>
          <w:ilvl w:val="0"/>
          <w:numId w:val="2"/>
        </w:numPr>
        <w:spacing w:after="0"/>
        <w:jc w:val="both"/>
        <w:rPr>
          <w:rFonts w:asciiTheme="majorBidi" w:hAnsiTheme="majorBidi" w:cstheme="majorBidi"/>
          <w:b/>
          <w:bCs/>
          <w:sz w:val="24"/>
          <w:szCs w:val="24"/>
        </w:rPr>
      </w:pPr>
      <w:r w:rsidRPr="009440D5">
        <w:rPr>
          <w:rFonts w:asciiTheme="majorBidi" w:hAnsiTheme="majorBidi" w:cstheme="majorBidi"/>
          <w:b/>
          <w:bCs/>
          <w:sz w:val="24"/>
          <w:szCs w:val="24"/>
        </w:rPr>
        <w:t xml:space="preserve">There is great importance to continuing the reduction of the deficit in accordance with the </w:t>
      </w:r>
      <w:r w:rsidR="00243506" w:rsidRPr="009440D5">
        <w:rPr>
          <w:rFonts w:asciiTheme="majorBidi" w:hAnsiTheme="majorBidi" w:cstheme="majorBidi"/>
          <w:b/>
          <w:bCs/>
          <w:sz w:val="24"/>
          <w:szCs w:val="24"/>
        </w:rPr>
        <w:t xml:space="preserve">framework </w:t>
      </w:r>
      <w:r w:rsidRPr="009440D5">
        <w:rPr>
          <w:rFonts w:asciiTheme="majorBidi" w:hAnsiTheme="majorBidi" w:cstheme="majorBidi"/>
          <w:b/>
          <w:bCs/>
          <w:sz w:val="24"/>
          <w:szCs w:val="24"/>
        </w:rPr>
        <w:t xml:space="preserve">set by law, because, </w:t>
      </w:r>
      <w:r w:rsidR="00B06028">
        <w:rPr>
          <w:rFonts w:asciiTheme="majorBidi" w:hAnsiTheme="majorBidi" w:cstheme="majorBidi"/>
          <w:b/>
          <w:bCs/>
          <w:sz w:val="24"/>
          <w:szCs w:val="24"/>
        </w:rPr>
        <w:t>given</w:t>
      </w:r>
      <w:r w:rsidRPr="009440D5">
        <w:rPr>
          <w:rFonts w:asciiTheme="majorBidi" w:hAnsiTheme="majorBidi" w:cstheme="majorBidi"/>
          <w:b/>
          <w:bCs/>
          <w:sz w:val="24"/>
          <w:szCs w:val="24"/>
        </w:rPr>
        <w:t xml:space="preserve"> the economy’s </w:t>
      </w:r>
      <w:r w:rsidR="00B06028" w:rsidRPr="009440D5">
        <w:rPr>
          <w:rFonts w:asciiTheme="majorBidi" w:hAnsiTheme="majorBidi" w:cstheme="majorBidi"/>
          <w:b/>
          <w:bCs/>
          <w:sz w:val="24"/>
          <w:szCs w:val="24"/>
        </w:rPr>
        <w:t>cycl</w:t>
      </w:r>
      <w:r w:rsidR="00B06028">
        <w:rPr>
          <w:rFonts w:asciiTheme="majorBidi" w:hAnsiTheme="majorBidi" w:cstheme="majorBidi"/>
          <w:b/>
          <w:bCs/>
          <w:sz w:val="24"/>
          <w:szCs w:val="24"/>
        </w:rPr>
        <w:t>ical position</w:t>
      </w:r>
      <w:r w:rsidRPr="009440D5">
        <w:rPr>
          <w:rFonts w:asciiTheme="majorBidi" w:hAnsiTheme="majorBidi" w:cstheme="majorBidi"/>
          <w:b/>
          <w:bCs/>
          <w:sz w:val="24"/>
          <w:szCs w:val="24"/>
        </w:rPr>
        <w:t>, the current level of the deficit remains high in international comparison, and does not allow an extended decline in the debt to GDP ratio.</w:t>
      </w:r>
    </w:p>
    <w:p w:rsidR="00B57EE3" w:rsidRPr="009440D5" w:rsidRDefault="00B57EE3" w:rsidP="00A905E7">
      <w:pPr>
        <w:pStyle w:val="a3"/>
        <w:numPr>
          <w:ilvl w:val="0"/>
          <w:numId w:val="2"/>
        </w:numPr>
        <w:spacing w:after="0"/>
        <w:jc w:val="both"/>
        <w:rPr>
          <w:rFonts w:asciiTheme="majorBidi" w:hAnsiTheme="majorBidi" w:cstheme="majorBidi"/>
          <w:b/>
          <w:bCs/>
          <w:sz w:val="24"/>
          <w:szCs w:val="24"/>
        </w:rPr>
      </w:pPr>
      <w:r w:rsidRPr="009440D5">
        <w:rPr>
          <w:rFonts w:asciiTheme="majorBidi" w:hAnsiTheme="majorBidi" w:cstheme="majorBidi"/>
          <w:b/>
          <w:bCs/>
          <w:sz w:val="24"/>
          <w:szCs w:val="24"/>
        </w:rPr>
        <w:t xml:space="preserve">In order to meet </w:t>
      </w:r>
      <w:r w:rsidR="00E30F57" w:rsidRPr="009440D5">
        <w:rPr>
          <w:rFonts w:asciiTheme="majorBidi" w:hAnsiTheme="majorBidi" w:cstheme="majorBidi"/>
          <w:b/>
          <w:bCs/>
          <w:sz w:val="24"/>
          <w:szCs w:val="24"/>
        </w:rPr>
        <w:t xml:space="preserve">the deficit target for 2015, </w:t>
      </w:r>
      <w:r w:rsidR="00F20E37" w:rsidRPr="009440D5">
        <w:rPr>
          <w:rFonts w:asciiTheme="majorBidi" w:hAnsiTheme="majorBidi" w:cstheme="majorBidi"/>
          <w:b/>
          <w:bCs/>
          <w:sz w:val="24"/>
          <w:szCs w:val="24"/>
        </w:rPr>
        <w:t xml:space="preserve">a total of about NIS </w:t>
      </w:r>
      <w:r w:rsidR="00A905E7" w:rsidRPr="009440D5">
        <w:rPr>
          <w:rFonts w:asciiTheme="majorBidi" w:hAnsiTheme="majorBidi" w:cstheme="majorBidi"/>
          <w:b/>
          <w:bCs/>
          <w:sz w:val="24"/>
          <w:szCs w:val="24"/>
        </w:rPr>
        <w:t>1</w:t>
      </w:r>
      <w:r w:rsidR="00A905E7">
        <w:rPr>
          <w:rFonts w:asciiTheme="majorBidi" w:hAnsiTheme="majorBidi" w:cstheme="majorBidi"/>
          <w:b/>
          <w:bCs/>
          <w:sz w:val="24"/>
          <w:szCs w:val="24"/>
        </w:rPr>
        <w:t>8</w:t>
      </w:r>
      <w:r w:rsidR="00A905E7" w:rsidRPr="009440D5">
        <w:rPr>
          <w:rFonts w:asciiTheme="majorBidi" w:hAnsiTheme="majorBidi" w:cstheme="majorBidi"/>
          <w:b/>
          <w:bCs/>
          <w:sz w:val="24"/>
          <w:szCs w:val="24"/>
        </w:rPr>
        <w:t xml:space="preserve"> </w:t>
      </w:r>
      <w:r w:rsidR="00F20E37" w:rsidRPr="009440D5">
        <w:rPr>
          <w:rFonts w:asciiTheme="majorBidi" w:hAnsiTheme="majorBidi" w:cstheme="majorBidi"/>
          <w:b/>
          <w:bCs/>
          <w:sz w:val="24"/>
          <w:szCs w:val="24"/>
        </w:rPr>
        <w:t xml:space="preserve">billion in </w:t>
      </w:r>
      <w:r w:rsidR="00B06028">
        <w:rPr>
          <w:rFonts w:asciiTheme="majorBidi" w:hAnsiTheme="majorBidi" w:cstheme="majorBidi"/>
          <w:b/>
          <w:bCs/>
          <w:sz w:val="24"/>
          <w:szCs w:val="24"/>
        </w:rPr>
        <w:t>fiscal</w:t>
      </w:r>
      <w:r w:rsidR="00B06028" w:rsidRPr="009440D5">
        <w:rPr>
          <w:rFonts w:asciiTheme="majorBidi" w:hAnsiTheme="majorBidi" w:cstheme="majorBidi"/>
          <w:b/>
          <w:bCs/>
          <w:sz w:val="24"/>
          <w:szCs w:val="24"/>
        </w:rPr>
        <w:t xml:space="preserve"> </w:t>
      </w:r>
      <w:r w:rsidR="00E30F57" w:rsidRPr="009440D5">
        <w:rPr>
          <w:rFonts w:asciiTheme="majorBidi" w:hAnsiTheme="majorBidi" w:cstheme="majorBidi"/>
          <w:b/>
          <w:bCs/>
          <w:sz w:val="24"/>
          <w:szCs w:val="24"/>
        </w:rPr>
        <w:t>measures—reducing expenditure</w:t>
      </w:r>
      <w:r w:rsidR="006B7120" w:rsidRPr="009440D5">
        <w:rPr>
          <w:rFonts w:asciiTheme="majorBidi" w:hAnsiTheme="majorBidi" w:cstheme="majorBidi"/>
          <w:b/>
          <w:bCs/>
          <w:sz w:val="24"/>
          <w:szCs w:val="24"/>
        </w:rPr>
        <w:t>s</w:t>
      </w:r>
      <w:r w:rsidR="00E30F57" w:rsidRPr="009440D5">
        <w:rPr>
          <w:rFonts w:asciiTheme="majorBidi" w:hAnsiTheme="majorBidi" w:cstheme="majorBidi"/>
          <w:b/>
          <w:bCs/>
          <w:sz w:val="24"/>
          <w:szCs w:val="24"/>
        </w:rPr>
        <w:t xml:space="preserve"> as well as steps to increase revenues</w:t>
      </w:r>
      <w:r w:rsidR="006B7120" w:rsidRPr="009440D5">
        <w:rPr>
          <w:rFonts w:asciiTheme="majorBidi" w:hAnsiTheme="majorBidi" w:cstheme="majorBidi"/>
          <w:b/>
          <w:bCs/>
          <w:sz w:val="24"/>
          <w:szCs w:val="24"/>
        </w:rPr>
        <w:t>—will be required</w:t>
      </w:r>
      <w:r w:rsidR="00E30F57" w:rsidRPr="009440D5">
        <w:rPr>
          <w:rFonts w:asciiTheme="majorBidi" w:hAnsiTheme="majorBidi" w:cstheme="majorBidi"/>
          <w:b/>
          <w:bCs/>
          <w:sz w:val="24"/>
          <w:szCs w:val="24"/>
        </w:rPr>
        <w:t>.</w:t>
      </w:r>
    </w:p>
    <w:p w:rsidR="00E30F57" w:rsidRPr="009440D5" w:rsidRDefault="00D940A6" w:rsidP="00A839B9">
      <w:pPr>
        <w:pStyle w:val="a3"/>
        <w:numPr>
          <w:ilvl w:val="0"/>
          <w:numId w:val="2"/>
        </w:numPr>
        <w:spacing w:after="0"/>
        <w:jc w:val="both"/>
        <w:rPr>
          <w:rFonts w:asciiTheme="majorBidi" w:hAnsiTheme="majorBidi" w:cstheme="majorBidi"/>
          <w:b/>
          <w:bCs/>
          <w:sz w:val="24"/>
          <w:szCs w:val="24"/>
        </w:rPr>
      </w:pPr>
      <w:r w:rsidRPr="009440D5">
        <w:rPr>
          <w:rFonts w:asciiTheme="majorBidi" w:hAnsiTheme="majorBidi" w:cstheme="majorBidi"/>
          <w:b/>
          <w:bCs/>
          <w:sz w:val="24"/>
          <w:szCs w:val="24"/>
        </w:rPr>
        <w:t>The level of the expenditure ceiling for 2015 will be affected to a large extent—more than NIS 4</w:t>
      </w:r>
      <w:r w:rsidR="00A905E7">
        <w:rPr>
          <w:rFonts w:asciiTheme="majorBidi" w:hAnsiTheme="majorBidi" w:cstheme="majorBidi"/>
          <w:b/>
          <w:bCs/>
          <w:sz w:val="24"/>
          <w:szCs w:val="24"/>
        </w:rPr>
        <w:t>.5</w:t>
      </w:r>
      <w:r w:rsidRPr="009440D5">
        <w:rPr>
          <w:rFonts w:asciiTheme="majorBidi" w:hAnsiTheme="majorBidi" w:cstheme="majorBidi"/>
          <w:b/>
          <w:bCs/>
          <w:sz w:val="24"/>
          <w:szCs w:val="24"/>
        </w:rPr>
        <w:t xml:space="preserve"> billion—by the </w:t>
      </w:r>
      <w:r w:rsidR="00B06028">
        <w:rPr>
          <w:rFonts w:asciiTheme="majorBidi" w:hAnsiTheme="majorBidi" w:cstheme="majorBidi"/>
          <w:b/>
          <w:bCs/>
          <w:sz w:val="24"/>
          <w:szCs w:val="24"/>
        </w:rPr>
        <w:t xml:space="preserve">legal </w:t>
      </w:r>
      <w:r w:rsidRPr="009440D5">
        <w:rPr>
          <w:rFonts w:asciiTheme="majorBidi" w:hAnsiTheme="majorBidi" w:cstheme="majorBidi"/>
          <w:b/>
          <w:bCs/>
          <w:sz w:val="24"/>
          <w:szCs w:val="24"/>
        </w:rPr>
        <w:t>determination of whether a</w:t>
      </w:r>
      <w:r w:rsidR="00D93C0D" w:rsidRPr="009440D5">
        <w:rPr>
          <w:rFonts w:asciiTheme="majorBidi" w:hAnsiTheme="majorBidi" w:cstheme="majorBidi"/>
          <w:b/>
          <w:bCs/>
          <w:sz w:val="24"/>
          <w:szCs w:val="24"/>
        </w:rPr>
        <w:t xml:space="preserve"> price </w:t>
      </w:r>
      <w:r w:rsidRPr="009440D5">
        <w:rPr>
          <w:rFonts w:asciiTheme="majorBidi" w:hAnsiTheme="majorBidi" w:cstheme="majorBidi"/>
          <w:b/>
          <w:bCs/>
          <w:sz w:val="24"/>
          <w:szCs w:val="24"/>
        </w:rPr>
        <w:t xml:space="preserve">adjustment </w:t>
      </w:r>
      <w:r w:rsidR="00D93C0D" w:rsidRPr="009440D5">
        <w:rPr>
          <w:rFonts w:asciiTheme="majorBidi" w:hAnsiTheme="majorBidi" w:cstheme="majorBidi"/>
          <w:b/>
          <w:bCs/>
          <w:sz w:val="24"/>
          <w:szCs w:val="24"/>
        </w:rPr>
        <w:t xml:space="preserve">is required, </w:t>
      </w:r>
      <w:r w:rsidRPr="009440D5">
        <w:rPr>
          <w:rFonts w:asciiTheme="majorBidi" w:hAnsiTheme="majorBidi" w:cstheme="majorBidi"/>
          <w:b/>
          <w:bCs/>
          <w:sz w:val="24"/>
          <w:szCs w:val="24"/>
        </w:rPr>
        <w:t xml:space="preserve">in respect of the gap between </w:t>
      </w:r>
      <w:r w:rsidR="00D93C0D" w:rsidRPr="009440D5">
        <w:rPr>
          <w:rFonts w:asciiTheme="majorBidi" w:hAnsiTheme="majorBidi" w:cstheme="majorBidi"/>
          <w:b/>
          <w:bCs/>
          <w:sz w:val="24"/>
          <w:szCs w:val="24"/>
        </w:rPr>
        <w:t xml:space="preserve">the </w:t>
      </w:r>
      <w:r w:rsidRPr="009440D5">
        <w:rPr>
          <w:rFonts w:asciiTheme="majorBidi" w:hAnsiTheme="majorBidi" w:cstheme="majorBidi"/>
          <w:b/>
          <w:bCs/>
          <w:sz w:val="24"/>
          <w:szCs w:val="24"/>
        </w:rPr>
        <w:t xml:space="preserve">development of prices in the past two years and the </w:t>
      </w:r>
      <w:r w:rsidR="00B06028">
        <w:rPr>
          <w:rFonts w:asciiTheme="majorBidi" w:hAnsiTheme="majorBidi" w:cstheme="majorBidi"/>
          <w:b/>
          <w:bCs/>
          <w:sz w:val="24"/>
          <w:szCs w:val="24"/>
        </w:rPr>
        <w:t>2013</w:t>
      </w:r>
      <w:r w:rsidR="00A839B9">
        <w:rPr>
          <w:rFonts w:asciiTheme="majorBidi" w:hAnsiTheme="majorBidi" w:cstheme="majorBidi"/>
          <w:b/>
          <w:bCs/>
          <w:sz w:val="24"/>
          <w:szCs w:val="24"/>
        </w:rPr>
        <w:t>–</w:t>
      </w:r>
      <w:r w:rsidR="00B06028">
        <w:rPr>
          <w:rFonts w:asciiTheme="majorBidi" w:hAnsiTheme="majorBidi" w:cstheme="majorBidi"/>
          <w:b/>
          <w:bCs/>
          <w:sz w:val="24"/>
          <w:szCs w:val="24"/>
        </w:rPr>
        <w:t xml:space="preserve">14 </w:t>
      </w:r>
      <w:r w:rsidRPr="009440D5">
        <w:rPr>
          <w:rFonts w:asciiTheme="majorBidi" w:hAnsiTheme="majorBidi" w:cstheme="majorBidi"/>
          <w:b/>
          <w:bCs/>
          <w:sz w:val="24"/>
          <w:szCs w:val="24"/>
        </w:rPr>
        <w:t>budget forecast.</w:t>
      </w:r>
    </w:p>
    <w:p w:rsidR="00D940A6" w:rsidRPr="009440D5" w:rsidRDefault="00D940A6" w:rsidP="00A905E7">
      <w:pPr>
        <w:pStyle w:val="a3"/>
        <w:numPr>
          <w:ilvl w:val="0"/>
          <w:numId w:val="2"/>
        </w:numPr>
        <w:spacing w:after="0"/>
        <w:jc w:val="both"/>
        <w:rPr>
          <w:rFonts w:asciiTheme="majorBidi" w:hAnsiTheme="majorBidi" w:cstheme="majorBidi"/>
          <w:b/>
          <w:bCs/>
          <w:sz w:val="24"/>
          <w:szCs w:val="24"/>
        </w:rPr>
      </w:pPr>
      <w:r w:rsidRPr="009440D5">
        <w:rPr>
          <w:rFonts w:asciiTheme="majorBidi" w:hAnsiTheme="majorBidi" w:cstheme="majorBidi"/>
          <w:b/>
          <w:bCs/>
          <w:sz w:val="24"/>
          <w:szCs w:val="24"/>
        </w:rPr>
        <w:t xml:space="preserve">The expected government expenditures based on programs already approved are markedly higher than the expenditure ceiling—if a price adjustment is carried out the gap is about NIS </w:t>
      </w:r>
      <w:r w:rsidR="00A905E7" w:rsidRPr="009440D5">
        <w:rPr>
          <w:rFonts w:asciiTheme="majorBidi" w:hAnsiTheme="majorBidi" w:cstheme="majorBidi"/>
          <w:b/>
          <w:bCs/>
          <w:sz w:val="24"/>
          <w:szCs w:val="24"/>
        </w:rPr>
        <w:t>1</w:t>
      </w:r>
      <w:r w:rsidR="00A905E7">
        <w:rPr>
          <w:rFonts w:asciiTheme="majorBidi" w:hAnsiTheme="majorBidi" w:cstheme="majorBidi"/>
          <w:b/>
          <w:bCs/>
          <w:sz w:val="24"/>
          <w:szCs w:val="24"/>
        </w:rPr>
        <w:t>2</w:t>
      </w:r>
      <w:r w:rsidR="00A905E7" w:rsidRPr="009440D5">
        <w:rPr>
          <w:rFonts w:asciiTheme="majorBidi" w:hAnsiTheme="majorBidi" w:cstheme="majorBidi"/>
          <w:b/>
          <w:bCs/>
          <w:sz w:val="24"/>
          <w:szCs w:val="24"/>
        </w:rPr>
        <w:t xml:space="preserve"> </w:t>
      </w:r>
      <w:r w:rsidRPr="009440D5">
        <w:rPr>
          <w:rFonts w:asciiTheme="majorBidi" w:hAnsiTheme="majorBidi" w:cstheme="majorBidi"/>
          <w:b/>
          <w:bCs/>
          <w:sz w:val="24"/>
          <w:szCs w:val="24"/>
        </w:rPr>
        <w:t>billion, and if not, the gap is about NIS 7 billion.</w:t>
      </w:r>
    </w:p>
    <w:p w:rsidR="00D940A6" w:rsidRPr="009440D5" w:rsidRDefault="00D940A6" w:rsidP="00A905E7">
      <w:pPr>
        <w:pStyle w:val="a3"/>
        <w:numPr>
          <w:ilvl w:val="0"/>
          <w:numId w:val="2"/>
        </w:numPr>
        <w:spacing w:after="0"/>
        <w:jc w:val="both"/>
        <w:rPr>
          <w:rFonts w:asciiTheme="majorBidi" w:hAnsiTheme="majorBidi" w:cstheme="majorBidi"/>
          <w:b/>
          <w:bCs/>
          <w:sz w:val="24"/>
          <w:szCs w:val="24"/>
        </w:rPr>
      </w:pPr>
      <w:r w:rsidRPr="009440D5">
        <w:rPr>
          <w:rFonts w:asciiTheme="majorBidi" w:hAnsiTheme="majorBidi" w:cstheme="majorBidi"/>
          <w:b/>
          <w:bCs/>
          <w:sz w:val="24"/>
          <w:szCs w:val="24"/>
        </w:rPr>
        <w:t xml:space="preserve">Increasing expenditures in </w:t>
      </w:r>
      <w:r w:rsidR="00D93C0D" w:rsidRPr="009440D5">
        <w:rPr>
          <w:rFonts w:asciiTheme="majorBidi" w:hAnsiTheme="majorBidi" w:cstheme="majorBidi"/>
          <w:b/>
          <w:bCs/>
          <w:sz w:val="24"/>
          <w:szCs w:val="24"/>
        </w:rPr>
        <w:t xml:space="preserve">line </w:t>
      </w:r>
      <w:r w:rsidRPr="009440D5">
        <w:rPr>
          <w:rFonts w:asciiTheme="majorBidi" w:hAnsiTheme="majorBidi" w:cstheme="majorBidi"/>
          <w:b/>
          <w:bCs/>
          <w:sz w:val="24"/>
          <w:szCs w:val="24"/>
        </w:rPr>
        <w:t xml:space="preserve">with the ceiling will require policy </w:t>
      </w:r>
      <w:r w:rsidR="0008151A" w:rsidRPr="009440D5">
        <w:rPr>
          <w:rFonts w:asciiTheme="majorBidi" w:hAnsiTheme="majorBidi" w:cstheme="majorBidi"/>
          <w:b/>
          <w:bCs/>
          <w:sz w:val="24"/>
          <w:szCs w:val="24"/>
        </w:rPr>
        <w:t xml:space="preserve">actions </w:t>
      </w:r>
      <w:r w:rsidRPr="009440D5">
        <w:rPr>
          <w:rFonts w:asciiTheme="majorBidi" w:hAnsiTheme="majorBidi" w:cstheme="majorBidi"/>
          <w:b/>
          <w:bCs/>
          <w:sz w:val="24"/>
          <w:szCs w:val="24"/>
        </w:rPr>
        <w:t xml:space="preserve">to </w:t>
      </w:r>
      <w:r w:rsidR="00B06028">
        <w:rPr>
          <w:rFonts w:asciiTheme="majorBidi" w:hAnsiTheme="majorBidi" w:cstheme="majorBidi"/>
          <w:b/>
          <w:bCs/>
          <w:sz w:val="24"/>
          <w:szCs w:val="24"/>
        </w:rPr>
        <w:t>r</w:t>
      </w:r>
      <w:r w:rsidR="00B06028" w:rsidRPr="009440D5">
        <w:rPr>
          <w:rFonts w:asciiTheme="majorBidi" w:hAnsiTheme="majorBidi" w:cstheme="majorBidi"/>
          <w:b/>
          <w:bCs/>
          <w:sz w:val="24"/>
          <w:szCs w:val="24"/>
        </w:rPr>
        <w:t>a</w:t>
      </w:r>
      <w:r w:rsidR="00B06028">
        <w:rPr>
          <w:rFonts w:asciiTheme="majorBidi" w:hAnsiTheme="majorBidi" w:cstheme="majorBidi"/>
          <w:b/>
          <w:bCs/>
          <w:sz w:val="24"/>
          <w:szCs w:val="24"/>
        </w:rPr>
        <w:t>i</w:t>
      </w:r>
      <w:r w:rsidR="00B06028" w:rsidRPr="009440D5">
        <w:rPr>
          <w:rFonts w:asciiTheme="majorBidi" w:hAnsiTheme="majorBidi" w:cstheme="majorBidi"/>
          <w:b/>
          <w:bCs/>
          <w:sz w:val="24"/>
          <w:szCs w:val="24"/>
        </w:rPr>
        <w:t xml:space="preserve">se </w:t>
      </w:r>
      <w:r w:rsidRPr="009440D5">
        <w:rPr>
          <w:rFonts w:asciiTheme="majorBidi" w:hAnsiTheme="majorBidi" w:cstheme="majorBidi"/>
          <w:b/>
          <w:bCs/>
          <w:sz w:val="24"/>
          <w:szCs w:val="24"/>
        </w:rPr>
        <w:t>revenues</w:t>
      </w:r>
      <w:r w:rsidR="00E80E30" w:rsidRPr="009440D5">
        <w:rPr>
          <w:rFonts w:asciiTheme="majorBidi" w:hAnsiTheme="majorBidi" w:cstheme="majorBidi"/>
          <w:b/>
          <w:bCs/>
          <w:sz w:val="24"/>
          <w:szCs w:val="24"/>
        </w:rPr>
        <w:t xml:space="preserve">—by about NIS </w:t>
      </w:r>
      <w:r w:rsidR="00A905E7">
        <w:rPr>
          <w:rFonts w:asciiTheme="majorBidi" w:hAnsiTheme="majorBidi" w:cstheme="majorBidi"/>
          <w:b/>
          <w:bCs/>
          <w:sz w:val="24"/>
          <w:szCs w:val="24"/>
        </w:rPr>
        <w:t>6</w:t>
      </w:r>
      <w:r w:rsidR="00A905E7" w:rsidRPr="009440D5">
        <w:rPr>
          <w:rFonts w:asciiTheme="majorBidi" w:hAnsiTheme="majorBidi" w:cstheme="majorBidi"/>
          <w:b/>
          <w:bCs/>
          <w:sz w:val="24"/>
          <w:szCs w:val="24"/>
        </w:rPr>
        <w:t xml:space="preserve"> </w:t>
      </w:r>
      <w:r w:rsidR="00E80E30" w:rsidRPr="009440D5">
        <w:rPr>
          <w:rFonts w:asciiTheme="majorBidi" w:hAnsiTheme="majorBidi" w:cstheme="majorBidi"/>
          <w:b/>
          <w:bCs/>
          <w:sz w:val="24"/>
          <w:szCs w:val="24"/>
        </w:rPr>
        <w:t xml:space="preserve">billion </w:t>
      </w:r>
      <w:r w:rsidR="0008151A" w:rsidRPr="009440D5">
        <w:rPr>
          <w:rFonts w:asciiTheme="majorBidi" w:hAnsiTheme="majorBidi" w:cstheme="majorBidi"/>
          <w:b/>
          <w:bCs/>
          <w:sz w:val="24"/>
          <w:szCs w:val="24"/>
        </w:rPr>
        <w:t>if a price adjustment is carried out</w:t>
      </w:r>
      <w:r w:rsidR="00E80E30" w:rsidRPr="009440D5">
        <w:rPr>
          <w:rFonts w:asciiTheme="majorBidi" w:hAnsiTheme="majorBidi" w:cstheme="majorBidi"/>
          <w:b/>
          <w:bCs/>
          <w:sz w:val="24"/>
          <w:szCs w:val="24"/>
        </w:rPr>
        <w:t xml:space="preserve">, and about NIS </w:t>
      </w:r>
      <w:r w:rsidR="00A905E7">
        <w:rPr>
          <w:rFonts w:asciiTheme="majorBidi" w:hAnsiTheme="majorBidi" w:cstheme="majorBidi"/>
          <w:b/>
          <w:bCs/>
          <w:sz w:val="24"/>
          <w:szCs w:val="24"/>
        </w:rPr>
        <w:t>11</w:t>
      </w:r>
      <w:r w:rsidR="00A905E7" w:rsidRPr="009440D5">
        <w:rPr>
          <w:rFonts w:asciiTheme="majorBidi" w:hAnsiTheme="majorBidi" w:cstheme="majorBidi"/>
          <w:b/>
          <w:bCs/>
          <w:sz w:val="24"/>
          <w:szCs w:val="24"/>
        </w:rPr>
        <w:t xml:space="preserve"> </w:t>
      </w:r>
      <w:r w:rsidR="00E80E30" w:rsidRPr="009440D5">
        <w:rPr>
          <w:rFonts w:asciiTheme="majorBidi" w:hAnsiTheme="majorBidi" w:cstheme="majorBidi"/>
          <w:b/>
          <w:bCs/>
          <w:sz w:val="24"/>
          <w:szCs w:val="24"/>
        </w:rPr>
        <w:t>billion</w:t>
      </w:r>
      <w:r w:rsidR="0008151A" w:rsidRPr="009440D5">
        <w:rPr>
          <w:rFonts w:asciiTheme="majorBidi" w:hAnsiTheme="majorBidi" w:cstheme="majorBidi"/>
          <w:b/>
          <w:bCs/>
          <w:sz w:val="24"/>
          <w:szCs w:val="24"/>
        </w:rPr>
        <w:t xml:space="preserve"> if not</w:t>
      </w:r>
      <w:r w:rsidR="00E80E30" w:rsidRPr="009440D5">
        <w:rPr>
          <w:rFonts w:asciiTheme="majorBidi" w:hAnsiTheme="majorBidi" w:cstheme="majorBidi"/>
          <w:b/>
          <w:bCs/>
          <w:sz w:val="24"/>
          <w:szCs w:val="24"/>
        </w:rPr>
        <w:t>.</w:t>
      </w:r>
    </w:p>
    <w:p w:rsidR="000D24ED" w:rsidRPr="009440D5" w:rsidRDefault="000D24ED" w:rsidP="00C461D1">
      <w:pPr>
        <w:spacing w:after="0"/>
        <w:jc w:val="both"/>
        <w:rPr>
          <w:rFonts w:asciiTheme="majorBidi" w:hAnsiTheme="majorBidi" w:cstheme="majorBidi"/>
          <w:sz w:val="24"/>
          <w:szCs w:val="24"/>
        </w:rPr>
      </w:pPr>
    </w:p>
    <w:p w:rsidR="000D24ED" w:rsidRPr="009440D5" w:rsidRDefault="000D24ED" w:rsidP="00C461D1">
      <w:pPr>
        <w:pStyle w:val="a3"/>
        <w:numPr>
          <w:ilvl w:val="0"/>
          <w:numId w:val="1"/>
        </w:numPr>
        <w:spacing w:after="0"/>
        <w:jc w:val="both"/>
        <w:rPr>
          <w:rFonts w:asciiTheme="majorBidi" w:hAnsiTheme="majorBidi" w:cstheme="majorBidi"/>
          <w:b/>
          <w:bCs/>
          <w:sz w:val="24"/>
          <w:szCs w:val="24"/>
        </w:rPr>
      </w:pPr>
      <w:r w:rsidRPr="009440D5">
        <w:rPr>
          <w:rFonts w:asciiTheme="majorBidi" w:hAnsiTheme="majorBidi" w:cstheme="majorBidi"/>
          <w:b/>
          <w:bCs/>
          <w:sz w:val="24"/>
          <w:szCs w:val="24"/>
        </w:rPr>
        <w:t>Introduction</w:t>
      </w:r>
    </w:p>
    <w:p w:rsidR="000D24ED" w:rsidRPr="009440D5" w:rsidRDefault="000D24ED" w:rsidP="004D53F5">
      <w:pPr>
        <w:spacing w:after="0"/>
        <w:jc w:val="both"/>
        <w:rPr>
          <w:rFonts w:asciiTheme="majorBidi" w:hAnsiTheme="majorBidi" w:cstheme="majorBidi"/>
          <w:sz w:val="24"/>
          <w:szCs w:val="24"/>
        </w:rPr>
      </w:pPr>
      <w:r w:rsidRPr="009440D5">
        <w:rPr>
          <w:rFonts w:asciiTheme="majorBidi" w:hAnsiTheme="majorBidi" w:cstheme="majorBidi"/>
          <w:sz w:val="24"/>
          <w:szCs w:val="24"/>
        </w:rPr>
        <w:t xml:space="preserve">From the middle of 2013, the government budget deficit has been </w:t>
      </w:r>
      <w:r w:rsidR="00022ACF" w:rsidRPr="009440D5">
        <w:rPr>
          <w:rFonts w:asciiTheme="majorBidi" w:hAnsiTheme="majorBidi" w:cstheme="majorBidi"/>
          <w:sz w:val="24"/>
          <w:szCs w:val="24"/>
        </w:rPr>
        <w:t>declining</w:t>
      </w:r>
      <w:r w:rsidRPr="009440D5">
        <w:rPr>
          <w:rFonts w:asciiTheme="majorBidi" w:hAnsiTheme="majorBidi" w:cstheme="majorBidi"/>
          <w:sz w:val="24"/>
          <w:szCs w:val="24"/>
        </w:rPr>
        <w:t xml:space="preserve">, reflecting to </w:t>
      </w:r>
      <w:r w:rsidR="00022ACF" w:rsidRPr="009440D5">
        <w:rPr>
          <w:rFonts w:asciiTheme="majorBidi" w:hAnsiTheme="majorBidi" w:cstheme="majorBidi"/>
          <w:sz w:val="24"/>
          <w:szCs w:val="24"/>
        </w:rPr>
        <w:t xml:space="preserve">a </w:t>
      </w:r>
      <w:r w:rsidRPr="009440D5">
        <w:rPr>
          <w:rFonts w:asciiTheme="majorBidi" w:hAnsiTheme="majorBidi" w:cstheme="majorBidi"/>
          <w:sz w:val="24"/>
          <w:szCs w:val="24"/>
        </w:rPr>
        <w:t xml:space="preserve">large degree the effects of the fiscal consolidation plan which the government </w:t>
      </w:r>
      <w:r w:rsidR="004D53F5">
        <w:rPr>
          <w:rFonts w:asciiTheme="majorBidi" w:hAnsiTheme="majorBidi" w:cstheme="majorBidi"/>
          <w:sz w:val="24"/>
          <w:szCs w:val="24"/>
        </w:rPr>
        <w:t>implemented</w:t>
      </w:r>
      <w:r w:rsidRPr="009440D5">
        <w:rPr>
          <w:rFonts w:asciiTheme="majorBidi" w:hAnsiTheme="majorBidi" w:cstheme="majorBidi"/>
          <w:sz w:val="24"/>
          <w:szCs w:val="24"/>
        </w:rPr>
        <w:t xml:space="preserve"> </w:t>
      </w:r>
      <w:r w:rsidR="004D53F5">
        <w:rPr>
          <w:rFonts w:asciiTheme="majorBidi" w:hAnsiTheme="majorBidi" w:cstheme="majorBidi"/>
          <w:sz w:val="24"/>
          <w:szCs w:val="24"/>
        </w:rPr>
        <w:t>alongside</w:t>
      </w:r>
      <w:r w:rsidRPr="009440D5">
        <w:rPr>
          <w:rFonts w:asciiTheme="majorBidi" w:hAnsiTheme="majorBidi" w:cstheme="majorBidi"/>
          <w:sz w:val="24"/>
          <w:szCs w:val="24"/>
        </w:rPr>
        <w:t xml:space="preserve"> the approval of the</w:t>
      </w:r>
      <w:r w:rsidR="004D53F5">
        <w:rPr>
          <w:rFonts w:asciiTheme="majorBidi" w:hAnsiTheme="majorBidi" w:cstheme="majorBidi"/>
          <w:sz w:val="24"/>
          <w:szCs w:val="24"/>
        </w:rPr>
        <w:t xml:space="preserve"> 2013-14</w:t>
      </w:r>
      <w:r w:rsidRPr="009440D5">
        <w:rPr>
          <w:rFonts w:asciiTheme="majorBidi" w:hAnsiTheme="majorBidi" w:cstheme="majorBidi"/>
          <w:sz w:val="24"/>
          <w:szCs w:val="24"/>
        </w:rPr>
        <w:t xml:space="preserve"> </w:t>
      </w:r>
      <w:proofErr w:type="gramStart"/>
      <w:r w:rsidRPr="009440D5">
        <w:rPr>
          <w:rFonts w:asciiTheme="majorBidi" w:hAnsiTheme="majorBidi" w:cstheme="majorBidi"/>
          <w:sz w:val="24"/>
          <w:szCs w:val="24"/>
        </w:rPr>
        <w:t>budget</w:t>
      </w:r>
      <w:proofErr w:type="gramEnd"/>
      <w:r w:rsidRPr="009440D5">
        <w:rPr>
          <w:rFonts w:asciiTheme="majorBidi" w:hAnsiTheme="majorBidi" w:cstheme="majorBidi"/>
          <w:sz w:val="24"/>
          <w:szCs w:val="24"/>
        </w:rPr>
        <w:t>. The plan included an increase in tax rates and a moderation of the increase in expenditure.</w:t>
      </w:r>
      <w:r w:rsidR="0004146B" w:rsidRPr="009440D5">
        <w:rPr>
          <w:rFonts w:asciiTheme="majorBidi" w:hAnsiTheme="majorBidi" w:cstheme="majorBidi"/>
          <w:sz w:val="24"/>
          <w:szCs w:val="24"/>
        </w:rPr>
        <w:t xml:space="preserve"> The deficit in 2013 totaled 3.2 percent of </w:t>
      </w:r>
      <w:proofErr w:type="gramStart"/>
      <w:r w:rsidR="0004146B" w:rsidRPr="009440D5">
        <w:rPr>
          <w:rFonts w:asciiTheme="majorBidi" w:hAnsiTheme="majorBidi" w:cstheme="majorBidi"/>
          <w:sz w:val="24"/>
          <w:szCs w:val="24"/>
        </w:rPr>
        <w:t>GDP,</w:t>
      </w:r>
      <w:proofErr w:type="gramEnd"/>
      <w:r w:rsidR="0004146B" w:rsidRPr="009440D5">
        <w:rPr>
          <w:rFonts w:asciiTheme="majorBidi" w:hAnsiTheme="majorBidi" w:cstheme="majorBidi"/>
          <w:sz w:val="24"/>
          <w:szCs w:val="24"/>
        </w:rPr>
        <w:t xml:space="preserve"> lower than the deficit of 3.8 percent of GDP in 2012, and the cumulative deficit in the 12 months ended in April 2014 was 2.5 percent of GDP, compared with 4.2 percent of GDP in the 12 months ended in April 2013. </w:t>
      </w:r>
      <w:r w:rsidR="0014768F" w:rsidRPr="009440D5">
        <w:rPr>
          <w:rFonts w:asciiTheme="majorBidi" w:hAnsiTheme="majorBidi" w:cstheme="majorBidi"/>
          <w:sz w:val="24"/>
          <w:szCs w:val="24"/>
        </w:rPr>
        <w:t>Furthermore</w:t>
      </w:r>
      <w:r w:rsidR="0004146B" w:rsidRPr="009440D5">
        <w:rPr>
          <w:rFonts w:asciiTheme="majorBidi" w:hAnsiTheme="majorBidi" w:cstheme="majorBidi"/>
          <w:sz w:val="24"/>
          <w:szCs w:val="24"/>
        </w:rPr>
        <w:t>, actual deficit data do not reflect the f</w:t>
      </w:r>
      <w:r w:rsidR="00CD3E3A" w:rsidRPr="009440D5">
        <w:rPr>
          <w:rFonts w:asciiTheme="majorBidi" w:hAnsiTheme="majorBidi" w:cstheme="majorBidi"/>
          <w:sz w:val="24"/>
          <w:szCs w:val="24"/>
        </w:rPr>
        <w:t>u</w:t>
      </w:r>
      <w:r w:rsidR="0004146B" w:rsidRPr="009440D5">
        <w:rPr>
          <w:rFonts w:asciiTheme="majorBidi" w:hAnsiTheme="majorBidi" w:cstheme="majorBidi"/>
          <w:sz w:val="24"/>
          <w:szCs w:val="24"/>
        </w:rPr>
        <w:t xml:space="preserve">ll extent of the fiscal adjustment which was </w:t>
      </w:r>
      <w:r w:rsidR="0004146B" w:rsidRPr="009440D5">
        <w:rPr>
          <w:rFonts w:asciiTheme="majorBidi" w:hAnsiTheme="majorBidi" w:cstheme="majorBidi"/>
          <w:sz w:val="24"/>
          <w:szCs w:val="24"/>
        </w:rPr>
        <w:lastRenderedPageBreak/>
        <w:t xml:space="preserve">carried out, since without the adjustment the deficit was expected to increase markedly due to various expenditure programs approved by the government </w:t>
      </w:r>
      <w:r w:rsidR="0014768F" w:rsidRPr="009440D5">
        <w:rPr>
          <w:rFonts w:asciiTheme="majorBidi" w:hAnsiTheme="majorBidi" w:cstheme="majorBidi"/>
          <w:sz w:val="24"/>
          <w:szCs w:val="24"/>
        </w:rPr>
        <w:t xml:space="preserve">and </w:t>
      </w:r>
      <w:r w:rsidR="0004146B" w:rsidRPr="009440D5">
        <w:rPr>
          <w:rFonts w:asciiTheme="majorBidi" w:hAnsiTheme="majorBidi" w:cstheme="majorBidi"/>
          <w:sz w:val="24"/>
          <w:szCs w:val="24"/>
        </w:rPr>
        <w:t>lower tax revenues.</w:t>
      </w:r>
    </w:p>
    <w:p w:rsidR="004F6672" w:rsidRPr="009440D5" w:rsidRDefault="004F6672" w:rsidP="004F6672">
      <w:pPr>
        <w:spacing w:after="0"/>
        <w:jc w:val="both"/>
        <w:rPr>
          <w:rFonts w:asciiTheme="majorBidi" w:hAnsiTheme="majorBidi" w:cstheme="majorBidi"/>
          <w:sz w:val="24"/>
          <w:szCs w:val="24"/>
        </w:rPr>
      </w:pPr>
    </w:p>
    <w:p w:rsidR="004F6672" w:rsidRPr="009440D5" w:rsidRDefault="004F6672" w:rsidP="00650DDB">
      <w:pPr>
        <w:spacing w:after="0"/>
        <w:jc w:val="both"/>
        <w:rPr>
          <w:rFonts w:asciiTheme="majorBidi" w:hAnsiTheme="majorBidi" w:cstheme="majorBidi"/>
          <w:sz w:val="24"/>
          <w:szCs w:val="24"/>
        </w:rPr>
      </w:pPr>
      <w:r w:rsidRPr="009440D5">
        <w:rPr>
          <w:rFonts w:asciiTheme="majorBidi" w:hAnsiTheme="majorBidi" w:cstheme="majorBidi"/>
          <w:sz w:val="24"/>
          <w:szCs w:val="24"/>
        </w:rPr>
        <w:t xml:space="preserve">The success of the program </w:t>
      </w:r>
      <w:r w:rsidRPr="00995F76">
        <w:rPr>
          <w:rFonts w:asciiTheme="majorBidi" w:hAnsiTheme="majorBidi" w:cstheme="majorBidi"/>
          <w:sz w:val="24"/>
          <w:szCs w:val="24"/>
        </w:rPr>
        <w:t>restored</w:t>
      </w:r>
      <w:r w:rsidRPr="009440D5">
        <w:rPr>
          <w:rFonts w:asciiTheme="majorBidi" w:hAnsiTheme="majorBidi" w:cstheme="majorBidi"/>
          <w:sz w:val="24"/>
          <w:szCs w:val="24"/>
        </w:rPr>
        <w:t xml:space="preserve"> the credibility of the government’s commitment to the declining deficit path set in 2009, which is expected to reduce the debt to GDP ratio to about 60 percent by the end of the decade. The </w:t>
      </w:r>
      <w:r w:rsidR="00C455CB" w:rsidRPr="009440D5">
        <w:rPr>
          <w:rFonts w:asciiTheme="majorBidi" w:hAnsiTheme="majorBidi" w:cstheme="majorBidi"/>
          <w:sz w:val="24"/>
          <w:szCs w:val="24"/>
        </w:rPr>
        <w:t xml:space="preserve">strengthened </w:t>
      </w:r>
      <w:r w:rsidRPr="009440D5">
        <w:rPr>
          <w:rFonts w:asciiTheme="majorBidi" w:hAnsiTheme="majorBidi" w:cstheme="majorBidi"/>
          <w:sz w:val="24"/>
          <w:szCs w:val="24"/>
        </w:rPr>
        <w:t xml:space="preserve">credibility also contributed to </w:t>
      </w:r>
      <w:r w:rsidR="00C455CB" w:rsidRPr="009440D5">
        <w:rPr>
          <w:rFonts w:asciiTheme="majorBidi" w:hAnsiTheme="majorBidi" w:cstheme="majorBidi"/>
          <w:sz w:val="24"/>
          <w:szCs w:val="24"/>
        </w:rPr>
        <w:t xml:space="preserve">the </w:t>
      </w:r>
      <w:r w:rsidRPr="009440D5">
        <w:rPr>
          <w:rFonts w:asciiTheme="majorBidi" w:hAnsiTheme="majorBidi" w:cstheme="majorBidi"/>
          <w:sz w:val="24"/>
          <w:szCs w:val="24"/>
        </w:rPr>
        <w:t xml:space="preserve">notable decline in the same period in the yield spreads between Israel and other advanced economies and thus to a decline in the interest payment burden in the coming years. With that, </w:t>
      </w:r>
      <w:r w:rsidR="00995F76">
        <w:rPr>
          <w:rFonts w:asciiTheme="majorBidi" w:hAnsiTheme="majorBidi" w:cstheme="majorBidi"/>
          <w:sz w:val="24"/>
          <w:szCs w:val="24"/>
        </w:rPr>
        <w:t>since</w:t>
      </w:r>
      <w:r w:rsidRPr="009440D5">
        <w:rPr>
          <w:rFonts w:asciiTheme="majorBidi" w:hAnsiTheme="majorBidi" w:cstheme="majorBidi"/>
          <w:sz w:val="24"/>
          <w:szCs w:val="24"/>
        </w:rPr>
        <w:t xml:space="preserve"> a significant portion of the revenues which contributed to reducing the deficit were one-</w:t>
      </w:r>
      <w:r w:rsidR="00995F76">
        <w:rPr>
          <w:rFonts w:asciiTheme="majorBidi" w:hAnsiTheme="majorBidi" w:cstheme="majorBidi"/>
          <w:sz w:val="24"/>
          <w:szCs w:val="24"/>
        </w:rPr>
        <w:t>off</w:t>
      </w:r>
      <w:r w:rsidR="00995F76" w:rsidRPr="009440D5">
        <w:rPr>
          <w:rFonts w:asciiTheme="majorBidi" w:hAnsiTheme="majorBidi" w:cstheme="majorBidi"/>
          <w:sz w:val="24"/>
          <w:szCs w:val="24"/>
        </w:rPr>
        <w:t xml:space="preserve"> </w:t>
      </w:r>
      <w:r w:rsidRPr="009440D5">
        <w:rPr>
          <w:rFonts w:asciiTheme="majorBidi" w:hAnsiTheme="majorBidi" w:cstheme="majorBidi"/>
          <w:sz w:val="24"/>
          <w:szCs w:val="24"/>
        </w:rPr>
        <w:t xml:space="preserve">revenues, and since based on most </w:t>
      </w:r>
      <w:r w:rsidR="00995F76">
        <w:rPr>
          <w:rFonts w:asciiTheme="majorBidi" w:hAnsiTheme="majorBidi" w:cstheme="majorBidi"/>
          <w:sz w:val="24"/>
          <w:szCs w:val="24"/>
        </w:rPr>
        <w:t>est</w:t>
      </w:r>
      <w:r w:rsidR="00995F76" w:rsidRPr="009440D5">
        <w:rPr>
          <w:rFonts w:asciiTheme="majorBidi" w:hAnsiTheme="majorBidi" w:cstheme="majorBidi"/>
          <w:sz w:val="24"/>
          <w:szCs w:val="24"/>
        </w:rPr>
        <w:t>i</w:t>
      </w:r>
      <w:r w:rsidR="00995F76">
        <w:rPr>
          <w:rFonts w:asciiTheme="majorBidi" w:hAnsiTheme="majorBidi" w:cstheme="majorBidi"/>
          <w:sz w:val="24"/>
          <w:szCs w:val="24"/>
        </w:rPr>
        <w:t>mati</w:t>
      </w:r>
      <w:r w:rsidR="00995F76" w:rsidRPr="009440D5">
        <w:rPr>
          <w:rFonts w:asciiTheme="majorBidi" w:hAnsiTheme="majorBidi" w:cstheme="majorBidi"/>
          <w:sz w:val="24"/>
          <w:szCs w:val="24"/>
        </w:rPr>
        <w:t xml:space="preserve">ons </w:t>
      </w:r>
      <w:r w:rsidRPr="009440D5">
        <w:rPr>
          <w:rFonts w:asciiTheme="majorBidi" w:hAnsiTheme="majorBidi" w:cstheme="majorBidi"/>
          <w:sz w:val="24"/>
          <w:szCs w:val="24"/>
        </w:rPr>
        <w:t xml:space="preserve">the current </w:t>
      </w:r>
      <w:r w:rsidR="00995F76">
        <w:rPr>
          <w:rFonts w:asciiTheme="majorBidi" w:hAnsiTheme="majorBidi" w:cstheme="majorBidi"/>
          <w:sz w:val="24"/>
          <w:szCs w:val="24"/>
        </w:rPr>
        <w:t>output</w:t>
      </w:r>
      <w:r w:rsidR="00995F76" w:rsidRPr="009440D5">
        <w:rPr>
          <w:rFonts w:asciiTheme="majorBidi" w:hAnsiTheme="majorBidi" w:cstheme="majorBidi"/>
          <w:sz w:val="24"/>
          <w:szCs w:val="24"/>
        </w:rPr>
        <w:t xml:space="preserve"> </w:t>
      </w:r>
      <w:r w:rsidRPr="009440D5">
        <w:rPr>
          <w:rFonts w:asciiTheme="majorBidi" w:hAnsiTheme="majorBidi" w:cstheme="majorBidi"/>
          <w:sz w:val="24"/>
          <w:szCs w:val="24"/>
        </w:rPr>
        <w:t>gap in Israel is low (the economy is near full employment)</w:t>
      </w:r>
      <w:r w:rsidR="00FD0220" w:rsidRPr="009440D5">
        <w:rPr>
          <w:rFonts w:asciiTheme="majorBidi" w:hAnsiTheme="majorBidi" w:cstheme="majorBidi"/>
          <w:sz w:val="24"/>
          <w:szCs w:val="24"/>
        </w:rPr>
        <w:t xml:space="preserve">, the level of the structural deficit remains too high to allow an extended decline in the debt to GDP ratio. An international comparison of the cyclically adjusted deficit (Figure 1) indicates that this deficit is high relative to deficits in most other advanced economies. </w:t>
      </w:r>
      <w:r w:rsidR="00650DDB" w:rsidRPr="00313954">
        <w:rPr>
          <w:rFonts w:asciiTheme="majorBidi" w:hAnsiTheme="majorBidi" w:cstheme="majorBidi"/>
          <w:sz w:val="24"/>
          <w:szCs w:val="24"/>
        </w:rPr>
        <w:t xml:space="preserve">Moreover, Israel’s cost of financing the deficit, as reflected in the interest rates on long-term bonds, is </w:t>
      </w:r>
      <w:r w:rsidR="007F6678" w:rsidRPr="00313954">
        <w:rPr>
          <w:rFonts w:asciiTheme="majorBidi" w:hAnsiTheme="majorBidi" w:cstheme="majorBidi"/>
          <w:sz w:val="24"/>
          <w:szCs w:val="24"/>
        </w:rPr>
        <w:t xml:space="preserve">also </w:t>
      </w:r>
      <w:r w:rsidR="00650DDB" w:rsidRPr="00313954">
        <w:rPr>
          <w:rFonts w:asciiTheme="majorBidi" w:hAnsiTheme="majorBidi" w:cstheme="majorBidi"/>
          <w:sz w:val="24"/>
          <w:szCs w:val="24"/>
        </w:rPr>
        <w:t>relatively high compared with other advanced economies (Figure 1</w:t>
      </w:r>
      <w:r w:rsidR="005D2116">
        <w:rPr>
          <w:rFonts w:asciiTheme="majorBidi" w:hAnsiTheme="majorBidi" w:cstheme="majorBidi"/>
          <w:sz w:val="24"/>
          <w:szCs w:val="24"/>
        </w:rPr>
        <w:t>.</w:t>
      </w:r>
      <w:r w:rsidR="00650DDB" w:rsidRPr="00313954">
        <w:rPr>
          <w:rFonts w:asciiTheme="majorBidi" w:hAnsiTheme="majorBidi" w:cstheme="majorBidi"/>
          <w:sz w:val="24"/>
          <w:szCs w:val="24"/>
        </w:rPr>
        <w:t>A).</w:t>
      </w:r>
      <w:r w:rsidR="00650DDB">
        <w:rPr>
          <w:rFonts w:asciiTheme="majorBidi" w:hAnsiTheme="majorBidi" w:cstheme="majorBidi"/>
          <w:sz w:val="24"/>
          <w:szCs w:val="24"/>
        </w:rPr>
        <w:t xml:space="preserve"> </w:t>
      </w:r>
      <w:r w:rsidR="00FD0220" w:rsidRPr="009440D5">
        <w:rPr>
          <w:rFonts w:asciiTheme="majorBidi" w:hAnsiTheme="majorBidi" w:cstheme="majorBidi"/>
          <w:sz w:val="24"/>
          <w:szCs w:val="24"/>
        </w:rPr>
        <w:t xml:space="preserve">Therefore, maintaining fiscal credibility presents the government with </w:t>
      </w:r>
      <w:r w:rsidR="007D0609">
        <w:rPr>
          <w:rFonts w:asciiTheme="majorBidi" w:hAnsiTheme="majorBidi" w:cstheme="majorBidi"/>
          <w:sz w:val="24"/>
          <w:szCs w:val="24"/>
        </w:rPr>
        <w:t xml:space="preserve">substantial </w:t>
      </w:r>
      <w:r w:rsidR="00FD0220" w:rsidRPr="009440D5">
        <w:rPr>
          <w:rFonts w:asciiTheme="majorBidi" w:hAnsiTheme="majorBidi" w:cstheme="majorBidi"/>
          <w:sz w:val="24"/>
          <w:szCs w:val="24"/>
        </w:rPr>
        <w:t>budgetary challenges.</w:t>
      </w:r>
    </w:p>
    <w:p w:rsidR="00FD0220" w:rsidRPr="009440D5" w:rsidRDefault="00FD0220" w:rsidP="00FD0220">
      <w:pPr>
        <w:spacing w:after="0"/>
        <w:jc w:val="both"/>
        <w:rPr>
          <w:rFonts w:asciiTheme="majorBidi" w:hAnsiTheme="majorBidi" w:cstheme="majorBidi"/>
          <w:sz w:val="24"/>
          <w:szCs w:val="24"/>
        </w:rPr>
      </w:pPr>
    </w:p>
    <w:p w:rsidR="00FD0220" w:rsidRPr="009440D5" w:rsidRDefault="002A01B3" w:rsidP="00313954">
      <w:pPr>
        <w:spacing w:after="0"/>
        <w:jc w:val="center"/>
        <w:rPr>
          <w:rFonts w:asciiTheme="majorBidi" w:hAnsiTheme="majorBidi" w:cstheme="majorBidi"/>
          <w:sz w:val="24"/>
          <w:szCs w:val="24"/>
        </w:rPr>
      </w:pPr>
      <w:r w:rsidRPr="00FB3964">
        <w:rPr>
          <w:rFonts w:asciiTheme="majorBidi" w:hAnsiTheme="majorBidi" w:cstheme="majorBidi"/>
          <w:noProof/>
          <w:sz w:val="24"/>
          <w:szCs w:val="24"/>
        </w:rPr>
        <w:drawing>
          <wp:inline distT="0" distB="0" distL="0" distR="0" wp14:anchorId="230E3771" wp14:editId="7371B8A6">
            <wp:extent cx="5791606" cy="37909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6579" cy="3794205"/>
                    </a:xfrm>
                    <a:prstGeom prst="rect">
                      <a:avLst/>
                    </a:prstGeom>
                    <a:noFill/>
                  </pic:spPr>
                </pic:pic>
              </a:graphicData>
            </a:graphic>
          </wp:inline>
        </w:drawing>
      </w:r>
    </w:p>
    <w:p w:rsidR="00DA47AC" w:rsidRPr="00DA47AC" w:rsidRDefault="00DA47AC" w:rsidP="00313954">
      <w:pPr>
        <w:spacing w:after="0"/>
        <w:jc w:val="both"/>
        <w:rPr>
          <w:rFonts w:asciiTheme="majorBidi" w:hAnsiTheme="majorBidi" w:cstheme="majorBidi"/>
          <w:sz w:val="20"/>
          <w:szCs w:val="20"/>
        </w:rPr>
      </w:pPr>
      <w:r w:rsidRPr="00313954">
        <w:rPr>
          <w:rFonts w:asciiTheme="majorBidi" w:hAnsiTheme="majorBidi" w:cstheme="majorBidi"/>
          <w:sz w:val="20"/>
          <w:szCs w:val="20"/>
        </w:rPr>
        <w:t xml:space="preserve">* Deficit data for Israel are adjusted to the </w:t>
      </w:r>
      <w:r w:rsidR="00313954" w:rsidRPr="00313954">
        <w:rPr>
          <w:rFonts w:asciiTheme="majorBidi" w:hAnsiTheme="majorBidi" w:cstheme="majorBidi"/>
          <w:sz w:val="20"/>
          <w:szCs w:val="20"/>
        </w:rPr>
        <w:t>common</w:t>
      </w:r>
      <w:r w:rsidRPr="00313954">
        <w:rPr>
          <w:rFonts w:asciiTheme="majorBidi" w:hAnsiTheme="majorBidi" w:cstheme="majorBidi"/>
          <w:sz w:val="20"/>
          <w:szCs w:val="20"/>
        </w:rPr>
        <w:t xml:space="preserve"> international definition.</w:t>
      </w:r>
    </w:p>
    <w:p w:rsidR="00DA47AC" w:rsidRDefault="00DA47AC" w:rsidP="007D0609">
      <w:pPr>
        <w:spacing w:after="0"/>
        <w:jc w:val="both"/>
        <w:rPr>
          <w:rFonts w:asciiTheme="majorBidi" w:hAnsiTheme="majorBidi" w:cstheme="majorBidi"/>
          <w:sz w:val="24"/>
          <w:szCs w:val="24"/>
        </w:rPr>
      </w:pPr>
    </w:p>
    <w:p w:rsidR="00FD0220" w:rsidRDefault="00FD0220" w:rsidP="007D0609">
      <w:pPr>
        <w:spacing w:after="0"/>
        <w:jc w:val="both"/>
        <w:rPr>
          <w:rFonts w:asciiTheme="majorBidi" w:hAnsiTheme="majorBidi" w:cstheme="majorBidi"/>
          <w:sz w:val="24"/>
          <w:szCs w:val="24"/>
        </w:rPr>
      </w:pPr>
      <w:r w:rsidRPr="009440D5">
        <w:rPr>
          <w:rFonts w:asciiTheme="majorBidi" w:hAnsiTheme="majorBidi" w:cstheme="majorBidi"/>
          <w:sz w:val="24"/>
          <w:szCs w:val="24"/>
        </w:rPr>
        <w:t>After a</w:t>
      </w:r>
      <w:r w:rsidR="00C06C6B" w:rsidRPr="009440D5">
        <w:rPr>
          <w:rFonts w:asciiTheme="majorBidi" w:hAnsiTheme="majorBidi" w:cstheme="majorBidi"/>
          <w:sz w:val="24"/>
          <w:szCs w:val="24"/>
        </w:rPr>
        <w:t xml:space="preserve">n extended </w:t>
      </w:r>
      <w:r w:rsidRPr="009440D5">
        <w:rPr>
          <w:rFonts w:asciiTheme="majorBidi" w:hAnsiTheme="majorBidi" w:cstheme="majorBidi"/>
          <w:sz w:val="24"/>
          <w:szCs w:val="24"/>
        </w:rPr>
        <w:t>decline in the past decade, the share of taxes in GDP increased slightly in 2013, and the share of public expenditure in GDP stabilized at around 39 percent (Table 1);</w:t>
      </w:r>
      <w:r w:rsidR="00AF30C7" w:rsidRPr="009440D5">
        <w:rPr>
          <w:rFonts w:asciiTheme="majorBidi" w:hAnsiTheme="majorBidi" w:cstheme="majorBidi"/>
          <w:sz w:val="24"/>
          <w:szCs w:val="24"/>
        </w:rPr>
        <w:t xml:space="preserve"> both </w:t>
      </w:r>
      <w:r w:rsidR="00C06C6B" w:rsidRPr="009440D5">
        <w:rPr>
          <w:rFonts w:asciiTheme="majorBidi" w:hAnsiTheme="majorBidi" w:cstheme="majorBidi"/>
          <w:sz w:val="24"/>
          <w:szCs w:val="24"/>
        </w:rPr>
        <w:t xml:space="preserve">shares are </w:t>
      </w:r>
      <w:r w:rsidR="00AF30C7" w:rsidRPr="009440D5">
        <w:rPr>
          <w:rFonts w:asciiTheme="majorBidi" w:hAnsiTheme="majorBidi" w:cstheme="majorBidi"/>
          <w:sz w:val="24"/>
          <w:szCs w:val="24"/>
        </w:rPr>
        <w:t xml:space="preserve">low compared with most of the advanced economies. The </w:t>
      </w:r>
      <w:r w:rsidR="007D0609">
        <w:rPr>
          <w:rFonts w:asciiTheme="majorBidi" w:hAnsiTheme="majorBidi" w:cstheme="majorBidi"/>
          <w:sz w:val="24"/>
          <w:szCs w:val="24"/>
        </w:rPr>
        <w:t xml:space="preserve">ratio </w:t>
      </w:r>
      <w:r w:rsidR="00AF30C7" w:rsidRPr="009440D5">
        <w:rPr>
          <w:rFonts w:asciiTheme="majorBidi" w:hAnsiTheme="majorBidi" w:cstheme="majorBidi"/>
          <w:sz w:val="24"/>
          <w:szCs w:val="24"/>
        </w:rPr>
        <w:t>of public debt to GDP declined slightly and its level is low compared with most advanced economies.</w:t>
      </w:r>
      <w:r w:rsidR="004471AF" w:rsidRPr="009440D5">
        <w:rPr>
          <w:rStyle w:val="a6"/>
          <w:rFonts w:asciiTheme="majorBidi" w:hAnsiTheme="majorBidi" w:cstheme="majorBidi"/>
          <w:sz w:val="24"/>
          <w:szCs w:val="24"/>
        </w:rPr>
        <w:footnoteReference w:id="1"/>
      </w:r>
      <w:r w:rsidR="008F2AB1" w:rsidRPr="009440D5">
        <w:rPr>
          <w:rFonts w:asciiTheme="majorBidi" w:hAnsiTheme="majorBidi" w:cstheme="majorBidi"/>
          <w:sz w:val="24"/>
          <w:szCs w:val="24"/>
        </w:rPr>
        <w:t xml:space="preserve"> The share of primary civilian expenditure in GDP stabilized in recent years at a very low level compared with other </w:t>
      </w:r>
      <w:r w:rsidR="008F2AB1" w:rsidRPr="009440D5">
        <w:rPr>
          <w:rFonts w:asciiTheme="majorBidi" w:hAnsiTheme="majorBidi" w:cstheme="majorBidi"/>
          <w:sz w:val="24"/>
          <w:szCs w:val="24"/>
        </w:rPr>
        <w:lastRenderedPageBreak/>
        <w:t xml:space="preserve">advanced economies, despite the decline in the share of total public expenditure, due to the </w:t>
      </w:r>
      <w:r w:rsidR="00324844" w:rsidRPr="009440D5">
        <w:rPr>
          <w:rFonts w:asciiTheme="majorBidi" w:hAnsiTheme="majorBidi" w:cstheme="majorBidi"/>
          <w:sz w:val="24"/>
          <w:szCs w:val="24"/>
        </w:rPr>
        <w:t xml:space="preserve">extended </w:t>
      </w:r>
      <w:r w:rsidR="008F2AB1" w:rsidRPr="009440D5">
        <w:rPr>
          <w:rFonts w:asciiTheme="majorBidi" w:hAnsiTheme="majorBidi" w:cstheme="majorBidi"/>
          <w:sz w:val="24"/>
          <w:szCs w:val="24"/>
        </w:rPr>
        <w:t xml:space="preserve">decline </w:t>
      </w:r>
      <w:r w:rsidR="00324844" w:rsidRPr="009440D5">
        <w:rPr>
          <w:rFonts w:asciiTheme="majorBidi" w:hAnsiTheme="majorBidi" w:cstheme="majorBidi"/>
          <w:sz w:val="24"/>
          <w:szCs w:val="24"/>
        </w:rPr>
        <w:t xml:space="preserve">in the ratio of defense and interest expenditure to GDP. Toward the end of 2013, when it became clear that the level of expenditure expected in 2014 </w:t>
      </w:r>
      <w:r w:rsidR="00931445" w:rsidRPr="009440D5">
        <w:rPr>
          <w:rFonts w:asciiTheme="majorBidi" w:hAnsiTheme="majorBidi" w:cstheme="majorBidi"/>
          <w:sz w:val="24"/>
          <w:szCs w:val="24"/>
        </w:rPr>
        <w:t xml:space="preserve">was </w:t>
      </w:r>
      <w:r w:rsidR="00324844" w:rsidRPr="009440D5">
        <w:rPr>
          <w:rFonts w:asciiTheme="majorBidi" w:hAnsiTheme="majorBidi" w:cstheme="majorBidi"/>
          <w:sz w:val="24"/>
          <w:szCs w:val="24"/>
        </w:rPr>
        <w:t xml:space="preserve">lower than originally budgeted, the government cancelled the plan to </w:t>
      </w:r>
      <w:r w:rsidR="007D0609">
        <w:rPr>
          <w:rFonts w:asciiTheme="majorBidi" w:hAnsiTheme="majorBidi" w:cstheme="majorBidi"/>
          <w:sz w:val="24"/>
          <w:szCs w:val="24"/>
        </w:rPr>
        <w:t>raise</w:t>
      </w:r>
      <w:r w:rsidR="007D0609" w:rsidRPr="009440D5">
        <w:rPr>
          <w:rFonts w:asciiTheme="majorBidi" w:hAnsiTheme="majorBidi" w:cstheme="majorBidi"/>
          <w:sz w:val="24"/>
          <w:szCs w:val="24"/>
        </w:rPr>
        <w:t xml:space="preserve"> </w:t>
      </w:r>
      <w:r w:rsidR="00324844" w:rsidRPr="009440D5">
        <w:rPr>
          <w:rFonts w:asciiTheme="majorBidi" w:hAnsiTheme="majorBidi" w:cstheme="majorBidi"/>
          <w:sz w:val="24"/>
          <w:szCs w:val="24"/>
        </w:rPr>
        <w:t>tax rates in 2014, deferred part of the increase in National Insurance fees, and reduced the expenditure ceiling for 2014 by an amount equal to the estimated loss of revenues, NIS 3.75 billion.</w:t>
      </w:r>
      <w:r w:rsidR="00C309A1" w:rsidRPr="009440D5">
        <w:rPr>
          <w:rStyle w:val="a6"/>
          <w:rFonts w:asciiTheme="majorBidi" w:hAnsiTheme="majorBidi" w:cstheme="majorBidi"/>
          <w:sz w:val="24"/>
          <w:szCs w:val="24"/>
        </w:rPr>
        <w:footnoteReference w:id="2"/>
      </w:r>
      <w:r w:rsidR="00324844" w:rsidRPr="009440D5">
        <w:rPr>
          <w:rFonts w:asciiTheme="majorBidi" w:hAnsiTheme="majorBidi" w:cstheme="majorBidi"/>
          <w:sz w:val="24"/>
          <w:szCs w:val="24"/>
        </w:rPr>
        <w:t xml:space="preserve"> At the same time, the government and the Knesset changed the expenditure rule in a manner that will reduce the increase in public expenditure for the years 2015 and onward.</w:t>
      </w:r>
      <w:r w:rsidR="00C309A1" w:rsidRPr="009440D5">
        <w:rPr>
          <w:rStyle w:val="a6"/>
          <w:rFonts w:asciiTheme="majorBidi" w:hAnsiTheme="majorBidi" w:cstheme="majorBidi"/>
          <w:sz w:val="24"/>
          <w:szCs w:val="24"/>
        </w:rPr>
        <w:footnoteReference w:id="3"/>
      </w:r>
    </w:p>
    <w:p w:rsidR="002A01B3" w:rsidRDefault="00313954" w:rsidP="00313954">
      <w:pPr>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68BBF9AA" wp14:editId="0E65DBDB">
            <wp:extent cx="5368594" cy="3506604"/>
            <wp:effectExtent l="0" t="0" r="381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7179" cy="3505680"/>
                    </a:xfrm>
                    <a:prstGeom prst="rect">
                      <a:avLst/>
                    </a:prstGeom>
                    <a:noFill/>
                  </pic:spPr>
                </pic:pic>
              </a:graphicData>
            </a:graphic>
          </wp:inline>
        </w:drawing>
      </w:r>
    </w:p>
    <w:p w:rsidR="002A01B3" w:rsidRPr="009F5E51" w:rsidRDefault="009F5E51" w:rsidP="009F5E51">
      <w:pPr>
        <w:spacing w:after="0"/>
        <w:rPr>
          <w:rFonts w:asciiTheme="majorBidi" w:hAnsiTheme="majorBidi" w:cstheme="majorBidi"/>
          <w:sz w:val="20"/>
          <w:szCs w:val="20"/>
        </w:rPr>
      </w:pPr>
      <w:r w:rsidRPr="00313954">
        <w:rPr>
          <w:rFonts w:asciiTheme="majorBidi" w:hAnsiTheme="majorBidi" w:cstheme="majorBidi"/>
          <w:sz w:val="20"/>
          <w:szCs w:val="20"/>
        </w:rPr>
        <w:t>* Data as of April 2014.</w:t>
      </w:r>
    </w:p>
    <w:p w:rsidR="009F5E51" w:rsidRDefault="009F5E51" w:rsidP="00652B72">
      <w:pPr>
        <w:spacing w:after="0"/>
        <w:jc w:val="both"/>
        <w:rPr>
          <w:rFonts w:asciiTheme="majorBidi" w:hAnsiTheme="majorBidi" w:cstheme="majorBidi"/>
          <w:sz w:val="24"/>
          <w:szCs w:val="24"/>
        </w:rPr>
      </w:pPr>
    </w:p>
    <w:p w:rsidR="003534BC" w:rsidRDefault="003534BC" w:rsidP="002774AC">
      <w:pPr>
        <w:spacing w:after="0"/>
        <w:jc w:val="both"/>
        <w:rPr>
          <w:rFonts w:asciiTheme="majorBidi" w:hAnsiTheme="majorBidi" w:cstheme="majorBidi"/>
          <w:sz w:val="24"/>
          <w:szCs w:val="24"/>
        </w:rPr>
      </w:pPr>
      <w:r w:rsidRPr="009440D5">
        <w:rPr>
          <w:rFonts w:asciiTheme="majorBidi" w:hAnsiTheme="majorBidi" w:cstheme="majorBidi"/>
          <w:sz w:val="24"/>
          <w:szCs w:val="24"/>
        </w:rPr>
        <w:t xml:space="preserve">After these changes, the expected deficit for 2014 is </w:t>
      </w:r>
      <w:r w:rsidR="00652B72">
        <w:rPr>
          <w:rFonts w:asciiTheme="majorBidi" w:hAnsiTheme="majorBidi" w:cstheme="majorBidi"/>
          <w:sz w:val="24"/>
          <w:szCs w:val="24"/>
        </w:rPr>
        <w:t>close to</w:t>
      </w:r>
      <w:r w:rsidR="00652B72" w:rsidRPr="009440D5">
        <w:rPr>
          <w:rFonts w:asciiTheme="majorBidi" w:hAnsiTheme="majorBidi" w:cstheme="majorBidi"/>
          <w:sz w:val="24"/>
          <w:szCs w:val="24"/>
        </w:rPr>
        <w:t xml:space="preserve"> </w:t>
      </w:r>
      <w:r w:rsidRPr="009440D5">
        <w:rPr>
          <w:rFonts w:asciiTheme="majorBidi" w:hAnsiTheme="majorBidi" w:cstheme="majorBidi"/>
          <w:sz w:val="24"/>
          <w:szCs w:val="24"/>
        </w:rPr>
        <w:t xml:space="preserve">the target set by the government, 3 percent of GDP, assuming full performance of the budget. Tax revenues are expected to increase by about 5.5–6.0 percent in real terms, compared with 2013, due to a large extent to the increase in tax rates in the middle of 2013. The </w:t>
      </w:r>
      <w:r w:rsidR="00652B72">
        <w:rPr>
          <w:rFonts w:asciiTheme="majorBidi" w:hAnsiTheme="majorBidi" w:cstheme="majorBidi"/>
          <w:sz w:val="24"/>
          <w:szCs w:val="24"/>
        </w:rPr>
        <w:t xml:space="preserve">ratio </w:t>
      </w:r>
      <w:r w:rsidRPr="009440D5">
        <w:rPr>
          <w:rFonts w:asciiTheme="majorBidi" w:hAnsiTheme="majorBidi" w:cstheme="majorBidi"/>
          <w:sz w:val="24"/>
          <w:szCs w:val="24"/>
        </w:rPr>
        <w:t>of public debt to GDP is not expected to change significantly this year</w:t>
      </w:r>
      <w:r w:rsidRPr="002774AC">
        <w:rPr>
          <w:rFonts w:asciiTheme="majorBidi" w:hAnsiTheme="majorBidi" w:cstheme="majorBidi"/>
          <w:sz w:val="24"/>
          <w:szCs w:val="24"/>
        </w:rPr>
        <w:t>.</w:t>
      </w:r>
      <w:r w:rsidR="002D7ECD" w:rsidRPr="002774AC">
        <w:rPr>
          <w:rFonts w:asciiTheme="majorBidi" w:hAnsiTheme="majorBidi" w:cstheme="majorBidi"/>
          <w:sz w:val="24"/>
          <w:szCs w:val="24"/>
        </w:rPr>
        <w:t xml:space="preserve"> With that, in the past two years</w:t>
      </w:r>
      <w:r w:rsidR="004E3E16" w:rsidRPr="002774AC">
        <w:rPr>
          <w:rFonts w:asciiTheme="majorBidi" w:hAnsiTheme="majorBidi" w:cstheme="majorBidi"/>
          <w:sz w:val="24"/>
          <w:szCs w:val="24"/>
        </w:rPr>
        <w:t xml:space="preserve">, </w:t>
      </w:r>
      <w:r w:rsidR="002D7ECD" w:rsidRPr="002774AC">
        <w:rPr>
          <w:rFonts w:asciiTheme="majorBidi" w:hAnsiTheme="majorBidi" w:cstheme="majorBidi"/>
          <w:sz w:val="24"/>
          <w:szCs w:val="24"/>
        </w:rPr>
        <w:t xml:space="preserve">many changes </w:t>
      </w:r>
      <w:r w:rsidR="006E6C7D" w:rsidRPr="002774AC">
        <w:rPr>
          <w:rFonts w:asciiTheme="majorBidi" w:hAnsiTheme="majorBidi" w:cstheme="majorBidi"/>
          <w:sz w:val="24"/>
          <w:szCs w:val="24"/>
        </w:rPr>
        <w:t xml:space="preserve">have been </w:t>
      </w:r>
      <w:r w:rsidR="004E3E16" w:rsidRPr="002774AC">
        <w:rPr>
          <w:rFonts w:asciiTheme="majorBidi" w:hAnsiTheme="majorBidi" w:cstheme="majorBidi"/>
          <w:sz w:val="24"/>
          <w:szCs w:val="24"/>
        </w:rPr>
        <w:t xml:space="preserve">made </w:t>
      </w:r>
      <w:r w:rsidR="006E6C7D" w:rsidRPr="002774AC">
        <w:rPr>
          <w:rFonts w:asciiTheme="majorBidi" w:hAnsiTheme="majorBidi" w:cstheme="majorBidi"/>
          <w:sz w:val="24"/>
          <w:szCs w:val="24"/>
        </w:rPr>
        <w:t xml:space="preserve">in </w:t>
      </w:r>
      <w:r w:rsidR="004E3E16" w:rsidRPr="002774AC">
        <w:rPr>
          <w:rFonts w:asciiTheme="majorBidi" w:hAnsiTheme="majorBidi" w:cstheme="majorBidi"/>
          <w:sz w:val="24"/>
          <w:szCs w:val="24"/>
        </w:rPr>
        <w:t xml:space="preserve">tax rates and tax regulations </w:t>
      </w:r>
      <w:r w:rsidR="00313954" w:rsidRPr="002774AC">
        <w:rPr>
          <w:rFonts w:asciiTheme="majorBidi" w:hAnsiTheme="majorBidi" w:cstheme="majorBidi"/>
          <w:sz w:val="24"/>
          <w:szCs w:val="24"/>
        </w:rPr>
        <w:t xml:space="preserve">in Israel </w:t>
      </w:r>
      <w:r w:rsidR="004E3E16" w:rsidRPr="002774AC">
        <w:rPr>
          <w:rFonts w:asciiTheme="majorBidi" w:hAnsiTheme="majorBidi" w:cstheme="majorBidi"/>
          <w:sz w:val="24"/>
          <w:szCs w:val="24"/>
        </w:rPr>
        <w:t xml:space="preserve">which affect various companies, and the exceptional </w:t>
      </w:r>
      <w:r w:rsidR="00313954" w:rsidRPr="002774AC">
        <w:rPr>
          <w:rFonts w:asciiTheme="majorBidi" w:hAnsiTheme="majorBidi" w:cstheme="majorBidi"/>
          <w:sz w:val="24"/>
          <w:szCs w:val="24"/>
        </w:rPr>
        <w:t xml:space="preserve">global </w:t>
      </w:r>
      <w:r w:rsidR="004E3E16" w:rsidRPr="002774AC">
        <w:rPr>
          <w:rFonts w:asciiTheme="majorBidi" w:hAnsiTheme="majorBidi" w:cstheme="majorBidi"/>
          <w:sz w:val="24"/>
          <w:szCs w:val="24"/>
        </w:rPr>
        <w:t xml:space="preserve">interest rate environment </w:t>
      </w:r>
      <w:r w:rsidR="0048208A" w:rsidRPr="002774AC">
        <w:rPr>
          <w:rFonts w:asciiTheme="majorBidi" w:hAnsiTheme="majorBidi" w:cstheme="majorBidi"/>
          <w:sz w:val="24"/>
          <w:szCs w:val="24"/>
        </w:rPr>
        <w:t xml:space="preserve">provides </w:t>
      </w:r>
      <w:r w:rsidR="004E3E16" w:rsidRPr="002774AC">
        <w:rPr>
          <w:rFonts w:asciiTheme="majorBidi" w:hAnsiTheme="majorBidi" w:cstheme="majorBidi"/>
          <w:sz w:val="24"/>
          <w:szCs w:val="24"/>
        </w:rPr>
        <w:t xml:space="preserve">an incentive for financial transactions </w:t>
      </w:r>
      <w:r w:rsidR="005D50F6" w:rsidRPr="002774AC">
        <w:rPr>
          <w:rFonts w:asciiTheme="majorBidi" w:hAnsiTheme="majorBidi" w:cstheme="majorBidi"/>
          <w:sz w:val="24"/>
          <w:szCs w:val="24"/>
        </w:rPr>
        <w:t xml:space="preserve">that may have a significant </w:t>
      </w:r>
      <w:r w:rsidR="004E3E16" w:rsidRPr="002774AC">
        <w:rPr>
          <w:rFonts w:asciiTheme="majorBidi" w:hAnsiTheme="majorBidi" w:cstheme="majorBidi"/>
          <w:sz w:val="24"/>
          <w:szCs w:val="24"/>
        </w:rPr>
        <w:t>impact on tax revenues in a given year. Therefore, the long</w:t>
      </w:r>
      <w:r w:rsidR="005D50F6" w:rsidRPr="002774AC">
        <w:rPr>
          <w:rFonts w:asciiTheme="majorBidi" w:hAnsiTheme="majorBidi" w:cstheme="majorBidi"/>
          <w:sz w:val="24"/>
          <w:szCs w:val="24"/>
        </w:rPr>
        <w:t>-</w:t>
      </w:r>
      <w:r w:rsidR="004E3E16" w:rsidRPr="002774AC">
        <w:rPr>
          <w:rFonts w:asciiTheme="majorBidi" w:hAnsiTheme="majorBidi" w:cstheme="majorBidi"/>
          <w:sz w:val="24"/>
          <w:szCs w:val="24"/>
        </w:rPr>
        <w:t xml:space="preserve">term </w:t>
      </w:r>
      <w:r w:rsidR="002774AC" w:rsidRPr="002774AC">
        <w:rPr>
          <w:rFonts w:asciiTheme="majorBidi" w:hAnsiTheme="majorBidi" w:cstheme="majorBidi"/>
          <w:sz w:val="24"/>
          <w:szCs w:val="24"/>
        </w:rPr>
        <w:t>relationship</w:t>
      </w:r>
      <w:r w:rsidR="004E3E16" w:rsidRPr="002774AC">
        <w:rPr>
          <w:rFonts w:asciiTheme="majorBidi" w:hAnsiTheme="majorBidi" w:cstheme="majorBidi"/>
          <w:sz w:val="24"/>
          <w:szCs w:val="24"/>
        </w:rPr>
        <w:t xml:space="preserve"> between tax revenues and real macroeconomic variables may be more volatile </w:t>
      </w:r>
      <w:r w:rsidR="00F37CF5" w:rsidRPr="002774AC">
        <w:rPr>
          <w:rFonts w:asciiTheme="majorBidi" w:hAnsiTheme="majorBidi" w:cstheme="majorBidi"/>
          <w:sz w:val="24"/>
          <w:szCs w:val="24"/>
        </w:rPr>
        <w:t xml:space="preserve">over the short term </w:t>
      </w:r>
      <w:r w:rsidR="004E3E16" w:rsidRPr="002774AC">
        <w:rPr>
          <w:rFonts w:asciiTheme="majorBidi" w:hAnsiTheme="majorBidi" w:cstheme="majorBidi"/>
          <w:sz w:val="24"/>
          <w:szCs w:val="24"/>
        </w:rPr>
        <w:t>than previously.</w:t>
      </w:r>
      <w:r w:rsidR="00B97451" w:rsidRPr="002774AC">
        <w:rPr>
          <w:rFonts w:asciiTheme="majorBidi" w:hAnsiTheme="majorBidi" w:cstheme="majorBidi"/>
          <w:sz w:val="24"/>
          <w:szCs w:val="24"/>
        </w:rPr>
        <w:t xml:space="preserve"> Additionally, the volatile environment is also reflected in notable changes in quarterly National Accounts projections, which may increase the volatility of tax estimates which are based on </w:t>
      </w:r>
      <w:r w:rsidR="00605C13" w:rsidRPr="002774AC">
        <w:rPr>
          <w:rFonts w:asciiTheme="majorBidi" w:hAnsiTheme="majorBidi" w:cstheme="majorBidi"/>
          <w:sz w:val="24"/>
          <w:szCs w:val="24"/>
        </w:rPr>
        <w:t>them</w:t>
      </w:r>
      <w:r w:rsidR="00B97451" w:rsidRPr="002774AC">
        <w:rPr>
          <w:rFonts w:asciiTheme="majorBidi" w:hAnsiTheme="majorBidi" w:cstheme="majorBidi"/>
          <w:sz w:val="24"/>
          <w:szCs w:val="24"/>
        </w:rPr>
        <w:t>.</w:t>
      </w:r>
    </w:p>
    <w:p w:rsidR="004B0C2B" w:rsidRDefault="004B0C2B">
      <w:pPr>
        <w:rPr>
          <w:rFonts w:asciiTheme="majorBidi" w:hAnsiTheme="majorBidi" w:cstheme="majorBidi"/>
          <w:sz w:val="24"/>
          <w:szCs w:val="24"/>
        </w:rPr>
      </w:pPr>
      <w:r>
        <w:rPr>
          <w:rFonts w:asciiTheme="majorBidi" w:hAnsiTheme="majorBidi" w:cstheme="majorBidi"/>
          <w:sz w:val="24"/>
          <w:szCs w:val="24"/>
        </w:rPr>
        <w:br w:type="page"/>
      </w:r>
    </w:p>
    <w:p w:rsidR="002A01B3" w:rsidRDefault="002A01B3">
      <w:pPr>
        <w:rPr>
          <w:rFonts w:asciiTheme="majorBidi" w:hAnsiTheme="majorBidi" w:cstheme="majorBidi"/>
          <w:sz w:val="24"/>
          <w:szCs w:val="24"/>
        </w:rPr>
      </w:pPr>
    </w:p>
    <w:p w:rsidR="00A839B9" w:rsidRDefault="002A01B3" w:rsidP="002774AC">
      <w:pPr>
        <w:spacing w:after="0"/>
        <w:rPr>
          <w:rFonts w:asciiTheme="majorBidi" w:hAnsiTheme="majorBidi" w:cstheme="majorBidi"/>
          <w:b/>
          <w:bCs/>
          <w:sz w:val="24"/>
          <w:szCs w:val="24"/>
        </w:rPr>
      </w:pPr>
      <w:r w:rsidRPr="00A839B9">
        <w:rPr>
          <w:rFonts w:asciiTheme="majorBidi" w:hAnsiTheme="majorBidi" w:cstheme="majorBidi"/>
          <w:b/>
          <w:bCs/>
          <w:sz w:val="24"/>
          <w:szCs w:val="24"/>
        </w:rPr>
        <w:t>Table 1</w:t>
      </w:r>
    </w:p>
    <w:p w:rsidR="002A01B3" w:rsidRPr="00A839B9" w:rsidRDefault="002A01B3" w:rsidP="00A839B9">
      <w:pPr>
        <w:spacing w:after="0"/>
        <w:rPr>
          <w:rFonts w:asciiTheme="majorBidi" w:hAnsiTheme="majorBidi" w:cstheme="majorBidi"/>
          <w:b/>
          <w:bCs/>
          <w:sz w:val="24"/>
          <w:szCs w:val="24"/>
        </w:rPr>
      </w:pPr>
      <w:r w:rsidRPr="00A839B9">
        <w:rPr>
          <w:rFonts w:asciiTheme="majorBidi" w:hAnsiTheme="majorBidi" w:cstheme="majorBidi"/>
          <w:b/>
          <w:bCs/>
          <w:sz w:val="24"/>
          <w:szCs w:val="24"/>
        </w:rPr>
        <w:t>Main budget aggregates, 2000–13</w:t>
      </w:r>
    </w:p>
    <w:p w:rsidR="002A01B3" w:rsidRPr="00A839B9" w:rsidRDefault="002A01B3" w:rsidP="00A839B9">
      <w:pPr>
        <w:spacing w:after="0"/>
        <w:rPr>
          <w:rFonts w:asciiTheme="majorBidi" w:hAnsiTheme="majorBidi" w:cstheme="majorBidi"/>
          <w:b/>
          <w:bCs/>
          <w:sz w:val="24"/>
          <w:szCs w:val="24"/>
        </w:rPr>
      </w:pPr>
      <w:r w:rsidRPr="00A839B9">
        <w:rPr>
          <w:rFonts w:asciiTheme="majorBidi" w:hAnsiTheme="majorBidi" w:cstheme="majorBidi"/>
          <w:b/>
          <w:bCs/>
          <w:sz w:val="24"/>
          <w:szCs w:val="24"/>
        </w:rPr>
        <w:t>National Accounts Definition</w:t>
      </w:r>
      <w:r w:rsidR="002774AC">
        <w:rPr>
          <w:rFonts w:asciiTheme="majorBidi" w:hAnsiTheme="majorBidi" w:cstheme="majorBidi"/>
          <w:b/>
          <w:bCs/>
          <w:sz w:val="24"/>
          <w:szCs w:val="24"/>
        </w:rPr>
        <w:t xml:space="preserve"> (in percent of GDP)</w:t>
      </w:r>
    </w:p>
    <w:p w:rsidR="002A01B3" w:rsidRPr="009440D5" w:rsidRDefault="002774AC" w:rsidP="002A01B3">
      <w:pPr>
        <w:spacing w:after="0"/>
        <w:jc w:val="both"/>
        <w:rPr>
          <w:rFonts w:asciiTheme="majorBidi" w:hAnsiTheme="majorBidi" w:cstheme="majorBidi"/>
          <w:sz w:val="24"/>
          <w:szCs w:val="24"/>
        </w:rPr>
      </w:pPr>
      <w:r w:rsidRPr="002774AC">
        <w:rPr>
          <w:noProof/>
        </w:rPr>
        <w:drawing>
          <wp:inline distT="0" distB="0" distL="0" distR="0">
            <wp:extent cx="5531279" cy="1706828"/>
            <wp:effectExtent l="0" t="0" r="0" b="825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1164" cy="1706793"/>
                    </a:xfrm>
                    <a:prstGeom prst="rect">
                      <a:avLst/>
                    </a:prstGeom>
                    <a:noFill/>
                    <a:ln>
                      <a:noFill/>
                    </a:ln>
                  </pic:spPr>
                </pic:pic>
              </a:graphicData>
            </a:graphic>
          </wp:inline>
        </w:drawing>
      </w:r>
      <w:r w:rsidRPr="002774AC">
        <w:t xml:space="preserve"> </w:t>
      </w:r>
    </w:p>
    <w:p w:rsidR="003534BC" w:rsidRPr="009440D5" w:rsidRDefault="003534BC" w:rsidP="003534BC">
      <w:pPr>
        <w:spacing w:after="0"/>
        <w:jc w:val="both"/>
        <w:rPr>
          <w:rFonts w:asciiTheme="majorBidi" w:hAnsiTheme="majorBidi" w:cstheme="majorBidi"/>
          <w:sz w:val="24"/>
          <w:szCs w:val="24"/>
        </w:rPr>
      </w:pPr>
    </w:p>
    <w:p w:rsidR="003534BC" w:rsidRPr="009440D5" w:rsidRDefault="003534BC" w:rsidP="003534BC">
      <w:pPr>
        <w:pStyle w:val="a3"/>
        <w:numPr>
          <w:ilvl w:val="0"/>
          <w:numId w:val="1"/>
        </w:numPr>
        <w:spacing w:after="0"/>
        <w:jc w:val="both"/>
        <w:rPr>
          <w:rFonts w:asciiTheme="majorBidi" w:hAnsiTheme="majorBidi" w:cstheme="majorBidi"/>
          <w:b/>
          <w:bCs/>
          <w:sz w:val="24"/>
          <w:szCs w:val="24"/>
        </w:rPr>
      </w:pPr>
      <w:r w:rsidRPr="009440D5">
        <w:rPr>
          <w:rFonts w:asciiTheme="majorBidi" w:hAnsiTheme="majorBidi" w:cstheme="majorBidi"/>
          <w:b/>
          <w:bCs/>
          <w:sz w:val="24"/>
          <w:szCs w:val="24"/>
        </w:rPr>
        <w:t>The expenditure ceiling and projected deficit for 2015</w:t>
      </w:r>
    </w:p>
    <w:p w:rsidR="009B2BF2" w:rsidRPr="009440D5" w:rsidRDefault="003534BC" w:rsidP="00A905E7">
      <w:pPr>
        <w:spacing w:after="0"/>
        <w:jc w:val="both"/>
        <w:rPr>
          <w:rFonts w:asciiTheme="majorBidi" w:hAnsiTheme="majorBidi" w:cstheme="majorBidi"/>
          <w:sz w:val="24"/>
          <w:szCs w:val="24"/>
        </w:rPr>
      </w:pPr>
      <w:r w:rsidRPr="009440D5">
        <w:rPr>
          <w:rFonts w:asciiTheme="majorBidi" w:hAnsiTheme="majorBidi" w:cstheme="majorBidi"/>
          <w:sz w:val="24"/>
          <w:szCs w:val="24"/>
        </w:rPr>
        <w:t>The change in the fiscal rule which sets</w:t>
      </w:r>
      <w:r w:rsidR="0061678B" w:rsidRPr="009440D5">
        <w:rPr>
          <w:rFonts w:asciiTheme="majorBidi" w:hAnsiTheme="majorBidi" w:cstheme="majorBidi"/>
          <w:sz w:val="24"/>
          <w:szCs w:val="24"/>
        </w:rPr>
        <w:t xml:space="preserve"> the </w:t>
      </w:r>
      <w:r w:rsidR="0074329A" w:rsidRPr="009440D5">
        <w:rPr>
          <w:rFonts w:asciiTheme="majorBidi" w:hAnsiTheme="majorBidi" w:cstheme="majorBidi"/>
          <w:sz w:val="24"/>
          <w:szCs w:val="24"/>
        </w:rPr>
        <w:t>expenditure ceiling reduced the permitted increase in government expenditure</w:t>
      </w:r>
      <w:r w:rsidR="002274DA" w:rsidRPr="009440D5">
        <w:rPr>
          <w:rFonts w:asciiTheme="majorBidi" w:hAnsiTheme="majorBidi" w:cstheme="majorBidi"/>
          <w:sz w:val="24"/>
          <w:szCs w:val="24"/>
        </w:rPr>
        <w:t>s</w:t>
      </w:r>
      <w:r w:rsidR="0074329A" w:rsidRPr="009440D5">
        <w:rPr>
          <w:rFonts w:asciiTheme="majorBidi" w:hAnsiTheme="majorBidi" w:cstheme="majorBidi"/>
          <w:sz w:val="24"/>
          <w:szCs w:val="24"/>
        </w:rPr>
        <w:t xml:space="preserve"> in 2015, </w:t>
      </w:r>
      <w:r w:rsidR="003514D7">
        <w:rPr>
          <w:rFonts w:asciiTheme="majorBidi" w:hAnsiTheme="majorBidi" w:cstheme="majorBidi"/>
          <w:sz w:val="24"/>
          <w:szCs w:val="24"/>
        </w:rPr>
        <w:t>follow</w:t>
      </w:r>
      <w:r w:rsidR="003514D7" w:rsidRPr="009440D5">
        <w:rPr>
          <w:rFonts w:asciiTheme="majorBidi" w:hAnsiTheme="majorBidi" w:cstheme="majorBidi"/>
          <w:sz w:val="24"/>
          <w:szCs w:val="24"/>
        </w:rPr>
        <w:t xml:space="preserve">ing </w:t>
      </w:r>
      <w:r w:rsidR="0074329A" w:rsidRPr="009440D5">
        <w:rPr>
          <w:rFonts w:asciiTheme="majorBidi" w:hAnsiTheme="majorBidi" w:cstheme="majorBidi"/>
          <w:sz w:val="24"/>
          <w:szCs w:val="24"/>
        </w:rPr>
        <w:t xml:space="preserve">the reduction of the expenditure base itself from 2014 which was intended to allow the cancellation of tax increases. The new rule establishes that the real increase in government expenditures will be in </w:t>
      </w:r>
      <w:r w:rsidR="002D702A" w:rsidRPr="009440D5">
        <w:rPr>
          <w:rFonts w:asciiTheme="majorBidi" w:hAnsiTheme="majorBidi" w:cstheme="majorBidi"/>
          <w:sz w:val="24"/>
          <w:szCs w:val="24"/>
        </w:rPr>
        <w:t xml:space="preserve">accordance </w:t>
      </w:r>
      <w:r w:rsidR="0074329A" w:rsidRPr="009440D5">
        <w:rPr>
          <w:rFonts w:asciiTheme="majorBidi" w:hAnsiTheme="majorBidi" w:cstheme="majorBidi"/>
          <w:sz w:val="24"/>
          <w:szCs w:val="24"/>
        </w:rPr>
        <w:t xml:space="preserve">with the population growth rate in the preceding 3 years (1.8 percent over the determining years for 2015) </w:t>
      </w:r>
      <w:r w:rsidR="002D702A" w:rsidRPr="009440D5">
        <w:rPr>
          <w:rFonts w:asciiTheme="majorBidi" w:hAnsiTheme="majorBidi" w:cstheme="majorBidi"/>
          <w:sz w:val="24"/>
          <w:szCs w:val="24"/>
        </w:rPr>
        <w:t xml:space="preserve">plus </w:t>
      </w:r>
      <w:r w:rsidR="0074329A" w:rsidRPr="009440D5">
        <w:rPr>
          <w:rFonts w:asciiTheme="majorBidi" w:hAnsiTheme="majorBidi" w:cstheme="majorBidi"/>
          <w:sz w:val="24"/>
          <w:szCs w:val="24"/>
        </w:rPr>
        <w:t xml:space="preserve">the </w:t>
      </w:r>
      <w:r w:rsidR="003514D7">
        <w:rPr>
          <w:rFonts w:asciiTheme="majorBidi" w:hAnsiTheme="majorBidi" w:cstheme="majorBidi"/>
          <w:sz w:val="24"/>
          <w:szCs w:val="24"/>
        </w:rPr>
        <w:t>ratio</w:t>
      </w:r>
      <w:r w:rsidR="003514D7" w:rsidRPr="009440D5">
        <w:rPr>
          <w:rFonts w:asciiTheme="majorBidi" w:hAnsiTheme="majorBidi" w:cstheme="majorBidi"/>
          <w:sz w:val="24"/>
          <w:szCs w:val="24"/>
        </w:rPr>
        <w:t xml:space="preserve"> </w:t>
      </w:r>
      <w:r w:rsidR="0074329A" w:rsidRPr="009440D5">
        <w:rPr>
          <w:rFonts w:asciiTheme="majorBidi" w:hAnsiTheme="majorBidi" w:cstheme="majorBidi"/>
          <w:sz w:val="24"/>
          <w:szCs w:val="24"/>
        </w:rPr>
        <w:t xml:space="preserve">of 50 (reflecting the long term target debt to GDP ratio) </w:t>
      </w:r>
      <w:r w:rsidR="003514D7">
        <w:rPr>
          <w:rFonts w:asciiTheme="majorBidi" w:hAnsiTheme="majorBidi" w:cstheme="majorBidi"/>
          <w:sz w:val="24"/>
          <w:szCs w:val="24"/>
        </w:rPr>
        <w:t>to</w:t>
      </w:r>
      <w:r w:rsidR="003514D7" w:rsidRPr="009440D5">
        <w:rPr>
          <w:rFonts w:asciiTheme="majorBidi" w:hAnsiTheme="majorBidi" w:cstheme="majorBidi"/>
          <w:sz w:val="24"/>
          <w:szCs w:val="24"/>
        </w:rPr>
        <w:t xml:space="preserve"> </w:t>
      </w:r>
      <w:r w:rsidR="0074329A" w:rsidRPr="009440D5">
        <w:rPr>
          <w:rFonts w:asciiTheme="majorBidi" w:hAnsiTheme="majorBidi" w:cstheme="majorBidi"/>
          <w:sz w:val="24"/>
          <w:szCs w:val="24"/>
        </w:rPr>
        <w:t xml:space="preserve">the debt to GDP ratio in the last known year (67.4 percent at the end of 2013). Based on this calculation, the permitted real increase in the 2015 budget is 2.6 percent, which means an </w:t>
      </w:r>
      <w:r w:rsidR="003514D7" w:rsidRPr="009440D5">
        <w:rPr>
          <w:rFonts w:asciiTheme="majorBidi" w:hAnsiTheme="majorBidi" w:cstheme="majorBidi"/>
          <w:sz w:val="24"/>
          <w:szCs w:val="24"/>
        </w:rPr>
        <w:t>addition</w:t>
      </w:r>
      <w:r w:rsidR="003514D7">
        <w:rPr>
          <w:rFonts w:asciiTheme="majorBidi" w:hAnsiTheme="majorBidi" w:cstheme="majorBidi"/>
          <w:sz w:val="24"/>
          <w:szCs w:val="24"/>
        </w:rPr>
        <w:t xml:space="preserve"> of</w:t>
      </w:r>
      <w:r w:rsidR="003514D7" w:rsidRPr="009440D5">
        <w:rPr>
          <w:rFonts w:asciiTheme="majorBidi" w:hAnsiTheme="majorBidi" w:cstheme="majorBidi"/>
          <w:sz w:val="24"/>
          <w:szCs w:val="24"/>
        </w:rPr>
        <w:t xml:space="preserve"> </w:t>
      </w:r>
      <w:r w:rsidR="0074329A" w:rsidRPr="009440D5">
        <w:rPr>
          <w:rFonts w:asciiTheme="majorBidi" w:hAnsiTheme="majorBidi" w:cstheme="majorBidi"/>
          <w:sz w:val="24"/>
          <w:szCs w:val="24"/>
        </w:rPr>
        <w:t xml:space="preserve">NIS 8 billion (Table 2). With that, the real rate of increase in the government budget is adjusted each year (or every 2 years, when two-year budgets were administered) </w:t>
      </w:r>
      <w:r w:rsidR="00EC29F2" w:rsidRPr="009440D5">
        <w:rPr>
          <w:rFonts w:asciiTheme="majorBidi" w:hAnsiTheme="majorBidi" w:cstheme="majorBidi"/>
          <w:sz w:val="24"/>
          <w:szCs w:val="24"/>
        </w:rPr>
        <w:t xml:space="preserve">for </w:t>
      </w:r>
      <w:r w:rsidR="0074329A" w:rsidRPr="009440D5">
        <w:rPr>
          <w:rFonts w:asciiTheme="majorBidi" w:hAnsiTheme="majorBidi" w:cstheme="majorBidi"/>
          <w:sz w:val="24"/>
          <w:szCs w:val="24"/>
        </w:rPr>
        <w:t xml:space="preserve">the gap between the price forecast used </w:t>
      </w:r>
      <w:r w:rsidR="00673603" w:rsidRPr="009440D5">
        <w:rPr>
          <w:rFonts w:asciiTheme="majorBidi" w:hAnsiTheme="majorBidi" w:cstheme="majorBidi"/>
          <w:sz w:val="24"/>
          <w:szCs w:val="24"/>
        </w:rPr>
        <w:t>in preparing</w:t>
      </w:r>
      <w:r w:rsidR="00AB39B0" w:rsidRPr="009440D5">
        <w:rPr>
          <w:rFonts w:asciiTheme="majorBidi" w:hAnsiTheme="majorBidi" w:cstheme="majorBidi"/>
          <w:sz w:val="24"/>
          <w:szCs w:val="24"/>
        </w:rPr>
        <w:t xml:space="preserve"> the previous budget and actual prices in that year.</w:t>
      </w:r>
      <w:r w:rsidR="009F2B41" w:rsidRPr="009440D5">
        <w:rPr>
          <w:rStyle w:val="a6"/>
          <w:rFonts w:asciiTheme="majorBidi" w:hAnsiTheme="majorBidi" w:cstheme="majorBidi"/>
          <w:sz w:val="24"/>
          <w:szCs w:val="24"/>
        </w:rPr>
        <w:footnoteReference w:id="4"/>
      </w:r>
      <w:r w:rsidR="008256AA" w:rsidRPr="009440D5">
        <w:rPr>
          <w:rFonts w:asciiTheme="majorBidi" w:hAnsiTheme="majorBidi" w:cstheme="majorBidi"/>
          <w:sz w:val="24"/>
          <w:szCs w:val="24"/>
        </w:rPr>
        <w:t xml:space="preserve"> The significance of this adjustment, if implemented, is that the real increase in the 2015 budget will be only 1.</w:t>
      </w:r>
      <w:r w:rsidR="00A905E7">
        <w:rPr>
          <w:rFonts w:asciiTheme="majorBidi" w:hAnsiTheme="majorBidi" w:cstheme="majorBidi"/>
          <w:sz w:val="24"/>
          <w:szCs w:val="24"/>
        </w:rPr>
        <w:t>1</w:t>
      </w:r>
      <w:r w:rsidR="00A905E7" w:rsidRPr="009440D5">
        <w:rPr>
          <w:rFonts w:asciiTheme="majorBidi" w:hAnsiTheme="majorBidi" w:cstheme="majorBidi"/>
          <w:sz w:val="24"/>
          <w:szCs w:val="24"/>
        </w:rPr>
        <w:t xml:space="preserve"> </w:t>
      </w:r>
      <w:r w:rsidR="008256AA" w:rsidRPr="009440D5">
        <w:rPr>
          <w:rFonts w:asciiTheme="majorBidi" w:hAnsiTheme="majorBidi" w:cstheme="majorBidi"/>
          <w:sz w:val="24"/>
          <w:szCs w:val="24"/>
        </w:rPr>
        <w:t>percent, or NIS 3.</w:t>
      </w:r>
      <w:r w:rsidR="00A905E7">
        <w:rPr>
          <w:rFonts w:asciiTheme="majorBidi" w:hAnsiTheme="majorBidi" w:cstheme="majorBidi"/>
          <w:sz w:val="24"/>
          <w:szCs w:val="24"/>
        </w:rPr>
        <w:t>3</w:t>
      </w:r>
      <w:r w:rsidR="00A905E7" w:rsidRPr="009440D5">
        <w:rPr>
          <w:rFonts w:asciiTheme="majorBidi" w:hAnsiTheme="majorBidi" w:cstheme="majorBidi"/>
          <w:sz w:val="24"/>
          <w:szCs w:val="24"/>
        </w:rPr>
        <w:t xml:space="preserve"> </w:t>
      </w:r>
      <w:r w:rsidR="008256AA" w:rsidRPr="009440D5">
        <w:rPr>
          <w:rFonts w:asciiTheme="majorBidi" w:hAnsiTheme="majorBidi" w:cstheme="majorBidi"/>
          <w:sz w:val="24"/>
          <w:szCs w:val="24"/>
        </w:rPr>
        <w:t xml:space="preserve">billion. </w:t>
      </w:r>
      <w:r w:rsidR="003514D7">
        <w:rPr>
          <w:rFonts w:asciiTheme="majorBidi" w:hAnsiTheme="majorBidi" w:cstheme="majorBidi"/>
          <w:sz w:val="24"/>
          <w:szCs w:val="24"/>
        </w:rPr>
        <w:t>However,</w:t>
      </w:r>
      <w:r w:rsidR="003514D7" w:rsidRPr="003514D7">
        <w:rPr>
          <w:rFonts w:asciiTheme="majorBidi" w:hAnsiTheme="majorBidi" w:cstheme="majorBidi"/>
          <w:sz w:val="24"/>
          <w:szCs w:val="24"/>
        </w:rPr>
        <w:t xml:space="preserve"> </w:t>
      </w:r>
      <w:r w:rsidR="003514D7" w:rsidRPr="009440D5">
        <w:rPr>
          <w:rFonts w:asciiTheme="majorBidi" w:hAnsiTheme="majorBidi" w:cstheme="majorBidi"/>
          <w:sz w:val="24"/>
          <w:szCs w:val="24"/>
        </w:rPr>
        <w:t>this year</w:t>
      </w:r>
      <w:r w:rsidR="008256AA" w:rsidRPr="009440D5">
        <w:rPr>
          <w:rFonts w:asciiTheme="majorBidi" w:hAnsiTheme="majorBidi" w:cstheme="majorBidi"/>
          <w:sz w:val="24"/>
          <w:szCs w:val="24"/>
        </w:rPr>
        <w:t xml:space="preserve"> there is a legal question whether the price adjustment</w:t>
      </w:r>
      <w:r w:rsidR="003514D7">
        <w:rPr>
          <w:rFonts w:asciiTheme="majorBidi" w:hAnsiTheme="majorBidi" w:cstheme="majorBidi"/>
          <w:sz w:val="24"/>
          <w:szCs w:val="24"/>
        </w:rPr>
        <w:t xml:space="preserve"> is required</w:t>
      </w:r>
      <w:r w:rsidR="008256AA" w:rsidRPr="009440D5">
        <w:rPr>
          <w:rFonts w:asciiTheme="majorBidi" w:hAnsiTheme="majorBidi" w:cstheme="majorBidi"/>
          <w:sz w:val="24"/>
          <w:szCs w:val="24"/>
        </w:rPr>
        <w:t xml:space="preserve">, since the government switched to a new expenditure rule and therefore it is not a routine update of the budget based on an existing </w:t>
      </w:r>
      <w:r w:rsidR="009B2BF2" w:rsidRPr="009440D5">
        <w:rPr>
          <w:rFonts w:asciiTheme="majorBidi" w:hAnsiTheme="majorBidi" w:cstheme="majorBidi"/>
          <w:sz w:val="24"/>
          <w:szCs w:val="24"/>
        </w:rPr>
        <w:t>rule.</w:t>
      </w:r>
    </w:p>
    <w:p w:rsidR="00803D4F" w:rsidRDefault="00803D4F" w:rsidP="00853333">
      <w:pPr>
        <w:spacing w:after="0"/>
        <w:jc w:val="both"/>
        <w:rPr>
          <w:rFonts w:asciiTheme="majorBidi" w:hAnsiTheme="majorBidi" w:cstheme="majorBidi"/>
          <w:sz w:val="24"/>
          <w:szCs w:val="24"/>
        </w:rPr>
      </w:pPr>
    </w:p>
    <w:p w:rsidR="009B2BF2" w:rsidRPr="009440D5" w:rsidRDefault="009B2BF2" w:rsidP="00853333">
      <w:pPr>
        <w:spacing w:after="0"/>
        <w:jc w:val="both"/>
        <w:rPr>
          <w:rFonts w:asciiTheme="majorBidi" w:hAnsiTheme="majorBidi" w:cstheme="majorBidi"/>
          <w:sz w:val="24"/>
          <w:szCs w:val="24"/>
        </w:rPr>
      </w:pPr>
      <w:r w:rsidRPr="009440D5">
        <w:rPr>
          <w:rFonts w:asciiTheme="majorBidi" w:hAnsiTheme="majorBidi" w:cstheme="majorBidi"/>
          <w:sz w:val="24"/>
          <w:szCs w:val="24"/>
        </w:rPr>
        <w:t xml:space="preserve">Although the price adjustment in the 2015 budget is large compared to previous years, </w:t>
      </w:r>
      <w:r w:rsidR="00853333">
        <w:rPr>
          <w:rFonts w:asciiTheme="majorBidi" w:hAnsiTheme="majorBidi" w:cstheme="majorBidi"/>
          <w:sz w:val="24"/>
          <w:szCs w:val="24"/>
        </w:rPr>
        <w:t>inter-alia</w:t>
      </w:r>
      <w:r w:rsidRPr="009440D5">
        <w:rPr>
          <w:rFonts w:asciiTheme="majorBidi" w:hAnsiTheme="majorBidi" w:cstheme="majorBidi"/>
          <w:sz w:val="24"/>
          <w:szCs w:val="24"/>
        </w:rPr>
        <w:t xml:space="preserve"> because the 2013–14 budget is a two-year budget, significant price adjustments were necessary </w:t>
      </w:r>
      <w:r w:rsidR="00853333">
        <w:rPr>
          <w:rFonts w:asciiTheme="majorBidi" w:hAnsiTheme="majorBidi" w:cstheme="majorBidi"/>
          <w:sz w:val="24"/>
          <w:szCs w:val="24"/>
        </w:rPr>
        <w:t>in past years as well</w:t>
      </w:r>
      <w:r w:rsidRPr="009440D5">
        <w:rPr>
          <w:rFonts w:asciiTheme="majorBidi" w:hAnsiTheme="majorBidi" w:cstheme="majorBidi"/>
          <w:sz w:val="24"/>
          <w:szCs w:val="24"/>
        </w:rPr>
        <w:t xml:space="preserve">. This process, </w:t>
      </w:r>
      <w:r w:rsidR="00A74071" w:rsidRPr="009440D5">
        <w:rPr>
          <w:rFonts w:asciiTheme="majorBidi" w:hAnsiTheme="majorBidi" w:cstheme="majorBidi"/>
          <w:sz w:val="24"/>
          <w:szCs w:val="24"/>
        </w:rPr>
        <w:t xml:space="preserve">which is </w:t>
      </w:r>
      <w:r w:rsidRPr="009440D5">
        <w:rPr>
          <w:rFonts w:asciiTheme="majorBidi" w:hAnsiTheme="majorBidi" w:cstheme="majorBidi"/>
          <w:sz w:val="24"/>
          <w:szCs w:val="24"/>
        </w:rPr>
        <w:t xml:space="preserve">implemented after the approval of the budget by the government, is </w:t>
      </w:r>
      <w:r w:rsidR="00A74071" w:rsidRPr="009440D5">
        <w:rPr>
          <w:rFonts w:asciiTheme="majorBidi" w:hAnsiTheme="majorBidi" w:cstheme="majorBidi"/>
          <w:sz w:val="24"/>
          <w:szCs w:val="24"/>
        </w:rPr>
        <w:t xml:space="preserve">a necessity </w:t>
      </w:r>
      <w:r w:rsidRPr="009440D5">
        <w:rPr>
          <w:rFonts w:asciiTheme="majorBidi" w:hAnsiTheme="majorBidi" w:cstheme="majorBidi"/>
          <w:sz w:val="24"/>
          <w:szCs w:val="24"/>
        </w:rPr>
        <w:t xml:space="preserve">as long as government budgets are based on a price forecast </w:t>
      </w:r>
      <w:r w:rsidR="00A74071" w:rsidRPr="009440D5">
        <w:rPr>
          <w:rFonts w:asciiTheme="majorBidi" w:hAnsiTheme="majorBidi" w:cstheme="majorBidi"/>
          <w:sz w:val="24"/>
          <w:szCs w:val="24"/>
        </w:rPr>
        <w:t xml:space="preserve">which varies </w:t>
      </w:r>
      <w:r w:rsidRPr="009440D5">
        <w:rPr>
          <w:rFonts w:asciiTheme="majorBidi" w:hAnsiTheme="majorBidi" w:cstheme="majorBidi"/>
          <w:sz w:val="24"/>
          <w:szCs w:val="24"/>
        </w:rPr>
        <w:t xml:space="preserve">from year to year, </w:t>
      </w:r>
      <w:r w:rsidR="00A74071" w:rsidRPr="009440D5">
        <w:rPr>
          <w:rFonts w:asciiTheme="majorBidi" w:hAnsiTheme="majorBidi" w:cstheme="majorBidi"/>
          <w:sz w:val="24"/>
          <w:szCs w:val="24"/>
        </w:rPr>
        <w:t xml:space="preserve">due to the </w:t>
      </w:r>
      <w:r w:rsidRPr="009440D5">
        <w:rPr>
          <w:rFonts w:asciiTheme="majorBidi" w:hAnsiTheme="majorBidi" w:cstheme="majorBidi"/>
          <w:sz w:val="24"/>
          <w:szCs w:val="24"/>
        </w:rPr>
        <w:t>concern that the projection will be used as a tool to increase or decrease the real budget.</w:t>
      </w:r>
      <w:r w:rsidR="00C822F0" w:rsidRPr="009440D5">
        <w:rPr>
          <w:rStyle w:val="a6"/>
          <w:rFonts w:asciiTheme="majorBidi" w:hAnsiTheme="majorBidi" w:cstheme="majorBidi"/>
          <w:sz w:val="24"/>
          <w:szCs w:val="24"/>
        </w:rPr>
        <w:footnoteReference w:id="5"/>
      </w:r>
      <w:r w:rsidRPr="009440D5">
        <w:rPr>
          <w:rFonts w:asciiTheme="majorBidi" w:hAnsiTheme="majorBidi" w:cstheme="majorBidi"/>
          <w:sz w:val="24"/>
          <w:szCs w:val="24"/>
        </w:rPr>
        <w:t xml:space="preserve"> </w:t>
      </w:r>
      <w:r w:rsidR="00853333">
        <w:rPr>
          <w:rFonts w:asciiTheme="majorBidi" w:hAnsiTheme="majorBidi" w:cstheme="majorBidi"/>
          <w:sz w:val="24"/>
          <w:szCs w:val="24"/>
        </w:rPr>
        <w:t>S</w:t>
      </w:r>
      <w:r w:rsidR="00D653C7" w:rsidRPr="009440D5">
        <w:rPr>
          <w:rFonts w:asciiTheme="majorBidi" w:hAnsiTheme="majorBidi" w:cstheme="majorBidi"/>
          <w:sz w:val="24"/>
          <w:szCs w:val="24"/>
        </w:rPr>
        <w:t xml:space="preserve">ince the average rate of inflation over the past decade is in the middle of the target range set by government, because in Israel there is not a systematic gap between the rate of increase of public consumption prices and the CPI, and since annual changes in the CPI in any case are not considerably relevant to the government’s expenditure path, the time has come to </w:t>
      </w:r>
      <w:r w:rsidR="00D653C7" w:rsidRPr="009440D5">
        <w:rPr>
          <w:rFonts w:asciiTheme="majorBidi" w:hAnsiTheme="majorBidi" w:cstheme="majorBidi"/>
          <w:sz w:val="24"/>
          <w:szCs w:val="24"/>
        </w:rPr>
        <w:lastRenderedPageBreak/>
        <w:t xml:space="preserve">switch to adjusting the expenditure ceiling each year on the basis of the </w:t>
      </w:r>
      <w:r w:rsidR="00A74071" w:rsidRPr="009440D5">
        <w:rPr>
          <w:rFonts w:asciiTheme="majorBidi" w:hAnsiTheme="majorBidi" w:cstheme="majorBidi"/>
          <w:sz w:val="24"/>
          <w:szCs w:val="24"/>
        </w:rPr>
        <w:t xml:space="preserve">midpoint </w:t>
      </w:r>
      <w:r w:rsidR="00D653C7" w:rsidRPr="009440D5">
        <w:rPr>
          <w:rFonts w:asciiTheme="majorBidi" w:hAnsiTheme="majorBidi" w:cstheme="majorBidi"/>
          <w:sz w:val="24"/>
          <w:szCs w:val="24"/>
        </w:rPr>
        <w:t>of the inflation target range</w:t>
      </w:r>
      <w:r w:rsidR="00B01E2D" w:rsidRPr="009440D5">
        <w:rPr>
          <w:rFonts w:asciiTheme="majorBidi" w:hAnsiTheme="majorBidi" w:cstheme="majorBidi"/>
          <w:sz w:val="24"/>
          <w:szCs w:val="24"/>
        </w:rPr>
        <w:t>.</w:t>
      </w:r>
      <w:r w:rsidR="00B01E2D" w:rsidRPr="009440D5">
        <w:rPr>
          <w:rStyle w:val="a6"/>
          <w:rFonts w:asciiTheme="majorBidi" w:hAnsiTheme="majorBidi" w:cstheme="majorBidi"/>
          <w:sz w:val="24"/>
          <w:szCs w:val="24"/>
        </w:rPr>
        <w:footnoteReference w:id="6"/>
      </w:r>
      <w:r w:rsidR="00B01E2D" w:rsidRPr="009440D5">
        <w:rPr>
          <w:rFonts w:asciiTheme="majorBidi" w:hAnsiTheme="majorBidi" w:cstheme="majorBidi"/>
          <w:sz w:val="24"/>
          <w:szCs w:val="24"/>
        </w:rPr>
        <w:t xml:space="preserve"> </w:t>
      </w:r>
      <w:r w:rsidR="00D653C7" w:rsidRPr="009440D5">
        <w:rPr>
          <w:rFonts w:asciiTheme="majorBidi" w:hAnsiTheme="majorBidi" w:cstheme="majorBidi"/>
          <w:sz w:val="24"/>
          <w:szCs w:val="24"/>
        </w:rPr>
        <w:t>Such a move would save the need for retroactive adjustments of the expenditure ceiling, without exposing the process of setting budget prices to manipulations</w:t>
      </w:r>
      <w:r w:rsidR="00B01E2D" w:rsidRPr="009440D5">
        <w:rPr>
          <w:rFonts w:asciiTheme="majorBidi" w:hAnsiTheme="majorBidi" w:cstheme="majorBidi"/>
          <w:sz w:val="24"/>
          <w:szCs w:val="24"/>
        </w:rPr>
        <w:t>.</w:t>
      </w:r>
    </w:p>
    <w:p w:rsidR="002A01B3" w:rsidRDefault="002A01B3" w:rsidP="007035C0">
      <w:pPr>
        <w:spacing w:after="0"/>
        <w:jc w:val="both"/>
        <w:rPr>
          <w:rFonts w:asciiTheme="majorBidi" w:hAnsiTheme="majorBidi" w:cstheme="majorBidi"/>
          <w:sz w:val="24"/>
          <w:szCs w:val="24"/>
        </w:rPr>
      </w:pPr>
    </w:p>
    <w:p w:rsidR="003D12D6" w:rsidRDefault="002A01B3" w:rsidP="002A01B3">
      <w:pPr>
        <w:spacing w:after="0"/>
        <w:jc w:val="both"/>
        <w:rPr>
          <w:rFonts w:asciiTheme="majorBidi" w:hAnsiTheme="majorBidi" w:cstheme="majorBidi"/>
          <w:b/>
          <w:bCs/>
          <w:sz w:val="24"/>
          <w:szCs w:val="24"/>
        </w:rPr>
      </w:pPr>
      <w:r w:rsidRPr="003D12D6">
        <w:rPr>
          <w:rFonts w:asciiTheme="majorBidi" w:hAnsiTheme="majorBidi" w:cstheme="majorBidi"/>
          <w:b/>
          <w:bCs/>
          <w:sz w:val="24"/>
          <w:szCs w:val="24"/>
        </w:rPr>
        <w:t>Table 2</w:t>
      </w:r>
    </w:p>
    <w:p w:rsidR="002A01B3" w:rsidRPr="003D12D6" w:rsidRDefault="002A01B3" w:rsidP="002A01B3">
      <w:pPr>
        <w:spacing w:after="0"/>
        <w:jc w:val="both"/>
        <w:rPr>
          <w:rFonts w:asciiTheme="majorBidi" w:hAnsiTheme="majorBidi" w:cstheme="majorBidi"/>
          <w:b/>
          <w:bCs/>
          <w:sz w:val="24"/>
          <w:szCs w:val="24"/>
        </w:rPr>
      </w:pPr>
      <w:r w:rsidRPr="003D12D6">
        <w:rPr>
          <w:rFonts w:asciiTheme="majorBidi" w:hAnsiTheme="majorBidi" w:cstheme="majorBidi"/>
          <w:b/>
          <w:bCs/>
          <w:sz w:val="24"/>
          <w:szCs w:val="24"/>
        </w:rPr>
        <w:t>Calculation of expenditure ceiling for 2015</w:t>
      </w:r>
    </w:p>
    <w:p w:rsidR="002A01B3" w:rsidRDefault="006F4DE8" w:rsidP="007035C0">
      <w:pPr>
        <w:spacing w:after="0"/>
        <w:jc w:val="both"/>
        <w:rPr>
          <w:rFonts w:asciiTheme="majorBidi" w:hAnsiTheme="majorBidi" w:cstheme="majorBidi"/>
          <w:sz w:val="24"/>
          <w:szCs w:val="24"/>
        </w:rPr>
      </w:pPr>
      <w:r w:rsidRPr="006F4DE8">
        <w:rPr>
          <w:noProof/>
        </w:rPr>
        <w:drawing>
          <wp:inline distT="0" distB="0" distL="0" distR="0">
            <wp:extent cx="5273227" cy="3792276"/>
            <wp:effectExtent l="0" t="0" r="381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077" cy="3792168"/>
                    </a:xfrm>
                    <a:prstGeom prst="rect">
                      <a:avLst/>
                    </a:prstGeom>
                    <a:noFill/>
                    <a:ln>
                      <a:noFill/>
                    </a:ln>
                  </pic:spPr>
                </pic:pic>
              </a:graphicData>
            </a:graphic>
          </wp:inline>
        </w:drawing>
      </w:r>
      <w:r w:rsidRPr="006F4DE8">
        <w:t xml:space="preserve"> </w:t>
      </w:r>
    </w:p>
    <w:p w:rsidR="00B01E2D" w:rsidRDefault="00B01E2D" w:rsidP="007035C0">
      <w:pPr>
        <w:spacing w:after="0"/>
        <w:jc w:val="both"/>
        <w:rPr>
          <w:rFonts w:asciiTheme="majorBidi" w:hAnsiTheme="majorBidi" w:cstheme="majorBidi"/>
          <w:sz w:val="24"/>
          <w:szCs w:val="24"/>
        </w:rPr>
      </w:pPr>
      <w:r w:rsidRPr="009440D5">
        <w:rPr>
          <w:rFonts w:asciiTheme="majorBidi" w:hAnsiTheme="majorBidi" w:cstheme="majorBidi"/>
          <w:sz w:val="24"/>
          <w:szCs w:val="24"/>
        </w:rPr>
        <w:t xml:space="preserve">A comparison of the expenditure ceiling to expenditure </w:t>
      </w:r>
      <w:r w:rsidR="000840B1">
        <w:rPr>
          <w:rFonts w:asciiTheme="majorBidi" w:hAnsiTheme="majorBidi" w:cstheme="majorBidi"/>
          <w:sz w:val="24"/>
          <w:szCs w:val="24"/>
        </w:rPr>
        <w:t>projections</w:t>
      </w:r>
      <w:r w:rsidR="000840B1" w:rsidRPr="009440D5">
        <w:rPr>
          <w:rFonts w:asciiTheme="majorBidi" w:hAnsiTheme="majorBidi" w:cstheme="majorBidi"/>
          <w:sz w:val="24"/>
          <w:szCs w:val="24"/>
        </w:rPr>
        <w:t xml:space="preserve"> </w:t>
      </w:r>
      <w:r w:rsidRPr="009440D5">
        <w:rPr>
          <w:rFonts w:asciiTheme="majorBidi" w:hAnsiTheme="majorBidi" w:cstheme="majorBidi"/>
          <w:sz w:val="24"/>
          <w:szCs w:val="24"/>
        </w:rPr>
        <w:t xml:space="preserve">derived from the current level of expenditure, the added cost deriving from the plans approved by the government and by Knesset legislation, and from the effect of various demographic and economic trends, indicates that such </w:t>
      </w:r>
      <w:r w:rsidR="000840B1">
        <w:rPr>
          <w:rFonts w:asciiTheme="majorBidi" w:hAnsiTheme="majorBidi" w:cstheme="majorBidi"/>
          <w:sz w:val="24"/>
          <w:szCs w:val="24"/>
        </w:rPr>
        <w:t>projections</w:t>
      </w:r>
      <w:r w:rsidR="000840B1" w:rsidRPr="009440D5">
        <w:rPr>
          <w:rFonts w:asciiTheme="majorBidi" w:hAnsiTheme="majorBidi" w:cstheme="majorBidi"/>
          <w:sz w:val="24"/>
          <w:szCs w:val="24"/>
        </w:rPr>
        <w:t xml:space="preserve"> </w:t>
      </w:r>
      <w:r w:rsidRPr="009440D5">
        <w:rPr>
          <w:rFonts w:asciiTheme="majorBidi" w:hAnsiTheme="majorBidi" w:cstheme="majorBidi"/>
          <w:sz w:val="24"/>
          <w:szCs w:val="24"/>
        </w:rPr>
        <w:t xml:space="preserve">are significantly higher than the ceiling. One of the reasons for the gap is that some of the measures adopted by the government in order to reduce expenditures in 2014 are nonrecurring, and added to that are an increase in the education budget based on previous decisions and the broad transportation infrastructure investment plan. To the extent </w:t>
      </w:r>
      <w:r w:rsidR="00626DF6" w:rsidRPr="009440D5">
        <w:rPr>
          <w:rFonts w:asciiTheme="majorBidi" w:hAnsiTheme="majorBidi" w:cstheme="majorBidi"/>
          <w:sz w:val="24"/>
          <w:szCs w:val="24"/>
        </w:rPr>
        <w:t>that a price adjustment</w:t>
      </w:r>
      <w:r w:rsidR="004D4E3C" w:rsidRPr="009440D5">
        <w:rPr>
          <w:rFonts w:asciiTheme="majorBidi" w:hAnsiTheme="majorBidi" w:cstheme="majorBidi"/>
          <w:sz w:val="24"/>
          <w:szCs w:val="24"/>
        </w:rPr>
        <w:t xml:space="preserve">, </w:t>
      </w:r>
      <w:r w:rsidR="00626DF6" w:rsidRPr="009440D5">
        <w:rPr>
          <w:rFonts w:asciiTheme="majorBidi" w:hAnsiTheme="majorBidi" w:cstheme="majorBidi"/>
          <w:sz w:val="24"/>
          <w:szCs w:val="24"/>
        </w:rPr>
        <w:t>as described above</w:t>
      </w:r>
      <w:r w:rsidR="004D4E3C" w:rsidRPr="009440D5">
        <w:rPr>
          <w:rFonts w:asciiTheme="majorBidi" w:hAnsiTheme="majorBidi" w:cstheme="majorBidi"/>
          <w:sz w:val="24"/>
          <w:szCs w:val="24"/>
        </w:rPr>
        <w:t xml:space="preserve">, is not carried out, </w:t>
      </w:r>
      <w:r w:rsidR="00626DF6" w:rsidRPr="009440D5">
        <w:rPr>
          <w:rFonts w:asciiTheme="majorBidi" w:hAnsiTheme="majorBidi" w:cstheme="majorBidi"/>
          <w:sz w:val="24"/>
          <w:szCs w:val="24"/>
        </w:rPr>
        <w:t xml:space="preserve">the </w:t>
      </w:r>
      <w:r w:rsidR="004D4E3C" w:rsidRPr="009440D5">
        <w:rPr>
          <w:rFonts w:asciiTheme="majorBidi" w:hAnsiTheme="majorBidi" w:cstheme="majorBidi"/>
          <w:sz w:val="24"/>
          <w:szCs w:val="24"/>
        </w:rPr>
        <w:t xml:space="preserve">gap </w:t>
      </w:r>
      <w:r w:rsidR="00626DF6" w:rsidRPr="009440D5">
        <w:rPr>
          <w:rFonts w:asciiTheme="majorBidi" w:hAnsiTheme="majorBidi" w:cstheme="majorBidi"/>
          <w:sz w:val="24"/>
          <w:szCs w:val="24"/>
        </w:rPr>
        <w:t xml:space="preserve">between expenditure estimates and the ceiling </w:t>
      </w:r>
      <w:r w:rsidR="004D4E3C" w:rsidRPr="009440D5">
        <w:rPr>
          <w:rFonts w:asciiTheme="majorBidi" w:hAnsiTheme="majorBidi" w:cstheme="majorBidi"/>
          <w:sz w:val="24"/>
          <w:szCs w:val="24"/>
        </w:rPr>
        <w:t xml:space="preserve">is </w:t>
      </w:r>
      <w:r w:rsidR="00626DF6" w:rsidRPr="009440D5">
        <w:rPr>
          <w:rFonts w:asciiTheme="majorBidi" w:hAnsiTheme="majorBidi" w:cstheme="majorBidi"/>
          <w:sz w:val="24"/>
          <w:szCs w:val="24"/>
        </w:rPr>
        <w:t xml:space="preserve">assessed at about NIS 7 billion, and if the price adjustment is carried out it will grow to more than NIS </w:t>
      </w:r>
      <w:r w:rsidR="007035C0" w:rsidRPr="009440D5">
        <w:rPr>
          <w:rFonts w:asciiTheme="majorBidi" w:hAnsiTheme="majorBidi" w:cstheme="majorBidi"/>
          <w:sz w:val="24"/>
          <w:szCs w:val="24"/>
        </w:rPr>
        <w:t>1</w:t>
      </w:r>
      <w:r w:rsidR="007035C0">
        <w:rPr>
          <w:rFonts w:asciiTheme="majorBidi" w:hAnsiTheme="majorBidi" w:cstheme="majorBidi"/>
          <w:sz w:val="24"/>
          <w:szCs w:val="24"/>
        </w:rPr>
        <w:t>2</w:t>
      </w:r>
      <w:r w:rsidR="007035C0" w:rsidRPr="009440D5">
        <w:rPr>
          <w:rFonts w:asciiTheme="majorBidi" w:hAnsiTheme="majorBidi" w:cstheme="majorBidi"/>
          <w:sz w:val="24"/>
          <w:szCs w:val="24"/>
        </w:rPr>
        <w:t xml:space="preserve"> </w:t>
      </w:r>
      <w:r w:rsidR="00626DF6" w:rsidRPr="009440D5">
        <w:rPr>
          <w:rFonts w:asciiTheme="majorBidi" w:hAnsiTheme="majorBidi" w:cstheme="majorBidi"/>
          <w:sz w:val="24"/>
          <w:szCs w:val="24"/>
        </w:rPr>
        <w:t xml:space="preserve">billion. </w:t>
      </w:r>
      <w:r w:rsidR="00626DF6" w:rsidRPr="007035C0">
        <w:rPr>
          <w:rFonts w:asciiTheme="majorBidi" w:hAnsiTheme="majorBidi" w:cstheme="majorBidi"/>
          <w:sz w:val="24"/>
          <w:szCs w:val="24"/>
        </w:rPr>
        <w:t>This gap is calculated</w:t>
      </w:r>
      <w:r w:rsidR="00626DF6" w:rsidRPr="009440D5">
        <w:rPr>
          <w:rFonts w:asciiTheme="majorBidi" w:hAnsiTheme="majorBidi" w:cstheme="majorBidi"/>
          <w:sz w:val="24"/>
          <w:szCs w:val="24"/>
        </w:rPr>
        <w:t xml:space="preserve"> based on </w:t>
      </w:r>
      <w:r w:rsidR="000840B1" w:rsidRPr="00FB3964">
        <w:rPr>
          <w:rFonts w:asciiTheme="majorBidi" w:hAnsiTheme="majorBidi" w:cstheme="majorBidi"/>
          <w:sz w:val="24"/>
          <w:szCs w:val="24"/>
        </w:rPr>
        <w:t xml:space="preserve">conservative </w:t>
      </w:r>
      <w:r w:rsidR="00626DF6" w:rsidRPr="00FB3964">
        <w:rPr>
          <w:rFonts w:asciiTheme="majorBidi" w:hAnsiTheme="majorBidi" w:cstheme="majorBidi"/>
          <w:sz w:val="24"/>
          <w:szCs w:val="24"/>
        </w:rPr>
        <w:t>assumptions</w:t>
      </w:r>
      <w:r w:rsidR="00626DF6" w:rsidRPr="009440D5">
        <w:rPr>
          <w:rFonts w:asciiTheme="majorBidi" w:hAnsiTheme="majorBidi" w:cstheme="majorBidi"/>
          <w:sz w:val="24"/>
          <w:szCs w:val="24"/>
        </w:rPr>
        <w:t xml:space="preserve"> that 1) defense expenditure in 2015 will be in accordance with the multiyear framework approved by the cabinet in parallel with the approval of the budget for 2013–14 by the government, and that such a framework will include the government’s expenses related to </w:t>
      </w:r>
      <w:r w:rsidR="007035C0">
        <w:rPr>
          <w:rFonts w:asciiTheme="majorBidi" w:hAnsiTheme="majorBidi" w:cstheme="majorBidi"/>
          <w:sz w:val="24"/>
          <w:szCs w:val="24"/>
        </w:rPr>
        <w:t>the</w:t>
      </w:r>
      <w:r w:rsidR="007035C0" w:rsidRPr="009440D5">
        <w:rPr>
          <w:rFonts w:asciiTheme="majorBidi" w:hAnsiTheme="majorBidi" w:cstheme="majorBidi"/>
          <w:sz w:val="24"/>
          <w:szCs w:val="24"/>
        </w:rPr>
        <w:t xml:space="preserve"> </w:t>
      </w:r>
      <w:r w:rsidR="00626DF6" w:rsidRPr="009440D5">
        <w:rPr>
          <w:rFonts w:asciiTheme="majorBidi" w:hAnsiTheme="majorBidi" w:cstheme="majorBidi"/>
          <w:sz w:val="24"/>
          <w:szCs w:val="24"/>
        </w:rPr>
        <w:t xml:space="preserve">agreement </w:t>
      </w:r>
      <w:r w:rsidR="007035C0">
        <w:rPr>
          <w:rFonts w:asciiTheme="majorBidi" w:hAnsiTheme="majorBidi" w:cstheme="majorBidi"/>
          <w:sz w:val="24"/>
          <w:szCs w:val="24"/>
        </w:rPr>
        <w:t>to consolidate and privatize</w:t>
      </w:r>
      <w:r w:rsidR="00DF691A" w:rsidRPr="009440D5">
        <w:rPr>
          <w:rFonts w:asciiTheme="majorBidi" w:hAnsiTheme="majorBidi" w:cstheme="majorBidi"/>
          <w:sz w:val="24"/>
          <w:szCs w:val="24"/>
        </w:rPr>
        <w:t xml:space="preserve"> Israel Military Industries; 2) that the law for implementing the long school day will be postponed again, 3) the </w:t>
      </w:r>
      <w:proofErr w:type="spellStart"/>
      <w:r w:rsidR="00BD6907" w:rsidRPr="009440D5">
        <w:rPr>
          <w:rFonts w:asciiTheme="majorBidi" w:hAnsiTheme="majorBidi" w:cstheme="majorBidi"/>
          <w:sz w:val="24"/>
          <w:szCs w:val="24"/>
        </w:rPr>
        <w:t>Alal</w:t>
      </w:r>
      <w:r w:rsidR="00DF691A" w:rsidRPr="009440D5">
        <w:rPr>
          <w:rFonts w:asciiTheme="majorBidi" w:hAnsiTheme="majorBidi" w:cstheme="majorBidi"/>
          <w:sz w:val="24"/>
          <w:szCs w:val="24"/>
        </w:rPr>
        <w:t>uf</w:t>
      </w:r>
      <w:proofErr w:type="spellEnd"/>
      <w:r w:rsidR="00DF691A" w:rsidRPr="009440D5">
        <w:rPr>
          <w:rFonts w:asciiTheme="majorBidi" w:hAnsiTheme="majorBidi" w:cstheme="majorBidi"/>
          <w:sz w:val="24"/>
          <w:szCs w:val="24"/>
        </w:rPr>
        <w:t xml:space="preserve"> Committee recommendations for examining welfare policy</w:t>
      </w:r>
      <w:r w:rsidR="00D0624A" w:rsidRPr="009440D5">
        <w:rPr>
          <w:rFonts w:asciiTheme="majorBidi" w:hAnsiTheme="majorBidi" w:cstheme="majorBidi"/>
          <w:sz w:val="24"/>
          <w:szCs w:val="24"/>
        </w:rPr>
        <w:t xml:space="preserve"> will not have significant budget consequences in 2015, 4) that new wage agreements will not be signed in 2015 that will increase </w:t>
      </w:r>
      <w:r w:rsidR="00D0624A" w:rsidRPr="009440D5">
        <w:rPr>
          <w:rFonts w:asciiTheme="majorBidi" w:hAnsiTheme="majorBidi" w:cstheme="majorBidi"/>
          <w:sz w:val="24"/>
          <w:szCs w:val="24"/>
        </w:rPr>
        <w:lastRenderedPageBreak/>
        <w:t xml:space="preserve">real public sector </w:t>
      </w:r>
      <w:r w:rsidR="0056570C" w:rsidRPr="009440D5">
        <w:rPr>
          <w:rFonts w:asciiTheme="majorBidi" w:hAnsiTheme="majorBidi" w:cstheme="majorBidi"/>
          <w:sz w:val="24"/>
          <w:szCs w:val="24"/>
        </w:rPr>
        <w:t xml:space="preserve">wages </w:t>
      </w:r>
      <w:r w:rsidR="00D0624A" w:rsidRPr="009440D5">
        <w:rPr>
          <w:rFonts w:asciiTheme="majorBidi" w:hAnsiTheme="majorBidi" w:cstheme="majorBidi"/>
          <w:sz w:val="24"/>
          <w:szCs w:val="24"/>
        </w:rPr>
        <w:t>beyond that of regular wage creep</w:t>
      </w:r>
      <w:r w:rsidR="00E811B2" w:rsidRPr="009440D5">
        <w:rPr>
          <w:rStyle w:val="a6"/>
          <w:rFonts w:asciiTheme="majorBidi" w:hAnsiTheme="majorBidi" w:cstheme="majorBidi"/>
          <w:sz w:val="24"/>
          <w:szCs w:val="24"/>
        </w:rPr>
        <w:footnoteReference w:id="7"/>
      </w:r>
      <w:r w:rsidR="0089017C" w:rsidRPr="009440D5">
        <w:rPr>
          <w:rFonts w:asciiTheme="majorBidi" w:hAnsiTheme="majorBidi" w:cstheme="majorBidi"/>
          <w:sz w:val="24"/>
          <w:szCs w:val="24"/>
        </w:rPr>
        <w:t>, and 5) there will not be significant budget costs in 2015 from the reform in the Israel Broadcasting Authority and the crisis at Hadassah Medical Center. In contrast, the analysis assumes that several budget items in which expenditure was lower than budgeted in recent years will continue to be budgeted at similar sizes, so that they will allow at least partial offsetting of the possible additions.</w:t>
      </w:r>
    </w:p>
    <w:p w:rsidR="00717023" w:rsidRPr="009440D5" w:rsidRDefault="00717023" w:rsidP="00CF7923">
      <w:pPr>
        <w:spacing w:after="0"/>
        <w:jc w:val="both"/>
        <w:rPr>
          <w:rFonts w:asciiTheme="majorBidi" w:hAnsiTheme="majorBidi" w:cstheme="majorBidi"/>
          <w:sz w:val="24"/>
          <w:szCs w:val="24"/>
        </w:rPr>
      </w:pPr>
      <w:r w:rsidRPr="009440D5">
        <w:rPr>
          <w:rFonts w:asciiTheme="majorBidi" w:hAnsiTheme="majorBidi" w:cstheme="majorBidi"/>
          <w:sz w:val="24"/>
          <w:szCs w:val="24"/>
        </w:rPr>
        <w:t xml:space="preserve">The gap between the cost of programs approved by the government and the expenditure ceiling ahead of the 2015 budget is smaller than the one faced by the government when approving the 2013–14 </w:t>
      </w:r>
      <w:proofErr w:type="gramStart"/>
      <w:r w:rsidRPr="009440D5">
        <w:rPr>
          <w:rFonts w:asciiTheme="majorBidi" w:hAnsiTheme="majorBidi" w:cstheme="majorBidi"/>
          <w:sz w:val="24"/>
          <w:szCs w:val="24"/>
        </w:rPr>
        <w:t>budget</w:t>
      </w:r>
      <w:proofErr w:type="gramEnd"/>
      <w:r w:rsidRPr="009440D5">
        <w:rPr>
          <w:rFonts w:asciiTheme="majorBidi" w:hAnsiTheme="majorBidi" w:cstheme="majorBidi"/>
          <w:sz w:val="24"/>
          <w:szCs w:val="24"/>
        </w:rPr>
        <w:t xml:space="preserve">. </w:t>
      </w:r>
      <w:r w:rsidR="007035C0">
        <w:rPr>
          <w:rFonts w:asciiTheme="majorBidi" w:hAnsiTheme="majorBidi" w:cstheme="majorBidi"/>
          <w:sz w:val="24"/>
          <w:szCs w:val="24"/>
        </w:rPr>
        <w:t>N</w:t>
      </w:r>
      <w:r w:rsidR="007035C0" w:rsidRPr="009440D5">
        <w:rPr>
          <w:rFonts w:asciiTheme="majorBidi" w:hAnsiTheme="majorBidi" w:cstheme="majorBidi"/>
          <w:sz w:val="24"/>
          <w:szCs w:val="24"/>
        </w:rPr>
        <w:t>onetheless</w:t>
      </w:r>
      <w:r w:rsidRPr="009440D5">
        <w:rPr>
          <w:rFonts w:asciiTheme="majorBidi" w:hAnsiTheme="majorBidi" w:cstheme="majorBidi"/>
          <w:sz w:val="24"/>
          <w:szCs w:val="24"/>
        </w:rPr>
        <w:t xml:space="preserve">, it is a large gap compared with </w:t>
      </w:r>
      <w:r w:rsidR="00A41135" w:rsidRPr="009440D5">
        <w:rPr>
          <w:rFonts w:asciiTheme="majorBidi" w:hAnsiTheme="majorBidi" w:cstheme="majorBidi"/>
          <w:sz w:val="24"/>
          <w:szCs w:val="24"/>
        </w:rPr>
        <w:t xml:space="preserve">the </w:t>
      </w:r>
      <w:r w:rsidRPr="009440D5">
        <w:rPr>
          <w:rFonts w:asciiTheme="majorBidi" w:hAnsiTheme="majorBidi" w:cstheme="majorBidi"/>
          <w:sz w:val="24"/>
          <w:szCs w:val="24"/>
        </w:rPr>
        <w:t xml:space="preserve">previous years. This gap reflects to a large extent the tension between the endeavor to maintain the tax burden—and </w:t>
      </w:r>
      <w:r w:rsidR="007035C0">
        <w:rPr>
          <w:rFonts w:asciiTheme="majorBidi" w:hAnsiTheme="majorBidi" w:cstheme="majorBidi"/>
          <w:sz w:val="24"/>
          <w:szCs w:val="24"/>
        </w:rPr>
        <w:t>consequently</w:t>
      </w:r>
      <w:r w:rsidR="007035C0" w:rsidRPr="009440D5">
        <w:rPr>
          <w:rFonts w:asciiTheme="majorBidi" w:hAnsiTheme="majorBidi" w:cstheme="majorBidi"/>
          <w:sz w:val="24"/>
          <w:szCs w:val="24"/>
        </w:rPr>
        <w:t xml:space="preserve"> </w:t>
      </w:r>
      <w:r w:rsidRPr="009440D5">
        <w:rPr>
          <w:rFonts w:asciiTheme="majorBidi" w:hAnsiTheme="majorBidi" w:cstheme="majorBidi"/>
          <w:sz w:val="24"/>
          <w:szCs w:val="24"/>
        </w:rPr>
        <w:t>the expenditure level—low, and the desire to provide a response to various social and economic needs, reflected in government decisions and in legislation requiring an increase in expenditures. With that, the lack of systematic monitoring of the gap between the cost of programs approved by the government and the expenditure ceiling set by the fiscal rule</w:t>
      </w:r>
      <w:r w:rsidR="00A41135" w:rsidRPr="009440D5">
        <w:rPr>
          <w:rFonts w:asciiTheme="majorBidi" w:hAnsiTheme="majorBidi" w:cstheme="majorBidi"/>
          <w:sz w:val="24"/>
          <w:szCs w:val="24"/>
        </w:rPr>
        <w:t xml:space="preserve"> also contributes to the creation of the gap</w:t>
      </w:r>
      <w:r w:rsidRPr="009440D5">
        <w:rPr>
          <w:rFonts w:asciiTheme="majorBidi" w:hAnsiTheme="majorBidi" w:cstheme="majorBidi"/>
          <w:sz w:val="24"/>
          <w:szCs w:val="24"/>
        </w:rPr>
        <w:t xml:space="preserve">. As a result, various plans approved by the government are not implemented, in whole or in part, and </w:t>
      </w:r>
      <w:r w:rsidR="00A41135" w:rsidRPr="009440D5">
        <w:rPr>
          <w:rFonts w:asciiTheme="majorBidi" w:hAnsiTheme="majorBidi" w:cstheme="majorBidi"/>
          <w:sz w:val="24"/>
          <w:szCs w:val="24"/>
        </w:rPr>
        <w:t xml:space="preserve">it also creates </w:t>
      </w:r>
      <w:r w:rsidRPr="009440D5">
        <w:rPr>
          <w:rFonts w:asciiTheme="majorBidi" w:hAnsiTheme="majorBidi" w:cstheme="majorBidi"/>
          <w:sz w:val="24"/>
          <w:szCs w:val="24"/>
        </w:rPr>
        <w:t xml:space="preserve">uncertainty and planning difficulties in the government ministries, in households and businesses, which are affected by these programs. </w:t>
      </w:r>
      <w:r w:rsidR="00CF7923">
        <w:rPr>
          <w:rFonts w:asciiTheme="majorBidi" w:hAnsiTheme="majorBidi" w:cstheme="majorBidi"/>
          <w:sz w:val="24"/>
          <w:szCs w:val="24"/>
        </w:rPr>
        <w:t>T</w:t>
      </w:r>
      <w:r w:rsidRPr="009440D5">
        <w:rPr>
          <w:rFonts w:asciiTheme="majorBidi" w:hAnsiTheme="majorBidi" w:cstheme="majorBidi"/>
          <w:sz w:val="24"/>
          <w:szCs w:val="24"/>
        </w:rPr>
        <w:t>o avoid a repeat of the process which led to the current problem, it is important that the government soon adopt</w:t>
      </w:r>
      <w:r w:rsidR="00CF7923">
        <w:rPr>
          <w:rFonts w:asciiTheme="majorBidi" w:hAnsiTheme="majorBidi" w:cstheme="majorBidi"/>
          <w:sz w:val="24"/>
          <w:szCs w:val="24"/>
        </w:rPr>
        <w:t>s</w:t>
      </w:r>
      <w:r w:rsidRPr="009440D5">
        <w:rPr>
          <w:rFonts w:asciiTheme="majorBidi" w:hAnsiTheme="majorBidi" w:cstheme="majorBidi"/>
          <w:sz w:val="24"/>
          <w:szCs w:val="24"/>
        </w:rPr>
        <w:t xml:space="preserve"> an effective </w:t>
      </w:r>
      <w:r w:rsidR="00D41F38" w:rsidRPr="009440D5">
        <w:rPr>
          <w:rFonts w:asciiTheme="majorBidi" w:hAnsiTheme="majorBidi" w:cstheme="majorBidi"/>
          <w:sz w:val="24"/>
          <w:szCs w:val="24"/>
        </w:rPr>
        <w:t xml:space="preserve">system </w:t>
      </w:r>
      <w:r w:rsidR="00CF7923">
        <w:rPr>
          <w:rFonts w:asciiTheme="majorBidi" w:hAnsiTheme="majorBidi" w:cstheme="majorBidi"/>
          <w:sz w:val="24"/>
          <w:szCs w:val="24"/>
        </w:rPr>
        <w:t xml:space="preserve">to </w:t>
      </w:r>
      <w:r w:rsidR="00076DDE" w:rsidRPr="009440D5">
        <w:rPr>
          <w:rFonts w:asciiTheme="majorBidi" w:hAnsiTheme="majorBidi" w:cstheme="majorBidi"/>
          <w:sz w:val="24"/>
          <w:szCs w:val="24"/>
        </w:rPr>
        <w:t xml:space="preserve">control the framework of its expenditures in the coming years, which will </w:t>
      </w:r>
      <w:r w:rsidR="00A41135" w:rsidRPr="009440D5">
        <w:rPr>
          <w:rFonts w:asciiTheme="majorBidi" w:hAnsiTheme="majorBidi" w:cstheme="majorBidi"/>
          <w:sz w:val="24"/>
          <w:szCs w:val="24"/>
        </w:rPr>
        <w:t xml:space="preserve">monitor </w:t>
      </w:r>
      <w:r w:rsidR="00076DDE" w:rsidRPr="009440D5">
        <w:rPr>
          <w:rFonts w:asciiTheme="majorBidi" w:hAnsiTheme="majorBidi" w:cstheme="majorBidi"/>
          <w:sz w:val="24"/>
          <w:szCs w:val="24"/>
        </w:rPr>
        <w:t xml:space="preserve">its expenditure </w:t>
      </w:r>
      <w:r w:rsidR="00A41135" w:rsidRPr="009440D5">
        <w:rPr>
          <w:rFonts w:asciiTheme="majorBidi" w:hAnsiTheme="majorBidi" w:cstheme="majorBidi"/>
          <w:sz w:val="24"/>
          <w:szCs w:val="24"/>
        </w:rPr>
        <w:t xml:space="preserve">commitments </w:t>
      </w:r>
      <w:r w:rsidR="00076DDE" w:rsidRPr="009440D5">
        <w:rPr>
          <w:rFonts w:asciiTheme="majorBidi" w:hAnsiTheme="majorBidi" w:cstheme="majorBidi"/>
          <w:sz w:val="24"/>
          <w:szCs w:val="24"/>
        </w:rPr>
        <w:t xml:space="preserve">and require </w:t>
      </w:r>
      <w:r w:rsidR="00A41135" w:rsidRPr="009440D5">
        <w:rPr>
          <w:rFonts w:asciiTheme="majorBidi" w:hAnsiTheme="majorBidi" w:cstheme="majorBidi"/>
          <w:sz w:val="24"/>
          <w:szCs w:val="24"/>
        </w:rPr>
        <w:t xml:space="preserve">an </w:t>
      </w:r>
      <w:r w:rsidR="00076DDE" w:rsidRPr="009440D5">
        <w:rPr>
          <w:rFonts w:asciiTheme="majorBidi" w:hAnsiTheme="majorBidi" w:cstheme="majorBidi"/>
          <w:sz w:val="24"/>
          <w:szCs w:val="24"/>
        </w:rPr>
        <w:t>immediate reaction to the development of deviations from the expenditure ceiling for coming years.</w:t>
      </w:r>
      <w:r w:rsidR="00EB0352" w:rsidRPr="009440D5">
        <w:rPr>
          <w:rStyle w:val="a6"/>
          <w:rFonts w:asciiTheme="majorBidi" w:hAnsiTheme="majorBidi" w:cstheme="majorBidi"/>
          <w:sz w:val="24"/>
          <w:szCs w:val="24"/>
        </w:rPr>
        <w:footnoteReference w:id="8"/>
      </w:r>
    </w:p>
    <w:p w:rsidR="003A54B4" w:rsidRPr="009440D5" w:rsidRDefault="004B572E" w:rsidP="00AF065B">
      <w:pPr>
        <w:spacing w:after="0"/>
        <w:jc w:val="both"/>
        <w:rPr>
          <w:rFonts w:asciiTheme="majorBidi" w:hAnsiTheme="majorBidi" w:cstheme="majorBidi"/>
          <w:sz w:val="24"/>
          <w:szCs w:val="24"/>
        </w:rPr>
      </w:pPr>
      <w:r w:rsidRPr="003216EC">
        <w:rPr>
          <w:rFonts w:asciiTheme="majorBidi" w:hAnsiTheme="majorBidi" w:cstheme="majorBidi"/>
          <w:sz w:val="24"/>
          <w:szCs w:val="24"/>
        </w:rPr>
        <w:t>The deficit ceiling s</w:t>
      </w:r>
      <w:r w:rsidRPr="009440D5">
        <w:rPr>
          <w:rFonts w:asciiTheme="majorBidi" w:hAnsiTheme="majorBidi" w:cstheme="majorBidi"/>
          <w:sz w:val="24"/>
          <w:szCs w:val="24"/>
        </w:rPr>
        <w:t>et by law for 2015 is 2.5 percent of GDP, and based on estimates derived from the Bank of Israel Research Department’s tax model</w:t>
      </w:r>
      <w:r w:rsidR="006D0CDD" w:rsidRPr="009440D5">
        <w:rPr>
          <w:rStyle w:val="a6"/>
          <w:rFonts w:asciiTheme="majorBidi" w:hAnsiTheme="majorBidi" w:cstheme="majorBidi"/>
          <w:sz w:val="24"/>
          <w:szCs w:val="24"/>
        </w:rPr>
        <w:footnoteReference w:id="9"/>
      </w:r>
      <w:r w:rsidRPr="009440D5">
        <w:rPr>
          <w:rFonts w:asciiTheme="majorBidi" w:hAnsiTheme="majorBidi" w:cstheme="majorBidi"/>
          <w:sz w:val="24"/>
          <w:szCs w:val="24"/>
        </w:rPr>
        <w:t xml:space="preserve">, policy </w:t>
      </w:r>
      <w:r w:rsidR="00AF065B">
        <w:rPr>
          <w:rFonts w:asciiTheme="majorBidi" w:hAnsiTheme="majorBidi" w:cstheme="majorBidi"/>
          <w:sz w:val="24"/>
          <w:szCs w:val="24"/>
        </w:rPr>
        <w:t>measures</w:t>
      </w:r>
      <w:r w:rsidRPr="009440D5">
        <w:rPr>
          <w:rFonts w:asciiTheme="majorBidi" w:hAnsiTheme="majorBidi" w:cstheme="majorBidi"/>
          <w:sz w:val="24"/>
          <w:szCs w:val="24"/>
        </w:rPr>
        <w:t xml:space="preserve"> to increase revenues or to reduce expenditures to below the ceiling will be required in order not to deviate from that level. The size of the required </w:t>
      </w:r>
      <w:r w:rsidR="00AF065B">
        <w:rPr>
          <w:rFonts w:asciiTheme="majorBidi" w:hAnsiTheme="majorBidi" w:cstheme="majorBidi"/>
          <w:sz w:val="24"/>
          <w:szCs w:val="24"/>
        </w:rPr>
        <w:t>measures</w:t>
      </w:r>
      <w:r w:rsidR="001213D0" w:rsidRPr="009440D5">
        <w:rPr>
          <w:rFonts w:asciiTheme="majorBidi" w:hAnsiTheme="majorBidi" w:cstheme="majorBidi"/>
          <w:sz w:val="24"/>
          <w:szCs w:val="24"/>
        </w:rPr>
        <w:t xml:space="preserve"> </w:t>
      </w:r>
      <w:r w:rsidRPr="009440D5">
        <w:rPr>
          <w:rFonts w:asciiTheme="majorBidi" w:hAnsiTheme="majorBidi" w:cstheme="majorBidi"/>
          <w:sz w:val="24"/>
          <w:szCs w:val="24"/>
        </w:rPr>
        <w:t xml:space="preserve">depends on whether a price adjustment </w:t>
      </w:r>
      <w:r w:rsidR="003D1169" w:rsidRPr="009440D5">
        <w:rPr>
          <w:rFonts w:asciiTheme="majorBidi" w:hAnsiTheme="majorBidi" w:cstheme="majorBidi"/>
          <w:sz w:val="24"/>
          <w:szCs w:val="24"/>
        </w:rPr>
        <w:t xml:space="preserve">will be made when calculating the expenditure ceiling. If the adjustment is made, and the expenditure increase will moderate by NIS </w:t>
      </w:r>
      <w:r w:rsidR="00A905E7" w:rsidRPr="009440D5">
        <w:rPr>
          <w:rFonts w:asciiTheme="majorBidi" w:hAnsiTheme="majorBidi" w:cstheme="majorBidi"/>
          <w:sz w:val="24"/>
          <w:szCs w:val="24"/>
        </w:rPr>
        <w:t>1</w:t>
      </w:r>
      <w:r w:rsidR="00A905E7">
        <w:rPr>
          <w:rFonts w:asciiTheme="majorBidi" w:hAnsiTheme="majorBidi" w:cstheme="majorBidi"/>
          <w:sz w:val="24"/>
          <w:szCs w:val="24"/>
        </w:rPr>
        <w:t>2</w:t>
      </w:r>
      <w:r w:rsidR="00A905E7" w:rsidRPr="009440D5">
        <w:rPr>
          <w:rFonts w:asciiTheme="majorBidi" w:hAnsiTheme="majorBidi" w:cstheme="majorBidi"/>
          <w:sz w:val="24"/>
          <w:szCs w:val="24"/>
        </w:rPr>
        <w:t xml:space="preserve"> </w:t>
      </w:r>
      <w:r w:rsidR="003D1169" w:rsidRPr="009440D5">
        <w:rPr>
          <w:rFonts w:asciiTheme="majorBidi" w:hAnsiTheme="majorBidi" w:cstheme="majorBidi"/>
          <w:sz w:val="24"/>
          <w:szCs w:val="24"/>
        </w:rPr>
        <w:t xml:space="preserve">billion compared with the present estimation, the deficit is expected to be </w:t>
      </w:r>
      <w:r w:rsidR="00AF065B">
        <w:rPr>
          <w:rFonts w:asciiTheme="majorBidi" w:hAnsiTheme="majorBidi" w:cstheme="majorBidi"/>
          <w:sz w:val="24"/>
          <w:szCs w:val="24"/>
        </w:rPr>
        <w:t>3.0</w:t>
      </w:r>
      <w:r w:rsidR="003D1169" w:rsidRPr="009440D5">
        <w:rPr>
          <w:rFonts w:asciiTheme="majorBidi" w:hAnsiTheme="majorBidi" w:cstheme="majorBidi"/>
          <w:sz w:val="24"/>
          <w:szCs w:val="24"/>
        </w:rPr>
        <w:t xml:space="preserve"> percent of GDP, and the additional revenues that will be required in order not to deviate from the deficit ceiling will be about NIS </w:t>
      </w:r>
      <w:r w:rsidR="00A905E7">
        <w:rPr>
          <w:rFonts w:asciiTheme="majorBidi" w:hAnsiTheme="majorBidi" w:cstheme="majorBidi"/>
          <w:sz w:val="24"/>
          <w:szCs w:val="24"/>
        </w:rPr>
        <w:t>6</w:t>
      </w:r>
      <w:r w:rsidR="00A905E7" w:rsidRPr="009440D5">
        <w:rPr>
          <w:rFonts w:asciiTheme="majorBidi" w:hAnsiTheme="majorBidi" w:cstheme="majorBidi"/>
          <w:sz w:val="24"/>
          <w:szCs w:val="24"/>
        </w:rPr>
        <w:t xml:space="preserve"> </w:t>
      </w:r>
      <w:r w:rsidR="003D1169" w:rsidRPr="009440D5">
        <w:rPr>
          <w:rFonts w:asciiTheme="majorBidi" w:hAnsiTheme="majorBidi" w:cstheme="majorBidi"/>
          <w:sz w:val="24"/>
          <w:szCs w:val="24"/>
        </w:rPr>
        <w:t xml:space="preserve">billion, an addition </w:t>
      </w:r>
      <w:r w:rsidR="001213D0" w:rsidRPr="009440D5">
        <w:rPr>
          <w:rFonts w:asciiTheme="majorBidi" w:hAnsiTheme="majorBidi" w:cstheme="majorBidi"/>
          <w:sz w:val="24"/>
          <w:szCs w:val="24"/>
        </w:rPr>
        <w:t xml:space="preserve">that </w:t>
      </w:r>
      <w:r w:rsidR="003D1169" w:rsidRPr="009440D5">
        <w:rPr>
          <w:rFonts w:asciiTheme="majorBidi" w:hAnsiTheme="majorBidi" w:cstheme="majorBidi"/>
          <w:sz w:val="24"/>
          <w:szCs w:val="24"/>
        </w:rPr>
        <w:t>reflects, among other things, revenue losses of more than NIS 2</w:t>
      </w:r>
      <w:r w:rsidR="00A905E7">
        <w:rPr>
          <w:rFonts w:asciiTheme="majorBidi" w:hAnsiTheme="majorBidi" w:cstheme="majorBidi"/>
          <w:sz w:val="24"/>
          <w:szCs w:val="24"/>
        </w:rPr>
        <w:t>.5</w:t>
      </w:r>
      <w:r w:rsidR="003D1169" w:rsidRPr="009440D5">
        <w:rPr>
          <w:rFonts w:asciiTheme="majorBidi" w:hAnsiTheme="majorBidi" w:cstheme="majorBidi"/>
          <w:sz w:val="24"/>
          <w:szCs w:val="24"/>
        </w:rPr>
        <w:t xml:space="preserve"> billion </w:t>
      </w:r>
      <w:r w:rsidR="001213D0" w:rsidRPr="009440D5">
        <w:rPr>
          <w:rFonts w:asciiTheme="majorBidi" w:hAnsiTheme="majorBidi" w:cstheme="majorBidi"/>
          <w:sz w:val="24"/>
          <w:szCs w:val="24"/>
        </w:rPr>
        <w:t xml:space="preserve">related to </w:t>
      </w:r>
      <w:r w:rsidR="003D1169" w:rsidRPr="009440D5">
        <w:rPr>
          <w:rFonts w:asciiTheme="majorBidi" w:hAnsiTheme="majorBidi" w:cstheme="majorBidi"/>
          <w:sz w:val="24"/>
          <w:szCs w:val="24"/>
        </w:rPr>
        <w:t xml:space="preserve">the government decision to set a VAT rate of 0 percent on </w:t>
      </w:r>
      <w:r w:rsidR="00AF065B">
        <w:rPr>
          <w:rFonts w:asciiTheme="majorBidi" w:hAnsiTheme="majorBidi" w:cstheme="majorBidi"/>
          <w:sz w:val="24"/>
          <w:szCs w:val="24"/>
        </w:rPr>
        <w:t xml:space="preserve">most </w:t>
      </w:r>
      <w:r w:rsidR="003D1169" w:rsidRPr="009440D5">
        <w:rPr>
          <w:rFonts w:asciiTheme="majorBidi" w:hAnsiTheme="majorBidi" w:cstheme="majorBidi"/>
          <w:sz w:val="24"/>
          <w:szCs w:val="24"/>
        </w:rPr>
        <w:t xml:space="preserve">first-time homebuyers, which is expected to be implemented by the beginning of 2015. If a price adjustment is not made, and the increase in expenditure is only moderated by NIS </w:t>
      </w:r>
      <w:r w:rsidR="00A905E7">
        <w:rPr>
          <w:rFonts w:asciiTheme="majorBidi" w:hAnsiTheme="majorBidi" w:cstheme="majorBidi"/>
          <w:sz w:val="24"/>
          <w:szCs w:val="24"/>
        </w:rPr>
        <w:t>7</w:t>
      </w:r>
      <w:r w:rsidR="003D1169" w:rsidRPr="009440D5">
        <w:rPr>
          <w:rFonts w:asciiTheme="majorBidi" w:hAnsiTheme="majorBidi" w:cstheme="majorBidi"/>
          <w:sz w:val="24"/>
          <w:szCs w:val="24"/>
        </w:rPr>
        <w:t>.</w:t>
      </w:r>
      <w:r w:rsidR="00A905E7">
        <w:rPr>
          <w:rFonts w:asciiTheme="majorBidi" w:hAnsiTheme="majorBidi" w:cstheme="majorBidi"/>
          <w:sz w:val="24"/>
          <w:szCs w:val="24"/>
        </w:rPr>
        <w:t>3</w:t>
      </w:r>
      <w:r w:rsidR="00A905E7" w:rsidRPr="009440D5">
        <w:rPr>
          <w:rFonts w:asciiTheme="majorBidi" w:hAnsiTheme="majorBidi" w:cstheme="majorBidi"/>
          <w:sz w:val="24"/>
          <w:szCs w:val="24"/>
        </w:rPr>
        <w:t xml:space="preserve"> </w:t>
      </w:r>
      <w:r w:rsidR="003D1169" w:rsidRPr="009440D5">
        <w:rPr>
          <w:rFonts w:asciiTheme="majorBidi" w:hAnsiTheme="majorBidi" w:cstheme="majorBidi"/>
          <w:sz w:val="24"/>
          <w:szCs w:val="24"/>
        </w:rPr>
        <w:t xml:space="preserve">billion, the deficit is expected to </w:t>
      </w:r>
      <w:r w:rsidR="00E22336" w:rsidRPr="009440D5">
        <w:rPr>
          <w:rFonts w:asciiTheme="majorBidi" w:hAnsiTheme="majorBidi" w:cstheme="majorBidi"/>
          <w:sz w:val="24"/>
          <w:szCs w:val="24"/>
        </w:rPr>
        <w:t xml:space="preserve">increase </w:t>
      </w:r>
      <w:r w:rsidR="00934CB1" w:rsidRPr="009440D5">
        <w:rPr>
          <w:rFonts w:asciiTheme="majorBidi" w:hAnsiTheme="majorBidi" w:cstheme="majorBidi"/>
          <w:sz w:val="24"/>
          <w:szCs w:val="24"/>
        </w:rPr>
        <w:t>to 3.</w:t>
      </w:r>
      <w:r w:rsidR="00A905E7">
        <w:rPr>
          <w:rFonts w:asciiTheme="majorBidi" w:hAnsiTheme="majorBidi" w:cstheme="majorBidi"/>
          <w:sz w:val="24"/>
          <w:szCs w:val="24"/>
        </w:rPr>
        <w:t>4</w:t>
      </w:r>
      <w:r w:rsidR="00A905E7" w:rsidRPr="009440D5">
        <w:rPr>
          <w:rFonts w:asciiTheme="majorBidi" w:hAnsiTheme="majorBidi" w:cstheme="majorBidi"/>
          <w:sz w:val="24"/>
          <w:szCs w:val="24"/>
        </w:rPr>
        <w:t xml:space="preserve"> </w:t>
      </w:r>
      <w:r w:rsidR="003D1169" w:rsidRPr="009440D5">
        <w:rPr>
          <w:rFonts w:asciiTheme="majorBidi" w:hAnsiTheme="majorBidi" w:cstheme="majorBidi"/>
          <w:sz w:val="24"/>
          <w:szCs w:val="24"/>
        </w:rPr>
        <w:t xml:space="preserve">percent of GDP, and the additional revenues required will reach more than NIS </w:t>
      </w:r>
      <w:r w:rsidR="00A905E7">
        <w:rPr>
          <w:rFonts w:asciiTheme="majorBidi" w:hAnsiTheme="majorBidi" w:cstheme="majorBidi"/>
          <w:sz w:val="24"/>
          <w:szCs w:val="24"/>
        </w:rPr>
        <w:t>10.5</w:t>
      </w:r>
      <w:r w:rsidR="00A905E7" w:rsidRPr="009440D5">
        <w:rPr>
          <w:rFonts w:asciiTheme="majorBidi" w:hAnsiTheme="majorBidi" w:cstheme="majorBidi"/>
          <w:sz w:val="24"/>
          <w:szCs w:val="24"/>
        </w:rPr>
        <w:t xml:space="preserve"> </w:t>
      </w:r>
      <w:r w:rsidR="003D1169" w:rsidRPr="009440D5">
        <w:rPr>
          <w:rFonts w:asciiTheme="majorBidi" w:hAnsiTheme="majorBidi" w:cstheme="majorBidi"/>
          <w:sz w:val="24"/>
          <w:szCs w:val="24"/>
        </w:rPr>
        <w:t xml:space="preserve">billion. The combination of required adjustments in order </w:t>
      </w:r>
      <w:r w:rsidR="003216EC">
        <w:rPr>
          <w:rFonts w:asciiTheme="majorBidi" w:hAnsiTheme="majorBidi" w:cstheme="majorBidi"/>
          <w:sz w:val="24"/>
          <w:szCs w:val="24"/>
        </w:rPr>
        <w:t xml:space="preserve">not </w:t>
      </w:r>
      <w:r w:rsidR="003D1169" w:rsidRPr="009440D5">
        <w:rPr>
          <w:rFonts w:asciiTheme="majorBidi" w:hAnsiTheme="majorBidi" w:cstheme="majorBidi"/>
          <w:sz w:val="24"/>
          <w:szCs w:val="24"/>
        </w:rPr>
        <w:t xml:space="preserve">to deviate from the deficit ceiling is thus about NIS </w:t>
      </w:r>
      <w:r w:rsidR="00A905E7" w:rsidRPr="009440D5">
        <w:rPr>
          <w:rFonts w:asciiTheme="majorBidi" w:hAnsiTheme="majorBidi" w:cstheme="majorBidi"/>
          <w:sz w:val="24"/>
          <w:szCs w:val="24"/>
        </w:rPr>
        <w:t>1</w:t>
      </w:r>
      <w:r w:rsidR="00A905E7">
        <w:rPr>
          <w:rFonts w:asciiTheme="majorBidi" w:hAnsiTheme="majorBidi" w:cstheme="majorBidi"/>
          <w:sz w:val="24"/>
          <w:szCs w:val="24"/>
        </w:rPr>
        <w:t>8</w:t>
      </w:r>
      <w:r w:rsidR="00A905E7" w:rsidRPr="009440D5">
        <w:rPr>
          <w:rFonts w:asciiTheme="majorBidi" w:hAnsiTheme="majorBidi" w:cstheme="majorBidi"/>
          <w:sz w:val="24"/>
          <w:szCs w:val="24"/>
        </w:rPr>
        <w:t xml:space="preserve"> </w:t>
      </w:r>
      <w:r w:rsidR="003D1169" w:rsidRPr="009440D5">
        <w:rPr>
          <w:rFonts w:asciiTheme="majorBidi" w:hAnsiTheme="majorBidi" w:cstheme="majorBidi"/>
          <w:sz w:val="24"/>
          <w:szCs w:val="24"/>
        </w:rPr>
        <w:t>billion, which is 1.</w:t>
      </w:r>
      <w:r w:rsidR="00A905E7">
        <w:rPr>
          <w:rFonts w:asciiTheme="majorBidi" w:hAnsiTheme="majorBidi" w:cstheme="majorBidi"/>
          <w:sz w:val="24"/>
          <w:szCs w:val="24"/>
        </w:rPr>
        <w:t>6</w:t>
      </w:r>
      <w:r w:rsidR="00A905E7" w:rsidRPr="009440D5">
        <w:rPr>
          <w:rFonts w:asciiTheme="majorBidi" w:hAnsiTheme="majorBidi" w:cstheme="majorBidi"/>
          <w:sz w:val="24"/>
          <w:szCs w:val="24"/>
        </w:rPr>
        <w:t xml:space="preserve"> </w:t>
      </w:r>
      <w:r w:rsidR="003D1169" w:rsidRPr="009440D5">
        <w:rPr>
          <w:rFonts w:asciiTheme="majorBidi" w:hAnsiTheme="majorBidi" w:cstheme="majorBidi"/>
          <w:sz w:val="24"/>
          <w:szCs w:val="24"/>
        </w:rPr>
        <w:t>percent of GDP</w:t>
      </w:r>
      <w:r w:rsidR="00111CD1" w:rsidRPr="009440D5">
        <w:rPr>
          <w:rFonts w:asciiTheme="majorBidi" w:hAnsiTheme="majorBidi" w:cstheme="majorBidi"/>
          <w:sz w:val="24"/>
          <w:szCs w:val="24"/>
        </w:rPr>
        <w:t>.</w:t>
      </w:r>
    </w:p>
    <w:p w:rsidR="00111CD1" w:rsidRPr="009440D5" w:rsidRDefault="00111CD1" w:rsidP="00111CD1">
      <w:pPr>
        <w:spacing w:after="0"/>
        <w:jc w:val="both"/>
        <w:rPr>
          <w:rFonts w:asciiTheme="majorBidi" w:hAnsiTheme="majorBidi" w:cstheme="majorBidi"/>
          <w:sz w:val="24"/>
          <w:szCs w:val="24"/>
        </w:rPr>
      </w:pPr>
    </w:p>
    <w:p w:rsidR="00111CD1" w:rsidRPr="009440D5" w:rsidRDefault="00111CD1" w:rsidP="00111CD1">
      <w:pPr>
        <w:pStyle w:val="a3"/>
        <w:numPr>
          <w:ilvl w:val="0"/>
          <w:numId w:val="1"/>
        </w:numPr>
        <w:spacing w:after="0"/>
        <w:jc w:val="both"/>
        <w:rPr>
          <w:rFonts w:asciiTheme="majorBidi" w:hAnsiTheme="majorBidi" w:cstheme="majorBidi"/>
          <w:b/>
          <w:bCs/>
          <w:sz w:val="24"/>
          <w:szCs w:val="24"/>
        </w:rPr>
      </w:pPr>
      <w:r w:rsidRPr="009440D5">
        <w:rPr>
          <w:rFonts w:asciiTheme="majorBidi" w:hAnsiTheme="majorBidi" w:cstheme="majorBidi"/>
          <w:b/>
          <w:bCs/>
          <w:sz w:val="24"/>
          <w:szCs w:val="24"/>
        </w:rPr>
        <w:t>Forecast and scenarios for 2015–20</w:t>
      </w:r>
    </w:p>
    <w:p w:rsidR="002A01B3" w:rsidRDefault="00111CD1" w:rsidP="00B11090">
      <w:pPr>
        <w:spacing w:after="0"/>
        <w:jc w:val="both"/>
        <w:rPr>
          <w:rFonts w:asciiTheme="majorBidi" w:hAnsiTheme="majorBidi" w:cstheme="majorBidi"/>
          <w:sz w:val="24"/>
          <w:szCs w:val="24"/>
        </w:rPr>
      </w:pPr>
      <w:r w:rsidRPr="009440D5">
        <w:rPr>
          <w:rFonts w:asciiTheme="majorBidi" w:hAnsiTheme="majorBidi" w:cstheme="majorBidi"/>
          <w:sz w:val="24"/>
          <w:szCs w:val="24"/>
        </w:rPr>
        <w:lastRenderedPageBreak/>
        <w:t>The deficit</w:t>
      </w:r>
      <w:r w:rsidR="007F1D07" w:rsidRPr="009440D5">
        <w:rPr>
          <w:rFonts w:asciiTheme="majorBidi" w:hAnsiTheme="majorBidi" w:cstheme="majorBidi"/>
          <w:sz w:val="24"/>
          <w:szCs w:val="24"/>
        </w:rPr>
        <w:t xml:space="preserve"> and </w:t>
      </w:r>
      <w:r w:rsidRPr="009440D5">
        <w:rPr>
          <w:rFonts w:asciiTheme="majorBidi" w:hAnsiTheme="majorBidi" w:cstheme="majorBidi"/>
          <w:sz w:val="24"/>
          <w:szCs w:val="24"/>
        </w:rPr>
        <w:t xml:space="preserve">expenditure ceilings set by law are multiyear and are intended to create a stable framework which allows government planning of </w:t>
      </w:r>
      <w:r w:rsidR="007F1D07" w:rsidRPr="009440D5">
        <w:rPr>
          <w:rFonts w:asciiTheme="majorBidi" w:hAnsiTheme="majorBidi" w:cstheme="majorBidi"/>
          <w:sz w:val="24"/>
          <w:szCs w:val="24"/>
        </w:rPr>
        <w:t xml:space="preserve">its </w:t>
      </w:r>
      <w:r w:rsidRPr="009440D5">
        <w:rPr>
          <w:rFonts w:asciiTheme="majorBidi" w:hAnsiTheme="majorBidi" w:cstheme="majorBidi"/>
          <w:sz w:val="24"/>
          <w:szCs w:val="24"/>
        </w:rPr>
        <w:t>expenditures and tax rates over time, along with support for macroeconomic stability. Beyond the above analysis, which examined the development expected in 2015, it is therefore important to examine their effects on fiscal policy over the rest of the decade. This analysis is presented under the assumption that the economy’s growth rates from 2016 and onward will be, on average, 3 percent per year, a growth rate which takes into account the demographic changes occurring in Israel.</w:t>
      </w:r>
      <w:r w:rsidR="002639D9">
        <w:rPr>
          <w:rStyle w:val="a6"/>
          <w:rFonts w:asciiTheme="majorBidi" w:hAnsiTheme="majorBidi" w:cstheme="majorBidi"/>
          <w:sz w:val="24"/>
          <w:szCs w:val="24"/>
        </w:rPr>
        <w:footnoteReference w:id="10"/>
      </w:r>
      <w:r w:rsidRPr="009440D5">
        <w:rPr>
          <w:rFonts w:asciiTheme="majorBidi" w:hAnsiTheme="majorBidi" w:cstheme="majorBidi"/>
          <w:sz w:val="24"/>
          <w:szCs w:val="24"/>
        </w:rPr>
        <w:t xml:space="preserve"> Based on the analysis, meeting the deficit target will allow the government to </w:t>
      </w:r>
      <w:r w:rsidR="00B11090">
        <w:rPr>
          <w:rFonts w:asciiTheme="majorBidi" w:hAnsiTheme="majorBidi" w:cstheme="majorBidi"/>
          <w:sz w:val="24"/>
          <w:szCs w:val="24"/>
        </w:rPr>
        <w:t xml:space="preserve">gradually </w:t>
      </w:r>
      <w:r w:rsidRPr="009440D5">
        <w:rPr>
          <w:rFonts w:asciiTheme="majorBidi" w:hAnsiTheme="majorBidi" w:cstheme="majorBidi"/>
          <w:sz w:val="24"/>
          <w:szCs w:val="24"/>
        </w:rPr>
        <w:t xml:space="preserve">reduce the debt to GDP ratio to about 60 percent in 2020 (the green line in Figure 2). However, meeting the expenditure ceiling without </w:t>
      </w:r>
      <w:r w:rsidR="00B11090">
        <w:rPr>
          <w:rFonts w:asciiTheme="majorBidi" w:hAnsiTheme="majorBidi" w:cstheme="majorBidi"/>
          <w:sz w:val="24"/>
          <w:szCs w:val="24"/>
        </w:rPr>
        <w:t>measure</w:t>
      </w:r>
      <w:r w:rsidR="00B11090" w:rsidRPr="009440D5">
        <w:rPr>
          <w:rFonts w:asciiTheme="majorBidi" w:hAnsiTheme="majorBidi" w:cstheme="majorBidi"/>
          <w:sz w:val="24"/>
          <w:szCs w:val="24"/>
        </w:rPr>
        <w:t xml:space="preserve">s </w:t>
      </w:r>
      <w:r w:rsidRPr="009440D5">
        <w:rPr>
          <w:rFonts w:asciiTheme="majorBidi" w:hAnsiTheme="majorBidi" w:cstheme="majorBidi"/>
          <w:sz w:val="24"/>
          <w:szCs w:val="24"/>
        </w:rPr>
        <w:t xml:space="preserve">to increase revenues (including in 2015) will </w:t>
      </w:r>
      <w:r w:rsidR="007F1D07" w:rsidRPr="009440D5">
        <w:rPr>
          <w:rFonts w:asciiTheme="majorBidi" w:hAnsiTheme="majorBidi" w:cstheme="majorBidi"/>
          <w:sz w:val="24"/>
          <w:szCs w:val="24"/>
        </w:rPr>
        <w:t xml:space="preserve">keep </w:t>
      </w:r>
      <w:r w:rsidRPr="009440D5">
        <w:rPr>
          <w:rFonts w:asciiTheme="majorBidi" w:hAnsiTheme="majorBidi" w:cstheme="majorBidi"/>
          <w:sz w:val="24"/>
          <w:szCs w:val="24"/>
        </w:rPr>
        <w:t>the debt to GDP ratio in coming years at its current level, in particular in a case in which no price adjustment is made in 2015 (the red line in Figure 2).</w:t>
      </w:r>
    </w:p>
    <w:p w:rsidR="002A01B3" w:rsidRDefault="003216EC" w:rsidP="003216EC">
      <w:pPr>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4751F297">
            <wp:extent cx="5273478" cy="3220034"/>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106" cy="3220417"/>
                    </a:xfrm>
                    <a:prstGeom prst="rect">
                      <a:avLst/>
                    </a:prstGeom>
                    <a:noFill/>
                  </pic:spPr>
                </pic:pic>
              </a:graphicData>
            </a:graphic>
          </wp:inline>
        </w:drawing>
      </w:r>
    </w:p>
    <w:p w:rsidR="00111CD1" w:rsidRDefault="00647021" w:rsidP="004411C1">
      <w:pPr>
        <w:spacing w:after="0"/>
        <w:jc w:val="both"/>
        <w:rPr>
          <w:rFonts w:asciiTheme="majorBidi" w:hAnsiTheme="majorBidi" w:cstheme="majorBidi"/>
          <w:sz w:val="24"/>
          <w:szCs w:val="24"/>
        </w:rPr>
      </w:pPr>
      <w:r w:rsidRPr="009440D5">
        <w:rPr>
          <w:rFonts w:asciiTheme="majorBidi" w:hAnsiTheme="majorBidi" w:cstheme="majorBidi"/>
          <w:sz w:val="24"/>
          <w:szCs w:val="24"/>
        </w:rPr>
        <w:t xml:space="preserve">Based on the expenditure rule, the expenditure ceiling is expected to increase at an </w:t>
      </w:r>
      <w:r w:rsidR="004411C1">
        <w:rPr>
          <w:rFonts w:asciiTheme="majorBidi" w:hAnsiTheme="majorBidi" w:cstheme="majorBidi"/>
          <w:sz w:val="24"/>
          <w:szCs w:val="24"/>
        </w:rPr>
        <w:t xml:space="preserve">average </w:t>
      </w:r>
      <w:r w:rsidRPr="009440D5">
        <w:rPr>
          <w:rFonts w:asciiTheme="majorBidi" w:hAnsiTheme="majorBidi" w:cstheme="majorBidi"/>
          <w:sz w:val="24"/>
          <w:szCs w:val="24"/>
        </w:rPr>
        <w:t xml:space="preserve">annual rate of 2.5 percent. The impact of this framework is an extended decline in the share of public expenditure in GDP which by 2020 will reach more than 1.5 percentage points compared with 2013–14 (the blue and red lines in Figure 3). In order to realize this decline, the government will need to significantly reduce the expenditure programs, which it decided upon, in the years after 2015 as well, even if the entire adjustment in the 2015 budget will be based on permanent </w:t>
      </w:r>
      <w:r w:rsidR="004411C1">
        <w:rPr>
          <w:rFonts w:asciiTheme="majorBidi" w:hAnsiTheme="majorBidi" w:cstheme="majorBidi"/>
          <w:sz w:val="24"/>
          <w:szCs w:val="24"/>
        </w:rPr>
        <w:t>measures</w:t>
      </w:r>
      <w:r w:rsidRPr="009440D5">
        <w:rPr>
          <w:rFonts w:asciiTheme="majorBidi" w:hAnsiTheme="majorBidi" w:cstheme="majorBidi"/>
          <w:sz w:val="24"/>
          <w:szCs w:val="24"/>
        </w:rPr>
        <w:t xml:space="preserve">. The size of the additional adjustment required in 2016 is NIS 6 billion, and in 2017 an adjustment of another NIS </w:t>
      </w:r>
      <w:r w:rsidR="00A905E7">
        <w:rPr>
          <w:rFonts w:asciiTheme="majorBidi" w:hAnsiTheme="majorBidi" w:cstheme="majorBidi"/>
          <w:sz w:val="24"/>
          <w:szCs w:val="24"/>
        </w:rPr>
        <w:t>5</w:t>
      </w:r>
      <w:r w:rsidR="00A905E7" w:rsidRPr="009440D5">
        <w:rPr>
          <w:rFonts w:asciiTheme="majorBidi" w:hAnsiTheme="majorBidi" w:cstheme="majorBidi"/>
          <w:sz w:val="24"/>
          <w:szCs w:val="24"/>
        </w:rPr>
        <w:t xml:space="preserve"> </w:t>
      </w:r>
      <w:r w:rsidRPr="009440D5">
        <w:rPr>
          <w:rFonts w:asciiTheme="majorBidi" w:hAnsiTheme="majorBidi" w:cstheme="majorBidi"/>
          <w:sz w:val="24"/>
          <w:szCs w:val="24"/>
        </w:rPr>
        <w:t>billion will be required (assuming that the adjustment in 2016 will</w:t>
      </w:r>
      <w:r w:rsidR="004411C1">
        <w:rPr>
          <w:rFonts w:asciiTheme="majorBidi" w:hAnsiTheme="majorBidi" w:cstheme="majorBidi"/>
          <w:sz w:val="24"/>
          <w:szCs w:val="24"/>
        </w:rPr>
        <w:t xml:space="preserve"> also</w:t>
      </w:r>
      <w:r w:rsidRPr="009440D5">
        <w:rPr>
          <w:rFonts w:asciiTheme="majorBidi" w:hAnsiTheme="majorBidi" w:cstheme="majorBidi"/>
          <w:sz w:val="24"/>
          <w:szCs w:val="24"/>
        </w:rPr>
        <w:t xml:space="preserve"> be permanent). This gap reflects the basic dynamic of the various items in the state budget such as education expenses, some National Insurance allowances, and hea</w:t>
      </w:r>
      <w:r w:rsidR="005B6126" w:rsidRPr="009440D5">
        <w:rPr>
          <w:rFonts w:asciiTheme="majorBidi" w:hAnsiTheme="majorBidi" w:cstheme="majorBidi"/>
          <w:sz w:val="24"/>
          <w:szCs w:val="24"/>
        </w:rPr>
        <w:t>l</w:t>
      </w:r>
      <w:r w:rsidRPr="009440D5">
        <w:rPr>
          <w:rFonts w:asciiTheme="majorBidi" w:hAnsiTheme="majorBidi" w:cstheme="majorBidi"/>
          <w:sz w:val="24"/>
          <w:szCs w:val="24"/>
        </w:rPr>
        <w:t xml:space="preserve">th expenditures—which accounts for most of the increase allowed under the expenditure rule—along with decisions on the multiyear framework of defense expenditures adopted in 2013 and the multiyear investment plan in transportation infrastructure. In addition, the </w:t>
      </w:r>
      <w:r w:rsidR="000B20A7" w:rsidRPr="009440D5">
        <w:rPr>
          <w:rFonts w:asciiTheme="majorBidi" w:hAnsiTheme="majorBidi" w:cstheme="majorBidi"/>
          <w:sz w:val="24"/>
          <w:szCs w:val="24"/>
        </w:rPr>
        <w:t xml:space="preserve">framework reflects the effects of a </w:t>
      </w:r>
      <w:r w:rsidR="004411C1">
        <w:rPr>
          <w:rFonts w:asciiTheme="majorBidi" w:hAnsiTheme="majorBidi" w:cstheme="majorBidi"/>
          <w:sz w:val="24"/>
          <w:szCs w:val="24"/>
        </w:rPr>
        <w:t xml:space="preserve">projected </w:t>
      </w:r>
      <w:r w:rsidR="000B20A7" w:rsidRPr="009440D5">
        <w:rPr>
          <w:rFonts w:asciiTheme="majorBidi" w:hAnsiTheme="majorBidi" w:cstheme="majorBidi"/>
          <w:sz w:val="24"/>
          <w:szCs w:val="24"/>
        </w:rPr>
        <w:t xml:space="preserve">gradual </w:t>
      </w:r>
      <w:r w:rsidR="000B20A7" w:rsidRPr="009440D5">
        <w:rPr>
          <w:rFonts w:asciiTheme="majorBidi" w:hAnsiTheme="majorBidi" w:cstheme="majorBidi"/>
          <w:sz w:val="24"/>
          <w:szCs w:val="24"/>
        </w:rPr>
        <w:lastRenderedPageBreak/>
        <w:t>increase in</w:t>
      </w:r>
      <w:r w:rsidR="004411C1">
        <w:rPr>
          <w:rFonts w:asciiTheme="majorBidi" w:hAnsiTheme="majorBidi" w:cstheme="majorBidi"/>
          <w:sz w:val="24"/>
          <w:szCs w:val="24"/>
        </w:rPr>
        <w:t xml:space="preserve"> global</w:t>
      </w:r>
      <w:r w:rsidR="000B20A7" w:rsidRPr="009440D5">
        <w:rPr>
          <w:rFonts w:asciiTheme="majorBidi" w:hAnsiTheme="majorBidi" w:cstheme="majorBidi"/>
          <w:sz w:val="24"/>
          <w:szCs w:val="24"/>
        </w:rPr>
        <w:t xml:space="preserve"> interest rates over the rest of the decade.</w:t>
      </w:r>
      <w:r w:rsidR="00D3299F">
        <w:rPr>
          <w:rStyle w:val="a6"/>
          <w:rFonts w:asciiTheme="majorBidi" w:hAnsiTheme="majorBidi" w:cstheme="majorBidi"/>
          <w:sz w:val="24"/>
          <w:szCs w:val="24"/>
        </w:rPr>
        <w:footnoteReference w:id="11"/>
      </w:r>
      <w:r w:rsidR="000B20A7" w:rsidRPr="009440D5">
        <w:rPr>
          <w:rFonts w:asciiTheme="majorBidi" w:hAnsiTheme="majorBidi" w:cstheme="majorBidi"/>
          <w:sz w:val="24"/>
          <w:szCs w:val="24"/>
        </w:rPr>
        <w:t xml:space="preserve"> The framework is presented by t</w:t>
      </w:r>
      <w:r w:rsidR="000B20A7" w:rsidRPr="00241FD1">
        <w:rPr>
          <w:rFonts w:asciiTheme="majorBidi" w:hAnsiTheme="majorBidi" w:cstheme="majorBidi"/>
          <w:sz w:val="24"/>
          <w:szCs w:val="24"/>
        </w:rPr>
        <w:t xml:space="preserve">he </w:t>
      </w:r>
      <w:r w:rsidR="00AA00BF" w:rsidRPr="00241FD1">
        <w:rPr>
          <w:rFonts w:asciiTheme="majorBidi" w:hAnsiTheme="majorBidi" w:cstheme="majorBidi"/>
          <w:sz w:val="24"/>
          <w:szCs w:val="24"/>
        </w:rPr>
        <w:t xml:space="preserve">black </w:t>
      </w:r>
      <w:r w:rsidR="000B20A7" w:rsidRPr="00241FD1">
        <w:rPr>
          <w:rFonts w:asciiTheme="majorBidi" w:hAnsiTheme="majorBidi" w:cstheme="majorBidi"/>
          <w:sz w:val="24"/>
          <w:szCs w:val="24"/>
        </w:rPr>
        <w:t>lin</w:t>
      </w:r>
      <w:r w:rsidR="000B20A7" w:rsidRPr="009440D5">
        <w:rPr>
          <w:rFonts w:asciiTheme="majorBidi" w:hAnsiTheme="majorBidi" w:cstheme="majorBidi"/>
          <w:sz w:val="24"/>
          <w:szCs w:val="24"/>
        </w:rPr>
        <w:t xml:space="preserve">e in Figure 3, and the gap between it and the blue or red lines represents the size of the adjustment (in percent of GDP) that will be required in order not to deviate from the expenditure ceiling. It is important to note that this framework assumes that the government will not decide on any additional expenditure until the end of the decade without reducing another expenditure </w:t>
      </w:r>
      <w:r w:rsidR="00B10678" w:rsidRPr="009440D5">
        <w:rPr>
          <w:rFonts w:asciiTheme="majorBidi" w:hAnsiTheme="majorBidi" w:cstheme="majorBidi"/>
          <w:sz w:val="24"/>
          <w:szCs w:val="24"/>
        </w:rPr>
        <w:t xml:space="preserve">item </w:t>
      </w:r>
      <w:r w:rsidR="000B20A7" w:rsidRPr="009440D5">
        <w:rPr>
          <w:rFonts w:asciiTheme="majorBidi" w:hAnsiTheme="majorBidi" w:cstheme="majorBidi"/>
          <w:sz w:val="24"/>
          <w:szCs w:val="24"/>
        </w:rPr>
        <w:t>by a parallel amount.</w:t>
      </w:r>
    </w:p>
    <w:p w:rsidR="002A01B3" w:rsidRPr="009440D5" w:rsidRDefault="008E5F2E" w:rsidP="002A01B3">
      <w:pPr>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0FF3B50">
            <wp:extent cx="5295667" cy="3233582"/>
            <wp:effectExtent l="0" t="0" r="635"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8308" cy="3235195"/>
                    </a:xfrm>
                    <a:prstGeom prst="rect">
                      <a:avLst/>
                    </a:prstGeom>
                    <a:noFill/>
                  </pic:spPr>
                </pic:pic>
              </a:graphicData>
            </a:graphic>
          </wp:inline>
        </w:drawing>
      </w:r>
    </w:p>
    <w:p w:rsidR="00763EAB" w:rsidRDefault="00F21423" w:rsidP="002A01B3">
      <w:pPr>
        <w:spacing w:after="0"/>
        <w:jc w:val="both"/>
        <w:rPr>
          <w:rFonts w:asciiTheme="majorBidi" w:hAnsiTheme="majorBidi" w:cstheme="majorBidi"/>
          <w:sz w:val="24"/>
          <w:szCs w:val="24"/>
        </w:rPr>
      </w:pPr>
      <w:r w:rsidRPr="009440D5">
        <w:rPr>
          <w:rFonts w:asciiTheme="majorBidi" w:hAnsiTheme="majorBidi" w:cstheme="majorBidi"/>
          <w:sz w:val="24"/>
          <w:szCs w:val="24"/>
        </w:rPr>
        <w:t>The Deficit Reduction Law sets declining targets: from 2.5 percent of GDP in 2015 to 2 percent of GDP in 2016 and to 1.5 percent of GDP in 2019 (the green line in Figure 4).</w:t>
      </w:r>
      <w:r w:rsidR="005E3370" w:rsidRPr="009440D5">
        <w:rPr>
          <w:rFonts w:asciiTheme="majorBidi" w:hAnsiTheme="majorBidi" w:cstheme="majorBidi"/>
          <w:sz w:val="24"/>
          <w:szCs w:val="24"/>
        </w:rPr>
        <w:t xml:space="preserve"> Assuming that government expenditures increase in line with the expenditure rule, and that </w:t>
      </w:r>
      <w:r w:rsidR="003A201E" w:rsidRPr="009440D5">
        <w:rPr>
          <w:rFonts w:asciiTheme="majorBidi" w:hAnsiTheme="majorBidi" w:cstheme="majorBidi"/>
          <w:sz w:val="24"/>
          <w:szCs w:val="24"/>
        </w:rPr>
        <w:t xml:space="preserve">the </w:t>
      </w:r>
      <w:r w:rsidR="005E3370" w:rsidRPr="009440D5">
        <w:rPr>
          <w:rFonts w:asciiTheme="majorBidi" w:hAnsiTheme="majorBidi" w:cstheme="majorBidi"/>
          <w:sz w:val="24"/>
          <w:szCs w:val="24"/>
        </w:rPr>
        <w:t xml:space="preserve">required adjustments will be implemented in order not to deviate from the deficit ceiling in 2015, </w:t>
      </w:r>
      <w:r w:rsidR="003A201E" w:rsidRPr="009440D5">
        <w:rPr>
          <w:rFonts w:asciiTheme="majorBidi" w:hAnsiTheme="majorBidi" w:cstheme="majorBidi"/>
          <w:sz w:val="24"/>
          <w:szCs w:val="24"/>
        </w:rPr>
        <w:t xml:space="preserve">revenues will need to be </w:t>
      </w:r>
      <w:r w:rsidR="005E3370" w:rsidRPr="009440D5">
        <w:rPr>
          <w:rFonts w:asciiTheme="majorBidi" w:hAnsiTheme="majorBidi" w:cstheme="majorBidi"/>
          <w:sz w:val="24"/>
          <w:szCs w:val="24"/>
        </w:rPr>
        <w:t>increase</w:t>
      </w:r>
      <w:r w:rsidR="003A201E" w:rsidRPr="009440D5">
        <w:rPr>
          <w:rFonts w:asciiTheme="majorBidi" w:hAnsiTheme="majorBidi" w:cstheme="majorBidi"/>
          <w:sz w:val="24"/>
          <w:szCs w:val="24"/>
        </w:rPr>
        <w:t xml:space="preserve">d by </w:t>
      </w:r>
      <w:r w:rsidR="005E3370" w:rsidRPr="009440D5">
        <w:rPr>
          <w:rFonts w:asciiTheme="majorBidi" w:hAnsiTheme="majorBidi" w:cstheme="majorBidi"/>
          <w:sz w:val="24"/>
          <w:szCs w:val="24"/>
        </w:rPr>
        <w:t>about NIS 4 billion in order to reduce the deficit in 2016 to the ceiling of 2 percent of GDP (the gap between the blue and red lines from the green line in Figure 4). The gap between the black line and the green line in Figure 4 reflects the total adjustments required each year—on the revenues and expenditures sides—in order not to deviate from the deficit ceiling.</w:t>
      </w:r>
    </w:p>
    <w:p w:rsidR="002A01B3" w:rsidRPr="009440D5" w:rsidRDefault="00B938DA" w:rsidP="002A01B3">
      <w:pPr>
        <w:spacing w:after="0"/>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3834988D" wp14:editId="54CD3A07">
            <wp:extent cx="5144858" cy="3141497"/>
            <wp:effectExtent l="0" t="0" r="0" b="1905"/>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3640" cy="3146859"/>
                    </a:xfrm>
                    <a:prstGeom prst="rect">
                      <a:avLst/>
                    </a:prstGeom>
                    <a:noFill/>
                  </pic:spPr>
                </pic:pic>
              </a:graphicData>
            </a:graphic>
          </wp:inline>
        </w:drawing>
      </w:r>
    </w:p>
    <w:p w:rsidR="00F21423" w:rsidRPr="009440D5" w:rsidRDefault="00A3343C" w:rsidP="00A3343C">
      <w:pPr>
        <w:spacing w:after="0"/>
        <w:jc w:val="both"/>
        <w:rPr>
          <w:rFonts w:asciiTheme="majorBidi" w:hAnsiTheme="majorBidi" w:cstheme="majorBidi"/>
          <w:sz w:val="24"/>
          <w:szCs w:val="24"/>
        </w:rPr>
      </w:pPr>
      <w:r>
        <w:rPr>
          <w:rFonts w:asciiTheme="majorBidi" w:hAnsiTheme="majorBidi" w:cstheme="majorBidi"/>
          <w:sz w:val="24"/>
          <w:szCs w:val="24"/>
        </w:rPr>
        <w:t>M</w:t>
      </w:r>
      <w:r w:rsidR="00763EAB" w:rsidRPr="009440D5">
        <w:rPr>
          <w:rFonts w:asciiTheme="majorBidi" w:hAnsiTheme="majorBidi" w:cstheme="majorBidi"/>
          <w:sz w:val="24"/>
          <w:szCs w:val="24"/>
        </w:rPr>
        <w:t xml:space="preserve">eeting the deficit ceiling also has a marked impact on the interest payments that the government will need to pay in the future. For example, interest payments estimated for 2020 under the policy framework in which the expenditure ceiling is maintained throughout the period (without price adjustment in 2015) and without </w:t>
      </w:r>
      <w:r>
        <w:rPr>
          <w:rFonts w:asciiTheme="majorBidi" w:hAnsiTheme="majorBidi" w:cstheme="majorBidi"/>
          <w:sz w:val="24"/>
          <w:szCs w:val="24"/>
        </w:rPr>
        <w:t>measures</w:t>
      </w:r>
      <w:r w:rsidRPr="009440D5">
        <w:rPr>
          <w:rFonts w:asciiTheme="majorBidi" w:hAnsiTheme="majorBidi" w:cstheme="majorBidi"/>
          <w:sz w:val="24"/>
          <w:szCs w:val="24"/>
        </w:rPr>
        <w:t xml:space="preserve"> </w:t>
      </w:r>
      <w:r w:rsidR="00763EAB" w:rsidRPr="009440D5">
        <w:rPr>
          <w:rFonts w:asciiTheme="majorBidi" w:hAnsiTheme="majorBidi" w:cstheme="majorBidi"/>
          <w:sz w:val="24"/>
          <w:szCs w:val="24"/>
        </w:rPr>
        <w:t xml:space="preserve">on the revenue side beyond existing legislation are about NIS 4.5 billion greater compared with the framework </w:t>
      </w:r>
      <w:r w:rsidR="00901F62" w:rsidRPr="009440D5">
        <w:rPr>
          <w:rFonts w:asciiTheme="majorBidi" w:hAnsiTheme="majorBidi" w:cstheme="majorBidi"/>
          <w:sz w:val="24"/>
          <w:szCs w:val="24"/>
        </w:rPr>
        <w:t xml:space="preserve">of meeting the deficit target. This gap </w:t>
      </w:r>
      <w:r w:rsidR="00934A6A" w:rsidRPr="009440D5">
        <w:rPr>
          <w:rFonts w:asciiTheme="majorBidi" w:hAnsiTheme="majorBidi" w:cstheme="majorBidi"/>
          <w:sz w:val="24"/>
          <w:szCs w:val="24"/>
        </w:rPr>
        <w:t xml:space="preserve">highlights </w:t>
      </w:r>
      <w:r w:rsidR="00901F62" w:rsidRPr="009440D5">
        <w:rPr>
          <w:rFonts w:asciiTheme="majorBidi" w:hAnsiTheme="majorBidi" w:cstheme="majorBidi"/>
          <w:sz w:val="24"/>
          <w:szCs w:val="24"/>
        </w:rPr>
        <w:t xml:space="preserve">deficit reduction’s important contribution to making budgetary resources available over the long term, over and above its contribution to reducing the economy’s risk premium. </w:t>
      </w:r>
    </w:p>
    <w:p w:rsidR="00803D4F" w:rsidRDefault="00803D4F" w:rsidP="00015F5D">
      <w:pPr>
        <w:spacing w:after="0"/>
        <w:jc w:val="both"/>
        <w:rPr>
          <w:rFonts w:asciiTheme="majorBidi" w:hAnsiTheme="majorBidi" w:cstheme="majorBidi"/>
          <w:sz w:val="24"/>
          <w:szCs w:val="24"/>
        </w:rPr>
      </w:pPr>
    </w:p>
    <w:p w:rsidR="00934A6A" w:rsidRDefault="00061DBE" w:rsidP="00015F5D">
      <w:pPr>
        <w:spacing w:after="0"/>
        <w:jc w:val="both"/>
        <w:rPr>
          <w:rFonts w:asciiTheme="majorBidi" w:hAnsiTheme="majorBidi" w:cstheme="majorBidi"/>
          <w:sz w:val="24"/>
          <w:szCs w:val="24"/>
        </w:rPr>
      </w:pPr>
      <w:r w:rsidRPr="009440D5">
        <w:rPr>
          <w:rFonts w:asciiTheme="majorBidi" w:hAnsiTheme="majorBidi" w:cstheme="majorBidi"/>
          <w:sz w:val="24"/>
          <w:szCs w:val="24"/>
        </w:rPr>
        <w:t xml:space="preserve">The analysis above is very sensitive to assumptions of the future growth rate of the economy. The present estimation was based on </w:t>
      </w:r>
      <w:r w:rsidR="00A3343C" w:rsidRPr="009440D5">
        <w:rPr>
          <w:rFonts w:asciiTheme="majorBidi" w:hAnsiTheme="majorBidi" w:cstheme="majorBidi"/>
          <w:sz w:val="24"/>
          <w:szCs w:val="24"/>
        </w:rPr>
        <w:t xml:space="preserve">very similar </w:t>
      </w:r>
      <w:r w:rsidRPr="009440D5">
        <w:rPr>
          <w:rFonts w:asciiTheme="majorBidi" w:hAnsiTheme="majorBidi" w:cstheme="majorBidi"/>
          <w:sz w:val="24"/>
          <w:szCs w:val="24"/>
        </w:rPr>
        <w:t xml:space="preserve">assumptions to those of the OECD and other </w:t>
      </w:r>
      <w:r w:rsidR="003A201E" w:rsidRPr="009440D5">
        <w:rPr>
          <w:rFonts w:asciiTheme="majorBidi" w:hAnsiTheme="majorBidi" w:cstheme="majorBidi"/>
          <w:sz w:val="24"/>
          <w:szCs w:val="24"/>
        </w:rPr>
        <w:t xml:space="preserve">entities </w:t>
      </w:r>
      <w:r w:rsidRPr="009440D5">
        <w:rPr>
          <w:rFonts w:asciiTheme="majorBidi" w:hAnsiTheme="majorBidi" w:cstheme="majorBidi"/>
          <w:sz w:val="24"/>
          <w:szCs w:val="24"/>
        </w:rPr>
        <w:t xml:space="preserve">covering Israel’s economy, but there is still some uncertainty regarding them. An analysis of how the deficit path will be affected by a framework in which the government meets the expenditure ceiling but does not increase revenues indicates that if growth will be 4 percent per year, on average, the government will be able to meet the reduced deficit targets beginning in </w:t>
      </w:r>
      <w:r w:rsidR="00015F5D" w:rsidRPr="009440D5">
        <w:rPr>
          <w:rFonts w:asciiTheme="majorBidi" w:hAnsiTheme="majorBidi" w:cstheme="majorBidi"/>
          <w:sz w:val="24"/>
          <w:szCs w:val="24"/>
        </w:rPr>
        <w:t>201</w:t>
      </w:r>
      <w:r w:rsidR="00015F5D">
        <w:rPr>
          <w:rFonts w:asciiTheme="majorBidi" w:hAnsiTheme="majorBidi" w:cstheme="majorBidi"/>
          <w:sz w:val="24"/>
          <w:szCs w:val="24"/>
        </w:rPr>
        <w:t>8</w:t>
      </w:r>
      <w:r w:rsidR="00015F5D" w:rsidRPr="009440D5">
        <w:rPr>
          <w:rFonts w:asciiTheme="majorBidi" w:hAnsiTheme="majorBidi" w:cstheme="majorBidi"/>
          <w:sz w:val="24"/>
          <w:szCs w:val="24"/>
        </w:rPr>
        <w:t xml:space="preserve"> </w:t>
      </w:r>
      <w:r w:rsidRPr="009440D5">
        <w:rPr>
          <w:rFonts w:asciiTheme="majorBidi" w:hAnsiTheme="majorBidi" w:cstheme="majorBidi"/>
          <w:sz w:val="24"/>
          <w:szCs w:val="24"/>
        </w:rPr>
        <w:t>(the black line in Figure 5). In contrast, a decline in th</w:t>
      </w:r>
      <w:r w:rsidRPr="00B938DA">
        <w:rPr>
          <w:rFonts w:asciiTheme="majorBidi" w:hAnsiTheme="majorBidi" w:cstheme="majorBidi"/>
          <w:sz w:val="24"/>
          <w:szCs w:val="24"/>
        </w:rPr>
        <w:t xml:space="preserve">e </w:t>
      </w:r>
      <w:r w:rsidR="00B938DA" w:rsidRPr="00B938DA">
        <w:rPr>
          <w:rFonts w:asciiTheme="majorBidi" w:hAnsiTheme="majorBidi" w:cstheme="majorBidi"/>
          <w:sz w:val="24"/>
          <w:szCs w:val="24"/>
        </w:rPr>
        <w:t>assumed</w:t>
      </w:r>
      <w:r w:rsidR="00D6158E" w:rsidRPr="00B938DA">
        <w:rPr>
          <w:rFonts w:asciiTheme="majorBidi" w:hAnsiTheme="majorBidi" w:cstheme="majorBidi"/>
          <w:sz w:val="24"/>
          <w:szCs w:val="24"/>
        </w:rPr>
        <w:t xml:space="preserve"> </w:t>
      </w:r>
      <w:r w:rsidRPr="00B938DA">
        <w:rPr>
          <w:rFonts w:asciiTheme="majorBidi" w:hAnsiTheme="majorBidi" w:cstheme="majorBidi"/>
          <w:sz w:val="24"/>
          <w:szCs w:val="24"/>
        </w:rPr>
        <w:t>grow</w:t>
      </w:r>
      <w:r w:rsidRPr="009440D5">
        <w:rPr>
          <w:rFonts w:asciiTheme="majorBidi" w:hAnsiTheme="majorBidi" w:cstheme="majorBidi"/>
          <w:sz w:val="24"/>
          <w:szCs w:val="24"/>
        </w:rPr>
        <w:t xml:space="preserve">th rate to an average of 2 percent is expected to lead to a gradual increase of the deficit (the red line in Figure 5) and to a concurrent increase </w:t>
      </w:r>
      <w:r w:rsidR="00A051FD" w:rsidRPr="009440D5">
        <w:rPr>
          <w:rFonts w:asciiTheme="majorBidi" w:hAnsiTheme="majorBidi" w:cstheme="majorBidi"/>
          <w:sz w:val="24"/>
          <w:szCs w:val="24"/>
        </w:rPr>
        <w:t>in the debt to GDP ratio to over 70 percent of GDP.</w:t>
      </w:r>
    </w:p>
    <w:p w:rsidR="002A01B3" w:rsidRPr="009440D5" w:rsidRDefault="00B938DA" w:rsidP="002A01B3">
      <w:pPr>
        <w:spacing w:after="0"/>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57C0F32D">
            <wp:extent cx="5199980" cy="3175156"/>
            <wp:effectExtent l="0" t="0" r="0" b="635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1862" cy="3176305"/>
                    </a:xfrm>
                    <a:prstGeom prst="rect">
                      <a:avLst/>
                    </a:prstGeom>
                    <a:noFill/>
                  </pic:spPr>
                </pic:pic>
              </a:graphicData>
            </a:graphic>
          </wp:inline>
        </w:drawing>
      </w:r>
    </w:p>
    <w:sectPr w:rsidR="002A01B3" w:rsidRPr="009440D5" w:rsidSect="004B0C2B">
      <w:footerReference w:type="default" r:id="rId18"/>
      <w:pgSz w:w="12240" w:h="15840"/>
      <w:pgMar w:top="907" w:right="1325" w:bottom="567" w:left="1355"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E3" w:rsidRDefault="00961EE3" w:rsidP="004471AF">
      <w:pPr>
        <w:spacing w:after="0" w:line="240" w:lineRule="auto"/>
      </w:pPr>
      <w:r>
        <w:separator/>
      </w:r>
    </w:p>
  </w:endnote>
  <w:endnote w:type="continuationSeparator" w:id="0">
    <w:p w:rsidR="00961EE3" w:rsidRDefault="00961EE3" w:rsidP="0044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2B" w:rsidRPr="004B0C2B" w:rsidRDefault="004B0C2B" w:rsidP="004B0C2B">
    <w:pPr>
      <w:pStyle w:val="af0"/>
      <w:tabs>
        <w:tab w:val="clear" w:pos="4153"/>
        <w:tab w:val="clear" w:pos="8306"/>
      </w:tabs>
      <w:ind w:left="-284"/>
      <w:rPr>
        <w:rFonts w:asciiTheme="majorBidi" w:hAnsiTheme="majorBidi" w:cstheme="majorBidi"/>
        <w:sz w:val="18"/>
        <w:szCs w:val="18"/>
        <w:cs/>
      </w:rPr>
    </w:pPr>
    <w:r>
      <w:rPr>
        <w:rFonts w:asciiTheme="majorBidi" w:hAnsiTheme="majorBidi" w:cstheme="majorBidi"/>
        <w:sz w:val="18"/>
        <w:szCs w:val="18"/>
      </w:rPr>
      <w:t>Bank of Israel – Fiscal Survey May 2014</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sdt>
      <w:sdtPr>
        <w:rPr>
          <w:rFonts w:asciiTheme="majorBidi" w:hAnsiTheme="majorBidi" w:cstheme="majorBidi"/>
          <w:sz w:val="18"/>
          <w:szCs w:val="18"/>
        </w:rPr>
        <w:id w:val="2038314401"/>
        <w:docPartObj>
          <w:docPartGallery w:val="Page Numbers (Bottom of Page)"/>
          <w:docPartUnique/>
        </w:docPartObj>
      </w:sdtPr>
      <w:sdtEndPr>
        <w:rPr>
          <w:cs/>
        </w:rPr>
      </w:sdtEndPr>
      <w:sdtContent>
        <w:sdt>
          <w:sdtPr>
            <w:rPr>
              <w:rFonts w:asciiTheme="majorBidi" w:hAnsiTheme="majorBidi" w:cstheme="majorBidi"/>
              <w:sz w:val="18"/>
              <w:szCs w:val="18"/>
            </w:rPr>
            <w:id w:val="860082579"/>
            <w:docPartObj>
              <w:docPartGallery w:val="Page Numbers (Top of Page)"/>
              <w:docPartUnique/>
            </w:docPartObj>
          </w:sdtPr>
          <w:sdtContent>
            <w:r w:rsidRPr="004B0C2B">
              <w:rPr>
                <w:rFonts w:asciiTheme="majorBidi" w:hAnsiTheme="majorBidi" w:cstheme="majorBidi"/>
                <w:sz w:val="18"/>
                <w:szCs w:val="18"/>
              </w:rPr>
              <w:t>Page</w:t>
            </w:r>
            <w:r w:rsidRPr="004B0C2B">
              <w:rPr>
                <w:rFonts w:asciiTheme="majorBidi" w:hAnsiTheme="majorBidi" w:cstheme="majorBidi"/>
                <w:sz w:val="18"/>
                <w:szCs w:val="18"/>
                <w:rtl/>
                <w:cs/>
                <w:lang w:val="he-IL"/>
              </w:rPr>
              <w:t xml:space="preserve"> </w:t>
            </w:r>
            <w:r w:rsidRPr="004B0C2B">
              <w:rPr>
                <w:rFonts w:asciiTheme="majorBidi" w:hAnsiTheme="majorBidi" w:cstheme="majorBidi"/>
                <w:b/>
                <w:bCs/>
                <w:sz w:val="18"/>
                <w:szCs w:val="18"/>
              </w:rPr>
              <w:fldChar w:fldCharType="begin"/>
            </w:r>
            <w:r w:rsidRPr="004B0C2B">
              <w:rPr>
                <w:rFonts w:asciiTheme="majorBidi" w:hAnsiTheme="majorBidi" w:cstheme="majorBidi"/>
                <w:b/>
                <w:bCs/>
                <w:sz w:val="18"/>
                <w:szCs w:val="18"/>
                <w:cs/>
              </w:rPr>
              <w:instrText>PAGE</w:instrText>
            </w:r>
            <w:r w:rsidRPr="004B0C2B">
              <w:rPr>
                <w:rFonts w:asciiTheme="majorBidi" w:hAnsiTheme="majorBidi" w:cstheme="majorBidi"/>
                <w:b/>
                <w:bCs/>
                <w:sz w:val="18"/>
                <w:szCs w:val="18"/>
              </w:rPr>
              <w:fldChar w:fldCharType="separate"/>
            </w:r>
            <w:r w:rsidR="0004073F">
              <w:rPr>
                <w:rFonts w:asciiTheme="majorBidi" w:hAnsiTheme="majorBidi" w:cstheme="majorBidi"/>
                <w:b/>
                <w:bCs/>
                <w:noProof/>
                <w:sz w:val="18"/>
                <w:szCs w:val="18"/>
              </w:rPr>
              <w:t>10</w:t>
            </w:r>
            <w:r w:rsidRPr="004B0C2B">
              <w:rPr>
                <w:rFonts w:asciiTheme="majorBidi" w:hAnsiTheme="majorBidi" w:cstheme="majorBidi"/>
                <w:b/>
                <w:bCs/>
                <w:sz w:val="18"/>
                <w:szCs w:val="18"/>
              </w:rPr>
              <w:fldChar w:fldCharType="end"/>
            </w:r>
            <w:r w:rsidRPr="004B0C2B">
              <w:rPr>
                <w:rFonts w:asciiTheme="majorBidi" w:hAnsiTheme="majorBidi" w:cstheme="majorBidi"/>
                <w:sz w:val="18"/>
                <w:szCs w:val="18"/>
                <w:rtl/>
                <w:cs/>
                <w:lang w:val="he-IL"/>
              </w:rPr>
              <w:t xml:space="preserve"> </w:t>
            </w:r>
            <w:r w:rsidRPr="004B0C2B">
              <w:rPr>
                <w:rFonts w:asciiTheme="majorBidi" w:hAnsiTheme="majorBidi" w:cstheme="majorBidi"/>
                <w:sz w:val="18"/>
                <w:szCs w:val="18"/>
              </w:rPr>
              <w:t>Of</w:t>
            </w:r>
            <w:r w:rsidRPr="004B0C2B">
              <w:rPr>
                <w:rFonts w:asciiTheme="majorBidi" w:hAnsiTheme="majorBidi" w:cstheme="majorBidi"/>
                <w:sz w:val="18"/>
                <w:szCs w:val="18"/>
                <w:rtl/>
                <w:cs/>
                <w:lang w:val="he-IL"/>
              </w:rPr>
              <w:t xml:space="preserve"> </w:t>
            </w:r>
            <w:r w:rsidRPr="004B0C2B">
              <w:rPr>
                <w:rFonts w:asciiTheme="majorBidi" w:hAnsiTheme="majorBidi" w:cstheme="majorBidi"/>
                <w:b/>
                <w:bCs/>
                <w:sz w:val="18"/>
                <w:szCs w:val="18"/>
              </w:rPr>
              <w:fldChar w:fldCharType="begin"/>
            </w:r>
            <w:r w:rsidRPr="004B0C2B">
              <w:rPr>
                <w:rFonts w:asciiTheme="majorBidi" w:hAnsiTheme="majorBidi" w:cstheme="majorBidi"/>
                <w:b/>
                <w:bCs/>
                <w:sz w:val="18"/>
                <w:szCs w:val="18"/>
                <w:cs/>
              </w:rPr>
              <w:instrText>NUMPAGES</w:instrText>
            </w:r>
            <w:r w:rsidRPr="004B0C2B">
              <w:rPr>
                <w:rFonts w:asciiTheme="majorBidi" w:hAnsiTheme="majorBidi" w:cstheme="majorBidi"/>
                <w:b/>
                <w:bCs/>
                <w:sz w:val="18"/>
                <w:szCs w:val="18"/>
              </w:rPr>
              <w:fldChar w:fldCharType="separate"/>
            </w:r>
            <w:r w:rsidR="0004073F">
              <w:rPr>
                <w:rFonts w:asciiTheme="majorBidi" w:hAnsiTheme="majorBidi" w:cstheme="majorBidi"/>
                <w:b/>
                <w:bCs/>
                <w:noProof/>
                <w:sz w:val="18"/>
                <w:szCs w:val="18"/>
              </w:rPr>
              <w:t>10</w:t>
            </w:r>
            <w:r w:rsidRPr="004B0C2B">
              <w:rPr>
                <w:rFonts w:asciiTheme="majorBidi" w:hAnsiTheme="majorBidi" w:cstheme="majorBidi"/>
                <w:b/>
                <w:bCs/>
                <w:sz w:val="18"/>
                <w:szCs w:val="18"/>
              </w:rPr>
              <w:fldChar w:fldCharType="end"/>
            </w:r>
          </w:sdtContent>
        </w:sdt>
      </w:sdtContent>
    </w:sdt>
  </w:p>
  <w:p w:rsidR="005D5F4C" w:rsidRDefault="005D5F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E3" w:rsidRDefault="00961EE3" w:rsidP="004471AF">
      <w:pPr>
        <w:spacing w:after="0" w:line="240" w:lineRule="auto"/>
      </w:pPr>
      <w:r>
        <w:separator/>
      </w:r>
    </w:p>
  </w:footnote>
  <w:footnote w:type="continuationSeparator" w:id="0">
    <w:p w:rsidR="00961EE3" w:rsidRDefault="00961EE3" w:rsidP="004471AF">
      <w:pPr>
        <w:spacing w:after="0" w:line="240" w:lineRule="auto"/>
      </w:pPr>
      <w:r>
        <w:continuationSeparator/>
      </w:r>
    </w:p>
  </w:footnote>
  <w:footnote w:id="1">
    <w:p w:rsidR="00D41F38" w:rsidRPr="000E11B2" w:rsidRDefault="00D41F38" w:rsidP="007D0609">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An international comparison of main aggregates was </w:t>
      </w:r>
      <w:r w:rsidR="007D0609">
        <w:rPr>
          <w:rFonts w:asciiTheme="majorBidi" w:hAnsiTheme="majorBidi" w:cstheme="majorBidi"/>
        </w:rPr>
        <w:t>presented</w:t>
      </w:r>
      <w:r w:rsidR="007D0609" w:rsidRPr="000E11B2">
        <w:rPr>
          <w:rFonts w:asciiTheme="majorBidi" w:hAnsiTheme="majorBidi" w:cstheme="majorBidi"/>
        </w:rPr>
        <w:t xml:space="preserve"> </w:t>
      </w:r>
      <w:r w:rsidRPr="000E11B2">
        <w:rPr>
          <w:rFonts w:asciiTheme="majorBidi" w:hAnsiTheme="majorBidi" w:cstheme="majorBidi"/>
        </w:rPr>
        <w:t>in the previous edition of Recent Economic Developments—number 136, (2014) Bank of Israel.</w:t>
      </w:r>
    </w:p>
  </w:footnote>
  <w:footnote w:id="2">
    <w:p w:rsidR="00D41F38" w:rsidRPr="000E11B2" w:rsidRDefault="00D41F38" w:rsidP="000E11B2">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The decline reduces the budget base for coming years as well.</w:t>
      </w:r>
    </w:p>
  </w:footnote>
  <w:footnote w:id="3">
    <w:p w:rsidR="00D41F38" w:rsidRPr="000E11B2" w:rsidRDefault="00D41F38" w:rsidP="000E11B2">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For further detail, see Chapter 6 of the Bank of Israel Annual Report for 2013.</w:t>
      </w:r>
    </w:p>
  </w:footnote>
  <w:footnote w:id="4">
    <w:p w:rsidR="00D41F38" w:rsidRPr="000E11B2" w:rsidRDefault="00D41F38" w:rsidP="000E11B2">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In the 2015 budget, it is </w:t>
      </w:r>
      <w:r w:rsidR="000A45D1" w:rsidRPr="000E11B2">
        <w:rPr>
          <w:rFonts w:asciiTheme="majorBidi" w:hAnsiTheme="majorBidi" w:cstheme="majorBidi"/>
        </w:rPr>
        <w:t xml:space="preserve">the </w:t>
      </w:r>
      <w:r w:rsidRPr="000E11B2">
        <w:rPr>
          <w:rFonts w:asciiTheme="majorBidi" w:hAnsiTheme="majorBidi" w:cstheme="majorBidi"/>
        </w:rPr>
        <w:t xml:space="preserve">difference between the increase </w:t>
      </w:r>
      <w:r w:rsidR="000A45D1" w:rsidRPr="000E11B2">
        <w:rPr>
          <w:rFonts w:asciiTheme="majorBidi" w:hAnsiTheme="majorBidi" w:cstheme="majorBidi"/>
        </w:rPr>
        <w:t xml:space="preserve">in prices </w:t>
      </w:r>
      <w:r w:rsidRPr="000E11B2">
        <w:rPr>
          <w:rFonts w:asciiTheme="majorBidi" w:hAnsiTheme="majorBidi" w:cstheme="majorBidi"/>
        </w:rPr>
        <w:t xml:space="preserve">in 2013 and 2014 </w:t>
      </w:r>
      <w:r w:rsidR="000A45D1" w:rsidRPr="000E11B2">
        <w:rPr>
          <w:rFonts w:asciiTheme="majorBidi" w:hAnsiTheme="majorBidi" w:cstheme="majorBidi"/>
        </w:rPr>
        <w:t xml:space="preserve">and </w:t>
      </w:r>
      <w:r w:rsidRPr="000E11B2">
        <w:rPr>
          <w:rFonts w:asciiTheme="majorBidi" w:hAnsiTheme="majorBidi" w:cstheme="majorBidi"/>
        </w:rPr>
        <w:t xml:space="preserve">the </w:t>
      </w:r>
      <w:r w:rsidR="000A45D1" w:rsidRPr="000E11B2">
        <w:rPr>
          <w:rFonts w:asciiTheme="majorBidi" w:hAnsiTheme="majorBidi" w:cstheme="majorBidi"/>
        </w:rPr>
        <w:t xml:space="preserve">forecasts </w:t>
      </w:r>
      <w:r w:rsidRPr="000E11B2">
        <w:rPr>
          <w:rFonts w:asciiTheme="majorBidi" w:hAnsiTheme="majorBidi" w:cstheme="majorBidi"/>
        </w:rPr>
        <w:t>in the two-year budget approved in July 2013.</w:t>
      </w:r>
    </w:p>
  </w:footnote>
  <w:footnote w:id="5">
    <w:p w:rsidR="00D41F38" w:rsidRPr="000E11B2" w:rsidRDefault="00D41F38" w:rsidP="000E11B2">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That is, that the price </w:t>
      </w:r>
      <w:r w:rsidR="000A45D1" w:rsidRPr="000E11B2">
        <w:rPr>
          <w:rFonts w:asciiTheme="majorBidi" w:hAnsiTheme="majorBidi" w:cstheme="majorBidi"/>
        </w:rPr>
        <w:t xml:space="preserve">forecast </w:t>
      </w:r>
      <w:r w:rsidRPr="000E11B2">
        <w:rPr>
          <w:rFonts w:asciiTheme="majorBidi" w:hAnsiTheme="majorBidi" w:cstheme="majorBidi"/>
        </w:rPr>
        <w:t>will not be “inflated” so that expenditure is increased by more than permitted. The current mechanism guarantees that in such a case the government will need to reduce the budget in the following year in accordance with the deviation of the forecast from the actual increase in prices.</w:t>
      </w:r>
    </w:p>
  </w:footnote>
  <w:footnote w:id="6">
    <w:p w:rsidR="00D41F38" w:rsidRPr="000E11B2" w:rsidRDefault="00D41F38" w:rsidP="000E11B2">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For a detailed discussion see Chapter 1 of the Bank of Israel Annual Report for 2013.</w:t>
      </w:r>
    </w:p>
  </w:footnote>
  <w:footnote w:id="7">
    <w:p w:rsidR="00D41F38" w:rsidRPr="000E11B2" w:rsidRDefault="00D41F38" w:rsidP="000E11B2">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Wage creep in the public sector increases real wages by almost 1 percent per year and is responsible for two-thirds of the total increase in wages in the public sector—</w:t>
      </w:r>
      <w:proofErr w:type="spellStart"/>
      <w:r w:rsidRPr="000E11B2">
        <w:rPr>
          <w:rFonts w:asciiTheme="majorBidi" w:hAnsiTheme="majorBidi" w:cstheme="majorBidi"/>
        </w:rPr>
        <w:t>Mazar</w:t>
      </w:r>
      <w:proofErr w:type="spellEnd"/>
      <w:r w:rsidRPr="000E11B2">
        <w:rPr>
          <w:rFonts w:asciiTheme="majorBidi" w:hAnsiTheme="majorBidi" w:cstheme="majorBidi"/>
        </w:rPr>
        <w:t>, Yuval “The Development of Wages in the Public Sector and Their Connection with Wages in the Private Sector”, Discussion Paper Series, 2014, Bank of Israel.</w:t>
      </w:r>
    </w:p>
  </w:footnote>
  <w:footnote w:id="8">
    <w:p w:rsidR="00EB0352" w:rsidRPr="000E11B2" w:rsidRDefault="00EB0352" w:rsidP="000E11B2">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w:t>
      </w:r>
      <w:r w:rsidR="00A75FF1" w:rsidRPr="000E11B2">
        <w:rPr>
          <w:rFonts w:asciiTheme="majorBidi" w:hAnsiTheme="majorBidi" w:cstheme="majorBidi"/>
        </w:rPr>
        <w:t xml:space="preserve">A discussion of the way that a lack of monitoring increases in government programs affects missing fiscal targets appears in </w:t>
      </w:r>
      <w:proofErr w:type="spellStart"/>
      <w:r w:rsidR="00A75FF1" w:rsidRPr="000E11B2">
        <w:rPr>
          <w:rFonts w:asciiTheme="majorBidi" w:hAnsiTheme="majorBidi" w:cstheme="majorBidi"/>
        </w:rPr>
        <w:t>Brender</w:t>
      </w:r>
      <w:proofErr w:type="spellEnd"/>
      <w:r w:rsidR="00A75FF1" w:rsidRPr="000E11B2">
        <w:rPr>
          <w:rFonts w:asciiTheme="majorBidi" w:hAnsiTheme="majorBidi" w:cstheme="majorBidi"/>
        </w:rPr>
        <w:t>, Adi, “If You Want to Cut, Cut, Don’t Talk: The Role of Formal Targets in Israel’s Fiscal Consolidation, 1985–</w:t>
      </w:r>
      <w:r w:rsidR="00A75FF1" w:rsidRPr="003216EC">
        <w:rPr>
          <w:rFonts w:asciiTheme="majorBidi" w:hAnsiTheme="majorBidi" w:cstheme="majorBidi"/>
        </w:rPr>
        <w:t>2007”, Israel Tax and Economics Quarte</w:t>
      </w:r>
      <w:r w:rsidR="0041184B" w:rsidRPr="003216EC">
        <w:rPr>
          <w:rFonts w:asciiTheme="majorBidi" w:hAnsiTheme="majorBidi" w:cstheme="majorBidi"/>
        </w:rPr>
        <w:t>r</w:t>
      </w:r>
      <w:r w:rsidR="00A75FF1" w:rsidRPr="003216EC">
        <w:rPr>
          <w:rFonts w:asciiTheme="majorBidi" w:hAnsiTheme="majorBidi" w:cstheme="majorBidi"/>
        </w:rPr>
        <w:t>ly, 33:129, May 2009, pp. 33–37. For documentation of the de</w:t>
      </w:r>
      <w:r w:rsidR="00A75FF1" w:rsidRPr="000E11B2">
        <w:rPr>
          <w:rFonts w:asciiTheme="majorBidi" w:hAnsiTheme="majorBidi" w:cstheme="majorBidi"/>
        </w:rPr>
        <w:t>viations from the deficit targets, see Chapter 6 of the Bank of Israel Annual Report for 2012.</w:t>
      </w:r>
    </w:p>
  </w:footnote>
  <w:footnote w:id="9">
    <w:p w:rsidR="006D0CDD" w:rsidRPr="000E11B2" w:rsidRDefault="006D0CDD" w:rsidP="000E11B2">
      <w:pPr>
        <w:autoSpaceDE w:val="0"/>
        <w:autoSpaceDN w:val="0"/>
        <w:adjustRightInd w:val="0"/>
        <w:spacing w:after="0" w:line="240" w:lineRule="auto"/>
        <w:jc w:val="both"/>
        <w:rPr>
          <w:rFonts w:asciiTheme="majorBidi" w:hAnsiTheme="majorBidi" w:cstheme="majorBidi"/>
          <w:sz w:val="20"/>
          <w:szCs w:val="20"/>
        </w:rPr>
      </w:pPr>
      <w:r w:rsidRPr="000E11B2">
        <w:rPr>
          <w:rStyle w:val="a6"/>
          <w:rFonts w:asciiTheme="majorBidi" w:hAnsiTheme="majorBidi" w:cstheme="majorBidi"/>
          <w:sz w:val="20"/>
          <w:szCs w:val="20"/>
        </w:rPr>
        <w:footnoteRef/>
      </w:r>
      <w:r w:rsidRPr="000E11B2">
        <w:rPr>
          <w:rFonts w:asciiTheme="majorBidi" w:hAnsiTheme="majorBidi" w:cstheme="majorBidi"/>
          <w:sz w:val="20"/>
          <w:szCs w:val="20"/>
        </w:rPr>
        <w:t xml:space="preserve"> A detailed description of the tax model appears in </w:t>
      </w:r>
      <w:proofErr w:type="spellStart"/>
      <w:r w:rsidR="0041710F" w:rsidRPr="000E11B2">
        <w:rPr>
          <w:rFonts w:asciiTheme="majorBidi" w:hAnsiTheme="majorBidi" w:cstheme="majorBidi"/>
          <w:sz w:val="20"/>
          <w:szCs w:val="20"/>
        </w:rPr>
        <w:t>Brender</w:t>
      </w:r>
      <w:proofErr w:type="spellEnd"/>
      <w:r w:rsidR="0041710F" w:rsidRPr="000E11B2">
        <w:rPr>
          <w:rFonts w:asciiTheme="majorBidi" w:hAnsiTheme="majorBidi" w:cstheme="majorBidi"/>
          <w:sz w:val="20"/>
          <w:szCs w:val="20"/>
        </w:rPr>
        <w:t>, A. and G</w:t>
      </w:r>
      <w:r w:rsidR="0041710F" w:rsidRPr="003216EC">
        <w:rPr>
          <w:rFonts w:asciiTheme="majorBidi" w:hAnsiTheme="majorBidi" w:cstheme="majorBidi"/>
          <w:sz w:val="20"/>
          <w:szCs w:val="20"/>
        </w:rPr>
        <w:t xml:space="preserve">. </w:t>
      </w:r>
      <w:proofErr w:type="spellStart"/>
      <w:r w:rsidR="0041710F" w:rsidRPr="003216EC">
        <w:rPr>
          <w:rFonts w:asciiTheme="majorBidi" w:hAnsiTheme="majorBidi" w:cstheme="majorBidi"/>
          <w:sz w:val="20"/>
          <w:szCs w:val="20"/>
        </w:rPr>
        <w:t>Navon</w:t>
      </w:r>
      <w:proofErr w:type="spellEnd"/>
      <w:r w:rsidR="0041710F" w:rsidRPr="003216EC">
        <w:rPr>
          <w:rFonts w:asciiTheme="majorBidi" w:hAnsiTheme="majorBidi" w:cstheme="majorBidi"/>
          <w:sz w:val="20"/>
          <w:szCs w:val="20"/>
        </w:rPr>
        <w:t xml:space="preserve"> (2010), "Predicting Government Tax Revenues and Analyzing Forecast Uncertainty," </w:t>
      </w:r>
      <w:r w:rsidR="0041710F" w:rsidRPr="003216EC">
        <w:rPr>
          <w:rFonts w:asciiTheme="majorBidi" w:hAnsiTheme="majorBidi" w:cstheme="majorBidi"/>
          <w:i/>
          <w:iCs/>
          <w:sz w:val="20"/>
          <w:szCs w:val="20"/>
        </w:rPr>
        <w:t>Israel Economic Review</w:t>
      </w:r>
      <w:r w:rsidR="0041710F" w:rsidRPr="003216EC">
        <w:rPr>
          <w:rFonts w:asciiTheme="majorBidi" w:hAnsiTheme="majorBidi" w:cstheme="majorBidi"/>
          <w:sz w:val="20"/>
          <w:szCs w:val="20"/>
        </w:rPr>
        <w:t>, vol. 7 No 2, 81-111. The forecast for 2014 and 2015 is also based on the Research Departm</w:t>
      </w:r>
      <w:r w:rsidR="0041710F" w:rsidRPr="000E11B2">
        <w:rPr>
          <w:rFonts w:asciiTheme="majorBidi" w:hAnsiTheme="majorBidi" w:cstheme="majorBidi"/>
          <w:sz w:val="20"/>
          <w:szCs w:val="20"/>
        </w:rPr>
        <w:t xml:space="preserve">ent’s macroeconomic forecast which was published at the end of March 2014. </w:t>
      </w:r>
    </w:p>
  </w:footnote>
  <w:footnote w:id="10">
    <w:p w:rsidR="002639D9" w:rsidRPr="000E11B2" w:rsidRDefault="002639D9" w:rsidP="000E11B2">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A discussion of the factors affecting the change in Israel’s long-term growth rate appears in Chapter 1 of the Bank of Israel Annual Report for 2011.</w:t>
      </w:r>
    </w:p>
  </w:footnote>
  <w:footnote w:id="11">
    <w:p w:rsidR="00D3299F" w:rsidRPr="000E11B2" w:rsidRDefault="00D3299F" w:rsidP="0027335B">
      <w:pPr>
        <w:pStyle w:val="a4"/>
        <w:jc w:val="both"/>
        <w:rPr>
          <w:rFonts w:asciiTheme="majorBidi" w:hAnsiTheme="majorBidi" w:cstheme="majorBidi"/>
        </w:rPr>
      </w:pPr>
      <w:r w:rsidRPr="000E11B2">
        <w:rPr>
          <w:rStyle w:val="a6"/>
          <w:rFonts w:asciiTheme="majorBidi" w:hAnsiTheme="majorBidi" w:cstheme="majorBidi"/>
        </w:rPr>
        <w:footnoteRef/>
      </w:r>
      <w:r w:rsidRPr="000E11B2">
        <w:rPr>
          <w:rFonts w:asciiTheme="majorBidi" w:hAnsiTheme="majorBidi" w:cstheme="majorBidi"/>
        </w:rPr>
        <w:t xml:space="preserve"> </w:t>
      </w:r>
      <w:r w:rsidR="0027335B">
        <w:rPr>
          <w:rFonts w:asciiTheme="majorBidi" w:hAnsiTheme="majorBidi" w:cstheme="majorBidi"/>
        </w:rPr>
        <w:t>An increase in the i</w:t>
      </w:r>
      <w:r w:rsidRPr="000E11B2">
        <w:rPr>
          <w:rFonts w:asciiTheme="majorBidi" w:hAnsiTheme="majorBidi" w:cstheme="majorBidi"/>
        </w:rPr>
        <w:t xml:space="preserve">nterest </w:t>
      </w:r>
      <w:r w:rsidR="0027335B">
        <w:rPr>
          <w:rFonts w:asciiTheme="majorBidi" w:hAnsiTheme="majorBidi" w:cstheme="majorBidi"/>
        </w:rPr>
        <w:t xml:space="preserve">rate </w:t>
      </w:r>
      <w:r w:rsidRPr="000E11B2">
        <w:rPr>
          <w:rFonts w:asciiTheme="majorBidi" w:hAnsiTheme="majorBidi" w:cstheme="majorBidi"/>
        </w:rPr>
        <w:t xml:space="preserve">on the public debt resulting from macroeconomic developments in Israel and worldwide is moderated in this analysis due to the effect of a reduction in the debt to GDP ratio on the risk premium of public debt in Israel. In policy frameworks and scenarios </w:t>
      </w:r>
      <w:r w:rsidR="00FF446E">
        <w:rPr>
          <w:rFonts w:asciiTheme="majorBidi" w:hAnsiTheme="majorBidi" w:cstheme="majorBidi"/>
        </w:rPr>
        <w:t xml:space="preserve">in </w:t>
      </w:r>
      <w:r w:rsidRPr="000E11B2">
        <w:rPr>
          <w:rFonts w:asciiTheme="majorBidi" w:hAnsiTheme="majorBidi" w:cstheme="majorBidi"/>
        </w:rPr>
        <w:t xml:space="preserve">which the debt </w:t>
      </w:r>
      <w:r w:rsidR="00FF446E">
        <w:rPr>
          <w:rFonts w:asciiTheme="majorBidi" w:hAnsiTheme="majorBidi" w:cstheme="majorBidi"/>
        </w:rPr>
        <w:t xml:space="preserve">ratio </w:t>
      </w:r>
      <w:r w:rsidRPr="000E11B2">
        <w:rPr>
          <w:rFonts w:asciiTheme="majorBidi" w:hAnsiTheme="majorBidi" w:cstheme="majorBidi"/>
        </w:rPr>
        <w:t xml:space="preserve">increases, interest expenses increase accordingly. For a discussion of the effect of fiscal policy on interest, see </w:t>
      </w:r>
      <w:proofErr w:type="spellStart"/>
      <w:r w:rsidRPr="000E11B2">
        <w:rPr>
          <w:rFonts w:asciiTheme="majorBidi" w:hAnsiTheme="majorBidi" w:cstheme="majorBidi"/>
        </w:rPr>
        <w:t>Ber</w:t>
      </w:r>
      <w:proofErr w:type="spellEnd"/>
      <w:r w:rsidRPr="000E11B2">
        <w:rPr>
          <w:rFonts w:asciiTheme="majorBidi" w:hAnsiTheme="majorBidi" w:cstheme="majorBidi"/>
        </w:rPr>
        <w:t xml:space="preserve">, </w:t>
      </w:r>
      <w:proofErr w:type="spellStart"/>
      <w:r w:rsidRPr="000E11B2">
        <w:rPr>
          <w:rFonts w:asciiTheme="majorBidi" w:hAnsiTheme="majorBidi" w:cstheme="majorBidi"/>
        </w:rPr>
        <w:t>Brender</w:t>
      </w:r>
      <w:proofErr w:type="spellEnd"/>
      <w:r w:rsidRPr="000E11B2">
        <w:rPr>
          <w:rFonts w:asciiTheme="majorBidi" w:hAnsiTheme="majorBidi" w:cstheme="majorBidi"/>
        </w:rPr>
        <w:t xml:space="preserve">, and </w:t>
      </w:r>
      <w:proofErr w:type="spellStart"/>
      <w:r w:rsidRPr="000E11B2">
        <w:rPr>
          <w:rFonts w:asciiTheme="majorBidi" w:hAnsiTheme="majorBidi" w:cstheme="majorBidi"/>
        </w:rPr>
        <w:t>Ribon</w:t>
      </w:r>
      <w:proofErr w:type="spellEnd"/>
      <w:r w:rsidRPr="000E11B2">
        <w:rPr>
          <w:rFonts w:asciiTheme="majorBidi" w:hAnsiTheme="majorBidi" w:cstheme="majorBidi"/>
        </w:rPr>
        <w:t xml:space="preserve"> (2005), “Are Fiscal and Monetary Policies Reflected in Real Yields? </w:t>
      </w:r>
      <w:proofErr w:type="gramStart"/>
      <w:r w:rsidRPr="000E11B2">
        <w:rPr>
          <w:rFonts w:asciiTheme="majorBidi" w:hAnsiTheme="majorBidi" w:cstheme="majorBidi"/>
        </w:rPr>
        <w:t>Evidence from a Period of Disinflation and Declining Deficit Targets”, Israel Economic Review, Vol. 2, No.2, 15–44.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F640A"/>
    <w:multiLevelType w:val="hybridMultilevel"/>
    <w:tmpl w:val="7F0C94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7DF5623"/>
    <w:multiLevelType w:val="hybridMultilevel"/>
    <w:tmpl w:val="42F89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E3"/>
    <w:rsid w:val="00015F5D"/>
    <w:rsid w:val="00022ACF"/>
    <w:rsid w:val="0004073F"/>
    <w:rsid w:val="0004146B"/>
    <w:rsid w:val="00061DBE"/>
    <w:rsid w:val="00076DDE"/>
    <w:rsid w:val="0008151A"/>
    <w:rsid w:val="000840B1"/>
    <w:rsid w:val="000A45D1"/>
    <w:rsid w:val="000B0799"/>
    <w:rsid w:val="000B20A7"/>
    <w:rsid w:val="000D24ED"/>
    <w:rsid w:val="000E11B2"/>
    <w:rsid w:val="000F40A5"/>
    <w:rsid w:val="00111CD1"/>
    <w:rsid w:val="001213D0"/>
    <w:rsid w:val="0014768F"/>
    <w:rsid w:val="0017318F"/>
    <w:rsid w:val="001E0F43"/>
    <w:rsid w:val="002274DA"/>
    <w:rsid w:val="00241FD1"/>
    <w:rsid w:val="00243506"/>
    <w:rsid w:val="002639D9"/>
    <w:rsid w:val="0027335B"/>
    <w:rsid w:val="002774AC"/>
    <w:rsid w:val="002A01B3"/>
    <w:rsid w:val="002B41D6"/>
    <w:rsid w:val="002D5698"/>
    <w:rsid w:val="002D702A"/>
    <w:rsid w:val="002D7ECD"/>
    <w:rsid w:val="002E51AD"/>
    <w:rsid w:val="002F152A"/>
    <w:rsid w:val="00313954"/>
    <w:rsid w:val="003216EC"/>
    <w:rsid w:val="00324844"/>
    <w:rsid w:val="003514D7"/>
    <w:rsid w:val="003534BC"/>
    <w:rsid w:val="003A201E"/>
    <w:rsid w:val="003A54B4"/>
    <w:rsid w:val="003D1169"/>
    <w:rsid w:val="003D12D6"/>
    <w:rsid w:val="0041184B"/>
    <w:rsid w:val="00411D4B"/>
    <w:rsid w:val="0041710F"/>
    <w:rsid w:val="004411C1"/>
    <w:rsid w:val="004471AF"/>
    <w:rsid w:val="00466FB4"/>
    <w:rsid w:val="0048208A"/>
    <w:rsid w:val="004B0C2B"/>
    <w:rsid w:val="004B572E"/>
    <w:rsid w:val="004D4E3C"/>
    <w:rsid w:val="004D53F5"/>
    <w:rsid w:val="004E3E16"/>
    <w:rsid w:val="004F6672"/>
    <w:rsid w:val="00525D78"/>
    <w:rsid w:val="0056570C"/>
    <w:rsid w:val="00570695"/>
    <w:rsid w:val="005B6126"/>
    <w:rsid w:val="005D2116"/>
    <w:rsid w:val="005D50F6"/>
    <w:rsid w:val="005D5F4C"/>
    <w:rsid w:val="005E3370"/>
    <w:rsid w:val="00605C13"/>
    <w:rsid w:val="0061678B"/>
    <w:rsid w:val="00626DF6"/>
    <w:rsid w:val="00647021"/>
    <w:rsid w:val="00650DDB"/>
    <w:rsid w:val="00652B72"/>
    <w:rsid w:val="00653E07"/>
    <w:rsid w:val="00673603"/>
    <w:rsid w:val="00687B7B"/>
    <w:rsid w:val="006B7120"/>
    <w:rsid w:val="006D0CDD"/>
    <w:rsid w:val="006E6C7D"/>
    <w:rsid w:val="006F4DE8"/>
    <w:rsid w:val="007035C0"/>
    <w:rsid w:val="00717023"/>
    <w:rsid w:val="0074329A"/>
    <w:rsid w:val="00746805"/>
    <w:rsid w:val="00763EAB"/>
    <w:rsid w:val="007D0609"/>
    <w:rsid w:val="007D2338"/>
    <w:rsid w:val="007F1D07"/>
    <w:rsid w:val="007F6678"/>
    <w:rsid w:val="00803D4F"/>
    <w:rsid w:val="008256AA"/>
    <w:rsid w:val="00853333"/>
    <w:rsid w:val="0085717A"/>
    <w:rsid w:val="00881C06"/>
    <w:rsid w:val="0088626F"/>
    <w:rsid w:val="0089017C"/>
    <w:rsid w:val="008C6A82"/>
    <w:rsid w:val="008E29C0"/>
    <w:rsid w:val="008E5F2E"/>
    <w:rsid w:val="008F2AB1"/>
    <w:rsid w:val="00901F62"/>
    <w:rsid w:val="00904AFD"/>
    <w:rsid w:val="009110FF"/>
    <w:rsid w:val="0091471A"/>
    <w:rsid w:val="00931445"/>
    <w:rsid w:val="00934A6A"/>
    <w:rsid w:val="00934CB1"/>
    <w:rsid w:val="009440D5"/>
    <w:rsid w:val="00955746"/>
    <w:rsid w:val="00961EE3"/>
    <w:rsid w:val="009740EB"/>
    <w:rsid w:val="009760C0"/>
    <w:rsid w:val="00995F76"/>
    <w:rsid w:val="009B2BF2"/>
    <w:rsid w:val="009E0CDD"/>
    <w:rsid w:val="009F2B41"/>
    <w:rsid w:val="009F2B49"/>
    <w:rsid w:val="009F5E51"/>
    <w:rsid w:val="00A051FD"/>
    <w:rsid w:val="00A3343C"/>
    <w:rsid w:val="00A41135"/>
    <w:rsid w:val="00A74071"/>
    <w:rsid w:val="00A75FF1"/>
    <w:rsid w:val="00A839B9"/>
    <w:rsid w:val="00A905E7"/>
    <w:rsid w:val="00AA00BF"/>
    <w:rsid w:val="00AA4926"/>
    <w:rsid w:val="00AB39B0"/>
    <w:rsid w:val="00AD06AB"/>
    <w:rsid w:val="00AF065B"/>
    <w:rsid w:val="00AF30C7"/>
    <w:rsid w:val="00B01E2D"/>
    <w:rsid w:val="00B06028"/>
    <w:rsid w:val="00B10678"/>
    <w:rsid w:val="00B11090"/>
    <w:rsid w:val="00B568C5"/>
    <w:rsid w:val="00B57EE3"/>
    <w:rsid w:val="00B64CC3"/>
    <w:rsid w:val="00B938DA"/>
    <w:rsid w:val="00B97451"/>
    <w:rsid w:val="00BD6907"/>
    <w:rsid w:val="00C06C6B"/>
    <w:rsid w:val="00C309A1"/>
    <w:rsid w:val="00C455CB"/>
    <w:rsid w:val="00C461D1"/>
    <w:rsid w:val="00C822F0"/>
    <w:rsid w:val="00CB1E62"/>
    <w:rsid w:val="00CD3E3A"/>
    <w:rsid w:val="00CF7923"/>
    <w:rsid w:val="00D0624A"/>
    <w:rsid w:val="00D3299F"/>
    <w:rsid w:val="00D41F38"/>
    <w:rsid w:val="00D6158E"/>
    <w:rsid w:val="00D653C7"/>
    <w:rsid w:val="00D93C0D"/>
    <w:rsid w:val="00D940A6"/>
    <w:rsid w:val="00DA47AC"/>
    <w:rsid w:val="00DF691A"/>
    <w:rsid w:val="00E22336"/>
    <w:rsid w:val="00E30F57"/>
    <w:rsid w:val="00E80E30"/>
    <w:rsid w:val="00E811B2"/>
    <w:rsid w:val="00E97834"/>
    <w:rsid w:val="00EB0352"/>
    <w:rsid w:val="00EC29F2"/>
    <w:rsid w:val="00ED7EFA"/>
    <w:rsid w:val="00F20E37"/>
    <w:rsid w:val="00F21423"/>
    <w:rsid w:val="00F27F65"/>
    <w:rsid w:val="00F31A03"/>
    <w:rsid w:val="00F37CF5"/>
    <w:rsid w:val="00FB352F"/>
    <w:rsid w:val="00FB3964"/>
    <w:rsid w:val="00FD0220"/>
    <w:rsid w:val="00FF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4ED"/>
    <w:pPr>
      <w:ind w:left="720"/>
      <w:contextualSpacing/>
    </w:pPr>
  </w:style>
  <w:style w:type="paragraph" w:styleId="a4">
    <w:name w:val="footnote text"/>
    <w:basedOn w:val="a"/>
    <w:link w:val="a5"/>
    <w:uiPriority w:val="99"/>
    <w:semiHidden/>
    <w:unhideWhenUsed/>
    <w:rsid w:val="004471AF"/>
    <w:pPr>
      <w:spacing w:after="0" w:line="240" w:lineRule="auto"/>
    </w:pPr>
    <w:rPr>
      <w:sz w:val="20"/>
      <w:szCs w:val="20"/>
    </w:rPr>
  </w:style>
  <w:style w:type="character" w:customStyle="1" w:styleId="a5">
    <w:name w:val="טקסט הערת שוליים תו"/>
    <w:basedOn w:val="a0"/>
    <w:link w:val="a4"/>
    <w:uiPriority w:val="99"/>
    <w:semiHidden/>
    <w:rsid w:val="004471AF"/>
    <w:rPr>
      <w:sz w:val="20"/>
      <w:szCs w:val="20"/>
    </w:rPr>
  </w:style>
  <w:style w:type="character" w:styleId="a6">
    <w:name w:val="footnote reference"/>
    <w:basedOn w:val="a0"/>
    <w:uiPriority w:val="99"/>
    <w:semiHidden/>
    <w:unhideWhenUsed/>
    <w:rsid w:val="004471AF"/>
    <w:rPr>
      <w:vertAlign w:val="superscript"/>
    </w:rPr>
  </w:style>
  <w:style w:type="paragraph" w:styleId="a7">
    <w:name w:val="Balloon Text"/>
    <w:basedOn w:val="a"/>
    <w:link w:val="a8"/>
    <w:uiPriority w:val="99"/>
    <w:semiHidden/>
    <w:unhideWhenUsed/>
    <w:rsid w:val="00A905E7"/>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905E7"/>
    <w:rPr>
      <w:rFonts w:ascii="Tahoma" w:hAnsi="Tahoma" w:cs="Tahoma"/>
      <w:sz w:val="16"/>
      <w:szCs w:val="16"/>
    </w:rPr>
  </w:style>
  <w:style w:type="character" w:styleId="a9">
    <w:name w:val="annotation reference"/>
    <w:basedOn w:val="a0"/>
    <w:uiPriority w:val="99"/>
    <w:semiHidden/>
    <w:unhideWhenUsed/>
    <w:rsid w:val="00AA00BF"/>
    <w:rPr>
      <w:sz w:val="16"/>
      <w:szCs w:val="16"/>
    </w:rPr>
  </w:style>
  <w:style w:type="paragraph" w:styleId="aa">
    <w:name w:val="annotation text"/>
    <w:basedOn w:val="a"/>
    <w:link w:val="ab"/>
    <w:uiPriority w:val="99"/>
    <w:semiHidden/>
    <w:unhideWhenUsed/>
    <w:rsid w:val="00AA00BF"/>
    <w:pPr>
      <w:spacing w:line="240" w:lineRule="auto"/>
    </w:pPr>
    <w:rPr>
      <w:sz w:val="20"/>
      <w:szCs w:val="20"/>
    </w:rPr>
  </w:style>
  <w:style w:type="character" w:customStyle="1" w:styleId="ab">
    <w:name w:val="טקסט הערה תו"/>
    <w:basedOn w:val="a0"/>
    <w:link w:val="aa"/>
    <w:uiPriority w:val="99"/>
    <w:semiHidden/>
    <w:rsid w:val="00AA00BF"/>
    <w:rPr>
      <w:sz w:val="20"/>
      <w:szCs w:val="20"/>
    </w:rPr>
  </w:style>
  <w:style w:type="paragraph" w:styleId="ac">
    <w:name w:val="annotation subject"/>
    <w:basedOn w:val="aa"/>
    <w:next w:val="aa"/>
    <w:link w:val="ad"/>
    <w:uiPriority w:val="99"/>
    <w:semiHidden/>
    <w:unhideWhenUsed/>
    <w:rsid w:val="00AA00BF"/>
    <w:rPr>
      <w:b/>
      <w:bCs/>
    </w:rPr>
  </w:style>
  <w:style w:type="character" w:customStyle="1" w:styleId="ad">
    <w:name w:val="נושא הערה תו"/>
    <w:basedOn w:val="ab"/>
    <w:link w:val="ac"/>
    <w:uiPriority w:val="99"/>
    <w:semiHidden/>
    <w:rsid w:val="00AA00BF"/>
    <w:rPr>
      <w:b/>
      <w:bCs/>
      <w:sz w:val="20"/>
      <w:szCs w:val="20"/>
    </w:rPr>
  </w:style>
  <w:style w:type="paragraph" w:customStyle="1" w:styleId="regpar">
    <w:name w:val="regpar"/>
    <w:basedOn w:val="a"/>
    <w:rsid w:val="00AA4926"/>
    <w:pPr>
      <w:spacing w:after="0" w:line="300" w:lineRule="exact"/>
      <w:ind w:firstLine="240"/>
      <w:jc w:val="both"/>
    </w:pPr>
    <w:rPr>
      <w:rFonts w:ascii="Times" w:eastAsia="Times New Roman" w:hAnsi="Times" w:cs="Times"/>
      <w:sz w:val="24"/>
      <w:szCs w:val="24"/>
    </w:rPr>
  </w:style>
  <w:style w:type="paragraph" w:styleId="ae">
    <w:name w:val="header"/>
    <w:basedOn w:val="a"/>
    <w:link w:val="af"/>
    <w:uiPriority w:val="99"/>
    <w:unhideWhenUsed/>
    <w:rsid w:val="005D5F4C"/>
    <w:pPr>
      <w:tabs>
        <w:tab w:val="center" w:pos="4153"/>
        <w:tab w:val="right" w:pos="8306"/>
      </w:tabs>
      <w:spacing w:after="0" w:line="240" w:lineRule="auto"/>
    </w:pPr>
  </w:style>
  <w:style w:type="character" w:customStyle="1" w:styleId="af">
    <w:name w:val="כותרת עליונה תו"/>
    <w:basedOn w:val="a0"/>
    <w:link w:val="ae"/>
    <w:uiPriority w:val="99"/>
    <w:rsid w:val="005D5F4C"/>
  </w:style>
  <w:style w:type="paragraph" w:styleId="af0">
    <w:name w:val="footer"/>
    <w:basedOn w:val="a"/>
    <w:link w:val="af1"/>
    <w:uiPriority w:val="99"/>
    <w:unhideWhenUsed/>
    <w:rsid w:val="005D5F4C"/>
    <w:pPr>
      <w:tabs>
        <w:tab w:val="center" w:pos="4153"/>
        <w:tab w:val="right" w:pos="8306"/>
      </w:tabs>
      <w:spacing w:after="0" w:line="240" w:lineRule="auto"/>
    </w:pPr>
  </w:style>
  <w:style w:type="character" w:customStyle="1" w:styleId="af1">
    <w:name w:val="כותרת תחתונה תו"/>
    <w:basedOn w:val="a0"/>
    <w:link w:val="af0"/>
    <w:uiPriority w:val="99"/>
    <w:rsid w:val="005D5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4ED"/>
    <w:pPr>
      <w:ind w:left="720"/>
      <w:contextualSpacing/>
    </w:pPr>
  </w:style>
  <w:style w:type="paragraph" w:styleId="a4">
    <w:name w:val="footnote text"/>
    <w:basedOn w:val="a"/>
    <w:link w:val="a5"/>
    <w:uiPriority w:val="99"/>
    <w:semiHidden/>
    <w:unhideWhenUsed/>
    <w:rsid w:val="004471AF"/>
    <w:pPr>
      <w:spacing w:after="0" w:line="240" w:lineRule="auto"/>
    </w:pPr>
    <w:rPr>
      <w:sz w:val="20"/>
      <w:szCs w:val="20"/>
    </w:rPr>
  </w:style>
  <w:style w:type="character" w:customStyle="1" w:styleId="a5">
    <w:name w:val="טקסט הערת שוליים תו"/>
    <w:basedOn w:val="a0"/>
    <w:link w:val="a4"/>
    <w:uiPriority w:val="99"/>
    <w:semiHidden/>
    <w:rsid w:val="004471AF"/>
    <w:rPr>
      <w:sz w:val="20"/>
      <w:szCs w:val="20"/>
    </w:rPr>
  </w:style>
  <w:style w:type="character" w:styleId="a6">
    <w:name w:val="footnote reference"/>
    <w:basedOn w:val="a0"/>
    <w:uiPriority w:val="99"/>
    <w:semiHidden/>
    <w:unhideWhenUsed/>
    <w:rsid w:val="004471AF"/>
    <w:rPr>
      <w:vertAlign w:val="superscript"/>
    </w:rPr>
  </w:style>
  <w:style w:type="paragraph" w:styleId="a7">
    <w:name w:val="Balloon Text"/>
    <w:basedOn w:val="a"/>
    <w:link w:val="a8"/>
    <w:uiPriority w:val="99"/>
    <w:semiHidden/>
    <w:unhideWhenUsed/>
    <w:rsid w:val="00A905E7"/>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905E7"/>
    <w:rPr>
      <w:rFonts w:ascii="Tahoma" w:hAnsi="Tahoma" w:cs="Tahoma"/>
      <w:sz w:val="16"/>
      <w:szCs w:val="16"/>
    </w:rPr>
  </w:style>
  <w:style w:type="character" w:styleId="a9">
    <w:name w:val="annotation reference"/>
    <w:basedOn w:val="a0"/>
    <w:uiPriority w:val="99"/>
    <w:semiHidden/>
    <w:unhideWhenUsed/>
    <w:rsid w:val="00AA00BF"/>
    <w:rPr>
      <w:sz w:val="16"/>
      <w:szCs w:val="16"/>
    </w:rPr>
  </w:style>
  <w:style w:type="paragraph" w:styleId="aa">
    <w:name w:val="annotation text"/>
    <w:basedOn w:val="a"/>
    <w:link w:val="ab"/>
    <w:uiPriority w:val="99"/>
    <w:semiHidden/>
    <w:unhideWhenUsed/>
    <w:rsid w:val="00AA00BF"/>
    <w:pPr>
      <w:spacing w:line="240" w:lineRule="auto"/>
    </w:pPr>
    <w:rPr>
      <w:sz w:val="20"/>
      <w:szCs w:val="20"/>
    </w:rPr>
  </w:style>
  <w:style w:type="character" w:customStyle="1" w:styleId="ab">
    <w:name w:val="טקסט הערה תו"/>
    <w:basedOn w:val="a0"/>
    <w:link w:val="aa"/>
    <w:uiPriority w:val="99"/>
    <w:semiHidden/>
    <w:rsid w:val="00AA00BF"/>
    <w:rPr>
      <w:sz w:val="20"/>
      <w:szCs w:val="20"/>
    </w:rPr>
  </w:style>
  <w:style w:type="paragraph" w:styleId="ac">
    <w:name w:val="annotation subject"/>
    <w:basedOn w:val="aa"/>
    <w:next w:val="aa"/>
    <w:link w:val="ad"/>
    <w:uiPriority w:val="99"/>
    <w:semiHidden/>
    <w:unhideWhenUsed/>
    <w:rsid w:val="00AA00BF"/>
    <w:rPr>
      <w:b/>
      <w:bCs/>
    </w:rPr>
  </w:style>
  <w:style w:type="character" w:customStyle="1" w:styleId="ad">
    <w:name w:val="נושא הערה תו"/>
    <w:basedOn w:val="ab"/>
    <w:link w:val="ac"/>
    <w:uiPriority w:val="99"/>
    <w:semiHidden/>
    <w:rsid w:val="00AA00BF"/>
    <w:rPr>
      <w:b/>
      <w:bCs/>
      <w:sz w:val="20"/>
      <w:szCs w:val="20"/>
    </w:rPr>
  </w:style>
  <w:style w:type="paragraph" w:customStyle="1" w:styleId="regpar">
    <w:name w:val="regpar"/>
    <w:basedOn w:val="a"/>
    <w:rsid w:val="00AA4926"/>
    <w:pPr>
      <w:spacing w:after="0" w:line="300" w:lineRule="exact"/>
      <w:ind w:firstLine="240"/>
      <w:jc w:val="both"/>
    </w:pPr>
    <w:rPr>
      <w:rFonts w:ascii="Times" w:eastAsia="Times New Roman" w:hAnsi="Times" w:cs="Times"/>
      <w:sz w:val="24"/>
      <w:szCs w:val="24"/>
    </w:rPr>
  </w:style>
  <w:style w:type="paragraph" w:styleId="ae">
    <w:name w:val="header"/>
    <w:basedOn w:val="a"/>
    <w:link w:val="af"/>
    <w:uiPriority w:val="99"/>
    <w:unhideWhenUsed/>
    <w:rsid w:val="005D5F4C"/>
    <w:pPr>
      <w:tabs>
        <w:tab w:val="center" w:pos="4153"/>
        <w:tab w:val="right" w:pos="8306"/>
      </w:tabs>
      <w:spacing w:after="0" w:line="240" w:lineRule="auto"/>
    </w:pPr>
  </w:style>
  <w:style w:type="character" w:customStyle="1" w:styleId="af">
    <w:name w:val="כותרת עליונה תו"/>
    <w:basedOn w:val="a0"/>
    <w:link w:val="ae"/>
    <w:uiPriority w:val="99"/>
    <w:rsid w:val="005D5F4C"/>
  </w:style>
  <w:style w:type="paragraph" w:styleId="af0">
    <w:name w:val="footer"/>
    <w:basedOn w:val="a"/>
    <w:link w:val="af1"/>
    <w:uiPriority w:val="99"/>
    <w:unhideWhenUsed/>
    <w:rsid w:val="005D5F4C"/>
    <w:pPr>
      <w:tabs>
        <w:tab w:val="center" w:pos="4153"/>
        <w:tab w:val="right" w:pos="8306"/>
      </w:tabs>
      <w:spacing w:after="0" w:line="240" w:lineRule="auto"/>
    </w:pPr>
  </w:style>
  <w:style w:type="character" w:customStyle="1" w:styleId="af1">
    <w:name w:val="כותרת תחתונה תו"/>
    <w:basedOn w:val="a0"/>
    <w:link w:val="af0"/>
    <w:uiPriority w:val="99"/>
    <w:rsid w:val="005D5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DBEE5-B429-4408-A620-3BA41C525D0C}"/>
</file>

<file path=customXml/itemProps2.xml><?xml version="1.0" encoding="utf-8"?>
<ds:datastoreItem xmlns:ds="http://schemas.openxmlformats.org/officeDocument/2006/customXml" ds:itemID="{E9A45A8D-5035-4020-8E07-7F06E4011BFC}"/>
</file>

<file path=customXml/itemProps3.xml><?xml version="1.0" encoding="utf-8"?>
<ds:datastoreItem xmlns:ds="http://schemas.openxmlformats.org/officeDocument/2006/customXml" ds:itemID="{1BBBB25E-BF9B-44F4-BA5C-50C58AA05C0B}"/>
</file>

<file path=customXml/itemProps4.xml><?xml version="1.0" encoding="utf-8"?>
<ds:datastoreItem xmlns:ds="http://schemas.openxmlformats.org/officeDocument/2006/customXml" ds:itemID="{588D1FEF-22ED-4EF5-9C57-68CA25768E5E}"/>
</file>

<file path=docProps/app.xml><?xml version="1.0" encoding="utf-8"?>
<Properties xmlns="http://schemas.openxmlformats.org/officeDocument/2006/extended-properties" xmlns:vt="http://schemas.openxmlformats.org/officeDocument/2006/docPropsVTypes">
  <Template>Normal.dotm</Template>
  <TotalTime>0</TotalTime>
  <Pages>10</Pages>
  <Words>3157</Words>
  <Characters>15786</Characters>
  <Application>Microsoft Office Word</Application>
  <DocSecurity>0</DocSecurity>
  <Lines>131</Lines>
  <Paragraphs>37</Paragraphs>
  <ScaleCrop>false</ScaleCrop>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2014-05-19T09:08:00Z</dcterms:created>
  <dcterms:modified xsi:type="dcterms:W3CDTF">2014-05-19T09:08:00Z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