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A3549C">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A3549C">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3549C">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B533D5" w:rsidP="00A3549C">
      <w:pPr>
        <w:bidi w:val="0"/>
        <w:jc w:val="both"/>
        <w:rPr>
          <w:rFonts w:asciiTheme="majorBidi" w:hAnsiTheme="majorBidi" w:cstheme="majorBidi"/>
          <w:rtl/>
        </w:rPr>
      </w:pPr>
    </w:p>
    <w:p w:rsidR="007926C7" w:rsidRDefault="009C43A2" w:rsidP="00F2459E">
      <w:pPr>
        <w:bidi w:val="0"/>
        <w:jc w:val="both"/>
        <w:rPr>
          <w:rFonts w:asciiTheme="majorBidi" w:hAnsiTheme="majorBidi" w:cstheme="majorBidi"/>
        </w:rPr>
      </w:pPr>
      <w:r w:rsidRPr="00F2459E">
        <w:rPr>
          <w:rFonts w:asciiTheme="majorBidi" w:hAnsiTheme="majorBidi" w:cstheme="majorBidi"/>
        </w:rPr>
        <w:t xml:space="preserve">March </w:t>
      </w:r>
      <w:r w:rsidR="00F2459E" w:rsidRPr="00F2459E">
        <w:rPr>
          <w:rFonts w:asciiTheme="majorBidi" w:hAnsiTheme="majorBidi" w:cstheme="majorBidi" w:hint="cs"/>
          <w:rtl/>
        </w:rPr>
        <w:t>31</w:t>
      </w:r>
      <w:r w:rsidRPr="00F2459E">
        <w:rPr>
          <w:rFonts w:asciiTheme="majorBidi" w:hAnsiTheme="majorBidi" w:cstheme="majorBidi"/>
        </w:rPr>
        <w:t>, 202</w:t>
      </w:r>
      <w:r w:rsidR="00F2459E" w:rsidRPr="00F2459E">
        <w:rPr>
          <w:rFonts w:asciiTheme="majorBidi" w:hAnsiTheme="majorBidi" w:cstheme="majorBidi" w:hint="cs"/>
          <w:rtl/>
        </w:rPr>
        <w:t>6</w:t>
      </w:r>
    </w:p>
    <w:p w:rsidR="00C27619" w:rsidRDefault="00C27619" w:rsidP="00C27619">
      <w:pPr>
        <w:bidi w:val="0"/>
        <w:jc w:val="both"/>
        <w:rPr>
          <w:rFonts w:asciiTheme="majorBidi" w:hAnsiTheme="majorBidi" w:cstheme="majorBidi"/>
        </w:rPr>
      </w:pPr>
    </w:p>
    <w:p w:rsidR="00C27619" w:rsidRDefault="00C27619" w:rsidP="00C27619">
      <w:pPr>
        <w:bidi w:val="0"/>
        <w:jc w:val="both"/>
        <w:rPr>
          <w:rFonts w:asciiTheme="majorBidi" w:hAnsiTheme="majorBidi" w:cstheme="majorBidi"/>
          <w:b/>
          <w:bCs/>
        </w:rPr>
      </w:pPr>
      <w:r w:rsidRPr="009C43A2">
        <w:rPr>
          <w:rFonts w:asciiTheme="majorBidi" w:hAnsiTheme="majorBidi" w:cstheme="majorBidi"/>
          <w:b/>
          <w:bCs/>
        </w:rPr>
        <w:t>Press release:</w:t>
      </w:r>
    </w:p>
    <w:p w:rsidR="009C43A2" w:rsidRPr="008732F4" w:rsidRDefault="009C43A2" w:rsidP="00F2459E">
      <w:pPr>
        <w:bidi w:val="0"/>
        <w:jc w:val="both"/>
      </w:pPr>
      <w:r w:rsidRPr="008732F4">
        <w:t xml:space="preserve">The annual report on the investment of Israel's foreign exchange reserves for </w:t>
      </w:r>
      <w:r w:rsidR="00D847C6">
        <w:t>202</w:t>
      </w:r>
      <w:r w:rsidR="00F2459E">
        <w:t>5</w:t>
      </w:r>
      <w:r>
        <w:t xml:space="preserve"> </w:t>
      </w:r>
      <w:r w:rsidRPr="008732F4">
        <w:t>was published today.</w:t>
      </w:r>
      <w:r w:rsidRPr="008732F4">
        <w:rPr>
          <w:rStyle w:val="FootnoteReference"/>
        </w:rPr>
        <w:footnoteReference w:id="1"/>
      </w:r>
      <w:r w:rsidRPr="008732F4">
        <w:t xml:space="preserve"> Following are the main points in the report:</w:t>
      </w:r>
    </w:p>
    <w:p w:rsidR="00C27619" w:rsidRDefault="00C27619" w:rsidP="00C27619">
      <w:pPr>
        <w:bidi w:val="0"/>
        <w:jc w:val="both"/>
        <w:rPr>
          <w:rFonts w:asciiTheme="majorBidi" w:hAnsiTheme="majorBidi" w:cstheme="majorBidi"/>
        </w:rPr>
      </w:pPr>
    </w:p>
    <w:p w:rsidR="009C43A2" w:rsidRDefault="009C43A2" w:rsidP="00F2459E">
      <w:pPr>
        <w:bidi w:val="0"/>
        <w:jc w:val="center"/>
        <w:rPr>
          <w:rFonts w:asciiTheme="majorBidi" w:hAnsiTheme="majorBidi" w:cstheme="majorBidi"/>
          <w:b/>
          <w:bCs/>
          <w:sz w:val="32"/>
          <w:szCs w:val="32"/>
        </w:rPr>
      </w:pPr>
      <w:r w:rsidRPr="00636161">
        <w:rPr>
          <w:rFonts w:asciiTheme="majorBidi" w:hAnsiTheme="majorBidi" w:cstheme="majorBidi"/>
          <w:b/>
          <w:bCs/>
          <w:sz w:val="32"/>
          <w:szCs w:val="32"/>
        </w:rPr>
        <w:t>Report on the Investment of Israel's Foreign Exchange Reserves in</w:t>
      </w:r>
      <w:r w:rsidRPr="00636161" w:rsidDel="007C5B40">
        <w:rPr>
          <w:rFonts w:asciiTheme="majorBidi" w:hAnsiTheme="majorBidi" w:cstheme="majorBidi"/>
          <w:b/>
          <w:bCs/>
          <w:sz w:val="32"/>
          <w:szCs w:val="32"/>
        </w:rPr>
        <w:t xml:space="preserve"> </w:t>
      </w:r>
      <w:r w:rsidRPr="00636161">
        <w:rPr>
          <w:rFonts w:asciiTheme="majorBidi" w:hAnsiTheme="majorBidi" w:cstheme="majorBidi"/>
          <w:b/>
          <w:bCs/>
          <w:sz w:val="32"/>
          <w:szCs w:val="32"/>
        </w:rPr>
        <w:t>202</w:t>
      </w:r>
      <w:r w:rsidR="00F2459E">
        <w:rPr>
          <w:rFonts w:asciiTheme="majorBidi" w:hAnsiTheme="majorBidi" w:cstheme="majorBidi"/>
          <w:b/>
          <w:bCs/>
          <w:sz w:val="32"/>
          <w:szCs w:val="32"/>
        </w:rPr>
        <w:t>5</w:t>
      </w:r>
    </w:p>
    <w:p w:rsidR="00F2459E" w:rsidRDefault="00F2459E" w:rsidP="00F2459E">
      <w:pPr>
        <w:bidi w:val="0"/>
        <w:jc w:val="center"/>
        <w:rPr>
          <w:rFonts w:asciiTheme="majorBidi" w:hAnsiTheme="majorBidi" w:cstheme="majorBidi"/>
          <w:b/>
          <w:bCs/>
          <w:sz w:val="32"/>
          <w:szCs w:val="32"/>
        </w:rPr>
      </w:pPr>
      <w:bookmarkStart w:id="0" w:name="_GoBac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6343"/>
      </w:tblGrid>
      <w:tr w:rsidR="00F2459E" w:rsidRPr="00621A0F" w:rsidTr="00F2459E">
        <w:tc>
          <w:tcPr>
            <w:tcW w:w="1969" w:type="dxa"/>
          </w:tcPr>
          <w:p w:rsidR="00F2459E" w:rsidRPr="00621A0F" w:rsidRDefault="00F2459E" w:rsidP="00F2459E">
            <w:pPr>
              <w:jc w:val="right"/>
              <w:rPr>
                <w:color w:val="365F91" w:themeColor="accent1" w:themeShade="BF"/>
                <w:sz w:val="22"/>
                <w:szCs w:val="22"/>
              </w:rPr>
            </w:pPr>
            <w:r w:rsidRPr="00621A0F">
              <w:rPr>
                <w:color w:val="365F91" w:themeColor="accent1" w:themeShade="BF"/>
                <w:sz w:val="22"/>
                <w:szCs w:val="22"/>
              </w:rPr>
              <w:t>Economic and financial background conditions</w:t>
            </w:r>
          </w:p>
        </w:tc>
        <w:tc>
          <w:tcPr>
            <w:tcW w:w="6343" w:type="dxa"/>
          </w:tcPr>
          <w:p w:rsidR="00F2459E" w:rsidRDefault="00F2459E" w:rsidP="00CF6ED5">
            <w:pPr>
              <w:bidi w:val="0"/>
              <w:jc w:val="both"/>
              <w:rPr>
                <w:sz w:val="22"/>
                <w:szCs w:val="22"/>
              </w:rPr>
            </w:pPr>
            <w:r>
              <w:rPr>
                <w:sz w:val="22"/>
                <w:szCs w:val="22"/>
              </w:rPr>
              <w:t>During 2025, the positive trend in most equity and bond markets continued, in view of the continued growth worldwide and positive developments in the AI field.  In the US, the inflation level remained high, making it difficult for the Federal Reserve to significantly lower the interest rate.  In Europe, fiscal and geopolitical risks led to increased yields on government debt.</w:t>
            </w:r>
          </w:p>
          <w:p w:rsidR="00F2459E" w:rsidRPr="00621A0F" w:rsidRDefault="00F2459E" w:rsidP="00CF6ED5">
            <w:pPr>
              <w:bidi w:val="0"/>
              <w:jc w:val="both"/>
              <w:rPr>
                <w:sz w:val="22"/>
                <w:szCs w:val="22"/>
              </w:rPr>
            </w:pPr>
          </w:p>
        </w:tc>
      </w:tr>
      <w:tr w:rsidR="00F2459E" w:rsidRPr="00621A0F" w:rsidTr="00F2459E">
        <w:tc>
          <w:tcPr>
            <w:tcW w:w="1969" w:type="dxa"/>
          </w:tcPr>
          <w:p w:rsidR="00F2459E" w:rsidRPr="00621A0F" w:rsidRDefault="00F2459E" w:rsidP="00F2459E">
            <w:pPr>
              <w:jc w:val="right"/>
              <w:rPr>
                <w:color w:val="365F91" w:themeColor="accent1" w:themeShade="BF"/>
                <w:sz w:val="22"/>
                <w:szCs w:val="22"/>
              </w:rPr>
            </w:pPr>
            <w:r>
              <w:rPr>
                <w:color w:val="365F91" w:themeColor="accent1" w:themeShade="BF"/>
                <w:sz w:val="22"/>
                <w:szCs w:val="22"/>
              </w:rPr>
              <w:t>Level of the foreign exchange</w:t>
            </w:r>
            <w:r w:rsidRPr="00621A0F">
              <w:rPr>
                <w:color w:val="365F91" w:themeColor="accent1" w:themeShade="BF"/>
                <w:sz w:val="22"/>
                <w:szCs w:val="22"/>
              </w:rPr>
              <w:t xml:space="preserve"> reserves and sources of</w:t>
            </w:r>
            <w:r>
              <w:rPr>
                <w:color w:val="365F91" w:themeColor="accent1" w:themeShade="BF"/>
                <w:sz w:val="22"/>
                <w:szCs w:val="22"/>
              </w:rPr>
              <w:t xml:space="preserve"> their change</w:t>
            </w:r>
          </w:p>
        </w:tc>
        <w:tc>
          <w:tcPr>
            <w:tcW w:w="6343" w:type="dxa"/>
          </w:tcPr>
          <w:p w:rsidR="00F2459E" w:rsidRDefault="00F2459E" w:rsidP="00CF6ED5">
            <w:pPr>
              <w:bidi w:val="0"/>
              <w:jc w:val="both"/>
              <w:rPr>
                <w:sz w:val="22"/>
                <w:szCs w:val="22"/>
                <w:rtl/>
              </w:rPr>
            </w:pPr>
            <w:r>
              <w:rPr>
                <w:sz w:val="22"/>
                <w:szCs w:val="22"/>
              </w:rPr>
              <w:t xml:space="preserve">In 2025, Israel’s foreign exchange reserves increased by about $14.9 billion to $229.5 billion.  This increase was due to capital gains on equity holdings, interest income from bond holdings, and exchange rate differentials in respect of the weakening of the US dollar against the benchmark currencies.  These profits were partly </w:t>
            </w:r>
            <w:r w:rsidRPr="00115F12">
              <w:rPr>
                <w:sz w:val="22"/>
                <w:szCs w:val="22"/>
              </w:rPr>
              <w:t>offset by</w:t>
            </w:r>
            <w:r>
              <w:rPr>
                <w:sz w:val="22"/>
                <w:szCs w:val="22"/>
              </w:rPr>
              <w:t xml:space="preserve"> government withdrawals from its foreign currency account managed at the Bank of Israel.</w:t>
            </w:r>
          </w:p>
          <w:p w:rsidR="00F2459E" w:rsidRPr="00621A0F" w:rsidRDefault="00F2459E" w:rsidP="00CF6ED5">
            <w:pPr>
              <w:bidi w:val="0"/>
              <w:jc w:val="both"/>
              <w:rPr>
                <w:sz w:val="22"/>
                <w:szCs w:val="22"/>
                <w:rtl/>
              </w:rPr>
            </w:pPr>
          </w:p>
        </w:tc>
      </w:tr>
      <w:tr w:rsidR="00F2459E" w:rsidRPr="00621A0F" w:rsidTr="00F2459E">
        <w:tc>
          <w:tcPr>
            <w:tcW w:w="1969" w:type="dxa"/>
          </w:tcPr>
          <w:p w:rsidR="00F2459E" w:rsidRDefault="00F2459E" w:rsidP="00F2459E">
            <w:pPr>
              <w:jc w:val="right"/>
              <w:rPr>
                <w:color w:val="365F91" w:themeColor="accent1" w:themeShade="BF"/>
                <w:sz w:val="22"/>
                <w:szCs w:val="22"/>
              </w:rPr>
            </w:pPr>
            <w:r>
              <w:rPr>
                <w:color w:val="365F91" w:themeColor="accent1" w:themeShade="BF"/>
                <w:sz w:val="22"/>
                <w:szCs w:val="22"/>
              </w:rPr>
              <w:t>Asset allocation of the foreign exchange reserves</w:t>
            </w:r>
          </w:p>
          <w:p w:rsidR="00F2459E" w:rsidRPr="00621A0F" w:rsidRDefault="00F2459E" w:rsidP="00F2459E">
            <w:pPr>
              <w:jc w:val="right"/>
              <w:rPr>
                <w:color w:val="365F91" w:themeColor="accent1" w:themeShade="BF"/>
                <w:sz w:val="22"/>
                <w:szCs w:val="22"/>
              </w:rPr>
            </w:pPr>
          </w:p>
        </w:tc>
        <w:tc>
          <w:tcPr>
            <w:tcW w:w="6343" w:type="dxa"/>
          </w:tcPr>
          <w:p w:rsidR="00F2459E" w:rsidRPr="00621A0F" w:rsidRDefault="00F2459E" w:rsidP="00CF6ED5">
            <w:pPr>
              <w:bidi w:val="0"/>
              <w:jc w:val="both"/>
              <w:rPr>
                <w:sz w:val="22"/>
                <w:szCs w:val="22"/>
              </w:rPr>
            </w:pPr>
            <w:r>
              <w:rPr>
                <w:sz w:val="22"/>
                <w:szCs w:val="22"/>
              </w:rPr>
              <w:t>As of the end of 2025, the asset allocation of the foreign exchange reserves was 65 percent in government and other bonds</w:t>
            </w:r>
            <w:r>
              <w:rPr>
                <w:rStyle w:val="FootnoteReference"/>
                <w:sz w:val="22"/>
                <w:szCs w:val="22"/>
              </w:rPr>
              <w:footnoteReference w:id="2"/>
            </w:r>
            <w:r>
              <w:rPr>
                <w:sz w:val="22"/>
                <w:szCs w:val="22"/>
              </w:rPr>
              <w:t>, 25 percent in equities, and 10 percent in corporate bonds.</w:t>
            </w:r>
          </w:p>
        </w:tc>
      </w:tr>
      <w:tr w:rsidR="00F2459E" w:rsidRPr="00621A0F" w:rsidTr="00F2459E">
        <w:tc>
          <w:tcPr>
            <w:tcW w:w="1969" w:type="dxa"/>
          </w:tcPr>
          <w:p w:rsidR="00F2459E" w:rsidRDefault="00F2459E" w:rsidP="00F2459E">
            <w:pPr>
              <w:jc w:val="right"/>
              <w:rPr>
                <w:color w:val="365F91" w:themeColor="accent1" w:themeShade="BF"/>
                <w:sz w:val="22"/>
                <w:szCs w:val="22"/>
              </w:rPr>
            </w:pPr>
            <w:r>
              <w:rPr>
                <w:color w:val="365F91" w:themeColor="accent1" w:themeShade="BF"/>
                <w:sz w:val="22"/>
                <w:szCs w:val="22"/>
              </w:rPr>
              <w:t xml:space="preserve">Return </w:t>
            </w:r>
            <w:r w:rsidRPr="00621A0F">
              <w:rPr>
                <w:color w:val="365F91" w:themeColor="accent1" w:themeShade="BF"/>
                <w:sz w:val="22"/>
                <w:szCs w:val="22"/>
              </w:rPr>
              <w:t>on the reserves</w:t>
            </w:r>
            <w:r>
              <w:rPr>
                <w:color w:val="365F91" w:themeColor="accent1" w:themeShade="BF"/>
                <w:sz w:val="22"/>
                <w:szCs w:val="22"/>
              </w:rPr>
              <w:t xml:space="preserve"> portfolio</w:t>
            </w:r>
            <w:r w:rsidRPr="00621A0F">
              <w:rPr>
                <w:color w:val="365F91" w:themeColor="accent1" w:themeShade="BF"/>
                <w:sz w:val="22"/>
                <w:szCs w:val="22"/>
              </w:rPr>
              <w:t xml:space="preserve"> in terms of the currency benchmark</w:t>
            </w:r>
          </w:p>
          <w:p w:rsidR="00F2459E" w:rsidRPr="00621A0F" w:rsidRDefault="00F2459E" w:rsidP="00F2459E">
            <w:pPr>
              <w:jc w:val="right"/>
              <w:rPr>
                <w:color w:val="365F91" w:themeColor="accent1" w:themeShade="BF"/>
                <w:sz w:val="22"/>
                <w:szCs w:val="22"/>
              </w:rPr>
            </w:pPr>
          </w:p>
        </w:tc>
        <w:tc>
          <w:tcPr>
            <w:tcW w:w="6343" w:type="dxa"/>
          </w:tcPr>
          <w:p w:rsidR="00F2459E" w:rsidRDefault="00F2459E" w:rsidP="00DC3E07">
            <w:pPr>
              <w:bidi w:val="0"/>
              <w:jc w:val="both"/>
              <w:rPr>
                <w:sz w:val="22"/>
                <w:szCs w:val="22"/>
              </w:rPr>
            </w:pPr>
            <w:r>
              <w:rPr>
                <w:sz w:val="22"/>
                <w:szCs w:val="22"/>
              </w:rPr>
              <w:t>The rate of return on the reserves portfolio in terms of the currency benchmark</w:t>
            </w:r>
            <w:r>
              <w:rPr>
                <w:rStyle w:val="FootnoteReference"/>
                <w:sz w:val="22"/>
                <w:szCs w:val="22"/>
              </w:rPr>
              <w:footnoteReference w:id="3"/>
            </w:r>
            <w:r>
              <w:rPr>
                <w:sz w:val="22"/>
                <w:szCs w:val="22"/>
              </w:rPr>
              <w:t xml:space="preserve"> was 7.9% in 2025. </w:t>
            </w:r>
          </w:p>
          <w:p w:rsidR="00F2459E" w:rsidRDefault="00F2459E" w:rsidP="00CF6ED5">
            <w:pPr>
              <w:bidi w:val="0"/>
              <w:jc w:val="both"/>
              <w:rPr>
                <w:sz w:val="22"/>
                <w:szCs w:val="22"/>
              </w:rPr>
            </w:pPr>
          </w:p>
          <w:p w:rsidR="00F2459E" w:rsidRDefault="00F2459E" w:rsidP="00CF6ED5">
            <w:pPr>
              <w:bidi w:val="0"/>
              <w:jc w:val="both"/>
              <w:rPr>
                <w:sz w:val="22"/>
                <w:szCs w:val="22"/>
              </w:rPr>
            </w:pPr>
          </w:p>
          <w:p w:rsidR="00F2459E" w:rsidRDefault="00F2459E" w:rsidP="00CF6ED5">
            <w:pPr>
              <w:bidi w:val="0"/>
              <w:jc w:val="both"/>
              <w:rPr>
                <w:sz w:val="22"/>
                <w:szCs w:val="22"/>
              </w:rPr>
            </w:pPr>
          </w:p>
          <w:p w:rsidR="00F2459E" w:rsidRDefault="00F2459E" w:rsidP="00CF6ED5">
            <w:pPr>
              <w:bidi w:val="0"/>
              <w:jc w:val="both"/>
              <w:rPr>
                <w:sz w:val="22"/>
                <w:szCs w:val="22"/>
              </w:rPr>
            </w:pPr>
          </w:p>
          <w:p w:rsidR="00F2459E" w:rsidRDefault="00F2459E" w:rsidP="00CF6ED5">
            <w:pPr>
              <w:bidi w:val="0"/>
              <w:jc w:val="both"/>
              <w:rPr>
                <w:sz w:val="22"/>
                <w:szCs w:val="22"/>
              </w:rPr>
            </w:pPr>
          </w:p>
          <w:p w:rsidR="00F2459E" w:rsidRDefault="00F2459E" w:rsidP="00CF6ED5">
            <w:pPr>
              <w:bidi w:val="0"/>
              <w:jc w:val="both"/>
              <w:rPr>
                <w:sz w:val="22"/>
                <w:szCs w:val="22"/>
              </w:rPr>
            </w:pPr>
          </w:p>
          <w:tbl>
            <w:tblPr>
              <w:tblStyle w:val="TableGrid"/>
              <w:tblW w:w="0" w:type="auto"/>
              <w:tblLook w:val="04A0" w:firstRow="1" w:lastRow="0" w:firstColumn="1" w:lastColumn="0" w:noHBand="0" w:noVBand="1"/>
            </w:tblPr>
            <w:tblGrid>
              <w:gridCol w:w="1533"/>
              <w:gridCol w:w="1528"/>
              <w:gridCol w:w="1528"/>
              <w:gridCol w:w="1528"/>
            </w:tblGrid>
            <w:tr w:rsidR="00F2459E" w:rsidTr="00FD42E0">
              <w:tc>
                <w:tcPr>
                  <w:tcW w:w="9340" w:type="dxa"/>
                  <w:gridSpan w:val="4"/>
                </w:tcPr>
                <w:p w:rsidR="00F2459E" w:rsidRPr="00A87852" w:rsidRDefault="00F2459E" w:rsidP="00032F03">
                  <w:pPr>
                    <w:bidi w:val="0"/>
                    <w:jc w:val="center"/>
                    <w:rPr>
                      <w:rFonts w:cs="Calibri"/>
                      <w:b/>
                      <w:bCs/>
                      <w:color w:val="000000"/>
                    </w:rPr>
                  </w:pPr>
                  <w:r>
                    <w:rPr>
                      <w:rFonts w:cs="Calibri"/>
                      <w:b/>
                      <w:bCs/>
                      <w:color w:val="000000"/>
                    </w:rPr>
                    <w:lastRenderedPageBreak/>
                    <w:t>Table 1.1 | Rate of Return on the Foreign Exchange Reserves Portfolio, Annual and Multiyear Average, in Terms of the Currency Benchmark</w:t>
                  </w:r>
                </w:p>
              </w:tc>
            </w:tr>
            <w:tr w:rsidR="00F2459E" w:rsidTr="00FD42E0">
              <w:tc>
                <w:tcPr>
                  <w:tcW w:w="9340" w:type="dxa"/>
                  <w:gridSpan w:val="4"/>
                </w:tcPr>
                <w:p w:rsidR="00F2459E" w:rsidRPr="00A87852" w:rsidRDefault="00F2459E" w:rsidP="00032F03">
                  <w:pPr>
                    <w:bidi w:val="0"/>
                    <w:jc w:val="center"/>
                    <w:rPr>
                      <w:rFonts w:cs="Calibri"/>
                      <w:color w:val="000000"/>
                      <w:sz w:val="22"/>
                      <w:szCs w:val="22"/>
                    </w:rPr>
                  </w:pPr>
                  <w:r>
                    <w:rPr>
                      <w:rFonts w:cs="Calibri"/>
                      <w:color w:val="000000"/>
                      <w:sz w:val="22"/>
                      <w:szCs w:val="22"/>
                    </w:rPr>
                    <w:t>Percent in annual terms</w:t>
                  </w:r>
                </w:p>
              </w:tc>
            </w:tr>
            <w:tr w:rsidR="00F2459E" w:rsidTr="00FD42E0">
              <w:tc>
                <w:tcPr>
                  <w:tcW w:w="2335" w:type="dxa"/>
                </w:tcPr>
                <w:p w:rsidR="00F2459E" w:rsidRDefault="00F2459E" w:rsidP="00CF6ED5">
                  <w:pPr>
                    <w:bidi w:val="0"/>
                    <w:jc w:val="both"/>
                    <w:rPr>
                      <w:sz w:val="22"/>
                      <w:szCs w:val="22"/>
                    </w:rPr>
                  </w:pPr>
                </w:p>
              </w:tc>
              <w:tc>
                <w:tcPr>
                  <w:tcW w:w="2335" w:type="dxa"/>
                </w:tcPr>
                <w:p w:rsidR="00F2459E" w:rsidRPr="00A87852" w:rsidRDefault="00F2459E" w:rsidP="00032F03">
                  <w:pPr>
                    <w:bidi w:val="0"/>
                    <w:jc w:val="center"/>
                    <w:rPr>
                      <w:b/>
                      <w:bCs/>
                      <w:sz w:val="22"/>
                      <w:szCs w:val="22"/>
                    </w:rPr>
                  </w:pPr>
                  <w:r>
                    <w:rPr>
                      <w:b/>
                      <w:bCs/>
                      <w:sz w:val="22"/>
                      <w:szCs w:val="22"/>
                    </w:rPr>
                    <w:t>1-Year</w:t>
                  </w:r>
                </w:p>
              </w:tc>
              <w:tc>
                <w:tcPr>
                  <w:tcW w:w="2335" w:type="dxa"/>
                </w:tcPr>
                <w:p w:rsidR="00F2459E" w:rsidRPr="00A87852" w:rsidRDefault="00F2459E" w:rsidP="00032F03">
                  <w:pPr>
                    <w:bidi w:val="0"/>
                    <w:jc w:val="center"/>
                    <w:rPr>
                      <w:b/>
                      <w:bCs/>
                      <w:sz w:val="22"/>
                      <w:szCs w:val="22"/>
                    </w:rPr>
                  </w:pPr>
                  <w:r>
                    <w:rPr>
                      <w:b/>
                      <w:bCs/>
                      <w:sz w:val="22"/>
                      <w:szCs w:val="22"/>
                    </w:rPr>
                    <w:t>3-Year</w:t>
                  </w:r>
                </w:p>
              </w:tc>
              <w:tc>
                <w:tcPr>
                  <w:tcW w:w="2335" w:type="dxa"/>
                </w:tcPr>
                <w:p w:rsidR="00F2459E" w:rsidRPr="00A87852" w:rsidRDefault="00F2459E" w:rsidP="00032F03">
                  <w:pPr>
                    <w:bidi w:val="0"/>
                    <w:jc w:val="center"/>
                    <w:rPr>
                      <w:b/>
                      <w:bCs/>
                      <w:sz w:val="22"/>
                      <w:szCs w:val="22"/>
                    </w:rPr>
                  </w:pPr>
                  <w:r>
                    <w:rPr>
                      <w:b/>
                      <w:bCs/>
                      <w:sz w:val="22"/>
                      <w:szCs w:val="22"/>
                    </w:rPr>
                    <w:t>5-Year</w:t>
                  </w:r>
                </w:p>
              </w:tc>
            </w:tr>
            <w:tr w:rsidR="00F2459E" w:rsidTr="00FD42E0">
              <w:tc>
                <w:tcPr>
                  <w:tcW w:w="2335" w:type="dxa"/>
                </w:tcPr>
                <w:p w:rsidR="00F2459E" w:rsidRPr="00A87852" w:rsidRDefault="00F2459E" w:rsidP="00032F03">
                  <w:pPr>
                    <w:bidi w:val="0"/>
                    <w:jc w:val="center"/>
                    <w:rPr>
                      <w:b/>
                      <w:bCs/>
                      <w:sz w:val="22"/>
                      <w:szCs w:val="22"/>
                    </w:rPr>
                  </w:pPr>
                  <w:r>
                    <w:rPr>
                      <w:b/>
                      <w:bCs/>
                      <w:sz w:val="22"/>
                      <w:szCs w:val="22"/>
                    </w:rPr>
                    <w:t>2021</w:t>
                  </w:r>
                </w:p>
              </w:tc>
              <w:tc>
                <w:tcPr>
                  <w:tcW w:w="2335" w:type="dxa"/>
                </w:tcPr>
                <w:p w:rsidR="00F2459E" w:rsidRDefault="00F2459E" w:rsidP="00032F03">
                  <w:pPr>
                    <w:bidi w:val="0"/>
                    <w:jc w:val="center"/>
                    <w:rPr>
                      <w:sz w:val="22"/>
                      <w:szCs w:val="22"/>
                    </w:rPr>
                  </w:pPr>
                  <w:r>
                    <w:rPr>
                      <w:sz w:val="22"/>
                      <w:szCs w:val="22"/>
                    </w:rPr>
                    <w:t>2.9%</w:t>
                  </w:r>
                </w:p>
              </w:tc>
              <w:tc>
                <w:tcPr>
                  <w:tcW w:w="2335" w:type="dxa"/>
                </w:tcPr>
                <w:p w:rsidR="00F2459E" w:rsidRDefault="00F2459E" w:rsidP="00032F03">
                  <w:pPr>
                    <w:bidi w:val="0"/>
                    <w:jc w:val="center"/>
                    <w:rPr>
                      <w:sz w:val="22"/>
                      <w:szCs w:val="22"/>
                    </w:rPr>
                  </w:pPr>
                  <w:r>
                    <w:rPr>
                      <w:sz w:val="22"/>
                      <w:szCs w:val="22"/>
                    </w:rPr>
                    <w:t>4.4%</w:t>
                  </w:r>
                </w:p>
              </w:tc>
              <w:tc>
                <w:tcPr>
                  <w:tcW w:w="2335" w:type="dxa"/>
                </w:tcPr>
                <w:p w:rsidR="00F2459E" w:rsidRDefault="00F2459E" w:rsidP="00032F03">
                  <w:pPr>
                    <w:bidi w:val="0"/>
                    <w:jc w:val="center"/>
                    <w:rPr>
                      <w:sz w:val="22"/>
                      <w:szCs w:val="22"/>
                    </w:rPr>
                  </w:pPr>
                  <w:r>
                    <w:rPr>
                      <w:sz w:val="22"/>
                      <w:szCs w:val="22"/>
                    </w:rPr>
                    <w:t>3.2%</w:t>
                  </w:r>
                </w:p>
              </w:tc>
            </w:tr>
            <w:tr w:rsidR="00F2459E" w:rsidTr="00FD42E0">
              <w:tc>
                <w:tcPr>
                  <w:tcW w:w="2335" w:type="dxa"/>
                </w:tcPr>
                <w:p w:rsidR="00F2459E" w:rsidRPr="00A87852" w:rsidRDefault="00F2459E" w:rsidP="00032F03">
                  <w:pPr>
                    <w:bidi w:val="0"/>
                    <w:jc w:val="center"/>
                    <w:rPr>
                      <w:b/>
                      <w:bCs/>
                      <w:sz w:val="22"/>
                      <w:szCs w:val="22"/>
                    </w:rPr>
                  </w:pPr>
                  <w:r>
                    <w:rPr>
                      <w:b/>
                      <w:bCs/>
                      <w:sz w:val="22"/>
                      <w:szCs w:val="22"/>
                    </w:rPr>
                    <w:t>2022</w:t>
                  </w:r>
                </w:p>
              </w:tc>
              <w:tc>
                <w:tcPr>
                  <w:tcW w:w="2335" w:type="dxa"/>
                </w:tcPr>
                <w:p w:rsidR="00F2459E" w:rsidRDefault="00F2459E" w:rsidP="00032F03">
                  <w:pPr>
                    <w:bidi w:val="0"/>
                    <w:jc w:val="center"/>
                    <w:rPr>
                      <w:sz w:val="22"/>
                      <w:szCs w:val="22"/>
                    </w:rPr>
                  </w:pPr>
                  <w:r>
                    <w:rPr>
                      <w:sz w:val="22"/>
                      <w:szCs w:val="22"/>
                    </w:rPr>
                    <w:t>-5.7%</w:t>
                  </w:r>
                </w:p>
              </w:tc>
              <w:tc>
                <w:tcPr>
                  <w:tcW w:w="2335" w:type="dxa"/>
                </w:tcPr>
                <w:p w:rsidR="00F2459E" w:rsidRDefault="00F2459E" w:rsidP="00032F03">
                  <w:pPr>
                    <w:bidi w:val="0"/>
                    <w:jc w:val="center"/>
                    <w:rPr>
                      <w:sz w:val="22"/>
                      <w:szCs w:val="22"/>
                    </w:rPr>
                  </w:pPr>
                  <w:r>
                    <w:rPr>
                      <w:sz w:val="22"/>
                      <w:szCs w:val="22"/>
                    </w:rPr>
                    <w:t>0.3%</w:t>
                  </w:r>
                </w:p>
              </w:tc>
              <w:tc>
                <w:tcPr>
                  <w:tcW w:w="2335" w:type="dxa"/>
                </w:tcPr>
                <w:p w:rsidR="00F2459E" w:rsidRDefault="00F2459E" w:rsidP="00032F03">
                  <w:pPr>
                    <w:bidi w:val="0"/>
                    <w:jc w:val="center"/>
                    <w:rPr>
                      <w:sz w:val="22"/>
                      <w:szCs w:val="22"/>
                    </w:rPr>
                  </w:pPr>
                  <w:r>
                    <w:rPr>
                      <w:sz w:val="22"/>
                      <w:szCs w:val="22"/>
                    </w:rPr>
                    <w:t>1.4%</w:t>
                  </w:r>
                </w:p>
              </w:tc>
            </w:tr>
            <w:tr w:rsidR="00F2459E" w:rsidTr="00FD42E0">
              <w:tc>
                <w:tcPr>
                  <w:tcW w:w="2335" w:type="dxa"/>
                </w:tcPr>
                <w:p w:rsidR="00F2459E" w:rsidRPr="00A87852" w:rsidRDefault="00F2459E" w:rsidP="00032F03">
                  <w:pPr>
                    <w:bidi w:val="0"/>
                    <w:jc w:val="center"/>
                    <w:rPr>
                      <w:b/>
                      <w:bCs/>
                      <w:sz w:val="22"/>
                      <w:szCs w:val="22"/>
                    </w:rPr>
                  </w:pPr>
                  <w:r>
                    <w:rPr>
                      <w:b/>
                      <w:bCs/>
                      <w:sz w:val="22"/>
                      <w:szCs w:val="22"/>
                    </w:rPr>
                    <w:t>2023</w:t>
                  </w:r>
                </w:p>
              </w:tc>
              <w:tc>
                <w:tcPr>
                  <w:tcW w:w="2335" w:type="dxa"/>
                </w:tcPr>
                <w:p w:rsidR="00F2459E" w:rsidRDefault="00F2459E" w:rsidP="00032F03">
                  <w:pPr>
                    <w:bidi w:val="0"/>
                    <w:jc w:val="center"/>
                    <w:rPr>
                      <w:sz w:val="22"/>
                      <w:szCs w:val="22"/>
                    </w:rPr>
                  </w:pPr>
                  <w:r>
                    <w:rPr>
                      <w:sz w:val="22"/>
                      <w:szCs w:val="22"/>
                    </w:rPr>
                    <w:t>8.2%</w:t>
                  </w:r>
                </w:p>
              </w:tc>
              <w:tc>
                <w:tcPr>
                  <w:tcW w:w="2335" w:type="dxa"/>
                </w:tcPr>
                <w:p w:rsidR="00F2459E" w:rsidRDefault="00F2459E" w:rsidP="00032F03">
                  <w:pPr>
                    <w:bidi w:val="0"/>
                    <w:jc w:val="center"/>
                    <w:rPr>
                      <w:sz w:val="22"/>
                      <w:szCs w:val="22"/>
                    </w:rPr>
                  </w:pPr>
                  <w:r>
                    <w:rPr>
                      <w:sz w:val="22"/>
                      <w:szCs w:val="22"/>
                    </w:rPr>
                    <w:t>1.6%</w:t>
                  </w:r>
                </w:p>
              </w:tc>
              <w:tc>
                <w:tcPr>
                  <w:tcW w:w="2335" w:type="dxa"/>
                </w:tcPr>
                <w:p w:rsidR="00F2459E" w:rsidRDefault="00F2459E" w:rsidP="00032F03">
                  <w:pPr>
                    <w:bidi w:val="0"/>
                    <w:jc w:val="center"/>
                    <w:rPr>
                      <w:sz w:val="22"/>
                      <w:szCs w:val="22"/>
                    </w:rPr>
                  </w:pPr>
                  <w:r>
                    <w:rPr>
                      <w:sz w:val="22"/>
                      <w:szCs w:val="22"/>
                    </w:rPr>
                    <w:t>3.0%</w:t>
                  </w:r>
                </w:p>
              </w:tc>
            </w:tr>
            <w:tr w:rsidR="00F2459E" w:rsidTr="00FD42E0">
              <w:tc>
                <w:tcPr>
                  <w:tcW w:w="2335" w:type="dxa"/>
                  <w:tcBorders>
                    <w:bottom w:val="single" w:sz="4" w:space="0" w:color="auto"/>
                  </w:tcBorders>
                </w:tcPr>
                <w:p w:rsidR="00F2459E" w:rsidRPr="00A87852" w:rsidRDefault="00F2459E" w:rsidP="00032F03">
                  <w:pPr>
                    <w:bidi w:val="0"/>
                    <w:jc w:val="center"/>
                    <w:rPr>
                      <w:b/>
                      <w:bCs/>
                      <w:sz w:val="22"/>
                      <w:szCs w:val="22"/>
                    </w:rPr>
                  </w:pPr>
                  <w:r>
                    <w:rPr>
                      <w:b/>
                      <w:bCs/>
                      <w:sz w:val="22"/>
                      <w:szCs w:val="22"/>
                    </w:rPr>
                    <w:t>2024</w:t>
                  </w:r>
                </w:p>
              </w:tc>
              <w:tc>
                <w:tcPr>
                  <w:tcW w:w="2335" w:type="dxa"/>
                  <w:tcBorders>
                    <w:bottom w:val="single" w:sz="4" w:space="0" w:color="auto"/>
                  </w:tcBorders>
                </w:tcPr>
                <w:p w:rsidR="00F2459E" w:rsidRDefault="00F2459E" w:rsidP="00032F03">
                  <w:pPr>
                    <w:bidi w:val="0"/>
                    <w:jc w:val="center"/>
                    <w:rPr>
                      <w:sz w:val="22"/>
                      <w:szCs w:val="22"/>
                    </w:rPr>
                  </w:pPr>
                  <w:r>
                    <w:rPr>
                      <w:sz w:val="22"/>
                      <w:szCs w:val="22"/>
                    </w:rPr>
                    <w:t>6.7%</w:t>
                  </w:r>
                </w:p>
              </w:tc>
              <w:tc>
                <w:tcPr>
                  <w:tcW w:w="2335" w:type="dxa"/>
                  <w:tcBorders>
                    <w:bottom w:val="single" w:sz="4" w:space="0" w:color="auto"/>
                  </w:tcBorders>
                </w:tcPr>
                <w:p w:rsidR="00F2459E" w:rsidRDefault="00F2459E" w:rsidP="00032F03">
                  <w:pPr>
                    <w:bidi w:val="0"/>
                    <w:jc w:val="center"/>
                    <w:rPr>
                      <w:sz w:val="22"/>
                      <w:szCs w:val="22"/>
                    </w:rPr>
                  </w:pPr>
                  <w:r>
                    <w:rPr>
                      <w:sz w:val="22"/>
                      <w:szCs w:val="22"/>
                    </w:rPr>
                    <w:t>2.9%</w:t>
                  </w:r>
                </w:p>
              </w:tc>
              <w:tc>
                <w:tcPr>
                  <w:tcW w:w="2335" w:type="dxa"/>
                  <w:tcBorders>
                    <w:bottom w:val="single" w:sz="4" w:space="0" w:color="auto"/>
                  </w:tcBorders>
                </w:tcPr>
                <w:p w:rsidR="00F2459E" w:rsidRDefault="00F2459E" w:rsidP="00032F03">
                  <w:pPr>
                    <w:bidi w:val="0"/>
                    <w:jc w:val="center"/>
                    <w:rPr>
                      <w:sz w:val="22"/>
                      <w:szCs w:val="22"/>
                    </w:rPr>
                  </w:pPr>
                  <w:r>
                    <w:rPr>
                      <w:sz w:val="22"/>
                      <w:szCs w:val="22"/>
                    </w:rPr>
                    <w:t>3.1%</w:t>
                  </w:r>
                </w:p>
              </w:tc>
            </w:tr>
            <w:tr w:rsidR="00F2459E" w:rsidTr="00FD42E0">
              <w:tc>
                <w:tcPr>
                  <w:tcW w:w="2335" w:type="dxa"/>
                  <w:tcBorders>
                    <w:bottom w:val="single" w:sz="4" w:space="0" w:color="auto"/>
                  </w:tcBorders>
                  <w:shd w:val="clear" w:color="auto" w:fill="B8CCE4" w:themeFill="accent1" w:themeFillTint="66"/>
                </w:tcPr>
                <w:p w:rsidR="00F2459E" w:rsidRPr="00A87852" w:rsidRDefault="00F2459E" w:rsidP="00032F03">
                  <w:pPr>
                    <w:bidi w:val="0"/>
                    <w:jc w:val="center"/>
                    <w:rPr>
                      <w:b/>
                      <w:bCs/>
                      <w:sz w:val="22"/>
                      <w:szCs w:val="22"/>
                    </w:rPr>
                  </w:pPr>
                  <w:r>
                    <w:rPr>
                      <w:b/>
                      <w:bCs/>
                      <w:sz w:val="22"/>
                      <w:szCs w:val="22"/>
                    </w:rPr>
                    <w:t>2025</w:t>
                  </w:r>
                </w:p>
              </w:tc>
              <w:tc>
                <w:tcPr>
                  <w:tcW w:w="2335" w:type="dxa"/>
                  <w:tcBorders>
                    <w:bottom w:val="single" w:sz="4" w:space="0" w:color="auto"/>
                  </w:tcBorders>
                  <w:shd w:val="clear" w:color="auto" w:fill="B8CCE4" w:themeFill="accent1" w:themeFillTint="66"/>
                </w:tcPr>
                <w:p w:rsidR="00F2459E" w:rsidRDefault="00F2459E" w:rsidP="00032F03">
                  <w:pPr>
                    <w:bidi w:val="0"/>
                    <w:jc w:val="center"/>
                    <w:rPr>
                      <w:sz w:val="22"/>
                      <w:szCs w:val="22"/>
                    </w:rPr>
                  </w:pPr>
                  <w:r>
                    <w:rPr>
                      <w:sz w:val="22"/>
                      <w:szCs w:val="22"/>
                    </w:rPr>
                    <w:t>7.9%</w:t>
                  </w:r>
                </w:p>
              </w:tc>
              <w:tc>
                <w:tcPr>
                  <w:tcW w:w="2335" w:type="dxa"/>
                  <w:tcBorders>
                    <w:bottom w:val="single" w:sz="4" w:space="0" w:color="auto"/>
                  </w:tcBorders>
                  <w:shd w:val="clear" w:color="auto" w:fill="B8CCE4" w:themeFill="accent1" w:themeFillTint="66"/>
                </w:tcPr>
                <w:p w:rsidR="00F2459E" w:rsidRDefault="00F2459E" w:rsidP="00032F03">
                  <w:pPr>
                    <w:bidi w:val="0"/>
                    <w:jc w:val="center"/>
                    <w:rPr>
                      <w:sz w:val="22"/>
                      <w:szCs w:val="22"/>
                    </w:rPr>
                  </w:pPr>
                  <w:r>
                    <w:rPr>
                      <w:sz w:val="22"/>
                      <w:szCs w:val="22"/>
                    </w:rPr>
                    <w:t>7.6%</w:t>
                  </w:r>
                </w:p>
              </w:tc>
              <w:tc>
                <w:tcPr>
                  <w:tcW w:w="2335" w:type="dxa"/>
                  <w:tcBorders>
                    <w:bottom w:val="single" w:sz="4" w:space="0" w:color="auto"/>
                  </w:tcBorders>
                  <w:shd w:val="clear" w:color="auto" w:fill="B8CCE4" w:themeFill="accent1" w:themeFillTint="66"/>
                </w:tcPr>
                <w:p w:rsidR="00F2459E" w:rsidRDefault="00F2459E" w:rsidP="00032F03">
                  <w:pPr>
                    <w:bidi w:val="0"/>
                    <w:jc w:val="center"/>
                    <w:rPr>
                      <w:sz w:val="22"/>
                      <w:szCs w:val="22"/>
                    </w:rPr>
                  </w:pPr>
                  <w:r>
                    <w:rPr>
                      <w:sz w:val="22"/>
                      <w:szCs w:val="22"/>
                    </w:rPr>
                    <w:t>3.9%</w:t>
                  </w:r>
                </w:p>
              </w:tc>
            </w:tr>
            <w:tr w:rsidR="00F2459E" w:rsidTr="00FD42E0">
              <w:tc>
                <w:tcPr>
                  <w:tcW w:w="9340" w:type="dxa"/>
                  <w:gridSpan w:val="4"/>
                  <w:tcBorders>
                    <w:top w:val="single" w:sz="4" w:space="0" w:color="auto"/>
                    <w:left w:val="nil"/>
                    <w:bottom w:val="nil"/>
                    <w:right w:val="nil"/>
                  </w:tcBorders>
                  <w:shd w:val="clear" w:color="auto" w:fill="auto"/>
                </w:tcPr>
                <w:p w:rsidR="00F2459E" w:rsidRDefault="00F2459E" w:rsidP="00CF6ED5">
                  <w:pPr>
                    <w:bidi w:val="0"/>
                    <w:jc w:val="both"/>
                    <w:rPr>
                      <w:sz w:val="22"/>
                      <w:szCs w:val="22"/>
                    </w:rPr>
                  </w:pPr>
                </w:p>
              </w:tc>
            </w:tr>
          </w:tbl>
          <w:p w:rsidR="00F2459E" w:rsidRPr="00621A0F" w:rsidRDefault="00F2459E" w:rsidP="00CF6ED5">
            <w:pPr>
              <w:bidi w:val="0"/>
              <w:jc w:val="both"/>
              <w:rPr>
                <w:sz w:val="22"/>
                <w:szCs w:val="22"/>
              </w:rPr>
            </w:pPr>
          </w:p>
        </w:tc>
      </w:tr>
      <w:tr w:rsidR="00F2459E" w:rsidRPr="00621A0F" w:rsidTr="00F2459E">
        <w:tc>
          <w:tcPr>
            <w:tcW w:w="1969" w:type="dxa"/>
          </w:tcPr>
          <w:p w:rsidR="00F2459E" w:rsidRPr="00621A0F" w:rsidRDefault="00F2459E" w:rsidP="00F2459E">
            <w:pPr>
              <w:jc w:val="right"/>
              <w:rPr>
                <w:color w:val="365F91" w:themeColor="accent1" w:themeShade="BF"/>
                <w:sz w:val="22"/>
                <w:szCs w:val="22"/>
              </w:rPr>
            </w:pPr>
            <w:r w:rsidRPr="00621A0F">
              <w:rPr>
                <w:color w:val="365F91" w:themeColor="accent1" w:themeShade="BF"/>
                <w:sz w:val="22"/>
                <w:szCs w:val="22"/>
              </w:rPr>
              <w:lastRenderedPageBreak/>
              <w:t>Risk level of the reserves</w:t>
            </w:r>
            <w:r>
              <w:rPr>
                <w:color w:val="365F91" w:themeColor="accent1" w:themeShade="BF"/>
                <w:sz w:val="22"/>
                <w:szCs w:val="22"/>
              </w:rPr>
              <w:t xml:space="preserve"> portfolio</w:t>
            </w:r>
          </w:p>
        </w:tc>
        <w:tc>
          <w:tcPr>
            <w:tcW w:w="6343" w:type="dxa"/>
          </w:tcPr>
          <w:p w:rsidR="00F2459E" w:rsidRDefault="00F2459E" w:rsidP="00CF6ED5">
            <w:pPr>
              <w:bidi w:val="0"/>
              <w:jc w:val="both"/>
              <w:rPr>
                <w:sz w:val="22"/>
                <w:szCs w:val="22"/>
              </w:rPr>
            </w:pPr>
            <w:r>
              <w:rPr>
                <w:sz w:val="22"/>
                <w:szCs w:val="22"/>
              </w:rPr>
              <w:t>The volatility of the reserves moderated slightly, influenced by the decline in volatility in the equity and bond markets.  However, due to the increase in the weight of equities in the portfolio during the year, the tail risk (CVaR5%</w:t>
            </w:r>
            <w:r>
              <w:rPr>
                <w:rStyle w:val="FootnoteReference"/>
                <w:sz w:val="22"/>
                <w:szCs w:val="22"/>
              </w:rPr>
              <w:footnoteReference w:id="4"/>
            </w:r>
            <w:r>
              <w:rPr>
                <w:sz w:val="22"/>
                <w:szCs w:val="22"/>
              </w:rPr>
              <w:t>) increased.</w:t>
            </w:r>
          </w:p>
          <w:p w:rsidR="00F2459E" w:rsidRPr="00621A0F" w:rsidRDefault="00F2459E" w:rsidP="00F2459E">
            <w:pPr>
              <w:jc w:val="right"/>
              <w:rPr>
                <w:sz w:val="22"/>
                <w:szCs w:val="22"/>
              </w:rPr>
            </w:pPr>
          </w:p>
        </w:tc>
      </w:tr>
      <w:tr w:rsidR="00F2459E" w:rsidRPr="00621A0F" w:rsidTr="00F2459E">
        <w:tc>
          <w:tcPr>
            <w:tcW w:w="1969" w:type="dxa"/>
          </w:tcPr>
          <w:p w:rsidR="00F2459E" w:rsidRPr="00621A0F" w:rsidRDefault="00F2459E" w:rsidP="00F2459E">
            <w:pPr>
              <w:jc w:val="right"/>
              <w:rPr>
                <w:color w:val="365F91" w:themeColor="accent1" w:themeShade="BF"/>
                <w:sz w:val="22"/>
                <w:szCs w:val="22"/>
              </w:rPr>
            </w:pPr>
            <w:r>
              <w:rPr>
                <w:color w:val="365F91" w:themeColor="accent1" w:themeShade="BF"/>
                <w:sz w:val="22"/>
                <w:szCs w:val="22"/>
              </w:rPr>
              <w:t>Return on the reserves portfolio in shekel terms</w:t>
            </w:r>
          </w:p>
        </w:tc>
        <w:tc>
          <w:tcPr>
            <w:tcW w:w="6343" w:type="dxa"/>
          </w:tcPr>
          <w:p w:rsidR="00F2459E" w:rsidRDefault="00F2459E" w:rsidP="00CF6ED5">
            <w:pPr>
              <w:bidi w:val="0"/>
              <w:jc w:val="both"/>
              <w:rPr>
                <w:sz w:val="22"/>
                <w:szCs w:val="22"/>
              </w:rPr>
            </w:pPr>
            <w:r>
              <w:rPr>
                <w:sz w:val="22"/>
                <w:szCs w:val="22"/>
              </w:rPr>
              <w:t>The rate of return on the foreign exchange reserves portfolio in shekel terms was -2.5% in 2025, due to the strengthening of the shekel against the currency benchmark by 9.6%.  However, in the 3-year and 5-year ranges, there was a positive shekel rate of return.  In accordance with one of the investment policy goals for the reserves, the shekel rate of return must cover the shekel cost of holding the reserves in the long term.</w:t>
            </w:r>
            <w:r>
              <w:rPr>
                <w:rStyle w:val="FootnoteReference"/>
                <w:sz w:val="22"/>
                <w:szCs w:val="22"/>
              </w:rPr>
              <w:footnoteReference w:id="5"/>
            </w:r>
          </w:p>
          <w:p w:rsidR="00F2459E" w:rsidRDefault="00F2459E" w:rsidP="00F2459E">
            <w:pPr>
              <w:jc w:val="right"/>
              <w:rPr>
                <w:sz w:val="22"/>
                <w:szCs w:val="22"/>
              </w:rPr>
            </w:pPr>
          </w:p>
          <w:tbl>
            <w:tblPr>
              <w:tblStyle w:val="TableGrid"/>
              <w:tblW w:w="0" w:type="auto"/>
              <w:tblLook w:val="04A0" w:firstRow="1" w:lastRow="0" w:firstColumn="1" w:lastColumn="0" w:noHBand="0" w:noVBand="1"/>
            </w:tblPr>
            <w:tblGrid>
              <w:gridCol w:w="1031"/>
              <w:gridCol w:w="1926"/>
              <w:gridCol w:w="1118"/>
              <w:gridCol w:w="1021"/>
              <w:gridCol w:w="1021"/>
            </w:tblGrid>
            <w:tr w:rsidR="00F2459E" w:rsidTr="00FD42E0">
              <w:tc>
                <w:tcPr>
                  <w:tcW w:w="9345" w:type="dxa"/>
                  <w:gridSpan w:val="5"/>
                </w:tcPr>
                <w:p w:rsidR="00F2459E" w:rsidRPr="00A87852" w:rsidRDefault="00F2459E" w:rsidP="00F2459E">
                  <w:pPr>
                    <w:jc w:val="center"/>
                    <w:rPr>
                      <w:rFonts w:cs="Calibri"/>
                      <w:b/>
                      <w:bCs/>
                      <w:color w:val="000000"/>
                    </w:rPr>
                  </w:pPr>
                  <w:r>
                    <w:rPr>
                      <w:rFonts w:cs="Calibri"/>
                      <w:b/>
                      <w:bCs/>
                      <w:color w:val="000000"/>
                    </w:rPr>
                    <w:t>Table 1.2 | Yield on Holding Foreign Currency Reserves, Annual Perspective and Multiyear Average, in Shekel Terms</w:t>
                  </w:r>
                </w:p>
              </w:tc>
            </w:tr>
            <w:tr w:rsidR="00F2459E" w:rsidTr="00FD42E0">
              <w:tc>
                <w:tcPr>
                  <w:tcW w:w="9345" w:type="dxa"/>
                  <w:gridSpan w:val="5"/>
                </w:tcPr>
                <w:p w:rsidR="00F2459E" w:rsidRPr="00A87852" w:rsidRDefault="00F2459E" w:rsidP="00F2459E">
                  <w:pPr>
                    <w:jc w:val="center"/>
                    <w:rPr>
                      <w:rFonts w:cs="Calibri"/>
                      <w:color w:val="000000"/>
                      <w:sz w:val="22"/>
                      <w:szCs w:val="22"/>
                    </w:rPr>
                  </w:pPr>
                  <w:r>
                    <w:rPr>
                      <w:rFonts w:cs="Calibri"/>
                      <w:color w:val="000000"/>
                      <w:sz w:val="22"/>
                      <w:szCs w:val="22"/>
                    </w:rPr>
                    <w:t>Percent in annual terms</w:t>
                  </w:r>
                </w:p>
              </w:tc>
            </w:tr>
            <w:tr w:rsidR="00F2459E" w:rsidTr="00FD42E0">
              <w:tc>
                <w:tcPr>
                  <w:tcW w:w="1842" w:type="dxa"/>
                </w:tcPr>
                <w:p w:rsidR="00F2459E" w:rsidRDefault="00F2459E" w:rsidP="00F2459E">
                  <w:pPr>
                    <w:jc w:val="center"/>
                    <w:rPr>
                      <w:sz w:val="22"/>
                      <w:szCs w:val="22"/>
                    </w:rPr>
                  </w:pPr>
                </w:p>
              </w:tc>
              <w:tc>
                <w:tcPr>
                  <w:tcW w:w="1926" w:type="dxa"/>
                  <w:vMerge w:val="restart"/>
                </w:tcPr>
                <w:p w:rsidR="00F2459E" w:rsidRDefault="00F2459E" w:rsidP="00F2459E">
                  <w:pPr>
                    <w:jc w:val="center"/>
                    <w:rPr>
                      <w:b/>
                      <w:bCs/>
                      <w:sz w:val="22"/>
                      <w:szCs w:val="22"/>
                    </w:rPr>
                  </w:pPr>
                  <w:r>
                    <w:rPr>
                      <w:b/>
                      <w:bCs/>
                      <w:sz w:val="22"/>
                      <w:szCs w:val="22"/>
                    </w:rPr>
                    <w:t>Annual change in the currency benchmark/shekel exchange rate*</w:t>
                  </w:r>
                </w:p>
              </w:tc>
              <w:tc>
                <w:tcPr>
                  <w:tcW w:w="5577" w:type="dxa"/>
                  <w:gridSpan w:val="3"/>
                </w:tcPr>
                <w:p w:rsidR="00F2459E" w:rsidRDefault="00F2459E" w:rsidP="00F2459E">
                  <w:pPr>
                    <w:jc w:val="center"/>
                    <w:rPr>
                      <w:b/>
                      <w:bCs/>
                      <w:sz w:val="22"/>
                      <w:szCs w:val="22"/>
                    </w:rPr>
                  </w:pPr>
                  <w:r>
                    <w:rPr>
                      <w:b/>
                      <w:bCs/>
                      <w:sz w:val="22"/>
                      <w:szCs w:val="22"/>
                    </w:rPr>
                    <w:t>Yield</w:t>
                  </w:r>
                </w:p>
              </w:tc>
            </w:tr>
            <w:tr w:rsidR="00F2459E" w:rsidTr="00FD42E0">
              <w:tc>
                <w:tcPr>
                  <w:tcW w:w="1842" w:type="dxa"/>
                </w:tcPr>
                <w:p w:rsidR="00F2459E" w:rsidRDefault="00F2459E" w:rsidP="00F2459E">
                  <w:pPr>
                    <w:jc w:val="center"/>
                    <w:rPr>
                      <w:sz w:val="22"/>
                      <w:szCs w:val="22"/>
                    </w:rPr>
                  </w:pPr>
                </w:p>
              </w:tc>
              <w:tc>
                <w:tcPr>
                  <w:tcW w:w="1926" w:type="dxa"/>
                  <w:vMerge/>
                </w:tcPr>
                <w:p w:rsidR="00F2459E" w:rsidRDefault="00F2459E" w:rsidP="00F2459E">
                  <w:pPr>
                    <w:jc w:val="center"/>
                    <w:rPr>
                      <w:b/>
                      <w:bCs/>
                      <w:sz w:val="22"/>
                      <w:szCs w:val="22"/>
                    </w:rPr>
                  </w:pPr>
                </w:p>
              </w:tc>
              <w:tc>
                <w:tcPr>
                  <w:tcW w:w="1901" w:type="dxa"/>
                </w:tcPr>
                <w:p w:rsidR="00F2459E" w:rsidRPr="00A87852" w:rsidRDefault="00F2459E" w:rsidP="00F2459E">
                  <w:pPr>
                    <w:jc w:val="center"/>
                    <w:rPr>
                      <w:b/>
                      <w:bCs/>
                      <w:sz w:val="22"/>
                      <w:szCs w:val="22"/>
                    </w:rPr>
                  </w:pPr>
                  <w:r>
                    <w:rPr>
                      <w:b/>
                      <w:bCs/>
                      <w:sz w:val="22"/>
                      <w:szCs w:val="22"/>
                    </w:rPr>
                    <w:t>1-Year</w:t>
                  </w:r>
                </w:p>
              </w:tc>
              <w:tc>
                <w:tcPr>
                  <w:tcW w:w="1838" w:type="dxa"/>
                </w:tcPr>
                <w:p w:rsidR="00F2459E" w:rsidRPr="00A87852" w:rsidRDefault="00F2459E" w:rsidP="00F2459E">
                  <w:pPr>
                    <w:jc w:val="center"/>
                    <w:rPr>
                      <w:b/>
                      <w:bCs/>
                      <w:sz w:val="22"/>
                      <w:szCs w:val="22"/>
                    </w:rPr>
                  </w:pPr>
                  <w:r>
                    <w:rPr>
                      <w:b/>
                      <w:bCs/>
                      <w:sz w:val="22"/>
                      <w:szCs w:val="22"/>
                    </w:rPr>
                    <w:t>3-Year</w:t>
                  </w:r>
                </w:p>
              </w:tc>
              <w:tc>
                <w:tcPr>
                  <w:tcW w:w="1838" w:type="dxa"/>
                </w:tcPr>
                <w:p w:rsidR="00F2459E" w:rsidRPr="00A87852" w:rsidRDefault="00F2459E" w:rsidP="00F2459E">
                  <w:pPr>
                    <w:jc w:val="center"/>
                    <w:rPr>
                      <w:b/>
                      <w:bCs/>
                      <w:sz w:val="22"/>
                      <w:szCs w:val="22"/>
                    </w:rPr>
                  </w:pPr>
                  <w:r>
                    <w:rPr>
                      <w:b/>
                      <w:bCs/>
                      <w:sz w:val="22"/>
                      <w:szCs w:val="22"/>
                    </w:rPr>
                    <w:t>5-Year</w:t>
                  </w:r>
                </w:p>
              </w:tc>
            </w:tr>
            <w:tr w:rsidR="00F2459E" w:rsidTr="00FD42E0">
              <w:tc>
                <w:tcPr>
                  <w:tcW w:w="1842" w:type="dxa"/>
                </w:tcPr>
                <w:p w:rsidR="00F2459E" w:rsidRPr="00A87852" w:rsidRDefault="00F2459E" w:rsidP="00F2459E">
                  <w:pPr>
                    <w:jc w:val="center"/>
                    <w:rPr>
                      <w:b/>
                      <w:bCs/>
                      <w:sz w:val="22"/>
                      <w:szCs w:val="22"/>
                    </w:rPr>
                  </w:pPr>
                  <w:r>
                    <w:rPr>
                      <w:b/>
                      <w:bCs/>
                      <w:sz w:val="22"/>
                      <w:szCs w:val="22"/>
                    </w:rPr>
                    <w:t>2021</w:t>
                  </w:r>
                </w:p>
              </w:tc>
              <w:tc>
                <w:tcPr>
                  <w:tcW w:w="1926" w:type="dxa"/>
                </w:tcPr>
                <w:p w:rsidR="00F2459E" w:rsidRDefault="00F2459E" w:rsidP="00F2459E">
                  <w:pPr>
                    <w:jc w:val="center"/>
                    <w:rPr>
                      <w:sz w:val="22"/>
                      <w:szCs w:val="22"/>
                    </w:rPr>
                  </w:pPr>
                  <w:r>
                    <w:rPr>
                      <w:sz w:val="22"/>
                      <w:szCs w:val="22"/>
                    </w:rPr>
                    <w:t>-5.7%</w:t>
                  </w:r>
                </w:p>
              </w:tc>
              <w:tc>
                <w:tcPr>
                  <w:tcW w:w="1901" w:type="dxa"/>
                </w:tcPr>
                <w:p w:rsidR="00F2459E" w:rsidRDefault="00F2459E" w:rsidP="00F2459E">
                  <w:pPr>
                    <w:jc w:val="center"/>
                    <w:rPr>
                      <w:sz w:val="22"/>
                      <w:szCs w:val="22"/>
                    </w:rPr>
                  </w:pPr>
                  <w:r>
                    <w:rPr>
                      <w:sz w:val="22"/>
                      <w:szCs w:val="22"/>
                    </w:rPr>
                    <w:t>-2.9%</w:t>
                  </w:r>
                </w:p>
              </w:tc>
              <w:tc>
                <w:tcPr>
                  <w:tcW w:w="1838" w:type="dxa"/>
                </w:tcPr>
                <w:p w:rsidR="00F2459E" w:rsidRDefault="00F2459E" w:rsidP="00F2459E">
                  <w:pPr>
                    <w:jc w:val="center"/>
                    <w:rPr>
                      <w:sz w:val="22"/>
                      <w:szCs w:val="22"/>
                    </w:rPr>
                  </w:pPr>
                  <w:r>
                    <w:rPr>
                      <w:sz w:val="22"/>
                      <w:szCs w:val="22"/>
                    </w:rPr>
                    <w:t>-2.0%</w:t>
                  </w:r>
                </w:p>
              </w:tc>
              <w:tc>
                <w:tcPr>
                  <w:tcW w:w="1838" w:type="dxa"/>
                </w:tcPr>
                <w:p w:rsidR="00F2459E" w:rsidRDefault="00F2459E" w:rsidP="00F2459E">
                  <w:pPr>
                    <w:jc w:val="center"/>
                    <w:rPr>
                      <w:sz w:val="22"/>
                      <w:szCs w:val="22"/>
                    </w:rPr>
                  </w:pPr>
                  <w:r>
                    <w:rPr>
                      <w:sz w:val="22"/>
                      <w:szCs w:val="22"/>
                    </w:rPr>
                    <w:t>-0.6%</w:t>
                  </w:r>
                </w:p>
              </w:tc>
            </w:tr>
            <w:tr w:rsidR="00F2459E" w:rsidTr="00FD42E0">
              <w:tc>
                <w:tcPr>
                  <w:tcW w:w="1842" w:type="dxa"/>
                </w:tcPr>
                <w:p w:rsidR="00F2459E" w:rsidRPr="00A87852" w:rsidRDefault="00F2459E" w:rsidP="00F2459E">
                  <w:pPr>
                    <w:jc w:val="center"/>
                    <w:rPr>
                      <w:b/>
                      <w:bCs/>
                      <w:sz w:val="22"/>
                      <w:szCs w:val="22"/>
                    </w:rPr>
                  </w:pPr>
                  <w:r>
                    <w:rPr>
                      <w:b/>
                      <w:bCs/>
                      <w:sz w:val="22"/>
                      <w:szCs w:val="22"/>
                    </w:rPr>
                    <w:t>2022</w:t>
                  </w:r>
                </w:p>
              </w:tc>
              <w:tc>
                <w:tcPr>
                  <w:tcW w:w="1926" w:type="dxa"/>
                </w:tcPr>
                <w:p w:rsidR="00F2459E" w:rsidRDefault="00F2459E" w:rsidP="00F2459E">
                  <w:pPr>
                    <w:jc w:val="center"/>
                    <w:rPr>
                      <w:sz w:val="22"/>
                      <w:szCs w:val="22"/>
                    </w:rPr>
                  </w:pPr>
                  <w:r>
                    <w:rPr>
                      <w:sz w:val="22"/>
                      <w:szCs w:val="22"/>
                    </w:rPr>
                    <w:t>9.7%</w:t>
                  </w:r>
                </w:p>
              </w:tc>
              <w:tc>
                <w:tcPr>
                  <w:tcW w:w="1901" w:type="dxa"/>
                </w:tcPr>
                <w:p w:rsidR="00F2459E" w:rsidRDefault="00F2459E" w:rsidP="00F2459E">
                  <w:pPr>
                    <w:jc w:val="center"/>
                    <w:rPr>
                      <w:sz w:val="22"/>
                      <w:szCs w:val="22"/>
                    </w:rPr>
                  </w:pPr>
                  <w:r>
                    <w:rPr>
                      <w:sz w:val="22"/>
                      <w:szCs w:val="22"/>
                    </w:rPr>
                    <w:t>3.4%</w:t>
                  </w:r>
                </w:p>
              </w:tc>
              <w:tc>
                <w:tcPr>
                  <w:tcW w:w="1838" w:type="dxa"/>
                </w:tcPr>
                <w:p w:rsidR="00F2459E" w:rsidRDefault="00F2459E" w:rsidP="00F2459E">
                  <w:pPr>
                    <w:jc w:val="center"/>
                    <w:rPr>
                      <w:sz w:val="22"/>
                      <w:szCs w:val="22"/>
                    </w:rPr>
                  </w:pPr>
                  <w:r>
                    <w:rPr>
                      <w:sz w:val="22"/>
                      <w:szCs w:val="22"/>
                    </w:rPr>
                    <w:t>0.0%</w:t>
                  </w:r>
                </w:p>
              </w:tc>
              <w:tc>
                <w:tcPr>
                  <w:tcW w:w="1838" w:type="dxa"/>
                </w:tcPr>
                <w:p w:rsidR="00F2459E" w:rsidRDefault="00F2459E" w:rsidP="00F2459E">
                  <w:pPr>
                    <w:jc w:val="center"/>
                    <w:rPr>
                      <w:sz w:val="22"/>
                      <w:szCs w:val="22"/>
                    </w:rPr>
                  </w:pPr>
                  <w:r>
                    <w:rPr>
                      <w:sz w:val="22"/>
                      <w:szCs w:val="22"/>
                    </w:rPr>
                    <w:t>0.7%</w:t>
                  </w:r>
                </w:p>
              </w:tc>
            </w:tr>
            <w:tr w:rsidR="00F2459E" w:rsidTr="00FD42E0">
              <w:tc>
                <w:tcPr>
                  <w:tcW w:w="1842" w:type="dxa"/>
                </w:tcPr>
                <w:p w:rsidR="00F2459E" w:rsidRPr="00A87852" w:rsidRDefault="00F2459E" w:rsidP="00F2459E">
                  <w:pPr>
                    <w:jc w:val="center"/>
                    <w:rPr>
                      <w:b/>
                      <w:bCs/>
                      <w:sz w:val="22"/>
                      <w:szCs w:val="22"/>
                    </w:rPr>
                  </w:pPr>
                  <w:r>
                    <w:rPr>
                      <w:b/>
                      <w:bCs/>
                      <w:sz w:val="22"/>
                      <w:szCs w:val="22"/>
                    </w:rPr>
                    <w:t>2023</w:t>
                  </w:r>
                </w:p>
              </w:tc>
              <w:tc>
                <w:tcPr>
                  <w:tcW w:w="1926" w:type="dxa"/>
                </w:tcPr>
                <w:p w:rsidR="00F2459E" w:rsidRDefault="00F2459E" w:rsidP="00F2459E">
                  <w:pPr>
                    <w:jc w:val="center"/>
                    <w:rPr>
                      <w:sz w:val="22"/>
                      <w:szCs w:val="22"/>
                    </w:rPr>
                  </w:pPr>
                  <w:r>
                    <w:rPr>
                      <w:sz w:val="22"/>
                      <w:szCs w:val="22"/>
                    </w:rPr>
                    <w:t>3.8%</w:t>
                  </w:r>
                </w:p>
              </w:tc>
              <w:tc>
                <w:tcPr>
                  <w:tcW w:w="1901" w:type="dxa"/>
                </w:tcPr>
                <w:p w:rsidR="00F2459E" w:rsidRDefault="00F2459E" w:rsidP="00F2459E">
                  <w:pPr>
                    <w:jc w:val="center"/>
                    <w:rPr>
                      <w:sz w:val="22"/>
                      <w:szCs w:val="22"/>
                    </w:rPr>
                  </w:pPr>
                  <w:r>
                    <w:rPr>
                      <w:sz w:val="22"/>
                      <w:szCs w:val="22"/>
                    </w:rPr>
                    <w:t>12.4%</w:t>
                  </w:r>
                </w:p>
              </w:tc>
              <w:tc>
                <w:tcPr>
                  <w:tcW w:w="1838" w:type="dxa"/>
                </w:tcPr>
                <w:p w:rsidR="00F2459E" w:rsidRDefault="00F2459E" w:rsidP="00F2459E">
                  <w:pPr>
                    <w:jc w:val="center"/>
                    <w:rPr>
                      <w:sz w:val="22"/>
                      <w:szCs w:val="22"/>
                    </w:rPr>
                  </w:pPr>
                  <w:r>
                    <w:rPr>
                      <w:sz w:val="22"/>
                      <w:szCs w:val="22"/>
                    </w:rPr>
                    <w:t>4.1%</w:t>
                  </w:r>
                </w:p>
              </w:tc>
              <w:tc>
                <w:tcPr>
                  <w:tcW w:w="1838" w:type="dxa"/>
                </w:tcPr>
                <w:p w:rsidR="00F2459E" w:rsidRDefault="00F2459E" w:rsidP="00F2459E">
                  <w:pPr>
                    <w:jc w:val="center"/>
                    <w:rPr>
                      <w:sz w:val="22"/>
                      <w:szCs w:val="22"/>
                    </w:rPr>
                  </w:pPr>
                  <w:r>
                    <w:rPr>
                      <w:sz w:val="22"/>
                      <w:szCs w:val="22"/>
                    </w:rPr>
                    <w:t>1.8%</w:t>
                  </w:r>
                </w:p>
              </w:tc>
            </w:tr>
            <w:tr w:rsidR="00F2459E" w:rsidTr="00FD42E0">
              <w:tc>
                <w:tcPr>
                  <w:tcW w:w="1842" w:type="dxa"/>
                  <w:tcBorders>
                    <w:bottom w:val="single" w:sz="4" w:space="0" w:color="auto"/>
                  </w:tcBorders>
                </w:tcPr>
                <w:p w:rsidR="00F2459E" w:rsidRPr="00A87852" w:rsidRDefault="00F2459E" w:rsidP="00F2459E">
                  <w:pPr>
                    <w:jc w:val="center"/>
                    <w:rPr>
                      <w:b/>
                      <w:bCs/>
                      <w:sz w:val="22"/>
                      <w:szCs w:val="22"/>
                    </w:rPr>
                  </w:pPr>
                  <w:r>
                    <w:rPr>
                      <w:b/>
                      <w:bCs/>
                      <w:sz w:val="22"/>
                      <w:szCs w:val="22"/>
                    </w:rPr>
                    <w:t>2024</w:t>
                  </w:r>
                </w:p>
              </w:tc>
              <w:tc>
                <w:tcPr>
                  <w:tcW w:w="1926" w:type="dxa"/>
                  <w:tcBorders>
                    <w:bottom w:val="single" w:sz="4" w:space="0" w:color="auto"/>
                  </w:tcBorders>
                </w:tcPr>
                <w:p w:rsidR="00F2459E" w:rsidRDefault="00F2459E" w:rsidP="00F2459E">
                  <w:pPr>
                    <w:jc w:val="center"/>
                    <w:rPr>
                      <w:sz w:val="22"/>
                      <w:szCs w:val="22"/>
                    </w:rPr>
                  </w:pPr>
                  <w:r>
                    <w:rPr>
                      <w:sz w:val="22"/>
                      <w:szCs w:val="22"/>
                    </w:rPr>
                    <w:t>-1.8%</w:t>
                  </w:r>
                </w:p>
              </w:tc>
              <w:tc>
                <w:tcPr>
                  <w:tcW w:w="1901" w:type="dxa"/>
                  <w:tcBorders>
                    <w:bottom w:val="single" w:sz="4" w:space="0" w:color="auto"/>
                  </w:tcBorders>
                </w:tcPr>
                <w:p w:rsidR="00F2459E" w:rsidRDefault="00F2459E" w:rsidP="00F2459E">
                  <w:pPr>
                    <w:jc w:val="center"/>
                    <w:rPr>
                      <w:sz w:val="22"/>
                      <w:szCs w:val="22"/>
                    </w:rPr>
                  </w:pPr>
                  <w:r>
                    <w:rPr>
                      <w:sz w:val="22"/>
                      <w:szCs w:val="22"/>
                    </w:rPr>
                    <w:t>4.8%</w:t>
                  </w:r>
                </w:p>
              </w:tc>
              <w:tc>
                <w:tcPr>
                  <w:tcW w:w="1838" w:type="dxa"/>
                  <w:tcBorders>
                    <w:bottom w:val="single" w:sz="4" w:space="0" w:color="auto"/>
                  </w:tcBorders>
                </w:tcPr>
                <w:p w:rsidR="00F2459E" w:rsidRDefault="00F2459E" w:rsidP="00F2459E">
                  <w:pPr>
                    <w:jc w:val="center"/>
                    <w:rPr>
                      <w:sz w:val="22"/>
                      <w:szCs w:val="22"/>
                    </w:rPr>
                  </w:pPr>
                  <w:r>
                    <w:rPr>
                      <w:sz w:val="22"/>
                      <w:szCs w:val="22"/>
                    </w:rPr>
                    <w:t>6.8%</w:t>
                  </w:r>
                </w:p>
              </w:tc>
              <w:tc>
                <w:tcPr>
                  <w:tcW w:w="1838" w:type="dxa"/>
                  <w:tcBorders>
                    <w:bottom w:val="single" w:sz="4" w:space="0" w:color="auto"/>
                  </w:tcBorders>
                </w:tcPr>
                <w:p w:rsidR="00F2459E" w:rsidRDefault="00F2459E" w:rsidP="00F2459E">
                  <w:pPr>
                    <w:jc w:val="center"/>
                    <w:rPr>
                      <w:sz w:val="22"/>
                      <w:szCs w:val="22"/>
                    </w:rPr>
                  </w:pPr>
                  <w:r>
                    <w:rPr>
                      <w:sz w:val="22"/>
                      <w:szCs w:val="22"/>
                    </w:rPr>
                    <w:t>3.3%</w:t>
                  </w:r>
                </w:p>
              </w:tc>
            </w:tr>
            <w:tr w:rsidR="00F2459E" w:rsidTr="00FD42E0">
              <w:tc>
                <w:tcPr>
                  <w:tcW w:w="1842" w:type="dxa"/>
                  <w:tcBorders>
                    <w:bottom w:val="single" w:sz="4" w:space="0" w:color="auto"/>
                  </w:tcBorders>
                  <w:shd w:val="clear" w:color="auto" w:fill="B8CCE4" w:themeFill="accent1" w:themeFillTint="66"/>
                </w:tcPr>
                <w:p w:rsidR="00F2459E" w:rsidRPr="00A87852" w:rsidRDefault="00F2459E" w:rsidP="00F2459E">
                  <w:pPr>
                    <w:jc w:val="center"/>
                    <w:rPr>
                      <w:b/>
                      <w:bCs/>
                      <w:sz w:val="22"/>
                      <w:szCs w:val="22"/>
                    </w:rPr>
                  </w:pPr>
                  <w:r>
                    <w:rPr>
                      <w:b/>
                      <w:bCs/>
                      <w:sz w:val="22"/>
                      <w:szCs w:val="22"/>
                    </w:rPr>
                    <w:t>2025</w:t>
                  </w:r>
                </w:p>
              </w:tc>
              <w:tc>
                <w:tcPr>
                  <w:tcW w:w="1926" w:type="dxa"/>
                  <w:tcBorders>
                    <w:bottom w:val="single" w:sz="4" w:space="0" w:color="auto"/>
                  </w:tcBorders>
                  <w:shd w:val="clear" w:color="auto" w:fill="B8CCE4" w:themeFill="accent1" w:themeFillTint="66"/>
                </w:tcPr>
                <w:p w:rsidR="00F2459E" w:rsidRDefault="00F2459E" w:rsidP="00F2459E">
                  <w:pPr>
                    <w:jc w:val="center"/>
                    <w:rPr>
                      <w:sz w:val="22"/>
                      <w:szCs w:val="22"/>
                    </w:rPr>
                  </w:pPr>
                  <w:r>
                    <w:rPr>
                      <w:sz w:val="22"/>
                      <w:szCs w:val="22"/>
                    </w:rPr>
                    <w:t>-9.6%</w:t>
                  </w:r>
                </w:p>
              </w:tc>
              <w:tc>
                <w:tcPr>
                  <w:tcW w:w="1901" w:type="dxa"/>
                  <w:tcBorders>
                    <w:bottom w:val="single" w:sz="4" w:space="0" w:color="auto"/>
                  </w:tcBorders>
                  <w:shd w:val="clear" w:color="auto" w:fill="B8CCE4" w:themeFill="accent1" w:themeFillTint="66"/>
                </w:tcPr>
                <w:p w:rsidR="00F2459E" w:rsidRDefault="00F2459E" w:rsidP="00F2459E">
                  <w:pPr>
                    <w:jc w:val="center"/>
                    <w:rPr>
                      <w:sz w:val="22"/>
                      <w:szCs w:val="22"/>
                    </w:rPr>
                  </w:pPr>
                  <w:r>
                    <w:rPr>
                      <w:sz w:val="22"/>
                      <w:szCs w:val="22"/>
                    </w:rPr>
                    <w:t>-2.5%</w:t>
                  </w:r>
                </w:p>
              </w:tc>
              <w:tc>
                <w:tcPr>
                  <w:tcW w:w="1838" w:type="dxa"/>
                  <w:tcBorders>
                    <w:bottom w:val="single" w:sz="4" w:space="0" w:color="auto"/>
                  </w:tcBorders>
                  <w:shd w:val="clear" w:color="auto" w:fill="B8CCE4" w:themeFill="accent1" w:themeFillTint="66"/>
                </w:tcPr>
                <w:p w:rsidR="00F2459E" w:rsidRDefault="00F2459E" w:rsidP="00F2459E">
                  <w:pPr>
                    <w:jc w:val="center"/>
                    <w:rPr>
                      <w:sz w:val="22"/>
                      <w:szCs w:val="22"/>
                    </w:rPr>
                  </w:pPr>
                  <w:r>
                    <w:rPr>
                      <w:sz w:val="22"/>
                      <w:szCs w:val="22"/>
                    </w:rPr>
                    <w:t>4.7%</w:t>
                  </w:r>
                </w:p>
              </w:tc>
              <w:tc>
                <w:tcPr>
                  <w:tcW w:w="1838" w:type="dxa"/>
                  <w:tcBorders>
                    <w:bottom w:val="single" w:sz="4" w:space="0" w:color="auto"/>
                  </w:tcBorders>
                  <w:shd w:val="clear" w:color="auto" w:fill="B8CCE4" w:themeFill="accent1" w:themeFillTint="66"/>
                </w:tcPr>
                <w:p w:rsidR="00F2459E" w:rsidRDefault="00F2459E" w:rsidP="00F2459E">
                  <w:pPr>
                    <w:jc w:val="center"/>
                    <w:rPr>
                      <w:sz w:val="22"/>
                      <w:szCs w:val="22"/>
                    </w:rPr>
                  </w:pPr>
                  <w:r>
                    <w:rPr>
                      <w:sz w:val="22"/>
                      <w:szCs w:val="22"/>
                    </w:rPr>
                    <w:t>2.9%</w:t>
                  </w:r>
                </w:p>
              </w:tc>
            </w:tr>
            <w:tr w:rsidR="00F2459E" w:rsidTr="00FD42E0">
              <w:tc>
                <w:tcPr>
                  <w:tcW w:w="9345" w:type="dxa"/>
                  <w:gridSpan w:val="5"/>
                  <w:tcBorders>
                    <w:top w:val="single" w:sz="4" w:space="0" w:color="auto"/>
                    <w:left w:val="nil"/>
                    <w:bottom w:val="nil"/>
                    <w:right w:val="nil"/>
                  </w:tcBorders>
                  <w:shd w:val="clear" w:color="auto" w:fill="auto"/>
                </w:tcPr>
                <w:p w:rsidR="00F2459E" w:rsidRPr="00EA709B" w:rsidRDefault="00F2459E" w:rsidP="00F2459E">
                  <w:pPr>
                    <w:jc w:val="right"/>
                  </w:pPr>
                  <w:r w:rsidRPr="00F2459E">
                    <w:rPr>
                      <w:sz w:val="20"/>
                      <w:szCs w:val="20"/>
                    </w:rPr>
                    <w:t>* A negative sign means appreciation of the shekel.</w:t>
                  </w:r>
                </w:p>
              </w:tc>
            </w:tr>
            <w:tr w:rsidR="00F2459E" w:rsidTr="00FD42E0">
              <w:tc>
                <w:tcPr>
                  <w:tcW w:w="9345" w:type="dxa"/>
                  <w:gridSpan w:val="5"/>
                  <w:tcBorders>
                    <w:top w:val="nil"/>
                    <w:left w:val="nil"/>
                    <w:bottom w:val="nil"/>
                    <w:right w:val="nil"/>
                  </w:tcBorders>
                  <w:shd w:val="clear" w:color="auto" w:fill="auto"/>
                </w:tcPr>
                <w:p w:rsidR="00F2459E" w:rsidRPr="00EA709B" w:rsidRDefault="00F2459E" w:rsidP="00F2459E">
                  <w:pPr>
                    <w:jc w:val="right"/>
                  </w:pPr>
                </w:p>
              </w:tc>
            </w:tr>
          </w:tbl>
          <w:p w:rsidR="00F2459E" w:rsidRPr="00621A0F" w:rsidRDefault="00F2459E" w:rsidP="00F2459E">
            <w:pPr>
              <w:jc w:val="right"/>
              <w:rPr>
                <w:sz w:val="22"/>
                <w:szCs w:val="22"/>
              </w:rPr>
            </w:pPr>
          </w:p>
        </w:tc>
      </w:tr>
      <w:tr w:rsidR="00F2459E" w:rsidRPr="00621A0F" w:rsidTr="00F2459E">
        <w:tc>
          <w:tcPr>
            <w:tcW w:w="1969" w:type="dxa"/>
          </w:tcPr>
          <w:p w:rsidR="00F2459E" w:rsidRPr="00621A0F" w:rsidRDefault="00F2459E" w:rsidP="00F2459E">
            <w:pPr>
              <w:jc w:val="right"/>
              <w:rPr>
                <w:sz w:val="22"/>
                <w:szCs w:val="22"/>
              </w:rPr>
            </w:pPr>
            <w:r w:rsidRPr="00621A0F">
              <w:rPr>
                <w:color w:val="365F91" w:themeColor="accent1" w:themeShade="BF"/>
                <w:sz w:val="22"/>
                <w:szCs w:val="22"/>
              </w:rPr>
              <w:t>Changes in the guidelines</w:t>
            </w:r>
          </w:p>
        </w:tc>
        <w:tc>
          <w:tcPr>
            <w:tcW w:w="6343" w:type="dxa"/>
          </w:tcPr>
          <w:p w:rsidR="00F2459E" w:rsidRPr="00621A0F" w:rsidRDefault="00F2459E" w:rsidP="00F2459E">
            <w:pPr>
              <w:bidi w:val="0"/>
              <w:jc w:val="both"/>
              <w:rPr>
                <w:sz w:val="22"/>
                <w:szCs w:val="22"/>
              </w:rPr>
            </w:pPr>
            <w:r>
              <w:rPr>
                <w:sz w:val="22"/>
                <w:szCs w:val="22"/>
              </w:rPr>
              <w:t>At the end of 2025, changes in the guidelines came into effect.  These changes were formulated by the Monetary Committee in consultation with the Minister of Finance.  The aim of the changes is to tighten the safety and liquidity constraints, alongside a moderate expansion of the risk budget in CVaR5% terms, and expansion of the degree of freedom to invest in risk assets.</w:t>
            </w:r>
          </w:p>
        </w:tc>
      </w:tr>
      <w:bookmarkEnd w:id="0"/>
    </w:tbl>
    <w:p w:rsidR="00F2459E" w:rsidRDefault="00F2459E" w:rsidP="00F2459E">
      <w:pPr>
        <w:bidi w:val="0"/>
        <w:jc w:val="center"/>
        <w:rPr>
          <w:rFonts w:asciiTheme="majorBidi" w:hAnsiTheme="majorBidi" w:cstheme="majorBidi"/>
          <w:b/>
          <w:bCs/>
          <w:sz w:val="32"/>
          <w:szCs w:val="32"/>
        </w:rPr>
      </w:pPr>
    </w:p>
    <w:sectPr w:rsidR="00F2459E"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2075D9">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2075D9">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 w:id="1">
    <w:p w:rsidR="009C43A2" w:rsidRDefault="009C43A2" w:rsidP="009C43A2">
      <w:pPr>
        <w:pStyle w:val="FootnoteText"/>
        <w:spacing w:line="240" w:lineRule="auto"/>
      </w:pPr>
      <w:r w:rsidRPr="00266871">
        <w:rPr>
          <w:rStyle w:val="FootnoteReference"/>
        </w:rPr>
        <w:footnoteRef/>
      </w:r>
      <w:r w:rsidRPr="00266871">
        <w:rPr>
          <w:rtl/>
        </w:rPr>
        <w:t xml:space="preserve"> </w:t>
      </w:r>
      <w:r w:rsidRPr="00266871">
        <w:t xml:space="preserve">The Hebrew version of the report was published today. The English version will be available within </w:t>
      </w:r>
      <w:r>
        <w:t>several months</w:t>
      </w:r>
      <w:r w:rsidRPr="00266871">
        <w:t>.</w:t>
      </w:r>
    </w:p>
  </w:footnote>
  <w:footnote w:id="2">
    <w:p w:rsidR="00F2459E" w:rsidRDefault="00F2459E" w:rsidP="00F2459E">
      <w:pPr>
        <w:pStyle w:val="FootnoteText"/>
      </w:pPr>
      <w:r>
        <w:rPr>
          <w:rStyle w:val="FootnoteReference"/>
        </w:rPr>
        <w:footnoteRef/>
      </w:r>
      <w:r>
        <w:t xml:space="preserve"> Including deposits and current accounts in central banks where the risk level is equal to the sovereign risk inherent in government bonds, investment in debt instruments of multinational issuers and of public sector issuers or issuers with government backing (supra-sovereign agencies), as well as government bonds denominated in a currency that is different from the local currency of the issuing country.</w:t>
      </w:r>
    </w:p>
  </w:footnote>
  <w:footnote w:id="3">
    <w:p w:rsidR="00F2459E" w:rsidRDefault="00F2459E" w:rsidP="00F2459E">
      <w:pPr>
        <w:pStyle w:val="FootnoteText"/>
        <w:rPr>
          <w:rtl/>
        </w:rPr>
      </w:pPr>
      <w:r>
        <w:rPr>
          <w:rStyle w:val="FootnoteReference"/>
        </w:rPr>
        <w:footnoteRef/>
      </w:r>
      <w:r>
        <w:t xml:space="preserve"> Information on the currency benchmark appears below in Chapter 2.</w:t>
      </w:r>
    </w:p>
  </w:footnote>
  <w:footnote w:id="4">
    <w:p w:rsidR="00F2459E" w:rsidRDefault="00F2459E" w:rsidP="00F2459E">
      <w:pPr>
        <w:pStyle w:val="FootnoteText"/>
      </w:pPr>
      <w:r>
        <w:rPr>
          <w:rStyle w:val="FootnoteReference"/>
        </w:rPr>
        <w:footnoteRef/>
      </w:r>
      <w:r>
        <w:t xml:space="preserve"> The definition of the risk indices is included in the glossary of terms in Appendix 3.</w:t>
      </w:r>
    </w:p>
  </w:footnote>
  <w:footnote w:id="5">
    <w:p w:rsidR="00F2459E" w:rsidRDefault="00F2459E" w:rsidP="00F2459E">
      <w:pPr>
        <w:pStyle w:val="FootnoteText"/>
      </w:pPr>
      <w:r>
        <w:rPr>
          <w:rStyle w:val="FootnoteReference"/>
        </w:rPr>
        <w:footnoteRef/>
      </w:r>
      <w:r>
        <w:t xml:space="preserve"> </w:t>
      </w:r>
      <w:r w:rsidRPr="00DC3E07">
        <w:t xml:space="preserve">The cost of holding </w:t>
      </w:r>
      <w:r w:rsidR="001F001B">
        <w:t xml:space="preserve">the </w:t>
      </w:r>
      <w:r w:rsidRPr="00DC3E07">
        <w:t xml:space="preserve">reserves has averaged 3.1% over the last three years and 2% over the last five years. This cost is lower than the Shekel return for the three- and five-year periods, as presented in Table 1B. </w:t>
      </w:r>
      <w:r>
        <w:t>In the new guidelines (see Box 1), the secondary target of the investment policy is to achieve a shekel rate of return that will reduce the cost of holding the reserves in the long term.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326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6D03"/>
    <w:rsid w:val="00007FFE"/>
    <w:rsid w:val="0001385E"/>
    <w:rsid w:val="0001413F"/>
    <w:rsid w:val="00022DA8"/>
    <w:rsid w:val="00032F03"/>
    <w:rsid w:val="00033569"/>
    <w:rsid w:val="00051247"/>
    <w:rsid w:val="000526A0"/>
    <w:rsid w:val="0005726E"/>
    <w:rsid w:val="00065D9C"/>
    <w:rsid w:val="000A520E"/>
    <w:rsid w:val="000A7388"/>
    <w:rsid w:val="000C710C"/>
    <w:rsid w:val="000D4E65"/>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963C6"/>
    <w:rsid w:val="001A4816"/>
    <w:rsid w:val="001B4E73"/>
    <w:rsid w:val="001C1BC1"/>
    <w:rsid w:val="001C388F"/>
    <w:rsid w:val="001C71E8"/>
    <w:rsid w:val="001D381C"/>
    <w:rsid w:val="001F001B"/>
    <w:rsid w:val="001F57DE"/>
    <w:rsid w:val="00202B75"/>
    <w:rsid w:val="00202E77"/>
    <w:rsid w:val="002075D9"/>
    <w:rsid w:val="002117DC"/>
    <w:rsid w:val="0021327F"/>
    <w:rsid w:val="002235F5"/>
    <w:rsid w:val="002271A2"/>
    <w:rsid w:val="00237CE5"/>
    <w:rsid w:val="00247387"/>
    <w:rsid w:val="00252C62"/>
    <w:rsid w:val="00273AE1"/>
    <w:rsid w:val="00281C70"/>
    <w:rsid w:val="00283FB7"/>
    <w:rsid w:val="0029640A"/>
    <w:rsid w:val="00297100"/>
    <w:rsid w:val="002A0C8B"/>
    <w:rsid w:val="002A0D2A"/>
    <w:rsid w:val="002B48CC"/>
    <w:rsid w:val="002C6A25"/>
    <w:rsid w:val="002F093D"/>
    <w:rsid w:val="002F4149"/>
    <w:rsid w:val="002F7EEF"/>
    <w:rsid w:val="0030279B"/>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D0AF8"/>
    <w:rsid w:val="005F3A83"/>
    <w:rsid w:val="005F3E47"/>
    <w:rsid w:val="0060215A"/>
    <w:rsid w:val="0061692C"/>
    <w:rsid w:val="006216F9"/>
    <w:rsid w:val="00621BB5"/>
    <w:rsid w:val="0062658F"/>
    <w:rsid w:val="00627754"/>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60371"/>
    <w:rsid w:val="007666A8"/>
    <w:rsid w:val="00776535"/>
    <w:rsid w:val="007806C5"/>
    <w:rsid w:val="00786563"/>
    <w:rsid w:val="00787142"/>
    <w:rsid w:val="007926C7"/>
    <w:rsid w:val="00793399"/>
    <w:rsid w:val="007A10BA"/>
    <w:rsid w:val="007A2030"/>
    <w:rsid w:val="007A589B"/>
    <w:rsid w:val="007A64CC"/>
    <w:rsid w:val="007B2769"/>
    <w:rsid w:val="007C6400"/>
    <w:rsid w:val="007D57EE"/>
    <w:rsid w:val="007E0C1F"/>
    <w:rsid w:val="007E1CB3"/>
    <w:rsid w:val="007E516A"/>
    <w:rsid w:val="007F7993"/>
    <w:rsid w:val="0081026B"/>
    <w:rsid w:val="00830099"/>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4299E"/>
    <w:rsid w:val="00961BD6"/>
    <w:rsid w:val="0097278E"/>
    <w:rsid w:val="009744A0"/>
    <w:rsid w:val="00976781"/>
    <w:rsid w:val="00986270"/>
    <w:rsid w:val="009B166B"/>
    <w:rsid w:val="009B66C8"/>
    <w:rsid w:val="009C21B3"/>
    <w:rsid w:val="009C2C42"/>
    <w:rsid w:val="009C43A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51C"/>
    <w:rsid w:val="00C27619"/>
    <w:rsid w:val="00C311D7"/>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A3E"/>
    <w:rsid w:val="00CE0B40"/>
    <w:rsid w:val="00CF6ED5"/>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847C6"/>
    <w:rsid w:val="00D907A2"/>
    <w:rsid w:val="00DA6116"/>
    <w:rsid w:val="00DC3E07"/>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95D34"/>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2459E"/>
    <w:rsid w:val="00F45181"/>
    <w:rsid w:val="00F45972"/>
    <w:rsid w:val="00F53236"/>
    <w:rsid w:val="00F56086"/>
    <w:rsid w:val="00F56917"/>
    <w:rsid w:val="00F576F6"/>
    <w:rsid w:val="00F806F6"/>
    <w:rsid w:val="00FA13BA"/>
    <w:rsid w:val="00FA4548"/>
    <w:rsid w:val="00FB5FE7"/>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eastAsia="ii-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6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iPriority w:val="99"/>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uiPriority w:val="99"/>
    <w:rsid w:val="00596FB4"/>
    <w:rPr>
      <w:rFonts w:ascii="Times" w:hAnsi="Times" w:cs="Times"/>
    </w:rPr>
  </w:style>
  <w:style w:type="character" w:styleId="FootnoteReference">
    <w:name w:val="footnote reference"/>
    <w:uiPriority w:val="99"/>
    <w:unhideWhenUsed/>
    <w:rsid w:val="00596FB4"/>
    <w:rPr>
      <w:vertAlign w:val="superscript"/>
    </w:rPr>
  </w:style>
  <w:style w:type="paragraph" w:customStyle="1" w:styleId="PS">
    <w:name w:val="PS"/>
    <w:basedOn w:val="Normal"/>
    <w:rsid w:val="00A3549C"/>
    <w:pPr>
      <w:bidi w:val="0"/>
      <w:ind w:firstLine="432"/>
    </w:pPr>
    <w:rPr>
      <w:szCs w:val="20"/>
      <w:lang w:bidi="ar-SA"/>
    </w:rPr>
  </w:style>
  <w:style w:type="table" w:styleId="TableGrid">
    <w:name w:val="Table Grid"/>
    <w:basedOn w:val="TableNormal"/>
    <w:uiPriority w:val="59"/>
    <w:rsid w:val="009C43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C43A2"/>
    <w:rPr>
      <w:sz w:val="22"/>
      <w:szCs w:val="22"/>
    </w:rPr>
  </w:style>
  <w:style w:type="paragraph" w:styleId="BodyText">
    <w:name w:val="Body Text"/>
    <w:basedOn w:val="Normal"/>
    <w:link w:val="BodyTextChar"/>
    <w:qFormat/>
    <w:rsid w:val="009C43A2"/>
    <w:pPr>
      <w:widowControl w:val="0"/>
      <w:bidi w:val="0"/>
      <w:spacing w:after="160" w:line="276" w:lineRule="auto"/>
    </w:pPr>
    <w:rPr>
      <w:sz w:val="22"/>
      <w:szCs w:val="22"/>
    </w:rPr>
  </w:style>
  <w:style w:type="character" w:customStyle="1" w:styleId="BodyTextChar1">
    <w:name w:val="Body Text Char1"/>
    <w:basedOn w:val="DefaultParagraphFont"/>
    <w:semiHidden/>
    <w:rsid w:val="009C4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FA6C-6E37-4E06-BA74-FE655C80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2980</Characters>
  <Application>Microsoft Office Word</Application>
  <DocSecurity>4</DocSecurity>
  <Lines>90</Lines>
  <Paragraphs>71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3482</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2026-03-31T10:51:00Z</dcterms:created>
  <dcterms:modified xsi:type="dcterms:W3CDTF">2026-03-31T10:51:00Z</dcterms:modified>
</cp:coreProperties>
</file>