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031A9D" w:rsidP="005E28F6">
            <w:pPr>
              <w:bidi/>
              <w:jc w:val="center"/>
              <w:rPr>
                <w:rFonts w:asciiTheme="minorHAnsi" w:hAnsiTheme="minorHAnsi" w:cstheme="minorHAnsi"/>
              </w:rPr>
            </w:pPr>
            <w:r w:rsidRPr="005E28F6">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9A3633">
              <w:rPr>
                <w:rFonts w:asciiTheme="minorHAnsi" w:hAnsiTheme="minorHAnsi" w:cstheme="minorHAnsi"/>
                <w:noProof/>
                <w:rtl/>
              </w:rPr>
              <w:t>‏ז' חשון,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9A3633">
              <w:rPr>
                <w:rFonts w:asciiTheme="minorHAnsi" w:hAnsiTheme="minorHAnsi" w:cstheme="minorHAnsi"/>
                <w:noProof/>
                <w:rtl/>
              </w:rPr>
              <w:t>‏29 אוקטובר, 2025</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9A3633" w:rsidRDefault="009A3633" w:rsidP="009A3633">
      <w:pPr>
        <w:pStyle w:val="Title"/>
        <w:bidi/>
        <w:jc w:val="center"/>
        <w:rPr>
          <w:rFonts w:ascii="Calibri" w:hAnsi="Calibri" w:cs="Calibri" w:hint="default"/>
          <w:b/>
          <w:bCs/>
          <w:sz w:val="28"/>
          <w:szCs w:val="28"/>
          <w:rtl/>
        </w:rPr>
      </w:pPr>
      <w:bookmarkStart w:id="0" w:name="_GoBack"/>
      <w:r w:rsidRPr="002E424B">
        <w:rPr>
          <w:rFonts w:ascii="Calibri" w:hAnsi="Calibri" w:cs="Calibri" w:hint="default"/>
          <w:b/>
          <w:bCs/>
          <w:sz w:val="28"/>
          <w:szCs w:val="28"/>
          <w:rtl/>
        </w:rPr>
        <w:t>המדד החודשי לפעילות המשק</w:t>
      </w:r>
      <w:bookmarkEnd w:id="0"/>
      <w:r w:rsidRPr="002E424B">
        <w:rPr>
          <w:rFonts w:ascii="Calibri" w:hAnsi="Calibri" w:cs="Calibri" w:hint="default"/>
          <w:b/>
          <w:bCs/>
          <w:sz w:val="28"/>
          <w:szCs w:val="28"/>
          <w:rtl/>
        </w:rPr>
        <w:t xml:space="preserve"> </w:t>
      </w:r>
      <w:r>
        <w:rPr>
          <w:rFonts w:ascii="Calibri" w:hAnsi="Calibri" w:cs="Calibri"/>
          <w:b/>
          <w:bCs/>
          <w:sz w:val="28"/>
          <w:szCs w:val="28"/>
          <w:rtl/>
        </w:rPr>
        <w:t xml:space="preserve">עלה בחודש ספטמבר ב-1.8% </w:t>
      </w:r>
    </w:p>
    <w:p w:rsidR="009A3633" w:rsidRPr="009A3633" w:rsidRDefault="009A3633" w:rsidP="009A3633">
      <w:pPr>
        <w:bidi/>
        <w:rPr>
          <w:rtl/>
          <w:lang w:eastAsia="he-IL"/>
        </w:rPr>
      </w:pPr>
    </w:p>
    <w:p w:rsidR="009A3633" w:rsidRPr="000625CE" w:rsidRDefault="009A3633" w:rsidP="009A3633">
      <w:pPr>
        <w:bidi/>
        <w:spacing w:after="120" w:line="360" w:lineRule="auto"/>
        <w:ind w:right="-57"/>
        <w:jc w:val="both"/>
        <w:rPr>
          <w:rFonts w:ascii="Calibri" w:hAnsi="Calibri" w:cs="Calibri"/>
          <w:rtl/>
        </w:rPr>
      </w:pPr>
      <w:r w:rsidRPr="000625CE">
        <w:rPr>
          <w:rFonts w:ascii="Calibri" w:hAnsi="Calibri" w:cs="Calibri"/>
          <w:rtl/>
        </w:rPr>
        <w:t>המדד החודשי לפעילות המשק</w:t>
      </w:r>
      <w:r>
        <w:rPr>
          <w:rStyle w:val="FootnoteReference"/>
          <w:rFonts w:ascii="Calibri" w:hAnsi="Calibri" w:cs="Calibri"/>
          <w:rtl/>
        </w:rPr>
        <w:footnoteReference w:id="1"/>
      </w:r>
      <w:r w:rsidRPr="000625CE">
        <w:rPr>
          <w:rFonts w:ascii="Calibri" w:hAnsi="Calibri" w:cs="Calibri"/>
          <w:rtl/>
        </w:rPr>
        <w:t xml:space="preserve"> עלה בחודש ספטמבר בשיעור של 1.8 אחוזים (איור 1). המדד </w:t>
      </w:r>
      <w:r>
        <w:rPr>
          <w:rFonts w:ascii="Calibri" w:hAnsi="Calibri" w:cs="Calibri"/>
          <w:rtl/>
        </w:rPr>
        <w:t xml:space="preserve">הרגיל </w:t>
      </w:r>
      <w:r w:rsidRPr="000625CE">
        <w:rPr>
          <w:rFonts w:ascii="Calibri" w:hAnsi="Calibri" w:cs="Calibri"/>
          <w:rtl/>
        </w:rPr>
        <w:t xml:space="preserve">משקף את אומדן הצמיחה החודשית </w:t>
      </w:r>
      <w:r>
        <w:rPr>
          <w:rFonts w:ascii="Calibri" w:hAnsi="Calibri" w:cs="Calibri"/>
          <w:rtl/>
        </w:rPr>
        <w:t xml:space="preserve">הממוצעת </w:t>
      </w:r>
      <w:r w:rsidRPr="000625CE">
        <w:rPr>
          <w:rFonts w:ascii="Calibri" w:hAnsi="Calibri" w:cs="Calibri"/>
          <w:rtl/>
        </w:rPr>
        <w:t>בשל</w:t>
      </w:r>
      <w:r>
        <w:rPr>
          <w:rFonts w:ascii="Calibri" w:hAnsi="Calibri" w:cs="Calibri"/>
          <w:rtl/>
        </w:rPr>
        <w:t>ו</w:t>
      </w:r>
      <w:r w:rsidRPr="000625CE">
        <w:rPr>
          <w:rFonts w:ascii="Calibri" w:hAnsi="Calibri" w:cs="Calibri"/>
          <w:rtl/>
        </w:rPr>
        <w:t>שת החודשים יולי עד ספטמבר, ש</w:t>
      </w:r>
      <w:r>
        <w:rPr>
          <w:rFonts w:ascii="Calibri" w:hAnsi="Calibri" w:cs="Calibri"/>
          <w:rtl/>
        </w:rPr>
        <w:t>כולל בתוכו – בחודש יולי - את ההתאוששות לאחר</w:t>
      </w:r>
      <w:r w:rsidRPr="000625CE">
        <w:rPr>
          <w:rFonts w:ascii="Calibri" w:hAnsi="Calibri" w:cs="Calibri"/>
          <w:rtl/>
        </w:rPr>
        <w:t xml:space="preserve"> מבצע "עם כלביא". אולם, </w:t>
      </w:r>
      <w:r w:rsidRPr="00CE3883">
        <w:rPr>
          <w:rFonts w:ascii="Calibri" w:hAnsi="Calibri" w:cs="Calibri" w:hint="eastAsia"/>
          <w:b/>
          <w:bCs/>
          <w:rtl/>
        </w:rPr>
        <w:t>בהסתכלות</w:t>
      </w:r>
      <w:r w:rsidRPr="00CE3883">
        <w:rPr>
          <w:rFonts w:ascii="Calibri" w:hAnsi="Calibri" w:cs="Calibri"/>
          <w:b/>
          <w:bCs/>
          <w:rtl/>
        </w:rPr>
        <w:t xml:space="preserve"> רחבה יותר </w:t>
      </w:r>
      <w:r w:rsidRPr="00CE3883">
        <w:rPr>
          <w:rFonts w:ascii="Calibri" w:hAnsi="Calibri" w:cs="Calibri" w:hint="eastAsia"/>
          <w:b/>
          <w:bCs/>
          <w:rtl/>
        </w:rPr>
        <w:t>על</w:t>
      </w:r>
      <w:r w:rsidRPr="00CE3883">
        <w:rPr>
          <w:rFonts w:ascii="Calibri" w:hAnsi="Calibri" w:cs="Calibri"/>
          <w:b/>
          <w:bCs/>
          <w:rtl/>
        </w:rPr>
        <w:t xml:space="preserve"> הצמיחה הממוצעת </w:t>
      </w:r>
      <w:r w:rsidRPr="00CE3883">
        <w:rPr>
          <w:rFonts w:ascii="Calibri" w:hAnsi="Calibri" w:cs="Calibri" w:hint="eastAsia"/>
          <w:b/>
          <w:bCs/>
          <w:rtl/>
        </w:rPr>
        <w:t>במהלך</w:t>
      </w:r>
      <w:r w:rsidRPr="00CE3883">
        <w:rPr>
          <w:rFonts w:ascii="Calibri" w:hAnsi="Calibri" w:cs="Calibri"/>
          <w:b/>
          <w:bCs/>
          <w:rtl/>
        </w:rPr>
        <w:t xml:space="preserve"> </w:t>
      </w:r>
      <w:r w:rsidRPr="00CE3883">
        <w:rPr>
          <w:rFonts w:ascii="Calibri" w:hAnsi="Calibri" w:cs="Calibri" w:hint="eastAsia"/>
          <w:b/>
          <w:bCs/>
          <w:rtl/>
        </w:rPr>
        <w:t>ארבעה</w:t>
      </w:r>
      <w:r w:rsidRPr="00CE3883">
        <w:rPr>
          <w:rFonts w:ascii="Calibri" w:hAnsi="Calibri" w:cs="Calibri"/>
          <w:b/>
          <w:bCs/>
          <w:rtl/>
        </w:rPr>
        <w:t xml:space="preserve"> </w:t>
      </w:r>
      <w:r w:rsidRPr="00CE3883">
        <w:rPr>
          <w:rFonts w:ascii="Calibri" w:hAnsi="Calibri" w:cs="Calibri" w:hint="eastAsia"/>
          <w:b/>
          <w:bCs/>
          <w:rtl/>
        </w:rPr>
        <w:t>חודשים</w:t>
      </w:r>
      <w:r w:rsidRPr="00CE3883">
        <w:rPr>
          <w:rFonts w:ascii="Calibri" w:hAnsi="Calibri" w:cs="Calibri"/>
          <w:b/>
          <w:bCs/>
          <w:rtl/>
        </w:rPr>
        <w:t xml:space="preserve">, </w:t>
      </w:r>
      <w:r w:rsidRPr="00CE3883">
        <w:rPr>
          <w:rFonts w:ascii="Calibri" w:hAnsi="Calibri" w:cs="Calibri" w:hint="eastAsia"/>
          <w:b/>
          <w:bCs/>
          <w:rtl/>
        </w:rPr>
        <w:t>באופן</w:t>
      </w:r>
      <w:r w:rsidRPr="00CE3883">
        <w:rPr>
          <w:rFonts w:ascii="Calibri" w:hAnsi="Calibri" w:cs="Calibri"/>
          <w:b/>
          <w:bCs/>
          <w:rtl/>
        </w:rPr>
        <w:t xml:space="preserve"> </w:t>
      </w:r>
      <w:r w:rsidRPr="00CE3883">
        <w:rPr>
          <w:rFonts w:ascii="Calibri" w:hAnsi="Calibri" w:cs="Calibri" w:hint="eastAsia"/>
          <w:b/>
          <w:bCs/>
          <w:rtl/>
        </w:rPr>
        <w:t>שמ</w:t>
      </w:r>
      <w:r>
        <w:rPr>
          <w:rFonts w:ascii="Calibri" w:hAnsi="Calibri" w:cs="Calibri"/>
          <w:b/>
          <w:bCs/>
          <w:rtl/>
        </w:rPr>
        <w:t>נ</w:t>
      </w:r>
      <w:r w:rsidRPr="00CE3883">
        <w:rPr>
          <w:rFonts w:ascii="Calibri" w:hAnsi="Calibri" w:cs="Calibri" w:hint="eastAsia"/>
          <w:b/>
          <w:bCs/>
          <w:rtl/>
        </w:rPr>
        <w:t>טרל</w:t>
      </w:r>
      <w:r w:rsidRPr="00CE3883">
        <w:rPr>
          <w:rFonts w:ascii="Calibri" w:hAnsi="Calibri" w:cs="Calibri"/>
          <w:b/>
          <w:bCs/>
          <w:rtl/>
        </w:rPr>
        <w:t xml:space="preserve"> </w:t>
      </w:r>
      <w:r w:rsidRPr="00CE3883">
        <w:rPr>
          <w:rFonts w:ascii="Calibri" w:hAnsi="Calibri" w:cs="Calibri" w:hint="eastAsia"/>
          <w:b/>
          <w:bCs/>
          <w:rtl/>
        </w:rPr>
        <w:t>את</w:t>
      </w:r>
      <w:r w:rsidRPr="00CE3883">
        <w:rPr>
          <w:rFonts w:ascii="Calibri" w:hAnsi="Calibri" w:cs="Calibri"/>
          <w:b/>
          <w:bCs/>
          <w:rtl/>
        </w:rPr>
        <w:t xml:space="preserve"> </w:t>
      </w:r>
      <w:r w:rsidRPr="00CE3883">
        <w:rPr>
          <w:rFonts w:ascii="Calibri" w:hAnsi="Calibri" w:cs="Calibri" w:hint="eastAsia"/>
          <w:b/>
          <w:bCs/>
          <w:rtl/>
        </w:rPr>
        <w:t>השפעת</w:t>
      </w:r>
      <w:r w:rsidRPr="00CE3883">
        <w:rPr>
          <w:rFonts w:ascii="Calibri" w:hAnsi="Calibri" w:cs="Calibri"/>
          <w:b/>
          <w:bCs/>
          <w:rtl/>
        </w:rPr>
        <w:t xml:space="preserve"> </w:t>
      </w:r>
      <w:r>
        <w:rPr>
          <w:rFonts w:ascii="Calibri" w:hAnsi="Calibri" w:cs="Calibri"/>
          <w:b/>
          <w:bCs/>
          <w:rtl/>
        </w:rPr>
        <w:t xml:space="preserve">התנודתיות הנובעת ממבצע </w:t>
      </w:r>
      <w:r w:rsidRPr="00CE3883">
        <w:rPr>
          <w:rFonts w:ascii="Calibri" w:hAnsi="Calibri" w:cs="Calibri"/>
          <w:b/>
          <w:bCs/>
          <w:rtl/>
        </w:rPr>
        <w:t xml:space="preserve">"עם </w:t>
      </w:r>
      <w:r w:rsidRPr="00CE3883">
        <w:rPr>
          <w:rFonts w:ascii="Calibri" w:hAnsi="Calibri" w:cs="Calibri" w:hint="eastAsia"/>
          <w:b/>
          <w:bCs/>
          <w:rtl/>
        </w:rPr>
        <w:t>כלביא</w:t>
      </w:r>
      <w:r w:rsidRPr="00CE3883">
        <w:rPr>
          <w:rFonts w:ascii="Calibri" w:hAnsi="Calibri" w:cs="Calibri"/>
          <w:b/>
          <w:bCs/>
          <w:rtl/>
        </w:rPr>
        <w:t>", המדד עלה בספטמבר ב-0.2 אחוז בלבד</w:t>
      </w:r>
      <w:r w:rsidRPr="000625CE">
        <w:rPr>
          <w:rFonts w:ascii="Calibri" w:hAnsi="Calibri" w:cs="Calibri"/>
          <w:rtl/>
        </w:rPr>
        <w:t xml:space="preserve">, מתחת למגמה ארוכת טווח (כ-0.3).  המדד </w:t>
      </w:r>
      <w:r>
        <w:rPr>
          <w:rFonts w:ascii="Calibri" w:hAnsi="Calibri" w:cs="Calibri"/>
          <w:rtl/>
        </w:rPr>
        <w:t xml:space="preserve">הרגיל </w:t>
      </w:r>
      <w:r w:rsidRPr="000625CE">
        <w:rPr>
          <w:rFonts w:ascii="Calibri" w:hAnsi="Calibri" w:cs="Calibri"/>
          <w:rtl/>
        </w:rPr>
        <w:t>הושפע ל</w:t>
      </w:r>
      <w:r>
        <w:rPr>
          <w:rFonts w:ascii="Calibri" w:hAnsi="Calibri" w:cs="Calibri"/>
          <w:rtl/>
        </w:rPr>
        <w:t xml:space="preserve">טובה </w:t>
      </w:r>
      <w:r w:rsidRPr="000625CE">
        <w:rPr>
          <w:rFonts w:ascii="Calibri" w:hAnsi="Calibri" w:cs="Calibri"/>
          <w:rtl/>
        </w:rPr>
        <w:t>מ</w:t>
      </w:r>
      <w:r>
        <w:rPr>
          <w:rFonts w:ascii="Calibri" w:hAnsi="Calibri" w:cs="Calibri"/>
          <w:rtl/>
        </w:rPr>
        <w:t>העליות בנתוני הרכישות בכרטיסי אשראי וב</w:t>
      </w:r>
      <w:r w:rsidRPr="000625CE">
        <w:rPr>
          <w:rFonts w:ascii="Calibri" w:hAnsi="Calibri" w:cs="Calibri"/>
          <w:rtl/>
        </w:rPr>
        <w:t xml:space="preserve">נתוני </w:t>
      </w:r>
      <w:r>
        <w:rPr>
          <w:rFonts w:ascii="Calibri" w:hAnsi="Calibri" w:cs="Calibri"/>
          <w:rtl/>
        </w:rPr>
        <w:t>יבוא ו</w:t>
      </w:r>
      <w:r w:rsidRPr="000625CE">
        <w:rPr>
          <w:rFonts w:ascii="Calibri" w:hAnsi="Calibri" w:cs="Calibri"/>
          <w:rtl/>
        </w:rPr>
        <w:t>יצוא הסחורות לחודש</w:t>
      </w:r>
      <w:r>
        <w:rPr>
          <w:rFonts w:ascii="Calibri" w:hAnsi="Calibri" w:cs="Calibri"/>
          <w:rtl/>
        </w:rPr>
        <w:t>יים יולי וספטמבר</w:t>
      </w:r>
      <w:r w:rsidRPr="000625CE">
        <w:rPr>
          <w:rFonts w:ascii="Calibri" w:hAnsi="Calibri" w:cs="Calibri"/>
          <w:rtl/>
        </w:rPr>
        <w:t xml:space="preserve">, בנתוני </w:t>
      </w:r>
      <w:r>
        <w:rPr>
          <w:rFonts w:ascii="Calibri" w:hAnsi="Calibri" w:cs="Calibri"/>
          <w:rtl/>
        </w:rPr>
        <w:t>פדיון המסחר ו</w:t>
      </w:r>
      <w:r w:rsidRPr="000625CE">
        <w:rPr>
          <w:rFonts w:ascii="Calibri" w:hAnsi="Calibri" w:cs="Calibri"/>
          <w:rtl/>
        </w:rPr>
        <w:t xml:space="preserve">הייצור התעשייתי לחודש </w:t>
      </w:r>
      <w:r>
        <w:rPr>
          <w:rFonts w:ascii="Calibri" w:hAnsi="Calibri" w:cs="Calibri"/>
          <w:rtl/>
        </w:rPr>
        <w:t xml:space="preserve">יולי </w:t>
      </w:r>
      <w:r w:rsidRPr="000625CE">
        <w:rPr>
          <w:rFonts w:ascii="Calibri" w:hAnsi="Calibri" w:cs="Calibri"/>
          <w:rtl/>
        </w:rPr>
        <w:t xml:space="preserve">ובנתוני שוק העבודה </w:t>
      </w:r>
      <w:r>
        <w:rPr>
          <w:rFonts w:ascii="Calibri" w:hAnsi="Calibri" w:cs="Calibri"/>
          <w:rtl/>
        </w:rPr>
        <w:t>לחודשים יולי-ספטמבר</w:t>
      </w:r>
      <w:r w:rsidRPr="000625CE">
        <w:rPr>
          <w:rFonts w:ascii="Calibri" w:hAnsi="Calibri" w:cs="Calibri"/>
          <w:rtl/>
        </w:rPr>
        <w:t xml:space="preserve">.  מנגד, נתוני </w:t>
      </w:r>
      <w:r>
        <w:rPr>
          <w:rFonts w:ascii="Calibri" w:hAnsi="Calibri" w:cs="Calibri"/>
          <w:rtl/>
        </w:rPr>
        <w:t xml:space="preserve">מדד מנהלי הרכש של ארה"ב לחודשים יולי-אוגוסט ונתון צריכת הבנזין </w:t>
      </w:r>
      <w:r w:rsidRPr="000625CE">
        <w:rPr>
          <w:rFonts w:ascii="Calibri" w:hAnsi="Calibri" w:cs="Calibri"/>
          <w:rtl/>
        </w:rPr>
        <w:t>השפיעו ל</w:t>
      </w:r>
      <w:r>
        <w:rPr>
          <w:rFonts w:ascii="Calibri" w:hAnsi="Calibri" w:cs="Calibri"/>
          <w:rtl/>
        </w:rPr>
        <w:t xml:space="preserve">רעה </w:t>
      </w:r>
      <w:r w:rsidRPr="000625CE">
        <w:rPr>
          <w:rFonts w:ascii="Calibri" w:hAnsi="Calibri" w:cs="Calibri"/>
          <w:rtl/>
        </w:rPr>
        <w:t xml:space="preserve">על המדד (לוחות 1 ו-2). </w:t>
      </w:r>
    </w:p>
    <w:p w:rsidR="009A3633" w:rsidRPr="002E424B" w:rsidRDefault="009A3633" w:rsidP="009A3633">
      <w:pPr>
        <w:bidi/>
        <w:spacing w:after="120" w:line="360" w:lineRule="auto"/>
        <w:ind w:right="-57"/>
        <w:jc w:val="both"/>
        <w:rPr>
          <w:rFonts w:ascii="Calibri" w:hAnsi="Calibri" w:cs="Calibri"/>
          <w:rtl/>
        </w:rPr>
      </w:pPr>
      <w:r>
        <w:rPr>
          <w:rFonts w:ascii="Calibri" w:hAnsi="Calibri" w:cs="Calibri"/>
          <w:rtl/>
        </w:rPr>
        <w:t xml:space="preserve">המדד לחודשים האחרונים עודכן כלפי מעלה ברקע התנודתיות החריגה שאפיינה את תקופת הייחוס שלו והשלמת הנתונים שלא היו מלאים מקודם. </w:t>
      </w:r>
    </w:p>
    <w:p w:rsidR="009A3633" w:rsidRPr="009A3633" w:rsidRDefault="009A3633" w:rsidP="009A3633">
      <w:pPr>
        <w:bidi/>
        <w:spacing w:after="120" w:line="360" w:lineRule="auto"/>
        <w:ind w:right="-57"/>
        <w:jc w:val="both"/>
        <w:rPr>
          <w:rFonts w:ascii="Calibri" w:hAnsi="Calibri" w:cs="Calibri"/>
          <w:rtl/>
        </w:rPr>
      </w:pPr>
      <w:r w:rsidRPr="002E424B">
        <w:rPr>
          <w:rFonts w:ascii="Calibri" w:hAnsi="Calibri" w:cs="Calibri"/>
          <w:rtl/>
        </w:rPr>
        <w:t xml:space="preserve">איור 1 מציג את נתוני המדד בשנתיים האחרונות, לוח 1 מציג את תרומת רכיבי המדד לאומדן הכולל </w:t>
      </w:r>
      <w:r>
        <w:rPr>
          <w:rFonts w:ascii="Calibri" w:hAnsi="Calibri" w:cs="Calibri"/>
          <w:rtl/>
        </w:rPr>
        <w:t>ו</w:t>
      </w:r>
      <w:r w:rsidRPr="002E424B">
        <w:rPr>
          <w:rFonts w:ascii="Calibri" w:hAnsi="Calibri" w:cs="Calibri"/>
          <w:rtl/>
        </w:rPr>
        <w:t>העדכונים לאחור במדד</w:t>
      </w:r>
      <w:r>
        <w:rPr>
          <w:rFonts w:ascii="Calibri" w:hAnsi="Calibri" w:cs="Calibri"/>
          <w:rtl/>
        </w:rPr>
        <w:t xml:space="preserve">, ולוח 2 מציג את אחוז </w:t>
      </w:r>
      <w:r w:rsidRPr="002E424B">
        <w:rPr>
          <w:rFonts w:ascii="Calibri" w:hAnsi="Calibri" w:cs="Calibri"/>
          <w:rtl/>
        </w:rPr>
        <w:t xml:space="preserve">השינוי </w:t>
      </w:r>
      <w:r>
        <w:rPr>
          <w:rFonts w:ascii="Calibri" w:hAnsi="Calibri" w:cs="Calibri"/>
          <w:rtl/>
        </w:rPr>
        <w:t xml:space="preserve">החודשי </w:t>
      </w:r>
      <w:r w:rsidRPr="002E424B">
        <w:rPr>
          <w:rFonts w:ascii="Calibri" w:hAnsi="Calibri" w:cs="Calibri"/>
          <w:rtl/>
        </w:rPr>
        <w:t>ב</w:t>
      </w:r>
      <w:r>
        <w:rPr>
          <w:rFonts w:ascii="Calibri" w:hAnsi="Calibri" w:cs="Calibri"/>
          <w:rtl/>
        </w:rPr>
        <w:t>רכיבי המדד</w:t>
      </w:r>
      <w:r>
        <w:rPr>
          <w:rFonts w:ascii="Calibri" w:hAnsi="Calibri" w:cs="Calibri"/>
          <w:rtl/>
        </w:rPr>
        <w:t>.</w:t>
      </w:r>
    </w:p>
    <w:p w:rsidR="009A3633" w:rsidRPr="001613B4" w:rsidRDefault="009A3633" w:rsidP="009A3633">
      <w:pPr>
        <w:tabs>
          <w:tab w:val="left" w:pos="2812"/>
        </w:tabs>
        <w:bidi/>
        <w:jc w:val="center"/>
        <w:rPr>
          <w:rFonts w:ascii="Calibri" w:hAnsi="Calibri" w:cs="Calibri"/>
          <w:b/>
          <w:bCs/>
          <w:sz w:val="28"/>
          <w:szCs w:val="28"/>
          <w:rtl/>
        </w:rPr>
      </w:pPr>
      <w:r w:rsidRPr="001613B4">
        <w:rPr>
          <w:rFonts w:ascii="Calibri" w:hAnsi="Calibri" w:cs="Calibri"/>
          <w:b/>
          <w:bCs/>
          <w:sz w:val="28"/>
          <w:szCs w:val="28"/>
          <w:rtl/>
        </w:rPr>
        <w:t>איור 1: המדד החודשי לפעילות המשק</w:t>
      </w:r>
    </w:p>
    <w:p w:rsidR="009A3633" w:rsidRDefault="009A3633" w:rsidP="009A3633">
      <w:pPr>
        <w:bidi/>
        <w:jc w:val="center"/>
        <w:rPr>
          <w:rFonts w:ascii="Calibri" w:hAnsi="Calibri" w:cs="Calibri"/>
          <w:b/>
          <w:bCs/>
          <w:sz w:val="28"/>
          <w:szCs w:val="28"/>
          <w:rtl/>
        </w:rPr>
      </w:pPr>
    </w:p>
    <w:p w:rsidR="009A3633" w:rsidRDefault="009A3633" w:rsidP="009A3633">
      <w:pPr>
        <w:bidi/>
        <w:jc w:val="center"/>
        <w:rPr>
          <w:rFonts w:ascii="Calibri" w:hAnsi="Calibri" w:cs="Calibri"/>
          <w:b/>
          <w:bCs/>
          <w:sz w:val="28"/>
          <w:szCs w:val="28"/>
          <w:rtl/>
        </w:rPr>
      </w:pPr>
      <w:r w:rsidRPr="00D954C8">
        <w:rPr>
          <w:rFonts w:ascii="Calibri" w:hAnsi="Calibri" w:cs="Calibri"/>
          <w:b/>
          <w:bCs/>
          <w:sz w:val="28"/>
          <w:szCs w:val="28"/>
        </w:rPr>
        <w:lastRenderedPageBreak/>
        <w:t xml:space="preserve"> </w:t>
      </w:r>
      <w:r w:rsidRPr="00C348B3">
        <w:rPr>
          <w:noProof/>
        </w:rPr>
        <w:drawing>
          <wp:inline distT="0" distB="0" distL="0" distR="0" wp14:anchorId="7BC75952" wp14:editId="29BAA7AF">
            <wp:extent cx="5278120" cy="3221617"/>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8120" cy="3221617"/>
                    </a:xfrm>
                    <a:prstGeom prst="rect">
                      <a:avLst/>
                    </a:prstGeom>
                    <a:noFill/>
                    <a:ln>
                      <a:noFill/>
                    </a:ln>
                  </pic:spPr>
                </pic:pic>
              </a:graphicData>
            </a:graphic>
          </wp:inline>
        </w:drawing>
      </w:r>
    </w:p>
    <w:p w:rsidR="009A3633" w:rsidRDefault="009A3633" w:rsidP="009A3633">
      <w:pPr>
        <w:bidi/>
        <w:jc w:val="center"/>
        <w:rPr>
          <w:rFonts w:ascii="Calibri" w:hAnsi="Calibri" w:cs="Calibri"/>
          <w:b/>
          <w:bCs/>
          <w:sz w:val="28"/>
          <w:szCs w:val="28"/>
          <w:rtl/>
        </w:rPr>
      </w:pPr>
    </w:p>
    <w:p w:rsidR="009A3633" w:rsidRPr="00CB2A2A" w:rsidRDefault="009A3633" w:rsidP="009A3633">
      <w:pPr>
        <w:bidi/>
        <w:jc w:val="center"/>
        <w:rPr>
          <w:rFonts w:ascii="Calibri" w:hAnsi="Calibri" w:cs="Calibri"/>
          <w:b/>
          <w:bCs/>
          <w:rtl/>
        </w:rPr>
      </w:pPr>
      <w:r w:rsidRPr="00A24717">
        <w:rPr>
          <w:rFonts w:ascii="Calibri" w:hAnsi="Calibri" w:cs="Calibri"/>
          <w:b/>
          <w:bCs/>
          <w:sz w:val="28"/>
          <w:szCs w:val="28"/>
          <w:rtl/>
        </w:rPr>
        <w:t xml:space="preserve">לוח </w:t>
      </w:r>
      <w:r w:rsidRPr="00CB2A2A">
        <w:rPr>
          <w:rFonts w:ascii="Calibri" w:hAnsi="Calibri" w:cs="Calibri"/>
          <w:b/>
          <w:bCs/>
          <w:rtl/>
        </w:rPr>
        <w:t>1: תרומת* רכיבי המדד לאומדן הכולל בחודשים האחרונים, לפי הקבצות</w:t>
      </w:r>
    </w:p>
    <w:p w:rsidR="009A3633" w:rsidRPr="00CB2A2A" w:rsidRDefault="009A3633" w:rsidP="009A3633">
      <w:pPr>
        <w:bidi/>
        <w:jc w:val="center"/>
        <w:rPr>
          <w:rFonts w:ascii="Calibri" w:hAnsi="Calibri" w:cs="Calibri"/>
          <w:b/>
          <w:bCs/>
          <w:rtl/>
        </w:rPr>
      </w:pPr>
      <w:r w:rsidRPr="00CB2A2A">
        <w:rPr>
          <w:rFonts w:ascii="Calibri" w:hAnsi="Calibri" w:cs="Calibri"/>
          <w:b/>
          <w:bCs/>
          <w:rtl/>
        </w:rPr>
        <w:t>(נקודות אחוז)</w:t>
      </w:r>
    </w:p>
    <w:p w:rsidR="009A3633" w:rsidRDefault="009A3633" w:rsidP="009A3633">
      <w:pPr>
        <w:autoSpaceDE w:val="0"/>
        <w:autoSpaceDN w:val="0"/>
        <w:bidi/>
        <w:adjustRightInd w:val="0"/>
        <w:jc w:val="center"/>
        <w:rPr>
          <w:rFonts w:ascii="Calibri" w:hAnsi="Calibri" w:cs="Calibri"/>
          <w:b/>
          <w:bCs/>
          <w:i/>
          <w:rtl/>
        </w:rPr>
      </w:pPr>
      <w:r w:rsidRPr="00E663D4">
        <w:rPr>
          <w:noProof/>
          <w:rtl/>
        </w:rPr>
        <w:drawing>
          <wp:inline distT="0" distB="0" distL="0" distR="0" wp14:anchorId="78BFB904" wp14:editId="6E29C37D">
            <wp:extent cx="3855154" cy="2531059"/>
            <wp:effectExtent l="0" t="0" r="0" b="3175"/>
            <wp:docPr id="2"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6474" cy="2545056"/>
                    </a:xfrm>
                    <a:prstGeom prst="rect">
                      <a:avLst/>
                    </a:prstGeom>
                    <a:noFill/>
                    <a:ln>
                      <a:noFill/>
                    </a:ln>
                  </pic:spPr>
                </pic:pic>
              </a:graphicData>
            </a:graphic>
          </wp:inline>
        </w:drawing>
      </w:r>
      <w:r w:rsidRPr="00616773">
        <w:rPr>
          <w:rFonts w:ascii="Calibri" w:hAnsi="Calibri" w:cs="Calibri"/>
          <w:b/>
          <w:bCs/>
          <w:i/>
          <w:rtl/>
        </w:rPr>
        <w:t xml:space="preserve"> </w:t>
      </w:r>
    </w:p>
    <w:p w:rsidR="009A3633" w:rsidRDefault="009A3633" w:rsidP="009A3633">
      <w:pPr>
        <w:autoSpaceDE w:val="0"/>
        <w:autoSpaceDN w:val="0"/>
        <w:bidi/>
        <w:adjustRightInd w:val="0"/>
        <w:jc w:val="center"/>
        <w:rPr>
          <w:b/>
          <w:bCs/>
          <w:i/>
          <w:rtl/>
        </w:rPr>
      </w:pPr>
    </w:p>
    <w:p w:rsidR="009A3633" w:rsidRPr="009A3633" w:rsidRDefault="009A3633" w:rsidP="009A3633">
      <w:pPr>
        <w:bidi/>
        <w:jc w:val="both"/>
        <w:rPr>
          <w:sz w:val="20"/>
          <w:szCs w:val="20"/>
          <w:rtl/>
        </w:rPr>
      </w:pPr>
      <w:r w:rsidRPr="00BD7373">
        <w:rPr>
          <w:rFonts w:ascii="Calibri" w:hAnsi="Calibri" w:cs="Calibri"/>
          <w:i/>
          <w:sz w:val="20"/>
          <w:szCs w:val="20"/>
          <w:rtl/>
        </w:rPr>
        <w:t>* הלוח מציג את התרומה של כל קבוצת רכיבים למדד החודשי, כך שהאומדן החודשי מהווה סכום של תרומת כל אחד מהרכיבים המפורטים בלוח. חלק מהנתונים הגולמיים משפיעים על האומדן החודשי בפיגור או על אומדני כמה חודשים.</w:t>
      </w:r>
    </w:p>
    <w:p w:rsidR="009A3633" w:rsidRDefault="009A3633" w:rsidP="009A3633">
      <w:pPr>
        <w:bidi/>
        <w:jc w:val="center"/>
        <w:rPr>
          <w:rFonts w:ascii="Calibri" w:hAnsi="Calibri" w:cs="Calibri"/>
          <w:b/>
          <w:bCs/>
          <w:sz w:val="28"/>
          <w:szCs w:val="28"/>
          <w:rtl/>
        </w:rPr>
      </w:pPr>
    </w:p>
    <w:p w:rsidR="009A3633" w:rsidRDefault="009A3633" w:rsidP="009A3633">
      <w:pPr>
        <w:bidi/>
        <w:jc w:val="center"/>
        <w:rPr>
          <w:rFonts w:ascii="Calibri" w:hAnsi="Calibri" w:cs="Calibri"/>
          <w:b/>
          <w:bCs/>
          <w:sz w:val="28"/>
          <w:szCs w:val="28"/>
          <w:rtl/>
        </w:rPr>
      </w:pPr>
    </w:p>
    <w:p w:rsidR="009A3633" w:rsidRDefault="009A3633" w:rsidP="009A3633">
      <w:pPr>
        <w:bidi/>
        <w:jc w:val="center"/>
        <w:rPr>
          <w:rFonts w:ascii="Calibri" w:hAnsi="Calibri" w:cs="Calibri"/>
          <w:b/>
          <w:bCs/>
          <w:sz w:val="28"/>
          <w:szCs w:val="28"/>
        </w:rPr>
      </w:pPr>
    </w:p>
    <w:p w:rsidR="009A3633" w:rsidRPr="002E424B" w:rsidRDefault="009A3633" w:rsidP="009A3633">
      <w:pPr>
        <w:bidi/>
        <w:jc w:val="center"/>
        <w:rPr>
          <w:rFonts w:ascii="Calibri" w:hAnsi="Calibri" w:cs="Calibri"/>
          <w:b/>
          <w:bCs/>
          <w:sz w:val="28"/>
          <w:szCs w:val="28"/>
          <w:rtl/>
        </w:rPr>
      </w:pPr>
      <w:r w:rsidRPr="002E424B">
        <w:rPr>
          <w:rFonts w:ascii="Calibri" w:hAnsi="Calibri" w:cs="Calibri"/>
          <w:b/>
          <w:bCs/>
          <w:sz w:val="28"/>
          <w:szCs w:val="28"/>
          <w:rtl/>
        </w:rPr>
        <w:lastRenderedPageBreak/>
        <w:t>לוח 2: השינויים ברכיבי המדד בחודשים האחרונים</w:t>
      </w:r>
    </w:p>
    <w:p w:rsidR="009A3633" w:rsidRDefault="009A3633" w:rsidP="009A3633">
      <w:pPr>
        <w:autoSpaceDE w:val="0"/>
        <w:autoSpaceDN w:val="0"/>
        <w:bidi/>
        <w:adjustRightInd w:val="0"/>
        <w:jc w:val="center"/>
        <w:rPr>
          <w:rFonts w:ascii="Calibri" w:hAnsi="Calibri" w:cs="Calibri"/>
          <w:rtl/>
        </w:rPr>
      </w:pPr>
      <w:r w:rsidRPr="002E424B">
        <w:rPr>
          <w:rFonts w:ascii="Calibri" w:hAnsi="Calibri" w:cs="Calibri"/>
          <w:i/>
          <w:rtl/>
        </w:rPr>
        <w:t xml:space="preserve">(שיעורי שינוי חודשיים באחוזים, </w:t>
      </w:r>
      <w:proofErr w:type="spellStart"/>
      <w:r w:rsidRPr="002E424B">
        <w:rPr>
          <w:rFonts w:ascii="Calibri" w:hAnsi="Calibri" w:cs="Calibri"/>
          <w:i/>
          <w:rtl/>
        </w:rPr>
        <w:t>מנוכ</w:t>
      </w:r>
      <w:r>
        <w:rPr>
          <w:rFonts w:ascii="Calibri" w:hAnsi="Calibri" w:cs="Calibri"/>
          <w:i/>
          <w:rtl/>
        </w:rPr>
        <w:t>י</w:t>
      </w:r>
      <w:proofErr w:type="spellEnd"/>
      <w:r w:rsidRPr="002E424B">
        <w:rPr>
          <w:rFonts w:ascii="Calibri" w:hAnsi="Calibri" w:cs="Calibri"/>
          <w:i/>
          <w:rtl/>
        </w:rPr>
        <w:t xml:space="preserve"> עונתיות)</w:t>
      </w:r>
    </w:p>
    <w:p w:rsidR="009A3633" w:rsidRDefault="009A3633" w:rsidP="009A3633">
      <w:pPr>
        <w:autoSpaceDE w:val="0"/>
        <w:autoSpaceDN w:val="0"/>
        <w:bidi/>
        <w:adjustRightInd w:val="0"/>
        <w:rPr>
          <w:rFonts w:ascii="Calibri" w:hAnsi="Calibri" w:cs="Calibri"/>
          <w:rtl/>
        </w:rPr>
      </w:pPr>
    </w:p>
    <w:p w:rsidR="009A3633" w:rsidRDefault="009A3633" w:rsidP="009A3633">
      <w:pPr>
        <w:autoSpaceDE w:val="0"/>
        <w:autoSpaceDN w:val="0"/>
        <w:bidi/>
        <w:adjustRightInd w:val="0"/>
        <w:jc w:val="center"/>
        <w:rPr>
          <w:rFonts w:ascii="Calibri" w:hAnsi="Calibri" w:cs="Calibri"/>
          <w:rtl/>
        </w:rPr>
      </w:pPr>
      <w:r w:rsidRPr="00E663D4">
        <w:rPr>
          <w:noProof/>
          <w:rtl/>
        </w:rPr>
        <w:drawing>
          <wp:inline distT="0" distB="0" distL="0" distR="0" wp14:anchorId="533D881F" wp14:editId="7A9BF4E2">
            <wp:extent cx="5541997" cy="4323283"/>
            <wp:effectExtent l="0" t="0" r="1905"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5225" cy="4325801"/>
                    </a:xfrm>
                    <a:prstGeom prst="rect">
                      <a:avLst/>
                    </a:prstGeom>
                    <a:noFill/>
                    <a:ln>
                      <a:noFill/>
                    </a:ln>
                  </pic:spPr>
                </pic:pic>
              </a:graphicData>
            </a:graphic>
          </wp:inline>
        </w:drawing>
      </w:r>
    </w:p>
    <w:p w:rsidR="009A3633" w:rsidRPr="00B57576" w:rsidRDefault="009A3633" w:rsidP="009A3633">
      <w:pPr>
        <w:pStyle w:val="a"/>
        <w:spacing w:after="240" w:line="276" w:lineRule="auto"/>
        <w:ind w:left="-6"/>
        <w:rPr>
          <w:rFonts w:ascii="Calibri" w:hAnsi="Calibri" w:cs="Calibri"/>
          <w:sz w:val="20"/>
          <w:szCs w:val="20"/>
        </w:rPr>
      </w:pPr>
      <w:r w:rsidRPr="00B57576">
        <w:rPr>
          <w:rFonts w:ascii="Calibri" w:hAnsi="Calibri" w:cs="Calibri"/>
          <w:b/>
          <w:bCs/>
          <w:sz w:val="20"/>
          <w:szCs w:val="20"/>
          <w:rtl/>
        </w:rPr>
        <w:t>המקור:</w:t>
      </w:r>
      <w:r w:rsidRPr="00B57576">
        <w:rPr>
          <w:rFonts w:ascii="Calibri" w:hAnsi="Calibri" w:cs="Calibri"/>
          <w:sz w:val="20"/>
          <w:szCs w:val="20"/>
          <w:rtl/>
        </w:rPr>
        <w:t xml:space="preserve"> הלשכה המרכזית לסטטיסטיקה, שב"א, משרד האוצר, </w:t>
      </w:r>
      <w:proofErr w:type="spellStart"/>
      <w:r w:rsidRPr="00B57576">
        <w:rPr>
          <w:rFonts w:ascii="Calibri" w:hAnsi="Calibri" w:cs="Calibri"/>
          <w:sz w:val="20"/>
          <w:szCs w:val="20"/>
          <w:rtl/>
        </w:rPr>
        <w:t>בלומברג</w:t>
      </w:r>
      <w:proofErr w:type="spellEnd"/>
      <w:r w:rsidRPr="00B57576">
        <w:rPr>
          <w:rFonts w:ascii="Calibri" w:hAnsi="Calibri" w:cs="Calibri"/>
          <w:sz w:val="20"/>
          <w:szCs w:val="20"/>
          <w:rtl/>
        </w:rPr>
        <w:t xml:space="preserve">, מנהל הדלק, נתוני בנק ישראל ועיבודי בנק ישראל. לפירוט מלא של המקור לכל סדרה – ראו את המסמך המתודולוגי </w:t>
      </w:r>
      <w:r>
        <w:rPr>
          <w:rFonts w:ascii="Calibri" w:hAnsi="Calibri" w:cs="Calibri" w:hint="cs"/>
          <w:sz w:val="20"/>
          <w:szCs w:val="20"/>
          <w:rtl/>
        </w:rPr>
        <w:t xml:space="preserve">שפורסם </w:t>
      </w:r>
      <w:r w:rsidRPr="00B57576">
        <w:rPr>
          <w:rFonts w:ascii="Calibri" w:hAnsi="Calibri" w:cs="Calibri"/>
          <w:sz w:val="20"/>
          <w:szCs w:val="20"/>
          <w:rtl/>
        </w:rPr>
        <w:t>ב</w:t>
      </w:r>
      <w:r>
        <w:rPr>
          <w:rFonts w:ascii="Calibri" w:hAnsi="Calibri" w:cs="Calibri" w:hint="cs"/>
          <w:sz w:val="20"/>
          <w:szCs w:val="20"/>
          <w:rtl/>
        </w:rPr>
        <w:t>אתר הבנק.</w:t>
      </w:r>
    </w:p>
    <w:p w:rsidR="009A3633" w:rsidRPr="00B57576" w:rsidRDefault="009A3633" w:rsidP="009A3633">
      <w:pPr>
        <w:autoSpaceDE w:val="0"/>
        <w:autoSpaceDN w:val="0"/>
        <w:bidi/>
        <w:adjustRightInd w:val="0"/>
        <w:jc w:val="both"/>
        <w:rPr>
          <w:rStyle w:val="FootnoteReference"/>
          <w:rFonts w:ascii="Calibri" w:hAnsi="Calibri" w:cs="Calibri"/>
          <w:rtl/>
        </w:rPr>
      </w:pPr>
    </w:p>
    <w:p w:rsidR="009A3633" w:rsidRDefault="009A3633" w:rsidP="009A3633">
      <w:pPr>
        <w:bidi/>
        <w:spacing w:line="360" w:lineRule="auto"/>
        <w:rPr>
          <w:rFonts w:asciiTheme="minorHAnsi" w:hAnsiTheme="minorHAnsi" w:cstheme="minorHAnsi"/>
          <w:rtl/>
        </w:rPr>
      </w:pPr>
    </w:p>
    <w:p w:rsidR="00F25BB5" w:rsidRDefault="00F25BB5" w:rsidP="00F25BB5">
      <w:pPr>
        <w:bidi/>
        <w:spacing w:line="360" w:lineRule="auto"/>
        <w:rPr>
          <w:rFonts w:asciiTheme="minorHAnsi" w:hAnsiTheme="minorHAnsi" w:cstheme="minorHAnsi"/>
          <w:rtl/>
        </w:rPr>
      </w:pPr>
    </w:p>
    <w:p w:rsidR="00F25BB5" w:rsidRPr="005E28F6" w:rsidRDefault="00F25BB5" w:rsidP="00F25BB5">
      <w:pPr>
        <w:bidi/>
        <w:spacing w:line="360" w:lineRule="auto"/>
        <w:rPr>
          <w:rFonts w:asciiTheme="minorHAnsi" w:hAnsiTheme="minorHAnsi" w:cstheme="minorHAnsi"/>
          <w:rtl/>
        </w:rPr>
      </w:pPr>
    </w:p>
    <w:p w:rsidR="003E7478" w:rsidRPr="005E28F6" w:rsidRDefault="003E7478" w:rsidP="005E28F6">
      <w:pPr>
        <w:bidi/>
        <w:spacing w:line="360" w:lineRule="auto"/>
        <w:jc w:val="both"/>
        <w:rPr>
          <w:rFonts w:asciiTheme="minorHAnsi" w:hAnsiTheme="minorHAnsi" w:cstheme="minorHAnsi"/>
        </w:rPr>
      </w:pPr>
    </w:p>
    <w:sectPr w:rsidR="003E7478" w:rsidRPr="005E28F6" w:rsidSect="00CC2499">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 w:id="1">
    <w:p w:rsidR="009A3633" w:rsidRPr="006E70CF" w:rsidRDefault="009A3633" w:rsidP="009A3633">
      <w:pPr>
        <w:pStyle w:val="FootnoteText"/>
        <w:rPr>
          <w:rFonts w:asciiTheme="minorHAnsi" w:hAnsiTheme="minorHAnsi" w:cstheme="minorHAnsi"/>
          <w:i/>
          <w:iCs w:val="0"/>
        </w:rPr>
      </w:pPr>
      <w:r w:rsidRPr="006E70CF">
        <w:rPr>
          <w:rStyle w:val="FootnoteReference"/>
          <w:rFonts w:asciiTheme="minorHAnsi" w:hAnsiTheme="minorHAnsi" w:cstheme="minorHAnsi"/>
          <w:i/>
          <w:iCs w:val="0"/>
        </w:rPr>
        <w:footnoteRef/>
      </w:r>
      <w:r w:rsidRPr="006E70CF">
        <w:rPr>
          <w:rFonts w:asciiTheme="minorHAnsi" w:hAnsiTheme="minorHAnsi" w:cstheme="minorHAnsi"/>
          <w:i/>
          <w:iCs w:val="0"/>
          <w:rtl/>
        </w:rPr>
        <w:t xml:space="preserve"> המדד החודשי לפעילות המשק משקף את הממוצע התלת-חודשי של אומדן קצב הצמיחה החודשי בתוצר. האומדן מבוסס על מודל שפותח בבנק ישראל (</w:t>
      </w:r>
      <w:proofErr w:type="spellStart"/>
      <w:r w:rsidRPr="006E70CF">
        <w:rPr>
          <w:rFonts w:asciiTheme="minorHAnsi" w:hAnsiTheme="minorHAnsi" w:cstheme="minorHAnsi"/>
          <w:i/>
          <w:iCs w:val="0"/>
          <w:rtl/>
        </w:rPr>
        <w:t>גינקר</w:t>
      </w:r>
      <w:proofErr w:type="spellEnd"/>
      <w:r w:rsidRPr="006E70CF">
        <w:rPr>
          <w:rFonts w:asciiTheme="minorHAnsi" w:hAnsiTheme="minorHAnsi" w:cstheme="minorHAnsi"/>
          <w:i/>
          <w:iCs w:val="0"/>
          <w:rtl/>
        </w:rPr>
        <w:t xml:space="preserve"> </w:t>
      </w:r>
      <w:proofErr w:type="spellStart"/>
      <w:r w:rsidRPr="006E70CF">
        <w:rPr>
          <w:rFonts w:asciiTheme="minorHAnsi" w:hAnsiTheme="minorHAnsi" w:cstheme="minorHAnsi"/>
          <w:i/>
          <w:iCs w:val="0"/>
          <w:rtl/>
        </w:rPr>
        <w:t>וסוחוי</w:t>
      </w:r>
      <w:proofErr w:type="spellEnd"/>
      <w:r w:rsidRPr="006E70CF">
        <w:rPr>
          <w:rFonts w:asciiTheme="minorHAnsi" w:hAnsiTheme="minorHAnsi" w:cstheme="minorHAnsi"/>
          <w:i/>
          <w:iCs w:val="0"/>
          <w:rtl/>
        </w:rPr>
        <w:t>,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2"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72E4"/>
    <w:rsid w:val="00737090"/>
    <w:rsid w:val="00780795"/>
    <w:rsid w:val="00783F55"/>
    <w:rsid w:val="007916D5"/>
    <w:rsid w:val="0079406F"/>
    <w:rsid w:val="00797111"/>
    <w:rsid w:val="007A0330"/>
    <w:rsid w:val="007A25C0"/>
    <w:rsid w:val="007A2A08"/>
    <w:rsid w:val="007B2299"/>
    <w:rsid w:val="007B2E35"/>
    <w:rsid w:val="007B64D4"/>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3633"/>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F4F97"/>
    <w:rsid w:val="00BF5589"/>
    <w:rsid w:val="00C0095C"/>
    <w:rsid w:val="00C02512"/>
    <w:rsid w:val="00C10172"/>
    <w:rsid w:val="00C25C86"/>
    <w:rsid w:val="00C36D00"/>
    <w:rsid w:val="00C42A4B"/>
    <w:rsid w:val="00C463C1"/>
    <w:rsid w:val="00C46931"/>
    <w:rsid w:val="00C47658"/>
    <w:rsid w:val="00C47A89"/>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E2F8B"/>
    <w:rsid w:val="00D004D1"/>
    <w:rsid w:val="00D02324"/>
    <w:rsid w:val="00D06884"/>
    <w:rsid w:val="00D15579"/>
    <w:rsid w:val="00D45541"/>
    <w:rsid w:val="00D53BFE"/>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DD4E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paragraph" w:styleId="FootnoteText">
    <w:name w:val="footnote text"/>
    <w:basedOn w:val="Normal"/>
    <w:link w:val="FootnoteTextChar"/>
    <w:semiHidden/>
    <w:rsid w:val="009A3633"/>
    <w:pPr>
      <w:bidi/>
      <w:spacing w:after="120" w:line="320" w:lineRule="exact"/>
      <w:ind w:left="-57" w:firstLine="283"/>
      <w:jc w:val="both"/>
    </w:pPr>
    <w:rPr>
      <w:rFonts w:ascii="Times New Roman" w:eastAsia="Times New Roman" w:hAnsi="Times New Roman"/>
      <w:iCs/>
      <w:sz w:val="20"/>
      <w:szCs w:val="20"/>
      <w:lang w:eastAsia="he-IL"/>
    </w:rPr>
  </w:style>
  <w:style w:type="character" w:customStyle="1" w:styleId="FootnoteTextChar">
    <w:name w:val="Footnote Text Char"/>
    <w:basedOn w:val="DefaultParagraphFont"/>
    <w:link w:val="FootnoteText"/>
    <w:semiHidden/>
    <w:rsid w:val="009A3633"/>
    <w:rPr>
      <w:rFonts w:ascii="Times New Roman" w:eastAsia="Times New Roman" w:hAnsi="Times New Roman" w:cs="David"/>
      <w:iCs/>
      <w:sz w:val="20"/>
      <w:szCs w:val="20"/>
      <w:lang w:eastAsia="he-IL"/>
    </w:rPr>
  </w:style>
  <w:style w:type="character" w:styleId="FootnoteReference">
    <w:name w:val="footnote reference"/>
    <w:semiHidden/>
    <w:rsid w:val="009A3633"/>
    <w:rPr>
      <w:vertAlign w:val="superscript"/>
    </w:rPr>
  </w:style>
  <w:style w:type="paragraph" w:styleId="Title">
    <w:name w:val="Title"/>
    <w:basedOn w:val="Normal"/>
    <w:next w:val="Normal"/>
    <w:link w:val="TitleChar"/>
    <w:qFormat/>
    <w:rsid w:val="009A3633"/>
    <w:pPr>
      <w:spacing w:after="0" w:line="240" w:lineRule="auto"/>
      <w:contextualSpacing/>
    </w:pPr>
    <w:rPr>
      <w:rFonts w:asciiTheme="majorHAnsi" w:eastAsiaTheme="majorEastAsia" w:hAnsiTheme="majorHAnsi" w:cstheme="majorBidi" w:hint="cs"/>
      <w:spacing w:val="-10"/>
      <w:kern w:val="28"/>
      <w:sz w:val="56"/>
      <w:szCs w:val="56"/>
      <w:lang w:eastAsia="he-IL"/>
    </w:rPr>
  </w:style>
  <w:style w:type="character" w:customStyle="1" w:styleId="TitleChar">
    <w:name w:val="Title Char"/>
    <w:basedOn w:val="DefaultParagraphFont"/>
    <w:link w:val="Title"/>
    <w:rsid w:val="009A3633"/>
    <w:rPr>
      <w:rFonts w:asciiTheme="majorHAnsi" w:eastAsiaTheme="majorEastAsia" w:hAnsiTheme="majorHAnsi" w:cstheme="majorBidi"/>
      <w:spacing w:val="-10"/>
      <w:kern w:val="28"/>
      <w:sz w:val="56"/>
      <w:szCs w:val="56"/>
      <w:lang w:eastAsia="he-IL"/>
    </w:rPr>
  </w:style>
  <w:style w:type="paragraph" w:customStyle="1" w:styleId="a">
    <w:name w:val="טקסט רץ"/>
    <w:basedOn w:val="ListParagraph"/>
    <w:qFormat/>
    <w:rsid w:val="009A3633"/>
    <w:pPr>
      <w:bidi/>
      <w:spacing w:after="0" w:line="240" w:lineRule="auto"/>
      <w:ind w:left="-7"/>
      <w:jc w:val="both"/>
    </w:pPr>
    <w:rPr>
      <w:rFonts w:ascii="Assistant" w:eastAsia="Times New Roman" w:hAnsi="Assistant" w:cs="Assistan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yperlink" Target="https://www.facebook.com/bankisraelvc" TargetMode="External"/><Relationship Id="rId3" Type="http://schemas.openxmlformats.org/officeDocument/2006/relationships/image" Target="media/image5.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7.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6.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1501</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2025-10-29T08:27:00Z</dcterms:created>
  <dcterms:modified xsi:type="dcterms:W3CDTF">2025-10-29T08:27:00Z</dcterms:modified>
</cp:coreProperties>
</file>