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32827" w14:textId="77777777" w:rsidR="00A7044E" w:rsidRDefault="00A7044E" w:rsidP="00A7044E">
      <w:pPr>
        <w:bidi w:val="0"/>
        <w:jc w:val="right"/>
        <w:rPr>
          <w:rFonts w:cs="David"/>
          <w:b/>
          <w:bCs/>
          <w:sz w:val="26"/>
          <w:szCs w:val="26"/>
          <w:rtl/>
        </w:rPr>
      </w:pPr>
    </w:p>
    <w:p w14:paraId="38E854E8" w14:textId="77777777" w:rsidR="00A7044E" w:rsidRDefault="00A7044E" w:rsidP="00A7044E">
      <w:pPr>
        <w:bidi w:val="0"/>
        <w:jc w:val="right"/>
        <w:rPr>
          <w:rFonts w:cs="David"/>
          <w:b/>
          <w:bCs/>
          <w:sz w:val="26"/>
          <w:szCs w:val="26"/>
          <w:rtl/>
        </w:rPr>
      </w:pPr>
    </w:p>
    <w:p w14:paraId="440E221F" w14:textId="77777777" w:rsidR="00A7044E" w:rsidRDefault="00A7044E" w:rsidP="00A7044E">
      <w:pPr>
        <w:bidi w:val="0"/>
        <w:jc w:val="right"/>
        <w:rPr>
          <w:rFonts w:cs="David"/>
          <w:b/>
          <w:bCs/>
          <w:sz w:val="26"/>
          <w:szCs w:val="26"/>
          <w:rtl/>
        </w:rPr>
      </w:pPr>
    </w:p>
    <w:p w14:paraId="6D3FD0EE" w14:textId="77777777" w:rsidR="00A7044E" w:rsidRDefault="00A7044E" w:rsidP="00A7044E">
      <w:pPr>
        <w:bidi w:val="0"/>
        <w:spacing w:line="300" w:lineRule="atLeast"/>
        <w:jc w:val="center"/>
        <w:rPr>
          <w:rFonts w:asciiTheme="minorHAnsi" w:hAnsiTheme="minorHAnsi" w:cstheme="minorHAnsi"/>
          <w:bCs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74A6379" wp14:editId="2BD704A1">
            <wp:simplePos x="0" y="0"/>
            <wp:positionH relativeFrom="margin">
              <wp:align>center</wp:align>
            </wp:positionH>
            <wp:positionV relativeFrom="paragraph">
              <wp:posOffset>-601585</wp:posOffset>
            </wp:positionV>
            <wp:extent cx="2124075" cy="764540"/>
            <wp:effectExtent l="0" t="0" r="0" b="0"/>
            <wp:wrapNone/>
            <wp:docPr id="6" name="תמונה 6" descr="C:\Users\u34r\AppData\Local\Microsoft\Windows\INetCache\Content.Word\logo 70-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34r\AppData\Local\Microsoft\Windows\INetCache\Content.Word\logo 70-e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5" t="43675" r="31903" b="43451"/>
                    <a:stretch/>
                  </pic:blipFill>
                  <pic:spPr bwMode="auto">
                    <a:xfrm>
                      <a:off x="0" y="0"/>
                      <a:ext cx="212407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91E48" w14:textId="77777777" w:rsidR="00A7044E" w:rsidRPr="00EF10B1" w:rsidRDefault="00A7044E" w:rsidP="00A7044E">
      <w:pPr>
        <w:bidi w:val="0"/>
        <w:spacing w:line="300" w:lineRule="atLeast"/>
        <w:jc w:val="center"/>
        <w:rPr>
          <w:rFonts w:asciiTheme="minorHAnsi" w:hAnsiTheme="minorHAnsi" w:cstheme="minorHAnsi"/>
          <w:bCs/>
        </w:rPr>
      </w:pPr>
      <w:r w:rsidRPr="00EF10B1">
        <w:rPr>
          <w:rFonts w:asciiTheme="minorHAnsi" w:hAnsiTheme="minorHAnsi" w:cstheme="minorHAnsi"/>
          <w:bCs/>
        </w:rPr>
        <w:t>BANK OF ISRAEL</w:t>
      </w:r>
    </w:p>
    <w:p w14:paraId="1AFB82E1" w14:textId="77777777" w:rsidR="00A7044E" w:rsidRPr="00EF10B1" w:rsidRDefault="00A7044E" w:rsidP="00A7044E">
      <w:pPr>
        <w:bidi w:val="0"/>
        <w:spacing w:line="300" w:lineRule="atLeast"/>
        <w:jc w:val="center"/>
        <w:rPr>
          <w:rFonts w:asciiTheme="minorHAnsi" w:hAnsiTheme="minorHAnsi" w:cstheme="minorHAnsi"/>
        </w:rPr>
      </w:pPr>
      <w:r w:rsidRPr="00EF10B1">
        <w:rPr>
          <w:rFonts w:asciiTheme="minorHAnsi" w:hAnsiTheme="minorHAnsi" w:cstheme="minorHAnsi"/>
        </w:rPr>
        <w:t>Office of the Spokesperson and Economic Information</w:t>
      </w:r>
    </w:p>
    <w:p w14:paraId="3DD8B998" w14:textId="77777777" w:rsidR="00A7044E" w:rsidRPr="00EF10B1" w:rsidRDefault="00A7044E" w:rsidP="00A7044E">
      <w:pPr>
        <w:bidi w:val="0"/>
        <w:spacing w:line="300" w:lineRule="atLeast"/>
        <w:jc w:val="center"/>
        <w:rPr>
          <w:rFonts w:asciiTheme="minorHAnsi" w:hAnsiTheme="minorHAnsi" w:cstheme="minorHAnsi"/>
        </w:rPr>
      </w:pPr>
    </w:p>
    <w:p w14:paraId="3E54DD7A" w14:textId="77777777" w:rsidR="00A7044E" w:rsidRPr="0066706A" w:rsidRDefault="00A7044E" w:rsidP="00A7044E">
      <w:pPr>
        <w:pStyle w:val="Letterhead2"/>
        <w:tabs>
          <w:tab w:val="center" w:pos="5174"/>
          <w:tab w:val="left" w:pos="9088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EF10B1">
        <w:rPr>
          <w:rFonts w:asciiTheme="minorHAnsi" w:hAnsiTheme="minorHAnsi" w:cstheme="minorHAnsi"/>
          <w:sz w:val="24"/>
          <w:szCs w:val="24"/>
        </w:rPr>
        <w:tab/>
      </w:r>
    </w:p>
    <w:p w14:paraId="3DF125F8" w14:textId="77777777" w:rsidR="00A7044E" w:rsidRPr="00A7044E" w:rsidRDefault="00A7044E" w:rsidP="00A7044E">
      <w:pPr>
        <w:bidi w:val="0"/>
        <w:ind w:right="283"/>
        <w:jc w:val="right"/>
        <w:rPr>
          <w:rFonts w:ascii="Calibri" w:hAnsi="Calibri" w:cs="Calibri"/>
        </w:rPr>
      </w:pPr>
    </w:p>
    <w:p w14:paraId="777BAAD1" w14:textId="49382F46" w:rsidR="00D772B2" w:rsidRPr="00A7044E" w:rsidRDefault="006F0772" w:rsidP="006B32D0">
      <w:pPr>
        <w:bidi w:val="0"/>
        <w:jc w:val="right"/>
        <w:rPr>
          <w:rFonts w:ascii="Calibri" w:hAnsi="Calibri" w:cs="Calibri"/>
        </w:rPr>
      </w:pPr>
      <w:r w:rsidRPr="00A7044E">
        <w:rPr>
          <w:rFonts w:ascii="Calibri" w:hAnsi="Calibri" w:cs="Calibri"/>
        </w:rPr>
        <w:t>December</w:t>
      </w:r>
      <w:r w:rsidR="00AC1871" w:rsidRPr="00A7044E">
        <w:rPr>
          <w:rFonts w:ascii="Calibri" w:hAnsi="Calibri" w:cs="Calibri"/>
        </w:rPr>
        <w:t xml:space="preserve"> 25</w:t>
      </w:r>
      <w:r w:rsidR="003316A5" w:rsidRPr="00A7044E">
        <w:rPr>
          <w:rFonts w:ascii="Calibri" w:hAnsi="Calibri" w:cs="Calibri"/>
        </w:rPr>
        <w:t>, 2024</w:t>
      </w:r>
    </w:p>
    <w:p w14:paraId="5E55176C" w14:textId="01589B04" w:rsidR="00D772B2" w:rsidRPr="00A7044E" w:rsidRDefault="00D772B2" w:rsidP="00D772B2">
      <w:pPr>
        <w:pStyle w:val="PressReleaseTitle"/>
        <w:rPr>
          <w:rFonts w:ascii="Calibri" w:hAnsi="Calibri" w:cs="Calibri"/>
          <w:sz w:val="24"/>
          <w:szCs w:val="24"/>
        </w:rPr>
      </w:pPr>
    </w:p>
    <w:p w14:paraId="0170820D" w14:textId="4D3AADA9" w:rsidR="00D772B2" w:rsidRPr="00A7044E" w:rsidRDefault="00D772B2" w:rsidP="00A7044E">
      <w:pPr>
        <w:pStyle w:val="PressReleaseTitle"/>
        <w:rPr>
          <w:rFonts w:ascii="Calibri" w:hAnsi="Calibri" w:cs="Calibri"/>
          <w:b w:val="0"/>
          <w:bCs w:val="0"/>
          <w:sz w:val="24"/>
          <w:szCs w:val="24"/>
        </w:rPr>
      </w:pPr>
      <w:r w:rsidRPr="00A7044E">
        <w:rPr>
          <w:rFonts w:ascii="Calibri" w:hAnsi="Calibri" w:cs="Calibri"/>
          <w:b w:val="0"/>
          <w:bCs w:val="0"/>
          <w:sz w:val="24"/>
          <w:szCs w:val="24"/>
        </w:rPr>
        <w:t>Press Release</w:t>
      </w:r>
      <w:r w:rsidR="009C042F" w:rsidRPr="00A7044E">
        <w:rPr>
          <w:rFonts w:ascii="Calibri" w:hAnsi="Calibri" w:cs="Calibri"/>
          <w:b w:val="0"/>
          <w:bCs w:val="0"/>
          <w:sz w:val="24"/>
          <w:szCs w:val="24"/>
        </w:rPr>
        <w:t>:</w:t>
      </w:r>
    </w:p>
    <w:p w14:paraId="731210E1" w14:textId="63770394" w:rsidR="00083D7F" w:rsidRPr="00A7044E" w:rsidRDefault="00083D7F" w:rsidP="007E422E">
      <w:pPr>
        <w:tabs>
          <w:tab w:val="left" w:pos="180"/>
        </w:tabs>
        <w:bidi w:val="0"/>
        <w:spacing w:line="300" w:lineRule="exact"/>
        <w:jc w:val="both"/>
        <w:rPr>
          <w:rFonts w:ascii="Calibri" w:hAnsi="Calibri" w:cs="Calibri"/>
        </w:rPr>
      </w:pPr>
    </w:p>
    <w:p w14:paraId="04D88B51" w14:textId="2472C7D2" w:rsidR="00517971" w:rsidRPr="00A7044E" w:rsidRDefault="00517971" w:rsidP="008D3D19">
      <w:pPr>
        <w:bidi w:val="0"/>
        <w:rPr>
          <w:rFonts w:ascii="Calibri" w:hAnsi="Calibri" w:cs="Calibri"/>
          <w:lang w:eastAsia="zh-CN" w:bidi="ar-SA"/>
        </w:rPr>
      </w:pPr>
    </w:p>
    <w:p w14:paraId="171E81B9" w14:textId="7E6BAD5E" w:rsidR="00CE4D28" w:rsidRPr="00A7044E" w:rsidRDefault="00C6070A" w:rsidP="006F0772">
      <w:pPr>
        <w:pStyle w:val="1"/>
        <w:rPr>
          <w:rFonts w:ascii="Calibri" w:hAnsi="Calibri" w:cs="Calibri"/>
          <w:sz w:val="32"/>
          <w:szCs w:val="32"/>
        </w:rPr>
      </w:pPr>
      <w:bookmarkStart w:id="0" w:name="_GoBack"/>
      <w:r w:rsidRPr="00A7044E">
        <w:rPr>
          <w:rFonts w:ascii="Calibri" w:hAnsi="Calibri" w:cs="Calibri"/>
          <w:sz w:val="32"/>
          <w:szCs w:val="32"/>
        </w:rPr>
        <w:t>The</w:t>
      </w:r>
      <w:r w:rsidR="00F50434" w:rsidRPr="00A7044E">
        <w:rPr>
          <w:rFonts w:ascii="Calibri" w:hAnsi="Calibri" w:cs="Calibri"/>
          <w:sz w:val="32"/>
          <w:szCs w:val="32"/>
        </w:rPr>
        <w:t xml:space="preserve"> public's financial assets portfolio in the </w:t>
      </w:r>
      <w:r w:rsidR="006F0772" w:rsidRPr="00A7044E">
        <w:rPr>
          <w:rFonts w:ascii="Calibri" w:hAnsi="Calibri" w:cs="Calibri"/>
          <w:sz w:val="32"/>
          <w:szCs w:val="32"/>
        </w:rPr>
        <w:t>third</w:t>
      </w:r>
      <w:r w:rsidR="006919D1" w:rsidRPr="00A7044E">
        <w:rPr>
          <w:rFonts w:ascii="Calibri" w:hAnsi="Calibri" w:cs="Calibri"/>
          <w:sz w:val="32"/>
          <w:szCs w:val="32"/>
        </w:rPr>
        <w:t xml:space="preserve"> quarter</w:t>
      </w:r>
      <w:r w:rsidR="00084032" w:rsidRPr="00A7044E">
        <w:rPr>
          <w:rFonts w:ascii="Calibri" w:hAnsi="Calibri" w:cs="Calibri"/>
          <w:sz w:val="32"/>
          <w:szCs w:val="32"/>
        </w:rPr>
        <w:t xml:space="preserve"> of </w:t>
      </w:r>
      <w:r w:rsidR="003316A5" w:rsidRPr="00A7044E">
        <w:rPr>
          <w:rFonts w:ascii="Calibri" w:hAnsi="Calibri" w:cs="Calibri"/>
          <w:sz w:val="32"/>
          <w:szCs w:val="32"/>
        </w:rPr>
        <w:t>2024</w:t>
      </w:r>
    </w:p>
    <w:bookmarkEnd w:id="0"/>
    <w:p w14:paraId="3CD80117" w14:textId="77777777" w:rsidR="00BF5352" w:rsidRPr="00A7044E" w:rsidRDefault="00BF5352" w:rsidP="008D3D19">
      <w:pPr>
        <w:tabs>
          <w:tab w:val="left" w:pos="1134"/>
        </w:tabs>
        <w:bidi w:val="0"/>
        <w:spacing w:line="300" w:lineRule="exact"/>
        <w:jc w:val="both"/>
        <w:rPr>
          <w:rFonts w:ascii="Calibri" w:hAnsi="Calibri" w:cs="Calibri"/>
          <w:b/>
          <w:bCs/>
        </w:rPr>
      </w:pPr>
    </w:p>
    <w:p w14:paraId="086364F6" w14:textId="649EBEDD" w:rsidR="00F50434" w:rsidRPr="00A7044E" w:rsidRDefault="00F50434" w:rsidP="003316A5">
      <w:pPr>
        <w:bidi w:val="0"/>
        <w:spacing w:line="300" w:lineRule="exact"/>
        <w:rPr>
          <w:rFonts w:ascii="Calibri" w:hAnsi="Calibri" w:cs="Calibri"/>
          <w:b/>
          <w:bCs/>
        </w:rPr>
      </w:pPr>
    </w:p>
    <w:p w14:paraId="5C97827F" w14:textId="5C85C40B" w:rsidR="00AC3545" w:rsidRPr="00A7044E" w:rsidRDefault="00234629" w:rsidP="006F0772">
      <w:pPr>
        <w:numPr>
          <w:ilvl w:val="0"/>
          <w:numId w:val="17"/>
        </w:numPr>
        <w:tabs>
          <w:tab w:val="left" w:pos="1134"/>
        </w:tabs>
        <w:bidi w:val="0"/>
        <w:spacing w:line="300" w:lineRule="exact"/>
        <w:jc w:val="both"/>
        <w:rPr>
          <w:rFonts w:ascii="Calibri" w:hAnsi="Calibri" w:cs="Calibri"/>
          <w:b/>
          <w:bCs/>
        </w:rPr>
      </w:pPr>
      <w:r w:rsidRPr="00A7044E">
        <w:rPr>
          <w:rFonts w:ascii="Calibri" w:hAnsi="Calibri" w:cs="Calibri"/>
          <w:b/>
          <w:bCs/>
        </w:rPr>
        <w:t xml:space="preserve">In the </w:t>
      </w:r>
      <w:r w:rsidR="006F0772" w:rsidRPr="00A7044E">
        <w:rPr>
          <w:rFonts w:ascii="Calibri" w:hAnsi="Calibri" w:cs="Calibri"/>
          <w:b/>
          <w:bCs/>
        </w:rPr>
        <w:t>third</w:t>
      </w:r>
      <w:r w:rsidR="006B32D0" w:rsidRPr="00A7044E">
        <w:rPr>
          <w:rFonts w:ascii="Calibri" w:hAnsi="Calibri" w:cs="Calibri"/>
          <w:b/>
          <w:bCs/>
        </w:rPr>
        <w:t xml:space="preserve"> quarter</w:t>
      </w:r>
      <w:r w:rsidRPr="00A7044E">
        <w:rPr>
          <w:rFonts w:ascii="Calibri" w:hAnsi="Calibri" w:cs="Calibri"/>
          <w:b/>
          <w:bCs/>
        </w:rPr>
        <w:t xml:space="preserve"> of </w:t>
      </w:r>
      <w:r w:rsidR="003316A5" w:rsidRPr="00A7044E">
        <w:rPr>
          <w:rFonts w:ascii="Calibri" w:hAnsi="Calibri" w:cs="Calibri"/>
          <w:b/>
          <w:bCs/>
        </w:rPr>
        <w:t>2024</w:t>
      </w:r>
      <w:r w:rsidRPr="00A7044E">
        <w:rPr>
          <w:rFonts w:ascii="Calibri" w:hAnsi="Calibri" w:cs="Calibri"/>
          <w:b/>
          <w:bCs/>
        </w:rPr>
        <w:t>,</w:t>
      </w:r>
      <w:r w:rsidR="00E716B9" w:rsidRPr="00A7044E">
        <w:rPr>
          <w:rFonts w:ascii="Calibri" w:hAnsi="Calibri" w:cs="Calibri"/>
          <w:b/>
          <w:bCs/>
        </w:rPr>
        <w:t xml:space="preserve"> </w:t>
      </w:r>
      <w:r w:rsidR="00AC3545" w:rsidRPr="00A7044E">
        <w:rPr>
          <w:rFonts w:ascii="Calibri" w:hAnsi="Calibri" w:cs="Calibri"/>
          <w:b/>
          <w:bCs/>
        </w:rPr>
        <w:t xml:space="preserve">the balance of the public’s financial assets portfolio </w:t>
      </w:r>
      <w:r w:rsidR="00D05DEF" w:rsidRPr="00A7044E">
        <w:rPr>
          <w:rFonts w:ascii="Calibri" w:hAnsi="Calibri" w:cs="Calibri"/>
          <w:b/>
          <w:bCs/>
        </w:rPr>
        <w:t>increased</w:t>
      </w:r>
      <w:r w:rsidR="008B7040" w:rsidRPr="00A7044E">
        <w:rPr>
          <w:rFonts w:ascii="Calibri" w:hAnsi="Calibri" w:cs="Calibri"/>
          <w:b/>
          <w:bCs/>
        </w:rPr>
        <w:t xml:space="preserve"> </w:t>
      </w:r>
      <w:r w:rsidR="00AC3545" w:rsidRPr="00A7044E">
        <w:rPr>
          <w:rFonts w:ascii="Calibri" w:hAnsi="Calibri" w:cs="Calibri"/>
          <w:b/>
          <w:bCs/>
        </w:rPr>
        <w:t xml:space="preserve">by </w:t>
      </w:r>
      <w:r w:rsidR="00C935C0" w:rsidRPr="00A7044E">
        <w:rPr>
          <w:rFonts w:ascii="Calibri" w:hAnsi="Calibri" w:cs="Calibri"/>
          <w:b/>
          <w:bCs/>
        </w:rPr>
        <w:t xml:space="preserve">approximately </w:t>
      </w:r>
      <w:r w:rsidR="00AC3545" w:rsidRPr="00A7044E">
        <w:rPr>
          <w:rFonts w:ascii="Calibri" w:hAnsi="Calibri" w:cs="Calibri"/>
          <w:b/>
          <w:bCs/>
        </w:rPr>
        <w:t xml:space="preserve">NIS </w:t>
      </w:r>
      <w:r w:rsidR="006F0772" w:rsidRPr="00A7044E">
        <w:rPr>
          <w:rFonts w:ascii="Calibri" w:hAnsi="Calibri" w:cs="Calibri"/>
          <w:b/>
          <w:bCs/>
        </w:rPr>
        <w:t>221.7</w:t>
      </w:r>
      <w:r w:rsidR="00E716B9" w:rsidRPr="00A7044E">
        <w:rPr>
          <w:rFonts w:ascii="Calibri" w:hAnsi="Calibri" w:cs="Calibri"/>
          <w:b/>
          <w:bCs/>
        </w:rPr>
        <w:t xml:space="preserve"> </w:t>
      </w:r>
      <w:r w:rsidR="00AC3545" w:rsidRPr="00A7044E">
        <w:rPr>
          <w:rFonts w:ascii="Calibri" w:hAnsi="Calibri" w:cs="Calibri"/>
          <w:b/>
          <w:bCs/>
        </w:rPr>
        <w:t>billion (</w:t>
      </w:r>
      <w:r w:rsidR="006F0772" w:rsidRPr="00A7044E">
        <w:rPr>
          <w:rFonts w:ascii="Calibri" w:hAnsi="Calibri" w:cs="Calibri"/>
          <w:b/>
          <w:bCs/>
        </w:rPr>
        <w:t>3.9</w:t>
      </w:r>
      <w:r w:rsidR="00F654EA" w:rsidRPr="00A7044E">
        <w:rPr>
          <w:rFonts w:ascii="Calibri" w:hAnsi="Calibri" w:cs="Calibri"/>
          <w:b/>
          <w:bCs/>
        </w:rPr>
        <w:t xml:space="preserve"> </w:t>
      </w:r>
      <w:r w:rsidR="00AC3545" w:rsidRPr="00A7044E">
        <w:rPr>
          <w:rFonts w:ascii="Calibri" w:hAnsi="Calibri" w:cs="Calibri"/>
          <w:b/>
          <w:bCs/>
        </w:rPr>
        <w:t>percent)</w:t>
      </w:r>
      <w:r w:rsidR="00C935C0" w:rsidRPr="00A7044E">
        <w:rPr>
          <w:rFonts w:ascii="Calibri" w:hAnsi="Calibri" w:cs="Calibri"/>
          <w:b/>
          <w:bCs/>
        </w:rPr>
        <w:t xml:space="preserve">, </w:t>
      </w:r>
      <w:r w:rsidR="00D223DE" w:rsidRPr="00A7044E">
        <w:rPr>
          <w:rFonts w:ascii="Calibri" w:hAnsi="Calibri" w:cs="Calibri"/>
          <w:b/>
          <w:bCs/>
        </w:rPr>
        <w:t xml:space="preserve">to </w:t>
      </w:r>
      <w:r w:rsidR="00D84BFF" w:rsidRPr="00A7044E">
        <w:rPr>
          <w:rFonts w:ascii="Calibri" w:hAnsi="Calibri" w:cs="Calibri"/>
          <w:b/>
          <w:bCs/>
        </w:rPr>
        <w:t xml:space="preserve">about NIS </w:t>
      </w:r>
      <w:r w:rsidR="006F0772" w:rsidRPr="00A7044E">
        <w:rPr>
          <w:rFonts w:ascii="Calibri" w:hAnsi="Calibri" w:cs="Calibri"/>
          <w:b/>
          <w:bCs/>
        </w:rPr>
        <w:t>6</w:t>
      </w:r>
      <w:r w:rsidR="00D84BFF" w:rsidRPr="00A7044E">
        <w:rPr>
          <w:rFonts w:ascii="Calibri" w:hAnsi="Calibri" w:cs="Calibri"/>
          <w:b/>
          <w:bCs/>
        </w:rPr>
        <w:t xml:space="preserve"> </w:t>
      </w:r>
      <w:r w:rsidR="00514DD8" w:rsidRPr="00A7044E">
        <w:rPr>
          <w:rFonts w:ascii="Calibri" w:hAnsi="Calibri" w:cs="Calibri"/>
          <w:b/>
          <w:bCs/>
        </w:rPr>
        <w:t>tr</w:t>
      </w:r>
      <w:r w:rsidR="00D84BFF" w:rsidRPr="00A7044E">
        <w:rPr>
          <w:rFonts w:ascii="Calibri" w:hAnsi="Calibri" w:cs="Calibri"/>
          <w:b/>
          <w:bCs/>
        </w:rPr>
        <w:t>illion.</w:t>
      </w:r>
    </w:p>
    <w:p w14:paraId="27309BB0" w14:textId="1C2C7084" w:rsidR="00C6332F" w:rsidRPr="00A7044E" w:rsidRDefault="00455E2B" w:rsidP="006F0772">
      <w:pPr>
        <w:numPr>
          <w:ilvl w:val="0"/>
          <w:numId w:val="17"/>
        </w:numPr>
        <w:tabs>
          <w:tab w:val="left" w:pos="1134"/>
        </w:tabs>
        <w:bidi w:val="0"/>
        <w:spacing w:line="300" w:lineRule="exact"/>
        <w:jc w:val="both"/>
        <w:rPr>
          <w:rFonts w:ascii="Calibri" w:hAnsi="Calibri" w:cs="Calibri"/>
          <w:b/>
          <w:bCs/>
        </w:rPr>
      </w:pPr>
      <w:r w:rsidRPr="00A7044E">
        <w:rPr>
          <w:rFonts w:ascii="Calibri" w:hAnsi="Calibri" w:cs="Calibri"/>
          <w:b/>
          <w:bCs/>
        </w:rPr>
        <w:t xml:space="preserve">The </w:t>
      </w:r>
      <w:r w:rsidR="00D05DEF" w:rsidRPr="00A7044E">
        <w:rPr>
          <w:rFonts w:ascii="Calibri" w:hAnsi="Calibri" w:cs="Calibri"/>
          <w:b/>
          <w:bCs/>
        </w:rPr>
        <w:t>increase</w:t>
      </w:r>
      <w:r w:rsidR="0021612F" w:rsidRPr="00A7044E">
        <w:rPr>
          <w:rFonts w:ascii="Calibri" w:hAnsi="Calibri" w:cs="Calibri"/>
          <w:b/>
          <w:bCs/>
        </w:rPr>
        <w:t xml:space="preserve"> in the portfolio</w:t>
      </w:r>
      <w:r w:rsidR="00D05DEF" w:rsidRPr="00A7044E">
        <w:rPr>
          <w:rFonts w:ascii="Calibri" w:hAnsi="Calibri" w:cs="Calibri"/>
          <w:b/>
          <w:bCs/>
        </w:rPr>
        <w:t>’s</w:t>
      </w:r>
      <w:r w:rsidR="0021612F" w:rsidRPr="00A7044E">
        <w:rPr>
          <w:rFonts w:ascii="Calibri" w:hAnsi="Calibri" w:cs="Calibri"/>
          <w:b/>
          <w:bCs/>
        </w:rPr>
        <w:t xml:space="preserve"> value </w:t>
      </w:r>
      <w:r w:rsidRPr="00A7044E">
        <w:rPr>
          <w:rFonts w:ascii="Calibri" w:hAnsi="Calibri" w:cs="Calibri"/>
          <w:b/>
          <w:bCs/>
        </w:rPr>
        <w:t xml:space="preserve">in the </w:t>
      </w:r>
      <w:r w:rsidR="006F0772" w:rsidRPr="00A7044E">
        <w:rPr>
          <w:rFonts w:ascii="Calibri" w:hAnsi="Calibri" w:cs="Calibri"/>
          <w:b/>
          <w:bCs/>
        </w:rPr>
        <w:t>third</w:t>
      </w:r>
      <w:r w:rsidR="006B32D0" w:rsidRPr="00A7044E">
        <w:rPr>
          <w:rFonts w:ascii="Calibri" w:hAnsi="Calibri" w:cs="Calibri"/>
          <w:b/>
          <w:bCs/>
        </w:rPr>
        <w:t xml:space="preserve"> quarter</w:t>
      </w:r>
      <w:r w:rsidRPr="00A7044E">
        <w:rPr>
          <w:rFonts w:ascii="Calibri" w:hAnsi="Calibri" w:cs="Calibri"/>
          <w:b/>
          <w:bCs/>
        </w:rPr>
        <w:t xml:space="preserve"> </w:t>
      </w:r>
      <w:r w:rsidR="00B228AF" w:rsidRPr="00A7044E">
        <w:rPr>
          <w:rFonts w:ascii="Calibri" w:hAnsi="Calibri" w:cs="Calibri"/>
          <w:b/>
          <w:bCs/>
        </w:rPr>
        <w:t>was</w:t>
      </w:r>
      <w:r w:rsidR="00C25158" w:rsidRPr="00A7044E">
        <w:rPr>
          <w:rFonts w:ascii="Calibri" w:hAnsi="Calibri" w:cs="Calibri"/>
          <w:b/>
          <w:bCs/>
        </w:rPr>
        <w:t xml:space="preserve"> </w:t>
      </w:r>
      <w:r w:rsidRPr="00A7044E">
        <w:rPr>
          <w:rFonts w:ascii="Calibri" w:hAnsi="Calibri" w:cs="Calibri"/>
          <w:b/>
          <w:bCs/>
        </w:rPr>
        <w:t xml:space="preserve">mainly </w:t>
      </w:r>
      <w:r w:rsidR="00B228AF" w:rsidRPr="00A7044E">
        <w:rPr>
          <w:rFonts w:ascii="Calibri" w:hAnsi="Calibri" w:cs="Calibri"/>
          <w:b/>
          <w:bCs/>
        </w:rPr>
        <w:t xml:space="preserve">due to </w:t>
      </w:r>
      <w:r w:rsidR="00D05DEF" w:rsidRPr="00A7044E">
        <w:rPr>
          <w:rFonts w:ascii="Calibri" w:hAnsi="Calibri" w:cs="Calibri"/>
          <w:b/>
          <w:bCs/>
        </w:rPr>
        <w:t>increase</w:t>
      </w:r>
      <w:r w:rsidR="00C6332F" w:rsidRPr="00A7044E">
        <w:rPr>
          <w:rFonts w:ascii="Calibri" w:hAnsi="Calibri" w:cs="Calibri"/>
          <w:b/>
          <w:bCs/>
        </w:rPr>
        <w:t xml:space="preserve">s </w:t>
      </w:r>
      <w:r w:rsidR="00BF5352" w:rsidRPr="00A7044E">
        <w:rPr>
          <w:rFonts w:ascii="Calibri" w:hAnsi="Calibri" w:cs="Calibri"/>
          <w:b/>
          <w:bCs/>
        </w:rPr>
        <w:t>in the ba</w:t>
      </w:r>
      <w:r w:rsidR="00C6332F" w:rsidRPr="00A7044E">
        <w:rPr>
          <w:rFonts w:ascii="Calibri" w:hAnsi="Calibri" w:cs="Calibri"/>
          <w:b/>
          <w:bCs/>
        </w:rPr>
        <w:t xml:space="preserve">lance of </w:t>
      </w:r>
      <w:r w:rsidR="006F0772" w:rsidRPr="00A7044E">
        <w:rPr>
          <w:rFonts w:ascii="Calibri" w:hAnsi="Calibri" w:cs="Calibri"/>
          <w:b/>
          <w:bCs/>
        </w:rPr>
        <w:t>equities in Israel</w:t>
      </w:r>
      <w:r w:rsidR="00C6332F" w:rsidRPr="00A7044E">
        <w:rPr>
          <w:rFonts w:ascii="Calibri" w:hAnsi="Calibri" w:cs="Calibri"/>
          <w:b/>
          <w:bCs/>
        </w:rPr>
        <w:t xml:space="preserve"> (</w:t>
      </w:r>
      <w:r w:rsidR="006F0772" w:rsidRPr="00A7044E">
        <w:rPr>
          <w:rFonts w:ascii="Calibri" w:hAnsi="Calibri" w:cs="Calibri"/>
          <w:b/>
          <w:bCs/>
        </w:rPr>
        <w:t>10.5</w:t>
      </w:r>
      <w:r w:rsidR="00BF5352" w:rsidRPr="00A7044E">
        <w:rPr>
          <w:rFonts w:ascii="Calibri" w:hAnsi="Calibri" w:cs="Calibri"/>
          <w:b/>
          <w:bCs/>
        </w:rPr>
        <w:t xml:space="preserve"> percent), </w:t>
      </w:r>
      <w:r w:rsidR="00AC1871" w:rsidRPr="00A7044E">
        <w:rPr>
          <w:rFonts w:ascii="Calibri" w:hAnsi="Calibri" w:cs="Calibri"/>
          <w:b/>
          <w:bCs/>
        </w:rPr>
        <w:t xml:space="preserve">and in the balance of </w:t>
      </w:r>
      <w:r w:rsidR="006F0772" w:rsidRPr="00A7044E">
        <w:rPr>
          <w:rFonts w:ascii="Calibri" w:hAnsi="Calibri" w:cs="Calibri"/>
          <w:b/>
          <w:bCs/>
        </w:rPr>
        <w:t>corporate</w:t>
      </w:r>
      <w:r w:rsidR="00AC1871" w:rsidRPr="00A7044E">
        <w:rPr>
          <w:rFonts w:ascii="Calibri" w:hAnsi="Calibri" w:cs="Calibri"/>
          <w:b/>
          <w:bCs/>
        </w:rPr>
        <w:t xml:space="preserve"> bonds</w:t>
      </w:r>
      <w:r w:rsidR="00AC1871" w:rsidRPr="00A7044E">
        <w:rPr>
          <w:rFonts w:ascii="Calibri" w:hAnsi="Calibri" w:cs="Calibri"/>
          <w:b/>
          <w:bCs/>
          <w:i/>
          <w:iCs/>
        </w:rPr>
        <w:t xml:space="preserve"> </w:t>
      </w:r>
      <w:r w:rsidR="00AC1871" w:rsidRPr="00A7044E">
        <w:rPr>
          <w:rFonts w:ascii="Calibri" w:hAnsi="Calibri" w:cs="Calibri"/>
          <w:b/>
          <w:bCs/>
        </w:rPr>
        <w:t xml:space="preserve">(5 percent).  </w:t>
      </w:r>
    </w:p>
    <w:p w14:paraId="2F871BEC" w14:textId="06B7E739" w:rsidR="00365255" w:rsidRPr="00A7044E" w:rsidRDefault="00077422" w:rsidP="006F0772">
      <w:pPr>
        <w:numPr>
          <w:ilvl w:val="0"/>
          <w:numId w:val="17"/>
        </w:numPr>
        <w:tabs>
          <w:tab w:val="left" w:pos="1134"/>
        </w:tabs>
        <w:bidi w:val="0"/>
        <w:spacing w:line="300" w:lineRule="exact"/>
        <w:jc w:val="both"/>
        <w:rPr>
          <w:rFonts w:ascii="Calibri" w:hAnsi="Calibri" w:cs="Calibri"/>
          <w:b/>
          <w:bCs/>
        </w:rPr>
      </w:pPr>
      <w:r w:rsidRPr="00A7044E">
        <w:rPr>
          <w:rFonts w:ascii="Calibri" w:hAnsi="Calibri" w:cs="Calibri"/>
          <w:b/>
          <w:bCs/>
        </w:rPr>
        <w:t xml:space="preserve">The </w:t>
      </w:r>
      <w:r w:rsidR="004E3447" w:rsidRPr="00A7044E">
        <w:rPr>
          <w:rFonts w:ascii="Calibri" w:hAnsi="Calibri" w:cs="Calibri"/>
          <w:b/>
          <w:bCs/>
        </w:rPr>
        <w:t xml:space="preserve">balance of the asset portfolio managed by institutional investors </w:t>
      </w:r>
      <w:r w:rsidR="006540B7" w:rsidRPr="00A7044E">
        <w:rPr>
          <w:rFonts w:ascii="Calibri" w:hAnsi="Calibri" w:cs="Calibri"/>
          <w:b/>
          <w:bCs/>
        </w:rPr>
        <w:t xml:space="preserve">increased </w:t>
      </w:r>
      <w:r w:rsidRPr="00A7044E">
        <w:rPr>
          <w:rFonts w:ascii="Calibri" w:hAnsi="Calibri" w:cs="Calibri"/>
          <w:b/>
          <w:bCs/>
        </w:rPr>
        <w:t xml:space="preserve">in the </w:t>
      </w:r>
      <w:r w:rsidR="006F0772" w:rsidRPr="00A7044E">
        <w:rPr>
          <w:rFonts w:ascii="Calibri" w:hAnsi="Calibri" w:cs="Calibri"/>
          <w:b/>
          <w:bCs/>
        </w:rPr>
        <w:t>third</w:t>
      </w:r>
      <w:r w:rsidR="006B32D0" w:rsidRPr="00A7044E">
        <w:rPr>
          <w:rFonts w:ascii="Calibri" w:hAnsi="Calibri" w:cs="Calibri"/>
          <w:b/>
          <w:bCs/>
        </w:rPr>
        <w:t xml:space="preserve"> quarter</w:t>
      </w:r>
      <w:r w:rsidRPr="00A7044E">
        <w:rPr>
          <w:rFonts w:ascii="Calibri" w:hAnsi="Calibri" w:cs="Calibri"/>
          <w:b/>
          <w:bCs/>
        </w:rPr>
        <w:t xml:space="preserve"> by approximately NIS </w:t>
      </w:r>
      <w:r w:rsidR="006F0772" w:rsidRPr="00A7044E">
        <w:rPr>
          <w:rFonts w:ascii="Calibri" w:hAnsi="Calibri" w:cs="Calibri"/>
          <w:b/>
          <w:bCs/>
        </w:rPr>
        <w:t>114</w:t>
      </w:r>
      <w:r w:rsidR="00664042" w:rsidRPr="00A7044E">
        <w:rPr>
          <w:rFonts w:ascii="Calibri" w:hAnsi="Calibri" w:cs="Calibri"/>
          <w:b/>
          <w:bCs/>
        </w:rPr>
        <w:t xml:space="preserve"> </w:t>
      </w:r>
      <w:r w:rsidRPr="00A7044E">
        <w:rPr>
          <w:rFonts w:ascii="Calibri" w:hAnsi="Calibri" w:cs="Calibri"/>
          <w:b/>
          <w:bCs/>
        </w:rPr>
        <w:t>billion (</w:t>
      </w:r>
      <w:r w:rsidR="006F0772" w:rsidRPr="00A7044E">
        <w:rPr>
          <w:rFonts w:ascii="Calibri" w:hAnsi="Calibri" w:cs="Calibri"/>
          <w:b/>
          <w:bCs/>
        </w:rPr>
        <w:t>4.3</w:t>
      </w:r>
      <w:r w:rsidR="00BF5352" w:rsidRPr="00A7044E">
        <w:rPr>
          <w:rFonts w:ascii="Calibri" w:hAnsi="Calibri" w:cs="Calibri"/>
          <w:b/>
          <w:bCs/>
        </w:rPr>
        <w:t xml:space="preserve"> </w:t>
      </w:r>
      <w:r w:rsidR="00664042" w:rsidRPr="00A7044E">
        <w:rPr>
          <w:rFonts w:ascii="Calibri" w:hAnsi="Calibri" w:cs="Calibri"/>
          <w:b/>
          <w:bCs/>
        </w:rPr>
        <w:t>p</w:t>
      </w:r>
      <w:r w:rsidRPr="00A7044E">
        <w:rPr>
          <w:rFonts w:ascii="Calibri" w:hAnsi="Calibri" w:cs="Calibri"/>
          <w:b/>
          <w:bCs/>
        </w:rPr>
        <w:t xml:space="preserve">ercent), to NIS </w:t>
      </w:r>
      <w:r w:rsidR="00AA4DFA" w:rsidRPr="00A7044E">
        <w:rPr>
          <w:rFonts w:ascii="Calibri" w:hAnsi="Calibri" w:cs="Calibri"/>
          <w:b/>
          <w:bCs/>
        </w:rPr>
        <w:t>2</w:t>
      </w:r>
      <w:r w:rsidR="00455E2B" w:rsidRPr="00A7044E">
        <w:rPr>
          <w:rFonts w:ascii="Calibri" w:hAnsi="Calibri" w:cs="Calibri"/>
          <w:b/>
          <w:bCs/>
        </w:rPr>
        <w:t>.</w:t>
      </w:r>
      <w:r w:rsidR="006F0772" w:rsidRPr="00A7044E">
        <w:rPr>
          <w:rFonts w:ascii="Calibri" w:hAnsi="Calibri" w:cs="Calibri"/>
          <w:b/>
          <w:bCs/>
        </w:rPr>
        <w:t>77</w:t>
      </w:r>
      <w:r w:rsidR="00AA4DFA" w:rsidRPr="00A7044E">
        <w:rPr>
          <w:rFonts w:ascii="Calibri" w:hAnsi="Calibri" w:cs="Calibri"/>
          <w:b/>
          <w:bCs/>
        </w:rPr>
        <w:t xml:space="preserve"> </w:t>
      </w:r>
      <w:r w:rsidRPr="00A7044E">
        <w:rPr>
          <w:rFonts w:ascii="Calibri" w:hAnsi="Calibri" w:cs="Calibri"/>
          <w:b/>
          <w:bCs/>
        </w:rPr>
        <w:t>trillion</w:t>
      </w:r>
      <w:r w:rsidR="00002378" w:rsidRPr="00A7044E">
        <w:rPr>
          <w:rFonts w:ascii="Calibri" w:hAnsi="Calibri" w:cs="Calibri"/>
          <w:b/>
          <w:bCs/>
        </w:rPr>
        <w:t xml:space="preserve"> at the end of the quarter</w:t>
      </w:r>
      <w:r w:rsidRPr="00A7044E">
        <w:rPr>
          <w:rFonts w:ascii="Calibri" w:hAnsi="Calibri" w:cs="Calibri"/>
          <w:b/>
          <w:bCs/>
        </w:rPr>
        <w:t>.</w:t>
      </w:r>
    </w:p>
    <w:p w14:paraId="318EB082" w14:textId="3FCAB4E8" w:rsidR="00365255" w:rsidRPr="00A7044E" w:rsidRDefault="00012BEC" w:rsidP="006F0772">
      <w:pPr>
        <w:numPr>
          <w:ilvl w:val="0"/>
          <w:numId w:val="17"/>
        </w:numPr>
        <w:bidi w:val="0"/>
        <w:spacing w:line="300" w:lineRule="exact"/>
        <w:jc w:val="both"/>
        <w:rPr>
          <w:rFonts w:ascii="Calibri" w:hAnsi="Calibri" w:cs="Calibri"/>
          <w:b/>
          <w:bCs/>
        </w:rPr>
      </w:pPr>
      <w:r w:rsidRPr="00A7044E">
        <w:rPr>
          <w:rFonts w:ascii="Calibri" w:hAnsi="Calibri" w:cs="Calibri"/>
          <w:b/>
          <w:bCs/>
        </w:rPr>
        <w:t xml:space="preserve">Institutional investors’ rate of exposure to </w:t>
      </w:r>
      <w:r w:rsidR="00FD2F3E" w:rsidRPr="00A7044E">
        <w:rPr>
          <w:rFonts w:ascii="Calibri" w:hAnsi="Calibri" w:cs="Calibri"/>
          <w:b/>
          <w:bCs/>
        </w:rPr>
        <w:t xml:space="preserve">foreign </w:t>
      </w:r>
      <w:r w:rsidR="004B301C" w:rsidRPr="00A7044E">
        <w:rPr>
          <w:rFonts w:ascii="Calibri" w:hAnsi="Calibri" w:cs="Calibri"/>
          <w:b/>
          <w:bCs/>
        </w:rPr>
        <w:t xml:space="preserve">assets </w:t>
      </w:r>
      <w:r w:rsidR="006F0772" w:rsidRPr="00A7044E">
        <w:rPr>
          <w:rFonts w:ascii="Calibri" w:hAnsi="Calibri" w:cs="Calibri"/>
          <w:b/>
          <w:bCs/>
        </w:rPr>
        <w:t xml:space="preserve">declined </w:t>
      </w:r>
      <w:r w:rsidR="0082518A" w:rsidRPr="00A7044E">
        <w:rPr>
          <w:rFonts w:ascii="Calibri" w:hAnsi="Calibri" w:cs="Calibri"/>
          <w:b/>
          <w:bCs/>
        </w:rPr>
        <w:t xml:space="preserve">by </w:t>
      </w:r>
      <w:r w:rsidR="00AC1871" w:rsidRPr="00A7044E">
        <w:rPr>
          <w:rFonts w:ascii="Calibri" w:hAnsi="Calibri" w:cs="Calibri"/>
          <w:b/>
          <w:bCs/>
        </w:rPr>
        <w:t xml:space="preserve">about </w:t>
      </w:r>
      <w:r w:rsidR="006F0772" w:rsidRPr="00A7044E">
        <w:rPr>
          <w:rFonts w:ascii="Calibri" w:hAnsi="Calibri" w:cs="Calibri"/>
          <w:b/>
          <w:bCs/>
        </w:rPr>
        <w:t>0</w:t>
      </w:r>
      <w:r w:rsidR="00AC1871" w:rsidRPr="00A7044E">
        <w:rPr>
          <w:rFonts w:ascii="Calibri" w:hAnsi="Calibri" w:cs="Calibri"/>
          <w:b/>
          <w:bCs/>
        </w:rPr>
        <w:t>.3</w:t>
      </w:r>
      <w:r w:rsidR="004B301C" w:rsidRPr="00A7044E">
        <w:rPr>
          <w:rFonts w:ascii="Calibri" w:hAnsi="Calibri" w:cs="Calibri"/>
          <w:b/>
          <w:bCs/>
        </w:rPr>
        <w:t xml:space="preserve"> </w:t>
      </w:r>
      <w:r w:rsidR="0082518A" w:rsidRPr="00A7044E">
        <w:rPr>
          <w:rFonts w:ascii="Calibri" w:hAnsi="Calibri" w:cs="Calibri"/>
          <w:b/>
          <w:bCs/>
        </w:rPr>
        <w:t>percentage points</w:t>
      </w:r>
      <w:r w:rsidR="00FD2F3E" w:rsidRPr="00A7044E">
        <w:rPr>
          <w:rFonts w:ascii="Calibri" w:hAnsi="Calibri" w:cs="Calibri"/>
          <w:b/>
          <w:bCs/>
        </w:rPr>
        <w:t xml:space="preserve"> to </w:t>
      </w:r>
      <w:r w:rsidR="00E27A87" w:rsidRPr="00A7044E">
        <w:rPr>
          <w:rFonts w:ascii="Calibri" w:hAnsi="Calibri" w:cs="Calibri"/>
          <w:b/>
          <w:bCs/>
        </w:rPr>
        <w:t>approximately</w:t>
      </w:r>
      <w:r w:rsidR="00FD2F3E" w:rsidRPr="00A7044E">
        <w:rPr>
          <w:rFonts w:ascii="Calibri" w:hAnsi="Calibri" w:cs="Calibri"/>
          <w:b/>
          <w:bCs/>
        </w:rPr>
        <w:t xml:space="preserve"> 4</w:t>
      </w:r>
      <w:r w:rsidR="006F0772" w:rsidRPr="00A7044E">
        <w:rPr>
          <w:rFonts w:ascii="Calibri" w:hAnsi="Calibri" w:cs="Calibri"/>
          <w:b/>
          <w:bCs/>
        </w:rPr>
        <w:t>6.</w:t>
      </w:r>
      <w:r w:rsidR="00AC1871" w:rsidRPr="00A7044E">
        <w:rPr>
          <w:rFonts w:ascii="Calibri" w:hAnsi="Calibri" w:cs="Calibri"/>
          <w:b/>
          <w:bCs/>
        </w:rPr>
        <w:t>7</w:t>
      </w:r>
      <w:r w:rsidR="00FD2F3E" w:rsidRPr="00A7044E">
        <w:rPr>
          <w:rFonts w:ascii="Calibri" w:hAnsi="Calibri" w:cs="Calibri"/>
          <w:b/>
          <w:bCs/>
        </w:rPr>
        <w:t xml:space="preserve"> percent</w:t>
      </w:r>
      <w:r w:rsidR="006F0772" w:rsidRPr="00A7044E">
        <w:rPr>
          <w:rFonts w:ascii="Calibri" w:hAnsi="Calibri" w:cs="Calibri"/>
          <w:b/>
          <w:bCs/>
        </w:rPr>
        <w:t xml:space="preserve">, and their rate of exposure to foreign currency increased by about 0.5 percentage points to about 24.1 percent </w:t>
      </w:r>
      <w:r w:rsidR="0082518A" w:rsidRPr="00A7044E">
        <w:rPr>
          <w:rFonts w:ascii="Calibri" w:hAnsi="Calibri" w:cs="Calibri"/>
          <w:b/>
          <w:bCs/>
        </w:rPr>
        <w:t>at the end of the quarter</w:t>
      </w:r>
      <w:r w:rsidR="00FD2F3E" w:rsidRPr="00A7044E">
        <w:rPr>
          <w:rFonts w:ascii="Calibri" w:hAnsi="Calibri" w:cs="Calibri"/>
          <w:b/>
          <w:bCs/>
        </w:rPr>
        <w:t>.</w:t>
      </w:r>
    </w:p>
    <w:p w14:paraId="5908F506" w14:textId="0380E490" w:rsidR="00D52D0D" w:rsidRPr="00A7044E" w:rsidRDefault="00365255" w:rsidP="006F0772">
      <w:pPr>
        <w:numPr>
          <w:ilvl w:val="0"/>
          <w:numId w:val="17"/>
        </w:numPr>
        <w:bidi w:val="0"/>
        <w:spacing w:line="300" w:lineRule="exact"/>
        <w:jc w:val="both"/>
        <w:rPr>
          <w:rFonts w:ascii="Calibri" w:hAnsi="Calibri" w:cs="Calibri"/>
          <w:b/>
          <w:bCs/>
        </w:rPr>
      </w:pPr>
      <w:r w:rsidRPr="00A7044E">
        <w:rPr>
          <w:rFonts w:ascii="Calibri" w:hAnsi="Calibri" w:cs="Calibri"/>
          <w:b/>
          <w:bCs/>
        </w:rPr>
        <w:t xml:space="preserve">The value of the portfolio managed by mutual funds </w:t>
      </w:r>
      <w:r w:rsidR="006B2627" w:rsidRPr="00A7044E">
        <w:rPr>
          <w:rFonts w:ascii="Calibri" w:hAnsi="Calibri" w:cs="Calibri"/>
          <w:b/>
          <w:bCs/>
        </w:rPr>
        <w:t xml:space="preserve">in Israel </w:t>
      </w:r>
      <w:r w:rsidR="005E4CF0" w:rsidRPr="00A7044E">
        <w:rPr>
          <w:rFonts w:ascii="Calibri" w:hAnsi="Calibri" w:cs="Calibri"/>
          <w:b/>
          <w:bCs/>
        </w:rPr>
        <w:t>increased</w:t>
      </w:r>
      <w:r w:rsidR="00073A52" w:rsidRPr="00A7044E">
        <w:rPr>
          <w:rFonts w:ascii="Calibri" w:hAnsi="Calibri" w:cs="Calibri"/>
          <w:b/>
          <w:bCs/>
        </w:rPr>
        <w:t xml:space="preserve"> by </w:t>
      </w:r>
      <w:r w:rsidR="00E27A87" w:rsidRPr="00A7044E">
        <w:rPr>
          <w:rFonts w:ascii="Calibri" w:hAnsi="Calibri" w:cs="Calibri"/>
          <w:b/>
          <w:bCs/>
        </w:rPr>
        <w:t>approximately</w:t>
      </w:r>
      <w:r w:rsidR="000D28C8" w:rsidRPr="00A7044E">
        <w:rPr>
          <w:rFonts w:ascii="Calibri" w:hAnsi="Calibri" w:cs="Calibri"/>
          <w:b/>
          <w:bCs/>
        </w:rPr>
        <w:t xml:space="preserve"> </w:t>
      </w:r>
      <w:r w:rsidR="00073A52" w:rsidRPr="00A7044E">
        <w:rPr>
          <w:rFonts w:ascii="Calibri" w:hAnsi="Calibri" w:cs="Calibri"/>
          <w:b/>
          <w:bCs/>
        </w:rPr>
        <w:t xml:space="preserve">NIS </w:t>
      </w:r>
      <w:r w:rsidR="006F0772" w:rsidRPr="00A7044E">
        <w:rPr>
          <w:rFonts w:ascii="Calibri" w:hAnsi="Calibri" w:cs="Calibri"/>
          <w:b/>
          <w:bCs/>
        </w:rPr>
        <w:t>39.6</w:t>
      </w:r>
      <w:r w:rsidR="000D28C8" w:rsidRPr="00A7044E">
        <w:rPr>
          <w:rFonts w:ascii="Calibri" w:hAnsi="Calibri" w:cs="Calibri"/>
          <w:b/>
          <w:bCs/>
        </w:rPr>
        <w:t xml:space="preserve"> </w:t>
      </w:r>
      <w:r w:rsidRPr="00A7044E">
        <w:rPr>
          <w:rFonts w:ascii="Calibri" w:hAnsi="Calibri" w:cs="Calibri"/>
          <w:b/>
          <w:bCs/>
        </w:rPr>
        <w:t>billion</w:t>
      </w:r>
      <w:r w:rsidR="00A33B68" w:rsidRPr="00A7044E">
        <w:rPr>
          <w:rFonts w:ascii="Calibri" w:hAnsi="Calibri" w:cs="Calibri"/>
          <w:b/>
          <w:bCs/>
        </w:rPr>
        <w:t xml:space="preserve"> (</w:t>
      </w:r>
      <w:r w:rsidR="006F0772" w:rsidRPr="00A7044E">
        <w:rPr>
          <w:rFonts w:ascii="Calibri" w:hAnsi="Calibri" w:cs="Calibri"/>
          <w:b/>
          <w:bCs/>
        </w:rPr>
        <w:t>7.6</w:t>
      </w:r>
      <w:r w:rsidR="000D28C8" w:rsidRPr="00A7044E">
        <w:rPr>
          <w:rFonts w:ascii="Calibri" w:hAnsi="Calibri" w:cs="Calibri"/>
          <w:b/>
          <w:bCs/>
        </w:rPr>
        <w:t xml:space="preserve"> </w:t>
      </w:r>
      <w:r w:rsidR="00A33B68" w:rsidRPr="00A7044E">
        <w:rPr>
          <w:rFonts w:ascii="Calibri" w:hAnsi="Calibri" w:cs="Calibri"/>
          <w:b/>
          <w:bCs/>
        </w:rPr>
        <w:t>percent)</w:t>
      </w:r>
      <w:r w:rsidRPr="00A7044E">
        <w:rPr>
          <w:rFonts w:ascii="Calibri" w:hAnsi="Calibri" w:cs="Calibri"/>
          <w:b/>
          <w:bCs/>
        </w:rPr>
        <w:t xml:space="preserve"> in the </w:t>
      </w:r>
      <w:r w:rsidR="006F0772" w:rsidRPr="00A7044E">
        <w:rPr>
          <w:rFonts w:ascii="Calibri" w:hAnsi="Calibri" w:cs="Calibri"/>
          <w:b/>
          <w:bCs/>
        </w:rPr>
        <w:t>third</w:t>
      </w:r>
      <w:r w:rsidR="006B32D0" w:rsidRPr="00A7044E">
        <w:rPr>
          <w:rFonts w:ascii="Calibri" w:hAnsi="Calibri" w:cs="Calibri"/>
          <w:b/>
          <w:bCs/>
        </w:rPr>
        <w:t xml:space="preserve"> quarter</w:t>
      </w:r>
      <w:r w:rsidR="00CB598D" w:rsidRPr="00A7044E">
        <w:rPr>
          <w:rFonts w:ascii="Calibri" w:hAnsi="Calibri" w:cs="Calibri"/>
          <w:b/>
          <w:bCs/>
        </w:rPr>
        <w:t xml:space="preserve">, </w:t>
      </w:r>
      <w:r w:rsidR="0099474B" w:rsidRPr="00A7044E">
        <w:rPr>
          <w:rFonts w:ascii="Calibri" w:hAnsi="Calibri" w:cs="Calibri"/>
          <w:b/>
          <w:bCs/>
        </w:rPr>
        <w:t>to</w:t>
      </w:r>
      <w:r w:rsidR="00CB598D" w:rsidRPr="00A7044E">
        <w:rPr>
          <w:rFonts w:ascii="Calibri" w:hAnsi="Calibri" w:cs="Calibri"/>
          <w:b/>
          <w:bCs/>
        </w:rPr>
        <w:t xml:space="preserve"> NIS </w:t>
      </w:r>
      <w:r w:rsidR="00AC1871" w:rsidRPr="00A7044E">
        <w:rPr>
          <w:rFonts w:ascii="Calibri" w:hAnsi="Calibri" w:cs="Calibri"/>
          <w:b/>
          <w:bCs/>
        </w:rPr>
        <w:t>5</w:t>
      </w:r>
      <w:r w:rsidR="006F0772" w:rsidRPr="00A7044E">
        <w:rPr>
          <w:rFonts w:ascii="Calibri" w:hAnsi="Calibri" w:cs="Calibri"/>
          <w:b/>
          <w:bCs/>
        </w:rPr>
        <w:t>57</w:t>
      </w:r>
      <w:r w:rsidR="00AC1871" w:rsidRPr="00A7044E">
        <w:rPr>
          <w:rFonts w:ascii="Calibri" w:hAnsi="Calibri" w:cs="Calibri"/>
          <w:b/>
          <w:bCs/>
        </w:rPr>
        <w:t>.</w:t>
      </w:r>
      <w:r w:rsidR="006F0772" w:rsidRPr="00A7044E">
        <w:rPr>
          <w:rFonts w:ascii="Calibri" w:hAnsi="Calibri" w:cs="Calibri"/>
          <w:b/>
          <w:bCs/>
        </w:rPr>
        <w:t>8</w:t>
      </w:r>
      <w:r w:rsidR="000D28C8" w:rsidRPr="00A7044E">
        <w:rPr>
          <w:rFonts w:ascii="Calibri" w:hAnsi="Calibri" w:cs="Calibri"/>
          <w:b/>
          <w:bCs/>
        </w:rPr>
        <w:t xml:space="preserve"> </w:t>
      </w:r>
      <w:r w:rsidR="00CB598D" w:rsidRPr="00A7044E">
        <w:rPr>
          <w:rFonts w:ascii="Calibri" w:hAnsi="Calibri" w:cs="Calibri"/>
          <w:b/>
          <w:bCs/>
        </w:rPr>
        <w:t>billion</w:t>
      </w:r>
      <w:r w:rsidR="00AA2086" w:rsidRPr="00A7044E">
        <w:rPr>
          <w:rFonts w:ascii="Calibri" w:hAnsi="Calibri" w:cs="Calibri"/>
          <w:b/>
          <w:bCs/>
        </w:rPr>
        <w:t>.</w:t>
      </w:r>
      <w:r w:rsidR="00B228AF" w:rsidRPr="00A7044E">
        <w:rPr>
          <w:rFonts w:ascii="Calibri" w:hAnsi="Calibri" w:cs="Calibri"/>
          <w:b/>
          <w:bCs/>
        </w:rPr>
        <w:t xml:space="preserve"> </w:t>
      </w:r>
      <w:r w:rsidR="000D28C8" w:rsidRPr="00A7044E">
        <w:rPr>
          <w:rFonts w:ascii="Calibri" w:hAnsi="Calibri" w:cs="Calibri"/>
          <w:b/>
          <w:bCs/>
        </w:rPr>
        <w:t xml:space="preserve">There were net </w:t>
      </w:r>
      <w:r w:rsidR="00A6739D" w:rsidRPr="00A7044E">
        <w:rPr>
          <w:rFonts w:ascii="Calibri" w:hAnsi="Calibri" w:cs="Calibri"/>
          <w:b/>
          <w:bCs/>
        </w:rPr>
        <w:t>new investment</w:t>
      </w:r>
      <w:r w:rsidR="0030109B" w:rsidRPr="00A7044E">
        <w:rPr>
          <w:rFonts w:ascii="Calibri" w:hAnsi="Calibri" w:cs="Calibri"/>
          <w:b/>
          <w:bCs/>
        </w:rPr>
        <w:t>s</w:t>
      </w:r>
      <w:r w:rsidR="004D2C0E" w:rsidRPr="00A7044E">
        <w:rPr>
          <w:rFonts w:ascii="Calibri" w:hAnsi="Calibri" w:cs="Calibri"/>
          <w:b/>
          <w:bCs/>
        </w:rPr>
        <w:t xml:space="preserve">, </w:t>
      </w:r>
      <w:r w:rsidR="00B228AF" w:rsidRPr="00A7044E">
        <w:rPr>
          <w:rFonts w:ascii="Calibri" w:hAnsi="Calibri" w:cs="Calibri"/>
          <w:b/>
          <w:bCs/>
        </w:rPr>
        <w:t xml:space="preserve">mainly </w:t>
      </w:r>
      <w:r w:rsidR="004D2C0E" w:rsidRPr="00A7044E">
        <w:rPr>
          <w:rFonts w:ascii="Calibri" w:hAnsi="Calibri" w:cs="Calibri"/>
          <w:b/>
          <w:bCs/>
        </w:rPr>
        <w:t>in funds specializing in foreign equities</w:t>
      </w:r>
      <w:r w:rsidR="004D0393" w:rsidRPr="00A7044E">
        <w:rPr>
          <w:rFonts w:ascii="Calibri" w:hAnsi="Calibri" w:cs="Calibri"/>
          <w:b/>
          <w:bCs/>
        </w:rPr>
        <w:t xml:space="preserve"> and in shekel money market funds</w:t>
      </w:r>
      <w:r w:rsidR="00A6739D" w:rsidRPr="00A7044E">
        <w:rPr>
          <w:rFonts w:ascii="Calibri" w:hAnsi="Calibri" w:cs="Calibri"/>
          <w:b/>
          <w:bCs/>
        </w:rPr>
        <w:t>.</w:t>
      </w:r>
    </w:p>
    <w:p w14:paraId="5DFE35C9" w14:textId="77777777" w:rsidR="00AA2086" w:rsidRPr="00A7044E" w:rsidRDefault="00AA2086" w:rsidP="00AA2086">
      <w:pPr>
        <w:bidi w:val="0"/>
        <w:spacing w:line="300" w:lineRule="exact"/>
        <w:jc w:val="both"/>
        <w:rPr>
          <w:rFonts w:ascii="Calibri" w:hAnsi="Calibri" w:cs="Calibri"/>
          <w:b/>
          <w:bCs/>
        </w:rPr>
      </w:pPr>
    </w:p>
    <w:p w14:paraId="47ACBF5F" w14:textId="133F31A5" w:rsidR="00E9221B" w:rsidRPr="00A7044E" w:rsidRDefault="00E9221B" w:rsidP="00B228AF">
      <w:pPr>
        <w:pStyle w:val="1"/>
        <w:jc w:val="left"/>
        <w:rPr>
          <w:rFonts w:ascii="Calibri" w:hAnsi="Calibri" w:cs="Calibri"/>
        </w:rPr>
      </w:pPr>
      <w:r w:rsidRPr="00A7044E">
        <w:rPr>
          <w:rFonts w:ascii="Calibri" w:hAnsi="Calibri" w:cs="Calibri"/>
        </w:rPr>
        <w:t xml:space="preserve">1. The </w:t>
      </w:r>
      <w:r w:rsidR="00B228AF" w:rsidRPr="00A7044E">
        <w:rPr>
          <w:rFonts w:ascii="Calibri" w:hAnsi="Calibri" w:cs="Calibri"/>
        </w:rPr>
        <w:t xml:space="preserve">public’s </w:t>
      </w:r>
      <w:r w:rsidRPr="00A7044E">
        <w:rPr>
          <w:rFonts w:ascii="Calibri" w:hAnsi="Calibri" w:cs="Calibri"/>
        </w:rPr>
        <w:t>total assets portfolio</w:t>
      </w:r>
    </w:p>
    <w:p w14:paraId="110E3736" w14:textId="77777777" w:rsidR="00D223DE" w:rsidRPr="00A7044E" w:rsidRDefault="00D223DE" w:rsidP="00E93313">
      <w:pPr>
        <w:tabs>
          <w:tab w:val="left" w:pos="1134"/>
        </w:tabs>
        <w:bidi w:val="0"/>
        <w:spacing w:line="300" w:lineRule="exact"/>
        <w:jc w:val="both"/>
        <w:rPr>
          <w:rFonts w:ascii="Calibri" w:hAnsi="Calibri" w:cs="Calibri"/>
          <w:b/>
          <w:bCs/>
        </w:rPr>
      </w:pPr>
    </w:p>
    <w:p w14:paraId="02479FBB" w14:textId="523426D7" w:rsidR="00633277" w:rsidRPr="00A7044E" w:rsidRDefault="003A5B8D" w:rsidP="00830B7A">
      <w:pPr>
        <w:tabs>
          <w:tab w:val="left" w:pos="1134"/>
        </w:tabs>
        <w:bidi w:val="0"/>
        <w:spacing w:line="300" w:lineRule="exact"/>
        <w:jc w:val="both"/>
        <w:rPr>
          <w:rFonts w:ascii="Calibri" w:hAnsi="Calibri" w:cs="Calibri"/>
        </w:rPr>
      </w:pPr>
      <w:r w:rsidRPr="00A7044E">
        <w:rPr>
          <w:rFonts w:ascii="Calibri" w:hAnsi="Calibri" w:cs="Calibri"/>
          <w:b/>
          <w:bCs/>
        </w:rPr>
        <w:t xml:space="preserve">In the </w:t>
      </w:r>
      <w:r w:rsidR="006F0772" w:rsidRPr="00A7044E">
        <w:rPr>
          <w:rFonts w:ascii="Calibri" w:hAnsi="Calibri" w:cs="Calibri"/>
          <w:b/>
          <w:bCs/>
        </w:rPr>
        <w:t>third</w:t>
      </w:r>
      <w:r w:rsidR="006B32D0" w:rsidRPr="00A7044E">
        <w:rPr>
          <w:rFonts w:ascii="Calibri" w:hAnsi="Calibri" w:cs="Calibri"/>
          <w:b/>
          <w:bCs/>
        </w:rPr>
        <w:t xml:space="preserve"> quarter</w:t>
      </w:r>
      <w:r w:rsidRPr="00A7044E">
        <w:rPr>
          <w:rFonts w:ascii="Calibri" w:hAnsi="Calibri" w:cs="Calibri"/>
          <w:b/>
          <w:bCs/>
        </w:rPr>
        <w:t xml:space="preserve"> of </w:t>
      </w:r>
      <w:r w:rsidR="003316A5" w:rsidRPr="00A7044E">
        <w:rPr>
          <w:rFonts w:ascii="Calibri" w:hAnsi="Calibri" w:cs="Calibri"/>
          <w:b/>
          <w:bCs/>
        </w:rPr>
        <w:t>2024</w:t>
      </w:r>
      <w:r w:rsidRPr="00A7044E">
        <w:rPr>
          <w:rFonts w:ascii="Calibri" w:hAnsi="Calibri" w:cs="Calibri"/>
          <w:b/>
          <w:bCs/>
        </w:rPr>
        <w:t xml:space="preserve">, </w:t>
      </w:r>
      <w:r w:rsidR="005A43E3" w:rsidRPr="00A7044E">
        <w:rPr>
          <w:rFonts w:ascii="Calibri" w:hAnsi="Calibri" w:cs="Calibri"/>
        </w:rPr>
        <w:t xml:space="preserve">the balance of the public’s financial assets portfolio </w:t>
      </w:r>
      <w:r w:rsidR="00E2788C" w:rsidRPr="00A7044E">
        <w:rPr>
          <w:rFonts w:ascii="Calibri" w:hAnsi="Calibri" w:cs="Calibri"/>
        </w:rPr>
        <w:t>increas</w:t>
      </w:r>
      <w:r w:rsidR="00D223DE" w:rsidRPr="00A7044E">
        <w:rPr>
          <w:rFonts w:ascii="Calibri" w:hAnsi="Calibri" w:cs="Calibri"/>
        </w:rPr>
        <w:t>ed</w:t>
      </w:r>
      <w:r w:rsidR="001D680D" w:rsidRPr="00A7044E">
        <w:rPr>
          <w:rFonts w:ascii="Calibri" w:hAnsi="Calibri" w:cs="Calibri"/>
        </w:rPr>
        <w:t xml:space="preserve"> </w:t>
      </w:r>
      <w:r w:rsidR="005A43E3" w:rsidRPr="00A7044E">
        <w:rPr>
          <w:rFonts w:ascii="Calibri" w:hAnsi="Calibri" w:cs="Calibri"/>
        </w:rPr>
        <w:t xml:space="preserve">by </w:t>
      </w:r>
      <w:r w:rsidR="00E93313" w:rsidRPr="00A7044E">
        <w:rPr>
          <w:rFonts w:ascii="Calibri" w:hAnsi="Calibri" w:cs="Calibri"/>
        </w:rPr>
        <w:t>approximately</w:t>
      </w:r>
      <w:r w:rsidR="005A43E3" w:rsidRPr="00A7044E">
        <w:rPr>
          <w:rFonts w:ascii="Calibri" w:hAnsi="Calibri" w:cs="Calibri"/>
        </w:rPr>
        <w:t xml:space="preserve"> NIS </w:t>
      </w:r>
      <w:r w:rsidR="00830B7A" w:rsidRPr="00A7044E">
        <w:rPr>
          <w:rFonts w:ascii="Calibri" w:hAnsi="Calibri" w:cs="Calibri"/>
        </w:rPr>
        <w:t>221.7</w:t>
      </w:r>
      <w:r w:rsidR="001D680D" w:rsidRPr="00A7044E">
        <w:rPr>
          <w:rFonts w:ascii="Calibri" w:hAnsi="Calibri" w:cs="Calibri"/>
        </w:rPr>
        <w:t xml:space="preserve"> </w:t>
      </w:r>
      <w:r w:rsidR="005A43E3" w:rsidRPr="00A7044E">
        <w:rPr>
          <w:rFonts w:ascii="Calibri" w:hAnsi="Calibri" w:cs="Calibri"/>
        </w:rPr>
        <w:t xml:space="preserve">billion </w:t>
      </w:r>
      <w:r w:rsidR="00633277" w:rsidRPr="00A7044E">
        <w:rPr>
          <w:rFonts w:ascii="Calibri" w:hAnsi="Calibri" w:cs="Calibri"/>
        </w:rPr>
        <w:t>(</w:t>
      </w:r>
      <w:r w:rsidR="00830B7A" w:rsidRPr="00A7044E">
        <w:rPr>
          <w:rFonts w:ascii="Calibri" w:hAnsi="Calibri" w:cs="Calibri"/>
        </w:rPr>
        <w:t>3.9</w:t>
      </w:r>
      <w:r w:rsidR="00350A32" w:rsidRPr="00A7044E">
        <w:rPr>
          <w:rFonts w:ascii="Calibri" w:hAnsi="Calibri" w:cs="Calibri"/>
        </w:rPr>
        <w:t xml:space="preserve"> </w:t>
      </w:r>
      <w:r w:rsidR="00633277" w:rsidRPr="00A7044E">
        <w:rPr>
          <w:rFonts w:ascii="Calibri" w:hAnsi="Calibri" w:cs="Calibri"/>
        </w:rPr>
        <w:t>percent)</w:t>
      </w:r>
      <w:r w:rsidR="00D223DE" w:rsidRPr="00A7044E">
        <w:rPr>
          <w:rFonts w:ascii="Calibri" w:hAnsi="Calibri" w:cs="Calibri"/>
        </w:rPr>
        <w:t>, to</w:t>
      </w:r>
      <w:r w:rsidR="009F3C28" w:rsidRPr="00A7044E">
        <w:rPr>
          <w:rFonts w:ascii="Calibri" w:hAnsi="Calibri" w:cs="Calibri"/>
        </w:rPr>
        <w:t xml:space="preserve"> </w:t>
      </w:r>
      <w:r w:rsidR="00830B7A" w:rsidRPr="00A7044E">
        <w:rPr>
          <w:rFonts w:ascii="Calibri" w:hAnsi="Calibri" w:cs="Calibri"/>
        </w:rPr>
        <w:t xml:space="preserve">about </w:t>
      </w:r>
      <w:r w:rsidR="005A43E3" w:rsidRPr="00A7044E">
        <w:rPr>
          <w:rFonts w:ascii="Calibri" w:hAnsi="Calibri" w:cs="Calibri"/>
        </w:rPr>
        <w:t xml:space="preserve">NIS </w:t>
      </w:r>
      <w:r w:rsidR="00830B7A" w:rsidRPr="00A7044E">
        <w:rPr>
          <w:rFonts w:ascii="Calibri" w:hAnsi="Calibri" w:cs="Calibri"/>
        </w:rPr>
        <w:t>6</w:t>
      </w:r>
      <w:r w:rsidR="007905B5" w:rsidRPr="00A7044E">
        <w:rPr>
          <w:rFonts w:ascii="Calibri" w:hAnsi="Calibri" w:cs="Calibri"/>
        </w:rPr>
        <w:t xml:space="preserve"> </w:t>
      </w:r>
      <w:r w:rsidR="005A43E3" w:rsidRPr="00A7044E">
        <w:rPr>
          <w:rFonts w:ascii="Calibri" w:hAnsi="Calibri" w:cs="Calibri"/>
        </w:rPr>
        <w:t>trillion</w:t>
      </w:r>
      <w:r w:rsidR="00633277" w:rsidRPr="00A7044E">
        <w:rPr>
          <w:rFonts w:ascii="Calibri" w:hAnsi="Calibri" w:cs="Calibri"/>
        </w:rPr>
        <w:t xml:space="preserve"> (</w:t>
      </w:r>
      <w:r w:rsidR="005A43E3" w:rsidRPr="00A7044E">
        <w:rPr>
          <w:rFonts w:ascii="Calibri" w:hAnsi="Calibri" w:cs="Calibri"/>
        </w:rPr>
        <w:t>Figure 1)</w:t>
      </w:r>
      <w:r w:rsidR="00350A32" w:rsidRPr="00A7044E">
        <w:rPr>
          <w:rFonts w:ascii="Calibri" w:hAnsi="Calibri" w:cs="Calibri"/>
        </w:rPr>
        <w:t>.</w:t>
      </w:r>
      <w:r w:rsidRPr="00A7044E">
        <w:rPr>
          <w:rFonts w:ascii="Calibri" w:hAnsi="Calibri" w:cs="Calibri"/>
        </w:rPr>
        <w:t xml:space="preserve"> </w:t>
      </w:r>
      <w:r w:rsidR="00633277" w:rsidRPr="00A7044E">
        <w:rPr>
          <w:rFonts w:ascii="Calibri" w:hAnsi="Calibri" w:cs="Calibri"/>
        </w:rPr>
        <w:t>The</w:t>
      </w:r>
      <w:r w:rsidR="00A63123" w:rsidRPr="00A7044E">
        <w:rPr>
          <w:rFonts w:ascii="Calibri" w:hAnsi="Calibri" w:cs="Calibri"/>
        </w:rPr>
        <w:t xml:space="preserve"> </w:t>
      </w:r>
      <w:r w:rsidR="00C16F31" w:rsidRPr="00A7044E">
        <w:rPr>
          <w:rFonts w:ascii="Calibri" w:hAnsi="Calibri" w:cs="Calibri"/>
        </w:rPr>
        <w:t xml:space="preserve">weight </w:t>
      </w:r>
      <w:r w:rsidRPr="00A7044E">
        <w:rPr>
          <w:rFonts w:ascii="Calibri" w:hAnsi="Calibri" w:cs="Calibri"/>
        </w:rPr>
        <w:t xml:space="preserve">of the </w:t>
      </w:r>
      <w:r w:rsidR="00A4321B" w:rsidRPr="00A7044E">
        <w:rPr>
          <w:rFonts w:ascii="Calibri" w:hAnsi="Calibri" w:cs="Calibri"/>
        </w:rPr>
        <w:t xml:space="preserve">public’s financial assets portfolio </w:t>
      </w:r>
      <w:r w:rsidR="002F3824" w:rsidRPr="00A7044E">
        <w:rPr>
          <w:rFonts w:ascii="Calibri" w:hAnsi="Calibri" w:cs="Calibri"/>
        </w:rPr>
        <w:t xml:space="preserve">relative to </w:t>
      </w:r>
      <w:r w:rsidR="00A4321B" w:rsidRPr="00A7044E">
        <w:rPr>
          <w:rFonts w:ascii="Calibri" w:hAnsi="Calibri" w:cs="Calibri"/>
        </w:rPr>
        <w:t>GDP</w:t>
      </w:r>
      <w:r w:rsidR="00633277" w:rsidRPr="00A7044E">
        <w:rPr>
          <w:rFonts w:ascii="Calibri" w:hAnsi="Calibri" w:cs="Calibri"/>
        </w:rPr>
        <w:t xml:space="preserve"> </w:t>
      </w:r>
      <w:r w:rsidR="00C16F31" w:rsidRPr="00A7044E">
        <w:rPr>
          <w:rFonts w:ascii="Calibri" w:hAnsi="Calibri" w:cs="Calibri"/>
        </w:rPr>
        <w:t>increased</w:t>
      </w:r>
      <w:r w:rsidR="007905B5" w:rsidRPr="00A7044E">
        <w:rPr>
          <w:rFonts w:ascii="Calibri" w:hAnsi="Calibri" w:cs="Calibri"/>
        </w:rPr>
        <w:t xml:space="preserve"> </w:t>
      </w:r>
      <w:r w:rsidR="00633277" w:rsidRPr="00A7044E">
        <w:rPr>
          <w:rFonts w:ascii="Calibri" w:hAnsi="Calibri" w:cs="Calibri"/>
        </w:rPr>
        <w:t xml:space="preserve">by </w:t>
      </w:r>
      <w:r w:rsidR="00E27A87" w:rsidRPr="00A7044E">
        <w:rPr>
          <w:rFonts w:ascii="Calibri" w:hAnsi="Calibri" w:cs="Calibri"/>
        </w:rPr>
        <w:t xml:space="preserve">approximately </w:t>
      </w:r>
      <w:r w:rsidR="00830B7A" w:rsidRPr="00A7044E">
        <w:rPr>
          <w:rFonts w:ascii="Calibri" w:hAnsi="Calibri" w:cs="Calibri"/>
        </w:rPr>
        <w:t>7.6</w:t>
      </w:r>
      <w:r w:rsidR="00C16F31" w:rsidRPr="00A7044E">
        <w:rPr>
          <w:rFonts w:ascii="Calibri" w:hAnsi="Calibri" w:cs="Calibri"/>
        </w:rPr>
        <w:t xml:space="preserve"> </w:t>
      </w:r>
      <w:r w:rsidR="009F3C28" w:rsidRPr="00A7044E">
        <w:rPr>
          <w:rFonts w:ascii="Calibri" w:hAnsi="Calibri" w:cs="Calibri"/>
        </w:rPr>
        <w:t>p</w:t>
      </w:r>
      <w:r w:rsidR="00633277" w:rsidRPr="00A7044E">
        <w:rPr>
          <w:rFonts w:ascii="Calibri" w:hAnsi="Calibri" w:cs="Calibri"/>
        </w:rPr>
        <w:t xml:space="preserve">ercentage points, </w:t>
      </w:r>
      <w:r w:rsidR="00633277" w:rsidRPr="00A7044E">
        <w:rPr>
          <w:rFonts w:ascii="Calibri" w:hAnsi="Calibri" w:cs="Calibri"/>
        </w:rPr>
        <w:lastRenderedPageBreak/>
        <w:t>to</w:t>
      </w:r>
      <w:r w:rsidR="00A63123" w:rsidRPr="00A7044E">
        <w:rPr>
          <w:rFonts w:ascii="Calibri" w:hAnsi="Calibri" w:cs="Calibri"/>
        </w:rPr>
        <w:t xml:space="preserve"> </w:t>
      </w:r>
      <w:r w:rsidR="00683395" w:rsidRPr="00A7044E">
        <w:rPr>
          <w:rFonts w:ascii="Calibri" w:hAnsi="Calibri" w:cs="Calibri"/>
        </w:rPr>
        <w:t xml:space="preserve">about </w:t>
      </w:r>
      <w:r w:rsidR="00830B7A" w:rsidRPr="00A7044E">
        <w:rPr>
          <w:rFonts w:ascii="Calibri" w:hAnsi="Calibri" w:cs="Calibri"/>
        </w:rPr>
        <w:t>306</w:t>
      </w:r>
      <w:r w:rsidR="00350A32" w:rsidRPr="00A7044E">
        <w:rPr>
          <w:rFonts w:ascii="Calibri" w:hAnsi="Calibri" w:cs="Calibri"/>
        </w:rPr>
        <w:t xml:space="preserve"> </w:t>
      </w:r>
      <w:r w:rsidR="00683395" w:rsidRPr="00A7044E">
        <w:rPr>
          <w:rFonts w:ascii="Calibri" w:hAnsi="Calibri" w:cs="Calibri"/>
        </w:rPr>
        <w:t>percent</w:t>
      </w:r>
      <w:r w:rsidR="00155A7B" w:rsidRPr="00A7044E">
        <w:rPr>
          <w:rFonts w:ascii="Calibri" w:hAnsi="Calibri" w:cs="Calibri"/>
        </w:rPr>
        <w:t xml:space="preserve"> </w:t>
      </w:r>
      <w:r w:rsidR="001E0BB4" w:rsidRPr="00A7044E">
        <w:rPr>
          <w:rFonts w:ascii="Calibri" w:hAnsi="Calibri" w:cs="Calibri"/>
        </w:rPr>
        <w:t>at the end of the quarter</w:t>
      </w:r>
      <w:r w:rsidR="00633277" w:rsidRPr="00A7044E">
        <w:rPr>
          <w:rFonts w:ascii="Calibri" w:hAnsi="Calibri" w:cs="Calibri"/>
        </w:rPr>
        <w:t>,</w:t>
      </w:r>
      <w:r w:rsidR="00E2788C" w:rsidRPr="00A7044E">
        <w:rPr>
          <w:rFonts w:ascii="Calibri" w:hAnsi="Calibri" w:cs="Calibri"/>
        </w:rPr>
        <w:t xml:space="preserve"> </w:t>
      </w:r>
      <w:r w:rsidR="004D2C0E" w:rsidRPr="00A7044E">
        <w:rPr>
          <w:rFonts w:ascii="Calibri" w:hAnsi="Calibri" w:cs="Calibri"/>
        </w:rPr>
        <w:t>as a</w:t>
      </w:r>
      <w:r w:rsidR="00633277" w:rsidRPr="00A7044E">
        <w:rPr>
          <w:rFonts w:ascii="Calibri" w:hAnsi="Calibri" w:cs="Calibri"/>
        </w:rPr>
        <w:t xml:space="preserve"> result of </w:t>
      </w:r>
      <w:r w:rsidR="009F3C28" w:rsidRPr="00A7044E">
        <w:rPr>
          <w:rFonts w:ascii="Calibri" w:hAnsi="Calibri" w:cs="Calibri"/>
        </w:rPr>
        <w:t>a</w:t>
      </w:r>
      <w:r w:rsidR="00E2788C" w:rsidRPr="00A7044E">
        <w:rPr>
          <w:rFonts w:ascii="Calibri" w:hAnsi="Calibri" w:cs="Calibri"/>
        </w:rPr>
        <w:t xml:space="preserve">n increase in </w:t>
      </w:r>
      <w:r w:rsidR="004D2C0E" w:rsidRPr="00A7044E">
        <w:rPr>
          <w:rFonts w:ascii="Calibri" w:hAnsi="Calibri" w:cs="Calibri"/>
        </w:rPr>
        <w:t>the asset portfolio</w:t>
      </w:r>
      <w:r w:rsidR="00350A32" w:rsidRPr="00A7044E">
        <w:rPr>
          <w:rFonts w:ascii="Calibri" w:hAnsi="Calibri" w:cs="Calibri"/>
        </w:rPr>
        <w:t xml:space="preserve"> that was </w:t>
      </w:r>
      <w:r w:rsidR="00F4067D" w:rsidRPr="00A7044E">
        <w:rPr>
          <w:rFonts w:ascii="Calibri" w:hAnsi="Calibri" w:cs="Calibri"/>
          <w:noProof/>
        </w:rPr>
        <w:drawing>
          <wp:anchor distT="0" distB="0" distL="114300" distR="114300" simplePos="0" relativeHeight="251674624" behindDoc="0" locked="0" layoutInCell="1" allowOverlap="1" wp14:anchorId="171D443C" wp14:editId="0E8F2A2D">
            <wp:simplePos x="0" y="0"/>
            <wp:positionH relativeFrom="margin">
              <wp:align>center</wp:align>
            </wp:positionH>
            <wp:positionV relativeFrom="paragraph">
              <wp:posOffset>469127</wp:posOffset>
            </wp:positionV>
            <wp:extent cx="5630400" cy="2306417"/>
            <wp:effectExtent l="0" t="0" r="8890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400" cy="2306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0B7A" w:rsidRPr="00A7044E">
        <w:rPr>
          <w:rFonts w:ascii="Calibri" w:hAnsi="Calibri" w:cs="Calibri"/>
        </w:rPr>
        <w:t>greater</w:t>
      </w:r>
      <w:r w:rsidR="00350A32" w:rsidRPr="00A7044E">
        <w:rPr>
          <w:rFonts w:ascii="Calibri" w:hAnsi="Calibri" w:cs="Calibri"/>
        </w:rPr>
        <w:t xml:space="preserve"> than that of the GDP.</w:t>
      </w:r>
    </w:p>
    <w:p w14:paraId="70213E74" w14:textId="3278B383" w:rsidR="00AC3545" w:rsidRPr="00A7044E" w:rsidRDefault="00AC3545" w:rsidP="00633277">
      <w:pPr>
        <w:tabs>
          <w:tab w:val="left" w:pos="1134"/>
        </w:tabs>
        <w:bidi w:val="0"/>
        <w:spacing w:line="300" w:lineRule="exact"/>
        <w:jc w:val="both"/>
        <w:rPr>
          <w:rFonts w:ascii="Calibri" w:hAnsi="Calibri" w:cs="Calibri"/>
        </w:rPr>
      </w:pPr>
    </w:p>
    <w:p w14:paraId="53A692B1" w14:textId="449F93B0" w:rsidR="00BA6F96" w:rsidRPr="00A7044E" w:rsidRDefault="00BA6F96" w:rsidP="00442B1C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38566E56" w14:textId="5763D62A" w:rsidR="00E9221B" w:rsidRPr="00A7044E" w:rsidRDefault="002B4397" w:rsidP="007E422E">
      <w:pPr>
        <w:bidi w:val="0"/>
        <w:spacing w:line="300" w:lineRule="exact"/>
        <w:jc w:val="both"/>
        <w:rPr>
          <w:rFonts w:ascii="Calibri" w:hAnsi="Calibri" w:cs="Calibri"/>
          <w:b/>
          <w:bCs/>
        </w:rPr>
      </w:pPr>
      <w:r w:rsidRPr="00A7044E">
        <w:rPr>
          <w:rFonts w:ascii="Calibri" w:hAnsi="Calibri" w:cs="Calibri"/>
          <w:b/>
          <w:bCs/>
        </w:rPr>
        <w:t xml:space="preserve">2. </w:t>
      </w:r>
      <w:r w:rsidR="009733F7" w:rsidRPr="00A7044E">
        <w:rPr>
          <w:rFonts w:ascii="Calibri" w:hAnsi="Calibri" w:cs="Calibri"/>
          <w:b/>
          <w:bCs/>
        </w:rPr>
        <w:t>Analysis of the changes in the overall portfolio</w:t>
      </w:r>
    </w:p>
    <w:p w14:paraId="0BB641F9" w14:textId="4DF153CC" w:rsidR="00D223DE" w:rsidRPr="00A7044E" w:rsidRDefault="00D223DE" w:rsidP="00BD7F6B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4E22878F" w14:textId="4C6D0649" w:rsidR="00455E2B" w:rsidRPr="00A7044E" w:rsidRDefault="00557500" w:rsidP="00830B7A">
      <w:pPr>
        <w:bidi w:val="0"/>
        <w:spacing w:line="300" w:lineRule="exact"/>
        <w:jc w:val="both"/>
        <w:rPr>
          <w:rFonts w:ascii="Calibri" w:hAnsi="Calibri" w:cs="Calibri"/>
        </w:rPr>
      </w:pPr>
      <w:r w:rsidRPr="00A7044E">
        <w:rPr>
          <w:rFonts w:ascii="Calibri" w:hAnsi="Calibri" w:cs="Calibri"/>
        </w:rPr>
        <w:t xml:space="preserve">Over the course of the </w:t>
      </w:r>
      <w:r w:rsidR="006F0772" w:rsidRPr="00A7044E">
        <w:rPr>
          <w:rFonts w:ascii="Calibri" w:hAnsi="Calibri" w:cs="Calibri"/>
        </w:rPr>
        <w:t>third</w:t>
      </w:r>
      <w:r w:rsidR="006B32D0" w:rsidRPr="00A7044E">
        <w:rPr>
          <w:rFonts w:ascii="Calibri" w:hAnsi="Calibri" w:cs="Calibri"/>
        </w:rPr>
        <w:t xml:space="preserve"> quarter</w:t>
      </w:r>
      <w:r w:rsidRPr="00A7044E">
        <w:rPr>
          <w:rFonts w:ascii="Calibri" w:hAnsi="Calibri" w:cs="Calibri"/>
        </w:rPr>
        <w:t xml:space="preserve">, </w:t>
      </w:r>
      <w:r w:rsidR="00EA12FD" w:rsidRPr="00A7044E">
        <w:rPr>
          <w:rFonts w:ascii="Calibri" w:hAnsi="Calibri" w:cs="Calibri"/>
        </w:rPr>
        <w:t>the</w:t>
      </w:r>
      <w:r w:rsidR="00E2788C" w:rsidRPr="00A7044E">
        <w:rPr>
          <w:rFonts w:ascii="Calibri" w:hAnsi="Calibri" w:cs="Calibri"/>
        </w:rPr>
        <w:t xml:space="preserve">re were increases in the balances of the public’s holdings in </w:t>
      </w:r>
      <w:r w:rsidR="00830B7A" w:rsidRPr="00A7044E">
        <w:rPr>
          <w:rFonts w:ascii="Calibri" w:hAnsi="Calibri" w:cs="Calibri"/>
        </w:rPr>
        <w:t>all</w:t>
      </w:r>
      <w:r w:rsidR="00E2788C" w:rsidRPr="00A7044E">
        <w:rPr>
          <w:rFonts w:ascii="Calibri" w:hAnsi="Calibri" w:cs="Calibri"/>
        </w:rPr>
        <w:t xml:space="preserve"> components</w:t>
      </w:r>
      <w:r w:rsidR="00D223DE" w:rsidRPr="00A7044E">
        <w:rPr>
          <w:rFonts w:ascii="Calibri" w:hAnsi="Calibri" w:cs="Calibri"/>
        </w:rPr>
        <w:t xml:space="preserve"> of the portfolio</w:t>
      </w:r>
      <w:r w:rsidR="00E2788C" w:rsidRPr="00A7044E">
        <w:rPr>
          <w:rFonts w:ascii="Calibri" w:hAnsi="Calibri" w:cs="Calibri"/>
        </w:rPr>
        <w:t>.</w:t>
      </w:r>
      <w:r w:rsidR="00D223DE" w:rsidRPr="00A7044E">
        <w:rPr>
          <w:rFonts w:ascii="Calibri" w:hAnsi="Calibri" w:cs="Calibri"/>
        </w:rPr>
        <w:t xml:space="preserve"> The</w:t>
      </w:r>
      <w:r w:rsidR="00E2788C" w:rsidRPr="00A7044E">
        <w:rPr>
          <w:rFonts w:ascii="Calibri" w:hAnsi="Calibri" w:cs="Calibri"/>
        </w:rPr>
        <w:t xml:space="preserve"> increases </w:t>
      </w:r>
      <w:r w:rsidR="00D223DE" w:rsidRPr="00A7044E">
        <w:rPr>
          <w:rFonts w:ascii="Calibri" w:hAnsi="Calibri" w:cs="Calibri"/>
        </w:rPr>
        <w:t xml:space="preserve">in </w:t>
      </w:r>
      <w:r w:rsidR="00830B7A" w:rsidRPr="00A7044E">
        <w:rPr>
          <w:rFonts w:ascii="Calibri" w:hAnsi="Calibri" w:cs="Calibri"/>
        </w:rPr>
        <w:t xml:space="preserve">equities in Israel (10.5 percent), other assets (5.6 percent), and corporate bonds (5 percent) </w:t>
      </w:r>
      <w:r w:rsidR="00E2788C" w:rsidRPr="00A7044E">
        <w:rPr>
          <w:rFonts w:ascii="Calibri" w:hAnsi="Calibri" w:cs="Calibri"/>
        </w:rPr>
        <w:t>were notable</w:t>
      </w:r>
      <w:r w:rsidR="00D223DE" w:rsidRPr="00A7044E">
        <w:rPr>
          <w:rFonts w:ascii="Calibri" w:hAnsi="Calibri" w:cs="Calibri"/>
        </w:rPr>
        <w:t>.</w:t>
      </w:r>
    </w:p>
    <w:p w14:paraId="1EB9DC23" w14:textId="4D940370" w:rsidR="002B4397" w:rsidRPr="00A7044E" w:rsidRDefault="002B4397" w:rsidP="00B3201D">
      <w:pPr>
        <w:bidi w:val="0"/>
        <w:spacing w:line="300" w:lineRule="exact"/>
        <w:jc w:val="both"/>
        <w:rPr>
          <w:rFonts w:ascii="Calibri" w:hAnsi="Calibri" w:cs="Calibri"/>
          <w:b/>
          <w:bCs/>
        </w:rPr>
      </w:pPr>
    </w:p>
    <w:p w14:paraId="7D85926B" w14:textId="06A36DD2" w:rsidR="002B4397" w:rsidRPr="00A7044E" w:rsidRDefault="00F4067D" w:rsidP="002B4397">
      <w:pPr>
        <w:bidi w:val="0"/>
        <w:spacing w:line="300" w:lineRule="exact"/>
        <w:jc w:val="both"/>
        <w:rPr>
          <w:rFonts w:ascii="Calibri" w:hAnsi="Calibri" w:cs="Calibri"/>
        </w:rPr>
      </w:pPr>
      <w:r w:rsidRPr="00A7044E">
        <w:rPr>
          <w:rFonts w:ascii="Calibri" w:hAnsi="Calibri" w:cs="Calibri"/>
          <w:noProof/>
        </w:rPr>
        <w:drawing>
          <wp:anchor distT="0" distB="0" distL="114300" distR="114300" simplePos="0" relativeHeight="251675648" behindDoc="0" locked="0" layoutInCell="1" allowOverlap="1" wp14:anchorId="6C61F4D4" wp14:editId="222DF4FD">
            <wp:simplePos x="0" y="0"/>
            <wp:positionH relativeFrom="column">
              <wp:posOffset>522881</wp:posOffset>
            </wp:positionH>
            <wp:positionV relativeFrom="paragraph">
              <wp:posOffset>11071</wp:posOffset>
            </wp:positionV>
            <wp:extent cx="5335200" cy="2498497"/>
            <wp:effectExtent l="0" t="0" r="0" b="0"/>
            <wp:wrapSquare wrapText="bothSides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00" cy="2498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BD040D" w14:textId="5A6F9B3E" w:rsidR="00696D75" w:rsidRPr="00A7044E" w:rsidRDefault="00696D75" w:rsidP="00696D75">
      <w:pPr>
        <w:pStyle w:val="ab"/>
        <w:numPr>
          <w:ilvl w:val="0"/>
          <w:numId w:val="23"/>
        </w:numPr>
        <w:bidi w:val="0"/>
        <w:spacing w:line="300" w:lineRule="exact"/>
        <w:ind w:left="426"/>
        <w:jc w:val="both"/>
        <w:rPr>
          <w:rFonts w:ascii="Calibri" w:hAnsi="Calibri" w:cs="Calibri"/>
          <w:b/>
          <w:bCs/>
        </w:rPr>
      </w:pPr>
      <w:r w:rsidRPr="00A7044E">
        <w:rPr>
          <w:rFonts w:ascii="Calibri" w:hAnsi="Calibri" w:cs="Calibri"/>
        </w:rPr>
        <w:t xml:space="preserve">The balance of </w:t>
      </w:r>
      <w:r w:rsidRPr="00A7044E">
        <w:rPr>
          <w:rFonts w:ascii="Calibri" w:hAnsi="Calibri" w:cs="Calibri"/>
          <w:b/>
          <w:bCs/>
        </w:rPr>
        <w:t>cash and deposits</w:t>
      </w:r>
      <w:r w:rsidRPr="00A7044E">
        <w:rPr>
          <w:rFonts w:ascii="Calibri" w:hAnsi="Calibri" w:cs="Calibri"/>
        </w:rPr>
        <w:t xml:space="preserve"> increased during the third quarter by about NIS 41.9 billion (2 percent) to about NIS 2.14 trillion, which is about 36 percent of the total portfolio.</w:t>
      </w:r>
    </w:p>
    <w:p w14:paraId="7436894C" w14:textId="7239155A" w:rsidR="00085E6A" w:rsidRPr="00A7044E" w:rsidRDefault="00085E6A" w:rsidP="00696D75">
      <w:pPr>
        <w:pStyle w:val="ab"/>
        <w:numPr>
          <w:ilvl w:val="0"/>
          <w:numId w:val="23"/>
        </w:numPr>
        <w:bidi w:val="0"/>
        <w:spacing w:line="300" w:lineRule="exact"/>
        <w:ind w:left="426"/>
        <w:jc w:val="both"/>
        <w:rPr>
          <w:rFonts w:ascii="Calibri" w:hAnsi="Calibri" w:cs="Calibri"/>
          <w:b/>
          <w:bCs/>
        </w:rPr>
      </w:pPr>
      <w:r w:rsidRPr="00A7044E">
        <w:rPr>
          <w:rFonts w:ascii="Calibri" w:hAnsi="Calibri" w:cs="Calibri"/>
        </w:rPr>
        <w:t xml:space="preserve">The balance of </w:t>
      </w:r>
      <w:r w:rsidRPr="00A7044E">
        <w:rPr>
          <w:rFonts w:ascii="Calibri" w:hAnsi="Calibri" w:cs="Calibri"/>
          <w:b/>
          <w:bCs/>
        </w:rPr>
        <w:t>equities in Israel</w:t>
      </w:r>
      <w:r w:rsidRPr="00A7044E">
        <w:rPr>
          <w:rFonts w:ascii="Calibri" w:hAnsi="Calibri" w:cs="Calibri"/>
        </w:rPr>
        <w:t xml:space="preserve"> </w:t>
      </w:r>
      <w:r w:rsidR="00696D75" w:rsidRPr="00A7044E">
        <w:rPr>
          <w:rFonts w:ascii="Calibri" w:hAnsi="Calibri" w:cs="Calibri"/>
        </w:rPr>
        <w:t>increased</w:t>
      </w:r>
      <w:r w:rsidRPr="00A7044E">
        <w:rPr>
          <w:rFonts w:ascii="Calibri" w:hAnsi="Calibri" w:cs="Calibri"/>
        </w:rPr>
        <w:t xml:space="preserve"> by about NIS 6</w:t>
      </w:r>
      <w:r w:rsidR="00696D75" w:rsidRPr="00A7044E">
        <w:rPr>
          <w:rFonts w:ascii="Calibri" w:hAnsi="Calibri" w:cs="Calibri"/>
        </w:rPr>
        <w:t>9.9</w:t>
      </w:r>
      <w:r w:rsidRPr="00A7044E">
        <w:rPr>
          <w:rFonts w:ascii="Calibri" w:hAnsi="Calibri" w:cs="Calibri"/>
        </w:rPr>
        <w:t xml:space="preserve"> billion (</w:t>
      </w:r>
      <w:r w:rsidR="00696D75" w:rsidRPr="00A7044E">
        <w:rPr>
          <w:rFonts w:ascii="Calibri" w:hAnsi="Calibri" w:cs="Calibri"/>
        </w:rPr>
        <w:t>10</w:t>
      </w:r>
      <w:r w:rsidRPr="00A7044E">
        <w:rPr>
          <w:rFonts w:ascii="Calibri" w:hAnsi="Calibri" w:cs="Calibri"/>
        </w:rPr>
        <w:t xml:space="preserve">.5 percent), mainly in view of price </w:t>
      </w:r>
      <w:r w:rsidR="00696D75" w:rsidRPr="00A7044E">
        <w:rPr>
          <w:rFonts w:ascii="Calibri" w:hAnsi="Calibri" w:cs="Calibri"/>
        </w:rPr>
        <w:t>increas</w:t>
      </w:r>
      <w:r w:rsidRPr="00A7044E">
        <w:rPr>
          <w:rFonts w:ascii="Calibri" w:hAnsi="Calibri" w:cs="Calibri"/>
        </w:rPr>
        <w:t xml:space="preserve">es on the equity indices, which were partly offset by net </w:t>
      </w:r>
      <w:r w:rsidR="00696D75" w:rsidRPr="00A7044E">
        <w:rPr>
          <w:rFonts w:ascii="Calibri" w:hAnsi="Calibri" w:cs="Calibri"/>
        </w:rPr>
        <w:t>realization</w:t>
      </w:r>
      <w:r w:rsidRPr="00A7044E">
        <w:rPr>
          <w:rFonts w:ascii="Calibri" w:hAnsi="Calibri" w:cs="Calibri"/>
        </w:rPr>
        <w:t xml:space="preserve">s (estimated at about NIS </w:t>
      </w:r>
      <w:r w:rsidR="00696D75" w:rsidRPr="00A7044E">
        <w:rPr>
          <w:rFonts w:ascii="Calibri" w:hAnsi="Calibri" w:cs="Calibri"/>
        </w:rPr>
        <w:t>3.5</w:t>
      </w:r>
      <w:r w:rsidRPr="00A7044E">
        <w:rPr>
          <w:rFonts w:ascii="Calibri" w:hAnsi="Calibri" w:cs="Calibri"/>
        </w:rPr>
        <w:t xml:space="preserve"> billion).</w:t>
      </w:r>
    </w:p>
    <w:p w14:paraId="1A16F525" w14:textId="7EE148A7" w:rsidR="00085E6A" w:rsidRPr="00A7044E" w:rsidRDefault="00085E6A" w:rsidP="00696D75">
      <w:pPr>
        <w:pStyle w:val="ab"/>
        <w:numPr>
          <w:ilvl w:val="0"/>
          <w:numId w:val="23"/>
        </w:numPr>
        <w:bidi w:val="0"/>
        <w:spacing w:line="300" w:lineRule="exact"/>
        <w:ind w:left="426"/>
        <w:jc w:val="both"/>
        <w:rPr>
          <w:rFonts w:ascii="Calibri" w:hAnsi="Calibri" w:cs="Calibri"/>
          <w:b/>
          <w:bCs/>
        </w:rPr>
      </w:pPr>
      <w:r w:rsidRPr="00A7044E">
        <w:rPr>
          <w:rFonts w:ascii="Calibri" w:hAnsi="Calibri" w:cs="Calibri"/>
        </w:rPr>
        <w:t xml:space="preserve">The balance of </w:t>
      </w:r>
      <w:r w:rsidRPr="00A7044E">
        <w:rPr>
          <w:rFonts w:ascii="Calibri" w:hAnsi="Calibri" w:cs="Calibri"/>
          <w:b/>
          <w:bCs/>
        </w:rPr>
        <w:t>government bonds</w:t>
      </w:r>
      <w:r w:rsidRPr="00A7044E">
        <w:rPr>
          <w:rFonts w:ascii="Calibri" w:hAnsi="Calibri" w:cs="Calibri"/>
        </w:rPr>
        <w:t xml:space="preserve"> (tradable and nontradable) and </w:t>
      </w:r>
      <w:r w:rsidRPr="00A7044E">
        <w:rPr>
          <w:rFonts w:ascii="Calibri" w:hAnsi="Calibri" w:cs="Calibri"/>
          <w:b/>
          <w:bCs/>
          <w:i/>
          <w:iCs/>
        </w:rPr>
        <w:t>Makam</w:t>
      </w:r>
      <w:r w:rsidRPr="00A7044E">
        <w:rPr>
          <w:rFonts w:ascii="Calibri" w:hAnsi="Calibri" w:cs="Calibri"/>
        </w:rPr>
        <w:t xml:space="preserve"> increased during the quarter by about NIS </w:t>
      </w:r>
      <w:r w:rsidR="00696D75" w:rsidRPr="00A7044E">
        <w:rPr>
          <w:rFonts w:ascii="Calibri" w:hAnsi="Calibri" w:cs="Calibri"/>
        </w:rPr>
        <w:t>28.8</w:t>
      </w:r>
      <w:r w:rsidRPr="00A7044E">
        <w:rPr>
          <w:rFonts w:ascii="Calibri" w:hAnsi="Calibri" w:cs="Calibri"/>
        </w:rPr>
        <w:t xml:space="preserve"> billion (</w:t>
      </w:r>
      <w:r w:rsidR="00696D75" w:rsidRPr="00A7044E">
        <w:rPr>
          <w:rFonts w:ascii="Calibri" w:hAnsi="Calibri" w:cs="Calibri"/>
        </w:rPr>
        <w:t>2.7</w:t>
      </w:r>
      <w:r w:rsidRPr="00A7044E">
        <w:rPr>
          <w:rFonts w:ascii="Calibri" w:hAnsi="Calibri" w:cs="Calibri"/>
        </w:rPr>
        <w:t xml:space="preserve"> percent) to about NIS 1.0</w:t>
      </w:r>
      <w:r w:rsidR="00696D75" w:rsidRPr="00A7044E">
        <w:rPr>
          <w:rFonts w:ascii="Calibri" w:hAnsi="Calibri" w:cs="Calibri"/>
        </w:rPr>
        <w:t>9</w:t>
      </w:r>
      <w:r w:rsidRPr="00A7044E">
        <w:rPr>
          <w:rFonts w:ascii="Calibri" w:hAnsi="Calibri" w:cs="Calibri"/>
        </w:rPr>
        <w:t xml:space="preserve"> trillion at the end of the quarter. The increase was mainly due to the increase in tradable government bonds (about NIS </w:t>
      </w:r>
      <w:r w:rsidR="00696D75" w:rsidRPr="00A7044E">
        <w:rPr>
          <w:rFonts w:ascii="Calibri" w:hAnsi="Calibri" w:cs="Calibri"/>
        </w:rPr>
        <w:t>26.8</w:t>
      </w:r>
      <w:r w:rsidRPr="00A7044E">
        <w:rPr>
          <w:rFonts w:ascii="Calibri" w:hAnsi="Calibri" w:cs="Calibri"/>
        </w:rPr>
        <w:t xml:space="preserve"> billion), </w:t>
      </w:r>
      <w:r w:rsidR="00696D75" w:rsidRPr="00A7044E">
        <w:rPr>
          <w:rFonts w:ascii="Calibri" w:hAnsi="Calibri" w:cs="Calibri"/>
        </w:rPr>
        <w:t>mainly as a result of capital raised.</w:t>
      </w:r>
    </w:p>
    <w:p w14:paraId="365301C8" w14:textId="02FD4157" w:rsidR="00696D75" w:rsidRPr="00A7044E" w:rsidRDefault="00696D75" w:rsidP="00696D75">
      <w:pPr>
        <w:pStyle w:val="ab"/>
        <w:numPr>
          <w:ilvl w:val="0"/>
          <w:numId w:val="23"/>
        </w:numPr>
        <w:bidi w:val="0"/>
        <w:spacing w:line="300" w:lineRule="exact"/>
        <w:ind w:left="426"/>
        <w:jc w:val="both"/>
        <w:rPr>
          <w:rFonts w:ascii="Calibri" w:hAnsi="Calibri" w:cs="Calibri"/>
          <w:b/>
          <w:bCs/>
        </w:rPr>
      </w:pPr>
      <w:r w:rsidRPr="00A7044E">
        <w:rPr>
          <w:rFonts w:ascii="Calibri" w:hAnsi="Calibri" w:cs="Calibri"/>
        </w:rPr>
        <w:lastRenderedPageBreak/>
        <w:t xml:space="preserve">The balance of </w:t>
      </w:r>
      <w:r w:rsidRPr="00A7044E">
        <w:rPr>
          <w:rFonts w:ascii="Calibri" w:hAnsi="Calibri" w:cs="Calibri"/>
          <w:b/>
          <w:bCs/>
        </w:rPr>
        <w:t>tradable corporate bonds in Israel</w:t>
      </w:r>
      <w:r w:rsidRPr="00A7044E">
        <w:rPr>
          <w:rFonts w:ascii="Calibri" w:hAnsi="Calibri" w:cs="Calibri"/>
        </w:rPr>
        <w:t xml:space="preserve"> increased by about NIS 19.9 billion, to about NIS 417 billion at the end of the quarter, due to a combination of price increases and net investments (estimated at about NIS 11 billion).</w:t>
      </w:r>
    </w:p>
    <w:p w14:paraId="25C193D2" w14:textId="3C5C4938" w:rsidR="00696D75" w:rsidRPr="00A7044E" w:rsidRDefault="004B5B0E" w:rsidP="00696D75">
      <w:pPr>
        <w:pStyle w:val="ab"/>
        <w:bidi w:val="0"/>
        <w:spacing w:line="300" w:lineRule="exact"/>
        <w:ind w:left="426"/>
        <w:jc w:val="both"/>
        <w:rPr>
          <w:rFonts w:ascii="Calibri" w:hAnsi="Calibri" w:cs="Calibri"/>
          <w:b/>
          <w:bCs/>
        </w:rPr>
      </w:pPr>
      <w:r w:rsidRPr="00A7044E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76672" behindDoc="0" locked="0" layoutInCell="1" allowOverlap="1" wp14:anchorId="7D80CBE1" wp14:editId="4751B281">
            <wp:simplePos x="0" y="0"/>
            <wp:positionH relativeFrom="column">
              <wp:posOffset>427465</wp:posOffset>
            </wp:positionH>
            <wp:positionV relativeFrom="paragraph">
              <wp:posOffset>136166</wp:posOffset>
            </wp:positionV>
            <wp:extent cx="5198400" cy="2737232"/>
            <wp:effectExtent l="0" t="0" r="2540" b="6350"/>
            <wp:wrapSquare wrapText="bothSides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400" cy="2737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12869D" w14:textId="39155182" w:rsidR="002B4397" w:rsidRPr="00A7044E" w:rsidRDefault="002B4397" w:rsidP="002B4397">
      <w:pPr>
        <w:bidi w:val="0"/>
        <w:spacing w:line="300" w:lineRule="exact"/>
        <w:jc w:val="both"/>
        <w:rPr>
          <w:rFonts w:ascii="Calibri" w:hAnsi="Calibri" w:cs="Calibri"/>
          <w:b/>
          <w:bCs/>
        </w:rPr>
      </w:pPr>
    </w:p>
    <w:p w14:paraId="53ED2D23" w14:textId="1EF1B34F" w:rsidR="002B4397" w:rsidRPr="00A7044E" w:rsidRDefault="002B4397" w:rsidP="002B4397">
      <w:pPr>
        <w:bidi w:val="0"/>
        <w:spacing w:line="300" w:lineRule="exact"/>
        <w:jc w:val="both"/>
        <w:rPr>
          <w:rFonts w:ascii="Calibri" w:hAnsi="Calibri" w:cs="Calibri"/>
          <w:b/>
          <w:bCs/>
        </w:rPr>
      </w:pPr>
    </w:p>
    <w:p w14:paraId="36A892F7" w14:textId="13624777" w:rsidR="00A2266D" w:rsidRPr="00A7044E" w:rsidRDefault="00A2266D" w:rsidP="00A2266D">
      <w:pPr>
        <w:bidi w:val="0"/>
        <w:spacing w:line="300" w:lineRule="exact"/>
        <w:jc w:val="both"/>
        <w:rPr>
          <w:rFonts w:ascii="Calibri" w:hAnsi="Calibri" w:cs="Calibri"/>
          <w:b/>
          <w:bCs/>
        </w:rPr>
      </w:pPr>
    </w:p>
    <w:p w14:paraId="638C3B06" w14:textId="77777777" w:rsidR="004B5B0E" w:rsidRPr="00A7044E" w:rsidRDefault="004B5B0E" w:rsidP="00696D75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194081B5" w14:textId="77777777" w:rsidR="004B5B0E" w:rsidRPr="00A7044E" w:rsidRDefault="004B5B0E" w:rsidP="004B5B0E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2158FAA4" w14:textId="77777777" w:rsidR="004B5B0E" w:rsidRPr="00A7044E" w:rsidRDefault="004B5B0E" w:rsidP="004B5B0E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78A2BB3B" w14:textId="77777777" w:rsidR="004B5B0E" w:rsidRPr="00A7044E" w:rsidRDefault="004B5B0E" w:rsidP="004B5B0E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3C1AB639" w14:textId="77777777" w:rsidR="004B5B0E" w:rsidRPr="00A7044E" w:rsidRDefault="004B5B0E" w:rsidP="004B5B0E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214D377B" w14:textId="77777777" w:rsidR="004B5B0E" w:rsidRPr="00A7044E" w:rsidRDefault="004B5B0E" w:rsidP="004B5B0E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5AD0D23E" w14:textId="77777777" w:rsidR="004B5B0E" w:rsidRPr="00A7044E" w:rsidRDefault="004B5B0E" w:rsidP="004B5B0E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481446FE" w14:textId="77777777" w:rsidR="004B5B0E" w:rsidRPr="00A7044E" w:rsidRDefault="004B5B0E" w:rsidP="004B5B0E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2FE5195E" w14:textId="77777777" w:rsidR="004B5B0E" w:rsidRPr="00A7044E" w:rsidRDefault="004B5B0E" w:rsidP="004B5B0E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4B957670" w14:textId="77777777" w:rsidR="004B5B0E" w:rsidRPr="00A7044E" w:rsidRDefault="004B5B0E" w:rsidP="004B5B0E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470EDF29" w14:textId="77777777" w:rsidR="004B5B0E" w:rsidRPr="00A7044E" w:rsidRDefault="004B5B0E" w:rsidP="004B5B0E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5C2921DE" w14:textId="77777777" w:rsidR="004B5B0E" w:rsidRPr="00A7044E" w:rsidRDefault="004B5B0E" w:rsidP="004B5B0E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1B9A08BA" w14:textId="5D39FED3" w:rsidR="004B0B9B" w:rsidRPr="00A7044E" w:rsidRDefault="00466D57" w:rsidP="004B5B0E">
      <w:pPr>
        <w:bidi w:val="0"/>
        <w:spacing w:line="300" w:lineRule="exact"/>
        <w:jc w:val="both"/>
        <w:rPr>
          <w:rFonts w:ascii="Calibri" w:hAnsi="Calibri" w:cs="Calibri"/>
          <w:b/>
          <w:bCs/>
        </w:rPr>
      </w:pPr>
      <w:r w:rsidRPr="00A7044E">
        <w:rPr>
          <w:rFonts w:ascii="Calibri" w:hAnsi="Calibri" w:cs="Calibri"/>
        </w:rPr>
        <w:t xml:space="preserve">The balance of investments abroad </w:t>
      </w:r>
      <w:r w:rsidR="002B0BD0" w:rsidRPr="00A7044E">
        <w:rPr>
          <w:rFonts w:ascii="Calibri" w:hAnsi="Calibri" w:cs="Calibri"/>
        </w:rPr>
        <w:t xml:space="preserve">increased </w:t>
      </w:r>
      <w:r w:rsidR="00517F66" w:rsidRPr="00A7044E">
        <w:rPr>
          <w:rFonts w:ascii="Calibri" w:hAnsi="Calibri" w:cs="Calibri"/>
        </w:rPr>
        <w:t xml:space="preserve">by </w:t>
      </w:r>
      <w:r w:rsidR="00E93313" w:rsidRPr="00A7044E">
        <w:rPr>
          <w:rFonts w:ascii="Calibri" w:hAnsi="Calibri" w:cs="Calibri"/>
        </w:rPr>
        <w:t xml:space="preserve">approximately </w:t>
      </w:r>
      <w:r w:rsidR="00517F66" w:rsidRPr="00A7044E">
        <w:rPr>
          <w:rFonts w:ascii="Calibri" w:hAnsi="Calibri" w:cs="Calibri"/>
        </w:rPr>
        <w:t xml:space="preserve">NIS </w:t>
      </w:r>
      <w:r w:rsidR="00696D75" w:rsidRPr="00A7044E">
        <w:rPr>
          <w:rFonts w:ascii="Calibri" w:hAnsi="Calibri" w:cs="Calibri"/>
        </w:rPr>
        <w:t>42</w:t>
      </w:r>
      <w:r w:rsidR="002B0BD0" w:rsidRPr="00A7044E">
        <w:rPr>
          <w:rFonts w:ascii="Calibri" w:hAnsi="Calibri" w:cs="Calibri"/>
        </w:rPr>
        <w:t xml:space="preserve"> </w:t>
      </w:r>
      <w:r w:rsidR="00517F66" w:rsidRPr="00A7044E">
        <w:rPr>
          <w:rFonts w:ascii="Calibri" w:hAnsi="Calibri" w:cs="Calibri"/>
        </w:rPr>
        <w:t>billion (</w:t>
      </w:r>
      <w:r w:rsidR="00696D75" w:rsidRPr="00A7044E">
        <w:rPr>
          <w:rFonts w:ascii="Calibri" w:hAnsi="Calibri" w:cs="Calibri"/>
        </w:rPr>
        <w:t>3.5</w:t>
      </w:r>
      <w:r w:rsidR="00560E9A" w:rsidRPr="00A7044E">
        <w:rPr>
          <w:rFonts w:ascii="Calibri" w:hAnsi="Calibri" w:cs="Calibri"/>
        </w:rPr>
        <w:t xml:space="preserve"> </w:t>
      </w:r>
      <w:r w:rsidR="00517F66" w:rsidRPr="00A7044E">
        <w:rPr>
          <w:rFonts w:ascii="Calibri" w:hAnsi="Calibri" w:cs="Calibri"/>
        </w:rPr>
        <w:t xml:space="preserve">percent) </w:t>
      </w:r>
      <w:r w:rsidR="00756981" w:rsidRPr="00A7044E">
        <w:rPr>
          <w:rFonts w:ascii="Calibri" w:hAnsi="Calibri" w:cs="Calibri"/>
        </w:rPr>
        <w:t>during</w:t>
      </w:r>
      <w:r w:rsidR="00211075" w:rsidRPr="00A7044E">
        <w:rPr>
          <w:rFonts w:ascii="Calibri" w:hAnsi="Calibri" w:cs="Calibri"/>
        </w:rPr>
        <w:t xml:space="preserve"> the quarter</w:t>
      </w:r>
      <w:r w:rsidR="00756981" w:rsidRPr="00A7044E">
        <w:rPr>
          <w:rFonts w:ascii="Calibri" w:hAnsi="Calibri" w:cs="Calibri"/>
        </w:rPr>
        <w:t>,</w:t>
      </w:r>
      <w:r w:rsidR="00211075" w:rsidRPr="00A7044E">
        <w:rPr>
          <w:rFonts w:ascii="Calibri" w:hAnsi="Calibri" w:cs="Calibri"/>
        </w:rPr>
        <w:t xml:space="preserve"> </w:t>
      </w:r>
      <w:r w:rsidR="00A2193F" w:rsidRPr="00A7044E">
        <w:rPr>
          <w:rFonts w:ascii="Calibri" w:hAnsi="Calibri" w:cs="Calibri"/>
        </w:rPr>
        <w:t>to</w:t>
      </w:r>
      <w:r w:rsidR="001C2C91" w:rsidRPr="00A7044E">
        <w:rPr>
          <w:rFonts w:ascii="Calibri" w:hAnsi="Calibri" w:cs="Calibri"/>
        </w:rPr>
        <w:t xml:space="preserve"> </w:t>
      </w:r>
      <w:r w:rsidRPr="00A7044E">
        <w:rPr>
          <w:rFonts w:ascii="Calibri" w:hAnsi="Calibri" w:cs="Calibri"/>
        </w:rPr>
        <w:t>NIS</w:t>
      </w:r>
      <w:r w:rsidR="001C2C91" w:rsidRPr="00A7044E">
        <w:rPr>
          <w:rFonts w:ascii="Calibri" w:hAnsi="Calibri" w:cs="Calibri"/>
        </w:rPr>
        <w:t xml:space="preserve"> </w:t>
      </w:r>
      <w:r w:rsidR="00304614" w:rsidRPr="00A7044E">
        <w:rPr>
          <w:rFonts w:ascii="Calibri" w:hAnsi="Calibri" w:cs="Calibri"/>
        </w:rPr>
        <w:t>1.</w:t>
      </w:r>
      <w:r w:rsidR="00696D75" w:rsidRPr="00A7044E">
        <w:rPr>
          <w:rFonts w:ascii="Calibri" w:hAnsi="Calibri" w:cs="Calibri"/>
        </w:rPr>
        <w:t>23</w:t>
      </w:r>
      <w:r w:rsidR="00304614" w:rsidRPr="00A7044E">
        <w:rPr>
          <w:rFonts w:ascii="Calibri" w:hAnsi="Calibri" w:cs="Calibri"/>
        </w:rPr>
        <w:t xml:space="preserve"> trillion</w:t>
      </w:r>
      <w:r w:rsidR="00560E9A" w:rsidRPr="00A7044E">
        <w:rPr>
          <w:rFonts w:ascii="Calibri" w:hAnsi="Calibri" w:cs="Calibri"/>
        </w:rPr>
        <w:t xml:space="preserve"> at</w:t>
      </w:r>
      <w:r w:rsidR="00085E6A" w:rsidRPr="00A7044E">
        <w:rPr>
          <w:rFonts w:ascii="Calibri" w:hAnsi="Calibri" w:cs="Calibri"/>
        </w:rPr>
        <w:t xml:space="preserve"> the end of the</w:t>
      </w:r>
      <w:r w:rsidR="00560E9A" w:rsidRPr="00A7044E">
        <w:rPr>
          <w:rFonts w:ascii="Calibri" w:hAnsi="Calibri" w:cs="Calibri"/>
        </w:rPr>
        <w:t xml:space="preserve"> quarter</w:t>
      </w:r>
      <w:r w:rsidR="00211075" w:rsidRPr="00A7044E">
        <w:rPr>
          <w:rFonts w:ascii="Calibri" w:hAnsi="Calibri" w:cs="Calibri"/>
        </w:rPr>
        <w:t xml:space="preserve">, </w:t>
      </w:r>
      <w:r w:rsidRPr="00A7044E">
        <w:rPr>
          <w:rFonts w:ascii="Calibri" w:hAnsi="Calibri" w:cs="Calibri"/>
        </w:rPr>
        <w:t xml:space="preserve">constituting </w:t>
      </w:r>
      <w:r w:rsidR="00E27A87" w:rsidRPr="00A7044E">
        <w:rPr>
          <w:rFonts w:ascii="Calibri" w:hAnsi="Calibri" w:cs="Calibri"/>
        </w:rPr>
        <w:t>approximately</w:t>
      </w:r>
      <w:r w:rsidR="00E27A87" w:rsidRPr="00A7044E">
        <w:rPr>
          <w:rFonts w:ascii="Calibri" w:hAnsi="Calibri" w:cs="Calibri"/>
          <w:b/>
          <w:bCs/>
        </w:rPr>
        <w:t xml:space="preserve"> </w:t>
      </w:r>
      <w:r w:rsidR="00560E9A" w:rsidRPr="00A7044E">
        <w:rPr>
          <w:rFonts w:ascii="Calibri" w:hAnsi="Calibri" w:cs="Calibri"/>
        </w:rPr>
        <w:t>2</w:t>
      </w:r>
      <w:r w:rsidR="00696D75" w:rsidRPr="00A7044E">
        <w:rPr>
          <w:rFonts w:ascii="Calibri" w:hAnsi="Calibri" w:cs="Calibri"/>
        </w:rPr>
        <w:t>1</w:t>
      </w:r>
      <w:r w:rsidR="00343B20" w:rsidRPr="00A7044E">
        <w:rPr>
          <w:rFonts w:ascii="Calibri" w:hAnsi="Calibri" w:cs="Calibri"/>
        </w:rPr>
        <w:t xml:space="preserve"> p</w:t>
      </w:r>
      <w:r w:rsidRPr="00A7044E">
        <w:rPr>
          <w:rFonts w:ascii="Calibri" w:hAnsi="Calibri" w:cs="Calibri"/>
        </w:rPr>
        <w:t>ercent of the total asset portfolio</w:t>
      </w:r>
      <w:r w:rsidR="00343B20" w:rsidRPr="00A7044E">
        <w:rPr>
          <w:rFonts w:ascii="Calibri" w:hAnsi="Calibri" w:cs="Calibri"/>
        </w:rPr>
        <w:t>.</w:t>
      </w:r>
      <w:r w:rsidR="002B0BD0" w:rsidRPr="00A7044E">
        <w:rPr>
          <w:rFonts w:ascii="Calibri" w:hAnsi="Calibri" w:cs="Calibri"/>
        </w:rPr>
        <w:t xml:space="preserve"> The </w:t>
      </w:r>
      <w:r w:rsidR="00560E9A" w:rsidRPr="00A7044E">
        <w:rPr>
          <w:rFonts w:ascii="Calibri" w:hAnsi="Calibri" w:cs="Calibri"/>
        </w:rPr>
        <w:t xml:space="preserve">development in the balance of investments abroad </w:t>
      </w:r>
      <w:r w:rsidR="00085E6A" w:rsidRPr="00A7044E">
        <w:rPr>
          <w:rFonts w:ascii="Calibri" w:hAnsi="Calibri" w:cs="Calibri"/>
        </w:rPr>
        <w:t xml:space="preserve">was mainly due to </w:t>
      </w:r>
      <w:r w:rsidR="002B0BD0" w:rsidRPr="00A7044E">
        <w:rPr>
          <w:rFonts w:ascii="Calibri" w:hAnsi="Calibri" w:cs="Calibri"/>
        </w:rPr>
        <w:t>the following components:</w:t>
      </w:r>
    </w:p>
    <w:p w14:paraId="7F4D805D" w14:textId="77777777" w:rsidR="00466D57" w:rsidRPr="00A7044E" w:rsidRDefault="00466D57" w:rsidP="007E422E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571E3B27" w14:textId="1CEA3F3B" w:rsidR="00304614" w:rsidRPr="00A7044E" w:rsidRDefault="00304614" w:rsidP="00696D75">
      <w:pPr>
        <w:pStyle w:val="ab"/>
        <w:numPr>
          <w:ilvl w:val="0"/>
          <w:numId w:val="24"/>
        </w:numPr>
        <w:bidi w:val="0"/>
        <w:spacing w:line="300" w:lineRule="exact"/>
        <w:jc w:val="both"/>
        <w:rPr>
          <w:rFonts w:ascii="Calibri" w:hAnsi="Calibri" w:cs="Calibri"/>
        </w:rPr>
      </w:pPr>
      <w:r w:rsidRPr="00A7044E">
        <w:rPr>
          <w:rFonts w:ascii="Calibri" w:hAnsi="Calibri" w:cs="Calibri"/>
        </w:rPr>
        <w:t xml:space="preserve">The balance of </w:t>
      </w:r>
      <w:r w:rsidRPr="00A7044E">
        <w:rPr>
          <w:rFonts w:ascii="Calibri" w:hAnsi="Calibri" w:cs="Calibri"/>
          <w:b/>
          <w:bCs/>
        </w:rPr>
        <w:t>equities held abroad</w:t>
      </w:r>
      <w:r w:rsidRPr="00A7044E">
        <w:rPr>
          <w:rFonts w:ascii="Calibri" w:hAnsi="Calibri" w:cs="Calibri"/>
        </w:rPr>
        <w:t xml:space="preserve"> increased by </w:t>
      </w:r>
      <w:r w:rsidR="00C66406" w:rsidRPr="00A7044E">
        <w:rPr>
          <w:rFonts w:ascii="Calibri" w:hAnsi="Calibri" w:cs="Calibri"/>
        </w:rPr>
        <w:t xml:space="preserve">approximately </w:t>
      </w:r>
      <w:r w:rsidRPr="00A7044E">
        <w:rPr>
          <w:rFonts w:ascii="Calibri" w:hAnsi="Calibri" w:cs="Calibri"/>
        </w:rPr>
        <w:t xml:space="preserve">NIS </w:t>
      </w:r>
      <w:r w:rsidR="00696D75" w:rsidRPr="00A7044E">
        <w:rPr>
          <w:rFonts w:ascii="Calibri" w:hAnsi="Calibri" w:cs="Calibri"/>
        </w:rPr>
        <w:t>28</w:t>
      </w:r>
      <w:r w:rsidRPr="00A7044E">
        <w:rPr>
          <w:rFonts w:ascii="Calibri" w:hAnsi="Calibri" w:cs="Calibri"/>
        </w:rPr>
        <w:t xml:space="preserve"> billion (</w:t>
      </w:r>
      <w:r w:rsidR="00696D75" w:rsidRPr="00A7044E">
        <w:rPr>
          <w:rFonts w:ascii="Calibri" w:hAnsi="Calibri" w:cs="Calibri"/>
        </w:rPr>
        <w:t>4.2</w:t>
      </w:r>
      <w:r w:rsidRPr="00A7044E">
        <w:rPr>
          <w:rFonts w:ascii="Calibri" w:hAnsi="Calibri" w:cs="Calibri"/>
        </w:rPr>
        <w:t xml:space="preserve"> percent), to </w:t>
      </w:r>
      <w:r w:rsidR="00085E6A" w:rsidRPr="00A7044E">
        <w:rPr>
          <w:rFonts w:ascii="Calibri" w:hAnsi="Calibri" w:cs="Calibri"/>
        </w:rPr>
        <w:t xml:space="preserve">about </w:t>
      </w:r>
      <w:r w:rsidRPr="00A7044E">
        <w:rPr>
          <w:rFonts w:ascii="Calibri" w:hAnsi="Calibri" w:cs="Calibri"/>
        </w:rPr>
        <w:t xml:space="preserve">NIS </w:t>
      </w:r>
      <w:r w:rsidR="00407B1E" w:rsidRPr="00A7044E">
        <w:rPr>
          <w:rFonts w:ascii="Calibri" w:hAnsi="Calibri" w:cs="Calibri"/>
        </w:rPr>
        <w:t>6</w:t>
      </w:r>
      <w:r w:rsidR="00696D75" w:rsidRPr="00A7044E">
        <w:rPr>
          <w:rFonts w:ascii="Calibri" w:hAnsi="Calibri" w:cs="Calibri"/>
        </w:rPr>
        <w:t>98</w:t>
      </w:r>
      <w:r w:rsidR="00407B1E" w:rsidRPr="00A7044E">
        <w:rPr>
          <w:rFonts w:ascii="Calibri" w:hAnsi="Calibri" w:cs="Calibri"/>
        </w:rPr>
        <w:t xml:space="preserve"> </w:t>
      </w:r>
      <w:r w:rsidRPr="00A7044E">
        <w:rPr>
          <w:rFonts w:ascii="Calibri" w:hAnsi="Calibri" w:cs="Calibri"/>
        </w:rPr>
        <w:t>billion.</w:t>
      </w:r>
      <w:r w:rsidR="00407B1E" w:rsidRPr="00A7044E">
        <w:rPr>
          <w:rFonts w:ascii="Calibri" w:hAnsi="Calibri" w:cs="Calibri"/>
        </w:rPr>
        <w:t xml:space="preserve"> This was mainly the result </w:t>
      </w:r>
      <w:r w:rsidRPr="00A7044E">
        <w:rPr>
          <w:rFonts w:ascii="Calibri" w:hAnsi="Calibri" w:cs="Calibri"/>
        </w:rPr>
        <w:t>of price increases and net investments,</w:t>
      </w:r>
      <w:r w:rsidR="00407B1E" w:rsidRPr="00A7044E">
        <w:rPr>
          <w:rFonts w:ascii="Calibri" w:hAnsi="Calibri" w:cs="Calibri"/>
        </w:rPr>
        <w:t xml:space="preserve"> (estimated to be </w:t>
      </w:r>
      <w:r w:rsidR="00085E6A" w:rsidRPr="00A7044E">
        <w:rPr>
          <w:rFonts w:ascii="Calibri" w:hAnsi="Calibri" w:cs="Calibri"/>
        </w:rPr>
        <w:t xml:space="preserve">about </w:t>
      </w:r>
      <w:r w:rsidR="00407B1E" w:rsidRPr="00A7044E">
        <w:rPr>
          <w:rFonts w:ascii="Calibri" w:hAnsi="Calibri" w:cs="Calibri"/>
        </w:rPr>
        <w:t xml:space="preserve">NIS </w:t>
      </w:r>
      <w:r w:rsidR="00085E6A" w:rsidRPr="00A7044E">
        <w:rPr>
          <w:rFonts w:ascii="Calibri" w:hAnsi="Calibri" w:cs="Calibri"/>
        </w:rPr>
        <w:t>1</w:t>
      </w:r>
      <w:r w:rsidR="00696D75" w:rsidRPr="00A7044E">
        <w:rPr>
          <w:rFonts w:ascii="Calibri" w:hAnsi="Calibri" w:cs="Calibri"/>
        </w:rPr>
        <w:t>5</w:t>
      </w:r>
      <w:r w:rsidR="00085E6A" w:rsidRPr="00A7044E">
        <w:rPr>
          <w:rFonts w:ascii="Calibri" w:hAnsi="Calibri" w:cs="Calibri"/>
        </w:rPr>
        <w:t>.8</w:t>
      </w:r>
      <w:r w:rsidR="00407B1E" w:rsidRPr="00A7044E">
        <w:rPr>
          <w:rFonts w:ascii="Calibri" w:hAnsi="Calibri" w:cs="Calibri"/>
        </w:rPr>
        <w:t xml:space="preserve"> billion)</w:t>
      </w:r>
      <w:r w:rsidR="00D37A86" w:rsidRPr="00A7044E">
        <w:rPr>
          <w:rFonts w:ascii="Calibri" w:hAnsi="Calibri" w:cs="Calibri"/>
        </w:rPr>
        <w:t>.</w:t>
      </w:r>
    </w:p>
    <w:p w14:paraId="1DB92996" w14:textId="6D866402" w:rsidR="002D746E" w:rsidRPr="00A7044E" w:rsidRDefault="004D2C0E" w:rsidP="00696D75">
      <w:pPr>
        <w:pStyle w:val="ab"/>
        <w:numPr>
          <w:ilvl w:val="0"/>
          <w:numId w:val="24"/>
        </w:numPr>
        <w:bidi w:val="0"/>
        <w:spacing w:line="300" w:lineRule="exact"/>
        <w:ind w:left="709"/>
        <w:jc w:val="both"/>
        <w:rPr>
          <w:rFonts w:ascii="Calibri" w:hAnsi="Calibri" w:cs="Calibri"/>
        </w:rPr>
      </w:pPr>
      <w:r w:rsidRPr="00A7044E">
        <w:rPr>
          <w:rFonts w:ascii="Calibri" w:hAnsi="Calibri" w:cs="Calibri"/>
        </w:rPr>
        <w:t xml:space="preserve">The balance of </w:t>
      </w:r>
      <w:r w:rsidRPr="00A7044E">
        <w:rPr>
          <w:rFonts w:ascii="Calibri" w:hAnsi="Calibri" w:cs="Calibri"/>
          <w:b/>
          <w:bCs/>
        </w:rPr>
        <w:t>tradable (corporate and government) bonds abroad</w:t>
      </w:r>
      <w:r w:rsidRPr="00A7044E">
        <w:rPr>
          <w:rFonts w:ascii="Calibri" w:hAnsi="Calibri" w:cs="Calibri"/>
        </w:rPr>
        <w:t xml:space="preserve"> increased by </w:t>
      </w:r>
      <w:r w:rsidR="00C66406" w:rsidRPr="00A7044E">
        <w:rPr>
          <w:rFonts w:ascii="Calibri" w:hAnsi="Calibri" w:cs="Calibri"/>
        </w:rPr>
        <w:t xml:space="preserve">approximately </w:t>
      </w:r>
      <w:r w:rsidRPr="00A7044E">
        <w:rPr>
          <w:rFonts w:ascii="Calibri" w:hAnsi="Calibri" w:cs="Calibri"/>
        </w:rPr>
        <w:t xml:space="preserve">NIS </w:t>
      </w:r>
      <w:r w:rsidR="00696D75" w:rsidRPr="00A7044E">
        <w:rPr>
          <w:rFonts w:ascii="Calibri" w:hAnsi="Calibri" w:cs="Calibri"/>
        </w:rPr>
        <w:t>7.6</w:t>
      </w:r>
      <w:r w:rsidR="00D37A86" w:rsidRPr="00A7044E">
        <w:rPr>
          <w:rFonts w:ascii="Calibri" w:hAnsi="Calibri" w:cs="Calibri"/>
        </w:rPr>
        <w:t xml:space="preserve"> billion (</w:t>
      </w:r>
      <w:r w:rsidR="00696D75" w:rsidRPr="00A7044E">
        <w:rPr>
          <w:rFonts w:ascii="Calibri" w:hAnsi="Calibri" w:cs="Calibri"/>
        </w:rPr>
        <w:t>2.8</w:t>
      </w:r>
      <w:r w:rsidRPr="00A7044E">
        <w:rPr>
          <w:rFonts w:ascii="Calibri" w:hAnsi="Calibri" w:cs="Calibri"/>
        </w:rPr>
        <w:t xml:space="preserve"> percent) during the quarter, to about NIS </w:t>
      </w:r>
      <w:r w:rsidR="00D37A86" w:rsidRPr="00A7044E">
        <w:rPr>
          <w:rFonts w:ascii="Calibri" w:hAnsi="Calibri" w:cs="Calibri"/>
        </w:rPr>
        <w:t>2</w:t>
      </w:r>
      <w:r w:rsidR="00696D75" w:rsidRPr="00A7044E">
        <w:rPr>
          <w:rFonts w:ascii="Calibri" w:hAnsi="Calibri" w:cs="Calibri"/>
        </w:rPr>
        <w:t>7</w:t>
      </w:r>
      <w:r w:rsidR="00085E6A" w:rsidRPr="00A7044E">
        <w:rPr>
          <w:rFonts w:ascii="Calibri" w:hAnsi="Calibri" w:cs="Calibri"/>
        </w:rPr>
        <w:t>9.</w:t>
      </w:r>
      <w:r w:rsidR="00696D75" w:rsidRPr="00A7044E">
        <w:rPr>
          <w:rFonts w:ascii="Calibri" w:hAnsi="Calibri" w:cs="Calibri"/>
        </w:rPr>
        <w:t>9</w:t>
      </w:r>
      <w:r w:rsidR="00D37A86" w:rsidRPr="00A7044E">
        <w:rPr>
          <w:rFonts w:ascii="Calibri" w:hAnsi="Calibri" w:cs="Calibri"/>
        </w:rPr>
        <w:t xml:space="preserve"> </w:t>
      </w:r>
      <w:r w:rsidRPr="00A7044E">
        <w:rPr>
          <w:rFonts w:ascii="Calibri" w:hAnsi="Calibri" w:cs="Calibri"/>
        </w:rPr>
        <w:t xml:space="preserve">billion. This increase </w:t>
      </w:r>
      <w:r w:rsidR="00085E6A" w:rsidRPr="00A7044E">
        <w:rPr>
          <w:rFonts w:ascii="Calibri" w:hAnsi="Calibri" w:cs="Calibri"/>
        </w:rPr>
        <w:t>was</w:t>
      </w:r>
      <w:r w:rsidRPr="00A7044E">
        <w:rPr>
          <w:rFonts w:ascii="Calibri" w:hAnsi="Calibri" w:cs="Calibri"/>
        </w:rPr>
        <w:t xml:space="preserve"> mainly </w:t>
      </w:r>
      <w:r w:rsidR="00085E6A" w:rsidRPr="00A7044E">
        <w:rPr>
          <w:rFonts w:ascii="Calibri" w:hAnsi="Calibri" w:cs="Calibri"/>
        </w:rPr>
        <w:t>due to</w:t>
      </w:r>
      <w:r w:rsidR="00696D75" w:rsidRPr="00A7044E">
        <w:rPr>
          <w:rFonts w:ascii="Calibri" w:hAnsi="Calibri" w:cs="Calibri"/>
        </w:rPr>
        <w:t xml:space="preserve"> price increases, and</w:t>
      </w:r>
      <w:r w:rsidR="00304614" w:rsidRPr="00A7044E">
        <w:rPr>
          <w:rFonts w:ascii="Calibri" w:hAnsi="Calibri" w:cs="Calibri"/>
        </w:rPr>
        <w:t xml:space="preserve"> net investments totaling </w:t>
      </w:r>
      <w:r w:rsidR="00085E6A" w:rsidRPr="00A7044E">
        <w:rPr>
          <w:rFonts w:ascii="Calibri" w:hAnsi="Calibri" w:cs="Calibri"/>
        </w:rPr>
        <w:t xml:space="preserve">about </w:t>
      </w:r>
      <w:r w:rsidR="00304614" w:rsidRPr="00A7044E">
        <w:rPr>
          <w:rFonts w:ascii="Calibri" w:hAnsi="Calibri" w:cs="Calibri"/>
        </w:rPr>
        <w:t xml:space="preserve">NIS </w:t>
      </w:r>
      <w:r w:rsidR="00696D75" w:rsidRPr="00A7044E">
        <w:rPr>
          <w:rFonts w:ascii="Calibri" w:hAnsi="Calibri" w:cs="Calibri"/>
        </w:rPr>
        <w:t>4.3</w:t>
      </w:r>
      <w:r w:rsidR="00393091" w:rsidRPr="00A7044E">
        <w:rPr>
          <w:rFonts w:ascii="Calibri" w:hAnsi="Calibri" w:cs="Calibri"/>
        </w:rPr>
        <w:t xml:space="preserve"> </w:t>
      </w:r>
      <w:r w:rsidR="00304614" w:rsidRPr="00A7044E">
        <w:rPr>
          <w:rFonts w:ascii="Calibri" w:hAnsi="Calibri" w:cs="Calibri"/>
        </w:rPr>
        <w:t>billion</w:t>
      </w:r>
      <w:r w:rsidR="002861D9" w:rsidRPr="00A7044E">
        <w:rPr>
          <w:rFonts w:ascii="Calibri" w:hAnsi="Calibri" w:cs="Calibri"/>
        </w:rPr>
        <w:t>.</w:t>
      </w:r>
    </w:p>
    <w:p w14:paraId="0779BC96" w14:textId="5D8AA806" w:rsidR="00A36FE7" w:rsidRPr="00A7044E" w:rsidRDefault="002D746E" w:rsidP="00696D75">
      <w:pPr>
        <w:pStyle w:val="ab"/>
        <w:numPr>
          <w:ilvl w:val="0"/>
          <w:numId w:val="24"/>
        </w:numPr>
        <w:bidi w:val="0"/>
        <w:spacing w:line="300" w:lineRule="exact"/>
        <w:ind w:left="709"/>
        <w:jc w:val="both"/>
        <w:rPr>
          <w:rFonts w:ascii="Calibri" w:hAnsi="Calibri" w:cs="Calibri"/>
        </w:rPr>
      </w:pPr>
      <w:r w:rsidRPr="00A7044E">
        <w:rPr>
          <w:rFonts w:ascii="Calibri" w:hAnsi="Calibri" w:cs="Calibri"/>
        </w:rPr>
        <w:t xml:space="preserve">The balance of </w:t>
      </w:r>
      <w:r w:rsidRPr="00A7044E">
        <w:rPr>
          <w:rFonts w:ascii="Calibri" w:hAnsi="Calibri" w:cs="Calibri"/>
          <w:b/>
          <w:bCs/>
        </w:rPr>
        <w:t>investment funds</w:t>
      </w:r>
      <w:r w:rsidRPr="00A7044E">
        <w:rPr>
          <w:rFonts w:ascii="Calibri" w:hAnsi="Calibri" w:cs="Calibri"/>
        </w:rPr>
        <w:t xml:space="preserve"> increased by about NIS </w:t>
      </w:r>
      <w:r w:rsidR="00696D75" w:rsidRPr="00A7044E">
        <w:rPr>
          <w:rFonts w:ascii="Calibri" w:hAnsi="Calibri" w:cs="Calibri"/>
        </w:rPr>
        <w:t>6</w:t>
      </w:r>
      <w:r w:rsidRPr="00A7044E">
        <w:rPr>
          <w:rFonts w:ascii="Calibri" w:hAnsi="Calibri" w:cs="Calibri"/>
        </w:rPr>
        <w:t xml:space="preserve"> billion (</w:t>
      </w:r>
      <w:r w:rsidR="00696D75" w:rsidRPr="00A7044E">
        <w:rPr>
          <w:rFonts w:ascii="Calibri" w:hAnsi="Calibri" w:cs="Calibri"/>
        </w:rPr>
        <w:t>2.6</w:t>
      </w:r>
      <w:r w:rsidRPr="00A7044E">
        <w:rPr>
          <w:rFonts w:ascii="Calibri" w:hAnsi="Calibri" w:cs="Calibri"/>
        </w:rPr>
        <w:t xml:space="preserve"> percent) to about NIS 24</w:t>
      </w:r>
      <w:r w:rsidR="00696D75" w:rsidRPr="00A7044E">
        <w:rPr>
          <w:rFonts w:ascii="Calibri" w:hAnsi="Calibri" w:cs="Calibri"/>
        </w:rPr>
        <w:t>9.3</w:t>
      </w:r>
      <w:r w:rsidRPr="00A7044E">
        <w:rPr>
          <w:rFonts w:ascii="Calibri" w:hAnsi="Calibri" w:cs="Calibri"/>
        </w:rPr>
        <w:t xml:space="preserve"> billion at the end of the quarter.</w:t>
      </w:r>
    </w:p>
    <w:p w14:paraId="0DCC6434" w14:textId="77777777" w:rsidR="00085E6A" w:rsidRPr="00A7044E" w:rsidRDefault="00085E6A" w:rsidP="00085E6A">
      <w:pPr>
        <w:pStyle w:val="ab"/>
        <w:bidi w:val="0"/>
        <w:spacing w:line="300" w:lineRule="exact"/>
        <w:ind w:left="709"/>
        <w:jc w:val="both"/>
        <w:rPr>
          <w:rFonts w:ascii="Calibri" w:hAnsi="Calibri" w:cs="Calibri"/>
        </w:rPr>
      </w:pPr>
    </w:p>
    <w:p w14:paraId="64448DAC" w14:textId="4A35F83D" w:rsidR="00AC12BA" w:rsidRPr="00A7044E" w:rsidRDefault="00A36FE7" w:rsidP="00696D75">
      <w:pPr>
        <w:bidi w:val="0"/>
        <w:spacing w:line="300" w:lineRule="exact"/>
        <w:ind w:left="66"/>
        <w:jc w:val="both"/>
        <w:rPr>
          <w:rFonts w:ascii="Calibri" w:hAnsi="Calibri" w:cs="Calibri"/>
        </w:rPr>
      </w:pPr>
      <w:r w:rsidRPr="00A7044E">
        <w:rPr>
          <w:rFonts w:ascii="Calibri" w:hAnsi="Calibri" w:cs="Calibri"/>
        </w:rPr>
        <w:t xml:space="preserve">As a result of </w:t>
      </w:r>
      <w:r w:rsidR="00304614" w:rsidRPr="00A7044E">
        <w:rPr>
          <w:rFonts w:ascii="Calibri" w:hAnsi="Calibri" w:cs="Calibri"/>
        </w:rPr>
        <w:t xml:space="preserve">the </w:t>
      </w:r>
      <w:r w:rsidRPr="00A7044E">
        <w:rPr>
          <w:rFonts w:ascii="Calibri" w:hAnsi="Calibri" w:cs="Calibri"/>
        </w:rPr>
        <w:t xml:space="preserve">developments during the </w:t>
      </w:r>
      <w:r w:rsidR="00C16DFE" w:rsidRPr="00A7044E">
        <w:rPr>
          <w:rFonts w:ascii="Calibri" w:hAnsi="Calibri" w:cs="Calibri"/>
        </w:rPr>
        <w:t>quarter</w:t>
      </w:r>
      <w:r w:rsidRPr="00A7044E">
        <w:rPr>
          <w:rFonts w:ascii="Calibri" w:hAnsi="Calibri" w:cs="Calibri"/>
        </w:rPr>
        <w:t xml:space="preserve">, there </w:t>
      </w:r>
      <w:r w:rsidR="00304614" w:rsidRPr="00A7044E">
        <w:rPr>
          <w:rFonts w:ascii="Calibri" w:hAnsi="Calibri" w:cs="Calibri"/>
        </w:rPr>
        <w:t xml:space="preserve">was </w:t>
      </w:r>
      <w:r w:rsidR="00696D75" w:rsidRPr="00A7044E">
        <w:rPr>
          <w:rFonts w:ascii="Calibri" w:hAnsi="Calibri" w:cs="Calibri"/>
        </w:rPr>
        <w:t>a decline</w:t>
      </w:r>
      <w:r w:rsidR="00304614" w:rsidRPr="00A7044E">
        <w:rPr>
          <w:rFonts w:ascii="Calibri" w:hAnsi="Calibri" w:cs="Calibri"/>
        </w:rPr>
        <w:t xml:space="preserve"> </w:t>
      </w:r>
      <w:r w:rsidRPr="00A7044E">
        <w:rPr>
          <w:rFonts w:ascii="Calibri" w:hAnsi="Calibri" w:cs="Calibri"/>
        </w:rPr>
        <w:t xml:space="preserve">of about </w:t>
      </w:r>
      <w:r w:rsidR="00696D75" w:rsidRPr="00A7044E">
        <w:rPr>
          <w:rFonts w:ascii="Calibri" w:hAnsi="Calibri" w:cs="Calibri"/>
        </w:rPr>
        <w:t>0</w:t>
      </w:r>
      <w:r w:rsidR="00393091" w:rsidRPr="00A7044E">
        <w:rPr>
          <w:rFonts w:ascii="Calibri" w:hAnsi="Calibri" w:cs="Calibri"/>
        </w:rPr>
        <w:t>.</w:t>
      </w:r>
      <w:r w:rsidR="002D746E" w:rsidRPr="00A7044E">
        <w:rPr>
          <w:rFonts w:ascii="Calibri" w:hAnsi="Calibri" w:cs="Calibri"/>
        </w:rPr>
        <w:t>1</w:t>
      </w:r>
      <w:r w:rsidR="00C14D26" w:rsidRPr="00A7044E">
        <w:rPr>
          <w:rFonts w:ascii="Calibri" w:hAnsi="Calibri" w:cs="Calibri"/>
        </w:rPr>
        <w:t xml:space="preserve"> </w:t>
      </w:r>
      <w:r w:rsidR="00AC12BA" w:rsidRPr="00A7044E">
        <w:rPr>
          <w:rFonts w:ascii="Calibri" w:hAnsi="Calibri" w:cs="Calibri"/>
        </w:rPr>
        <w:t>percentage point</w:t>
      </w:r>
      <w:r w:rsidR="008F720F" w:rsidRPr="00A7044E">
        <w:rPr>
          <w:rFonts w:ascii="Calibri" w:hAnsi="Calibri" w:cs="Calibri"/>
        </w:rPr>
        <w:t>s</w:t>
      </w:r>
      <w:r w:rsidR="00B46EB5" w:rsidRPr="00A7044E">
        <w:rPr>
          <w:rFonts w:ascii="Calibri" w:hAnsi="Calibri" w:cs="Calibri"/>
        </w:rPr>
        <w:t xml:space="preserve"> </w:t>
      </w:r>
      <w:r w:rsidR="009A22E0" w:rsidRPr="00A7044E">
        <w:rPr>
          <w:rFonts w:ascii="Calibri" w:hAnsi="Calibri" w:cs="Calibri"/>
        </w:rPr>
        <w:t xml:space="preserve">(from </w:t>
      </w:r>
      <w:r w:rsidR="00393091" w:rsidRPr="00A7044E">
        <w:rPr>
          <w:rFonts w:ascii="Calibri" w:hAnsi="Calibri" w:cs="Calibri"/>
        </w:rPr>
        <w:t>2</w:t>
      </w:r>
      <w:r w:rsidR="00696D75" w:rsidRPr="00A7044E">
        <w:rPr>
          <w:rFonts w:ascii="Calibri" w:hAnsi="Calibri" w:cs="Calibri"/>
        </w:rPr>
        <w:t>7.7</w:t>
      </w:r>
      <w:r w:rsidR="00393091" w:rsidRPr="00A7044E">
        <w:rPr>
          <w:rFonts w:ascii="Calibri" w:hAnsi="Calibri" w:cs="Calibri"/>
        </w:rPr>
        <w:t xml:space="preserve"> </w:t>
      </w:r>
      <w:r w:rsidR="009A22E0" w:rsidRPr="00A7044E">
        <w:rPr>
          <w:rFonts w:ascii="Calibri" w:hAnsi="Calibri" w:cs="Calibri"/>
        </w:rPr>
        <w:t xml:space="preserve">percent to </w:t>
      </w:r>
      <w:r w:rsidR="00393091" w:rsidRPr="00A7044E">
        <w:rPr>
          <w:rFonts w:ascii="Calibri" w:hAnsi="Calibri" w:cs="Calibri"/>
        </w:rPr>
        <w:t>2</w:t>
      </w:r>
      <w:r w:rsidR="002D746E" w:rsidRPr="00A7044E">
        <w:rPr>
          <w:rFonts w:ascii="Calibri" w:hAnsi="Calibri" w:cs="Calibri"/>
        </w:rPr>
        <w:t>7.</w:t>
      </w:r>
      <w:r w:rsidR="00696D75" w:rsidRPr="00A7044E">
        <w:rPr>
          <w:rFonts w:ascii="Calibri" w:hAnsi="Calibri" w:cs="Calibri"/>
        </w:rPr>
        <w:t>6</w:t>
      </w:r>
      <w:r w:rsidR="00393091" w:rsidRPr="00A7044E">
        <w:rPr>
          <w:rFonts w:ascii="Calibri" w:hAnsi="Calibri" w:cs="Calibri"/>
        </w:rPr>
        <w:t xml:space="preserve"> </w:t>
      </w:r>
      <w:r w:rsidR="009A22E0" w:rsidRPr="00A7044E">
        <w:rPr>
          <w:rFonts w:ascii="Calibri" w:hAnsi="Calibri" w:cs="Calibri"/>
        </w:rPr>
        <w:t xml:space="preserve">percent) </w:t>
      </w:r>
      <w:r w:rsidR="006A10A7" w:rsidRPr="00A7044E">
        <w:rPr>
          <w:rFonts w:ascii="Calibri" w:hAnsi="Calibri" w:cs="Calibri"/>
        </w:rPr>
        <w:t xml:space="preserve">in the share of </w:t>
      </w:r>
      <w:r w:rsidR="00CB0861" w:rsidRPr="00A7044E">
        <w:rPr>
          <w:rFonts w:ascii="Calibri" w:hAnsi="Calibri" w:cs="Calibri"/>
        </w:rPr>
        <w:t>foreign</w:t>
      </w:r>
      <w:r w:rsidR="009A22E0" w:rsidRPr="00A7044E">
        <w:rPr>
          <w:rFonts w:ascii="Calibri" w:hAnsi="Calibri" w:cs="Calibri"/>
        </w:rPr>
        <w:t xml:space="preserve"> </w:t>
      </w:r>
      <w:r w:rsidR="00FC7D67" w:rsidRPr="00A7044E">
        <w:rPr>
          <w:rFonts w:ascii="Calibri" w:hAnsi="Calibri" w:cs="Calibri"/>
        </w:rPr>
        <w:t xml:space="preserve">currency </w:t>
      </w:r>
      <w:r w:rsidR="00301495" w:rsidRPr="00A7044E">
        <w:rPr>
          <w:rFonts w:ascii="Calibri" w:hAnsi="Calibri" w:cs="Calibri"/>
        </w:rPr>
        <w:t>assets</w:t>
      </w:r>
      <w:r w:rsidR="00A50808" w:rsidRPr="00A7044E">
        <w:rPr>
          <w:rFonts w:ascii="Calibri" w:hAnsi="Calibri" w:cs="Calibri"/>
        </w:rPr>
        <w:t>.</w:t>
      </w:r>
    </w:p>
    <w:p w14:paraId="34FBEEC1" w14:textId="77777777" w:rsidR="00AC12BA" w:rsidRPr="00A7044E" w:rsidRDefault="00AC12BA" w:rsidP="007E422E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400331D6" w14:textId="5852F875" w:rsidR="00111C23" w:rsidRPr="00A7044E" w:rsidRDefault="00111C23" w:rsidP="007E422E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254510B0" w14:textId="77777777" w:rsidR="00612D3F" w:rsidRPr="00A7044E" w:rsidRDefault="00612D3F">
      <w:pPr>
        <w:bidi w:val="0"/>
        <w:rPr>
          <w:rFonts w:ascii="Calibri" w:hAnsi="Calibri" w:cs="Calibri"/>
          <w:b/>
          <w:bCs/>
          <w:lang w:eastAsia="zh-CN" w:bidi="ar-SA"/>
        </w:rPr>
      </w:pPr>
      <w:r w:rsidRPr="00A7044E">
        <w:rPr>
          <w:rFonts w:ascii="Calibri" w:hAnsi="Calibri" w:cs="Calibri"/>
        </w:rPr>
        <w:br w:type="page"/>
      </w:r>
    </w:p>
    <w:p w14:paraId="7541D2BB" w14:textId="0382252A" w:rsidR="0053542D" w:rsidRPr="00A7044E" w:rsidRDefault="00D1348F" w:rsidP="0053542D">
      <w:pPr>
        <w:pStyle w:val="1"/>
        <w:jc w:val="left"/>
        <w:rPr>
          <w:rFonts w:ascii="Calibri" w:hAnsi="Calibri" w:cs="Calibri"/>
        </w:rPr>
      </w:pPr>
      <w:r w:rsidRPr="00A7044E">
        <w:rPr>
          <w:rFonts w:ascii="Calibri" w:hAnsi="Calibri" w:cs="Calibri"/>
          <w:noProof/>
          <w:lang w:eastAsia="en-US" w:bidi="he-IL"/>
        </w:rPr>
        <w:lastRenderedPageBreak/>
        <w:drawing>
          <wp:anchor distT="0" distB="0" distL="114300" distR="114300" simplePos="0" relativeHeight="251677696" behindDoc="0" locked="0" layoutInCell="1" allowOverlap="1" wp14:anchorId="644C2A0E" wp14:editId="40555210">
            <wp:simplePos x="0" y="0"/>
            <wp:positionH relativeFrom="margin">
              <wp:align>center</wp:align>
            </wp:positionH>
            <wp:positionV relativeFrom="paragraph">
              <wp:posOffset>365760</wp:posOffset>
            </wp:positionV>
            <wp:extent cx="5806440" cy="2583815"/>
            <wp:effectExtent l="0" t="0" r="3810" b="6985"/>
            <wp:wrapSquare wrapText="bothSides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258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34CD" w:rsidRPr="00A7044E">
        <w:rPr>
          <w:rFonts w:ascii="Calibri" w:hAnsi="Calibri" w:cs="Calibri"/>
        </w:rPr>
        <w:t>3. The portfolio managed by institutional investors</w:t>
      </w:r>
      <w:r w:rsidR="00DF0119" w:rsidRPr="00A7044E">
        <w:rPr>
          <w:rStyle w:val="a8"/>
          <w:rFonts w:ascii="Calibri" w:hAnsi="Calibri" w:cs="Calibri"/>
        </w:rPr>
        <w:footnoteReference w:id="1"/>
      </w:r>
    </w:p>
    <w:p w14:paraId="7FA042F6" w14:textId="0BC0EE49" w:rsidR="00612D3F" w:rsidRPr="00A7044E" w:rsidRDefault="00612D3F" w:rsidP="00612D3F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2E90942B" w14:textId="77777777" w:rsidR="00612D3F" w:rsidRPr="00A7044E" w:rsidRDefault="00612D3F" w:rsidP="00612D3F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61E818DC" w14:textId="009E1EE9" w:rsidR="0053439A" w:rsidRPr="00A7044E" w:rsidRDefault="004F34CD" w:rsidP="00D06578">
      <w:pPr>
        <w:pStyle w:val="ab"/>
        <w:numPr>
          <w:ilvl w:val="0"/>
          <w:numId w:val="26"/>
        </w:numPr>
        <w:tabs>
          <w:tab w:val="left" w:pos="5670"/>
        </w:tabs>
        <w:bidi w:val="0"/>
        <w:spacing w:line="300" w:lineRule="exact"/>
        <w:jc w:val="both"/>
        <w:rPr>
          <w:rFonts w:ascii="Calibri" w:hAnsi="Calibri" w:cs="Calibri"/>
        </w:rPr>
      </w:pPr>
      <w:r w:rsidRPr="00A7044E">
        <w:rPr>
          <w:rFonts w:ascii="Calibri" w:hAnsi="Calibri" w:cs="Calibri"/>
          <w:b/>
          <w:bCs/>
        </w:rPr>
        <w:t xml:space="preserve">The </w:t>
      </w:r>
      <w:r w:rsidR="006F52CC" w:rsidRPr="00A7044E">
        <w:rPr>
          <w:rFonts w:ascii="Calibri" w:hAnsi="Calibri" w:cs="Calibri"/>
          <w:b/>
          <w:bCs/>
        </w:rPr>
        <w:t>balance</w:t>
      </w:r>
      <w:r w:rsidRPr="00A7044E">
        <w:rPr>
          <w:rFonts w:ascii="Calibri" w:hAnsi="Calibri" w:cs="Calibri"/>
          <w:b/>
          <w:bCs/>
        </w:rPr>
        <w:t xml:space="preserve"> of asset</w:t>
      </w:r>
      <w:r w:rsidR="00A906B6" w:rsidRPr="00A7044E">
        <w:rPr>
          <w:rFonts w:ascii="Calibri" w:hAnsi="Calibri" w:cs="Calibri"/>
          <w:b/>
          <w:bCs/>
        </w:rPr>
        <w:t xml:space="preserve">s </w:t>
      </w:r>
      <w:r w:rsidRPr="00A7044E">
        <w:rPr>
          <w:rFonts w:ascii="Calibri" w:hAnsi="Calibri" w:cs="Calibri"/>
          <w:b/>
          <w:bCs/>
        </w:rPr>
        <w:t xml:space="preserve">managed by </w:t>
      </w:r>
      <w:r w:rsidR="00186701" w:rsidRPr="00A7044E">
        <w:rPr>
          <w:rFonts w:ascii="Calibri" w:hAnsi="Calibri" w:cs="Calibri"/>
          <w:b/>
          <w:bCs/>
        </w:rPr>
        <w:t xml:space="preserve">all </w:t>
      </w:r>
      <w:r w:rsidRPr="00A7044E">
        <w:rPr>
          <w:rFonts w:ascii="Calibri" w:hAnsi="Calibri" w:cs="Calibri"/>
          <w:b/>
          <w:bCs/>
        </w:rPr>
        <w:t>institutional investors</w:t>
      </w:r>
      <w:r w:rsidRPr="00A7044E">
        <w:rPr>
          <w:rFonts w:ascii="Calibri" w:hAnsi="Calibri" w:cs="Calibri"/>
        </w:rPr>
        <w:t xml:space="preserve"> </w:t>
      </w:r>
      <w:r w:rsidR="00211E5F" w:rsidRPr="00A7044E">
        <w:rPr>
          <w:rFonts w:ascii="Calibri" w:hAnsi="Calibri" w:cs="Calibri"/>
        </w:rPr>
        <w:t xml:space="preserve">increased </w:t>
      </w:r>
      <w:r w:rsidR="006A0C03" w:rsidRPr="00A7044E">
        <w:rPr>
          <w:rFonts w:ascii="Calibri" w:hAnsi="Calibri" w:cs="Calibri"/>
        </w:rPr>
        <w:t xml:space="preserve">in </w:t>
      </w:r>
      <w:r w:rsidR="00C8104F" w:rsidRPr="00A7044E">
        <w:rPr>
          <w:rFonts w:ascii="Calibri" w:hAnsi="Calibri" w:cs="Calibri"/>
        </w:rPr>
        <w:t xml:space="preserve">the </w:t>
      </w:r>
      <w:r w:rsidR="006F0772" w:rsidRPr="00A7044E">
        <w:rPr>
          <w:rFonts w:ascii="Calibri" w:hAnsi="Calibri" w:cs="Calibri"/>
        </w:rPr>
        <w:t>third</w:t>
      </w:r>
      <w:r w:rsidR="006B32D0" w:rsidRPr="00A7044E">
        <w:rPr>
          <w:rFonts w:ascii="Calibri" w:hAnsi="Calibri" w:cs="Calibri"/>
        </w:rPr>
        <w:t xml:space="preserve"> quarter</w:t>
      </w:r>
      <w:r w:rsidR="00850C5D" w:rsidRPr="00A7044E">
        <w:rPr>
          <w:rFonts w:ascii="Calibri" w:hAnsi="Calibri" w:cs="Calibri"/>
        </w:rPr>
        <w:t xml:space="preserve"> </w:t>
      </w:r>
      <w:r w:rsidR="0015326A" w:rsidRPr="00A7044E">
        <w:rPr>
          <w:rFonts w:ascii="Calibri" w:hAnsi="Calibri" w:cs="Calibri"/>
        </w:rPr>
        <w:t xml:space="preserve">by about NIS </w:t>
      </w:r>
      <w:r w:rsidR="00D06578" w:rsidRPr="00A7044E">
        <w:rPr>
          <w:rFonts w:ascii="Calibri" w:hAnsi="Calibri" w:cs="Calibri"/>
        </w:rPr>
        <w:t xml:space="preserve">114 </w:t>
      </w:r>
      <w:r w:rsidR="001648C9" w:rsidRPr="00A7044E">
        <w:rPr>
          <w:rFonts w:ascii="Calibri" w:hAnsi="Calibri" w:cs="Calibri"/>
        </w:rPr>
        <w:t>billion</w:t>
      </w:r>
      <w:r w:rsidR="00CF4334" w:rsidRPr="00A7044E">
        <w:rPr>
          <w:rFonts w:ascii="Calibri" w:hAnsi="Calibri" w:cs="Calibri"/>
        </w:rPr>
        <w:t xml:space="preserve"> (</w:t>
      </w:r>
      <w:r w:rsidR="00D06578" w:rsidRPr="00A7044E">
        <w:rPr>
          <w:rFonts w:ascii="Calibri" w:hAnsi="Calibri" w:cs="Calibri"/>
        </w:rPr>
        <w:t>4.3</w:t>
      </w:r>
      <w:r w:rsidR="000D63F7" w:rsidRPr="00A7044E">
        <w:rPr>
          <w:rFonts w:ascii="Calibri" w:hAnsi="Calibri" w:cs="Calibri"/>
        </w:rPr>
        <w:t xml:space="preserve"> </w:t>
      </w:r>
      <w:r w:rsidR="00CF4334" w:rsidRPr="00A7044E">
        <w:rPr>
          <w:rFonts w:ascii="Calibri" w:hAnsi="Calibri" w:cs="Calibri"/>
        </w:rPr>
        <w:t>percent</w:t>
      </w:r>
      <w:r w:rsidR="00681F56" w:rsidRPr="00A7044E">
        <w:rPr>
          <w:rFonts w:ascii="Calibri" w:hAnsi="Calibri" w:cs="Calibri"/>
        </w:rPr>
        <w:t>)</w:t>
      </w:r>
      <w:r w:rsidR="008442B0" w:rsidRPr="00A7044E">
        <w:rPr>
          <w:rFonts w:ascii="Calibri" w:hAnsi="Calibri" w:cs="Calibri"/>
        </w:rPr>
        <w:t xml:space="preserve">, </w:t>
      </w:r>
      <w:r w:rsidR="0015326A" w:rsidRPr="00A7044E">
        <w:rPr>
          <w:rFonts w:ascii="Calibri" w:hAnsi="Calibri" w:cs="Calibri"/>
        </w:rPr>
        <w:t>to</w:t>
      </w:r>
      <w:r w:rsidR="002D746E" w:rsidRPr="00A7044E">
        <w:rPr>
          <w:rFonts w:ascii="Calibri" w:hAnsi="Calibri" w:cs="Calibri"/>
        </w:rPr>
        <w:t xml:space="preserve"> about</w:t>
      </w:r>
      <w:r w:rsidR="0015326A" w:rsidRPr="00A7044E">
        <w:rPr>
          <w:rFonts w:ascii="Calibri" w:hAnsi="Calibri" w:cs="Calibri"/>
        </w:rPr>
        <w:t xml:space="preserve"> NIS </w:t>
      </w:r>
      <w:r w:rsidR="00E24F21" w:rsidRPr="00A7044E">
        <w:rPr>
          <w:rFonts w:ascii="Calibri" w:hAnsi="Calibri" w:cs="Calibri"/>
        </w:rPr>
        <w:t>2</w:t>
      </w:r>
      <w:r w:rsidR="00D06578" w:rsidRPr="00A7044E">
        <w:rPr>
          <w:rFonts w:ascii="Calibri" w:hAnsi="Calibri" w:cs="Calibri"/>
        </w:rPr>
        <w:t>.77</w:t>
      </w:r>
      <w:r w:rsidR="008E0DEA" w:rsidRPr="00A7044E">
        <w:rPr>
          <w:rFonts w:ascii="Calibri" w:hAnsi="Calibri" w:cs="Calibri"/>
        </w:rPr>
        <w:t xml:space="preserve"> </w:t>
      </w:r>
      <w:r w:rsidR="0015326A" w:rsidRPr="00A7044E">
        <w:rPr>
          <w:rFonts w:ascii="Calibri" w:hAnsi="Calibri" w:cs="Calibri"/>
        </w:rPr>
        <w:t>trillion</w:t>
      </w:r>
      <w:r w:rsidR="008D2F94" w:rsidRPr="00A7044E">
        <w:rPr>
          <w:rFonts w:ascii="Calibri" w:hAnsi="Calibri" w:cs="Calibri"/>
        </w:rPr>
        <w:t xml:space="preserve"> (</w:t>
      </w:r>
      <w:r w:rsidR="00C66406" w:rsidRPr="00A7044E">
        <w:rPr>
          <w:rFonts w:ascii="Calibri" w:hAnsi="Calibri" w:cs="Calibri"/>
        </w:rPr>
        <w:t xml:space="preserve">approximately </w:t>
      </w:r>
      <w:r w:rsidR="008D2F94" w:rsidRPr="00A7044E">
        <w:rPr>
          <w:rFonts w:ascii="Calibri" w:hAnsi="Calibri" w:cs="Calibri"/>
        </w:rPr>
        <w:t>4</w:t>
      </w:r>
      <w:r w:rsidR="007521C1" w:rsidRPr="00A7044E">
        <w:rPr>
          <w:rFonts w:ascii="Calibri" w:hAnsi="Calibri" w:cs="Calibri"/>
        </w:rPr>
        <w:t>6</w:t>
      </w:r>
      <w:r w:rsidR="008D2F94" w:rsidRPr="00A7044E">
        <w:rPr>
          <w:rFonts w:ascii="Calibri" w:hAnsi="Calibri" w:cs="Calibri"/>
        </w:rPr>
        <w:t xml:space="preserve"> percent of the public’s </w:t>
      </w:r>
      <w:r w:rsidR="00E34ED5" w:rsidRPr="00A7044E">
        <w:rPr>
          <w:rFonts w:ascii="Calibri" w:hAnsi="Calibri" w:cs="Calibri"/>
        </w:rPr>
        <w:t xml:space="preserve">total </w:t>
      </w:r>
      <w:r w:rsidR="008D2F94" w:rsidRPr="00A7044E">
        <w:rPr>
          <w:rFonts w:ascii="Calibri" w:hAnsi="Calibri" w:cs="Calibri"/>
        </w:rPr>
        <w:t>financial assets portfolio)</w:t>
      </w:r>
      <w:r w:rsidR="00E24F21" w:rsidRPr="00A7044E">
        <w:rPr>
          <w:rFonts w:ascii="Calibri" w:hAnsi="Calibri" w:cs="Calibri"/>
        </w:rPr>
        <w:t>.</w:t>
      </w:r>
      <w:r w:rsidR="008D2F94" w:rsidRPr="00A7044E">
        <w:rPr>
          <w:rFonts w:ascii="Calibri" w:hAnsi="Calibri" w:cs="Calibri"/>
        </w:rPr>
        <w:t xml:space="preserve"> </w:t>
      </w:r>
      <w:r w:rsidR="00FF72BA" w:rsidRPr="00A7044E">
        <w:rPr>
          <w:rFonts w:ascii="Calibri" w:hAnsi="Calibri" w:cs="Calibri"/>
        </w:rPr>
        <w:t xml:space="preserve">The </w:t>
      </w:r>
      <w:r w:rsidR="007521C1" w:rsidRPr="00A7044E">
        <w:rPr>
          <w:rFonts w:ascii="Calibri" w:hAnsi="Calibri" w:cs="Calibri"/>
        </w:rPr>
        <w:t>increase</w:t>
      </w:r>
      <w:r w:rsidR="007519F5" w:rsidRPr="00A7044E">
        <w:rPr>
          <w:rFonts w:ascii="Calibri" w:hAnsi="Calibri" w:cs="Calibri"/>
        </w:rPr>
        <w:t xml:space="preserve"> in the </w:t>
      </w:r>
      <w:r w:rsidR="00CB0861" w:rsidRPr="00A7044E">
        <w:rPr>
          <w:rFonts w:ascii="Calibri" w:hAnsi="Calibri" w:cs="Calibri"/>
        </w:rPr>
        <w:t xml:space="preserve">balance </w:t>
      </w:r>
      <w:r w:rsidR="00E542C6" w:rsidRPr="00A7044E">
        <w:rPr>
          <w:rFonts w:ascii="Calibri" w:hAnsi="Calibri" w:cs="Calibri"/>
        </w:rPr>
        <w:t xml:space="preserve">was reflected in all institutional investors. The increase in the balance of the managed portfolio during the quarter </w:t>
      </w:r>
      <w:r w:rsidR="002D746E" w:rsidRPr="00A7044E">
        <w:rPr>
          <w:rFonts w:ascii="Calibri" w:hAnsi="Calibri" w:cs="Calibri"/>
        </w:rPr>
        <w:t>was</w:t>
      </w:r>
      <w:r w:rsidR="00E542C6" w:rsidRPr="00A7044E">
        <w:rPr>
          <w:rFonts w:ascii="Calibri" w:hAnsi="Calibri" w:cs="Calibri"/>
        </w:rPr>
        <w:t xml:space="preserve"> mainly </w:t>
      </w:r>
      <w:r w:rsidR="002D746E" w:rsidRPr="00A7044E">
        <w:rPr>
          <w:rFonts w:ascii="Calibri" w:hAnsi="Calibri" w:cs="Calibri"/>
        </w:rPr>
        <w:t xml:space="preserve">due to </w:t>
      </w:r>
      <w:r w:rsidR="00E542C6" w:rsidRPr="00A7044E">
        <w:rPr>
          <w:rFonts w:ascii="Calibri" w:hAnsi="Calibri" w:cs="Calibri"/>
        </w:rPr>
        <w:t xml:space="preserve">price increases in the </w:t>
      </w:r>
      <w:r w:rsidR="00D06578" w:rsidRPr="00A7044E">
        <w:rPr>
          <w:rFonts w:ascii="Calibri" w:hAnsi="Calibri" w:cs="Calibri"/>
        </w:rPr>
        <w:t>capital</w:t>
      </w:r>
      <w:r w:rsidR="006418CA" w:rsidRPr="00A7044E">
        <w:rPr>
          <w:rFonts w:ascii="Calibri" w:hAnsi="Calibri" w:cs="Calibri"/>
        </w:rPr>
        <w:t xml:space="preserve"> markets</w:t>
      </w:r>
      <w:r w:rsidR="00E542C6" w:rsidRPr="00A7044E">
        <w:rPr>
          <w:rFonts w:ascii="Calibri" w:hAnsi="Calibri" w:cs="Calibri"/>
        </w:rPr>
        <w:t xml:space="preserve">, </w:t>
      </w:r>
      <w:r w:rsidR="006418CA" w:rsidRPr="00A7044E">
        <w:rPr>
          <w:rFonts w:ascii="Calibri" w:hAnsi="Calibri" w:cs="Calibri"/>
        </w:rPr>
        <w:t xml:space="preserve">and was reflected in the following components: </w:t>
      </w:r>
      <w:r w:rsidR="00D06578" w:rsidRPr="00A7044E">
        <w:rPr>
          <w:rFonts w:ascii="Calibri" w:hAnsi="Calibri" w:cs="Calibri"/>
        </w:rPr>
        <w:t xml:space="preserve">government bonds and </w:t>
      </w:r>
      <w:r w:rsidR="00D06578" w:rsidRPr="00A7044E">
        <w:rPr>
          <w:rFonts w:ascii="Calibri" w:hAnsi="Calibri" w:cs="Calibri"/>
          <w:i/>
          <w:iCs/>
        </w:rPr>
        <w:t>Makam—</w:t>
      </w:r>
      <w:r w:rsidR="00D06578" w:rsidRPr="00A7044E">
        <w:rPr>
          <w:rFonts w:ascii="Calibri" w:hAnsi="Calibri" w:cs="Calibri"/>
        </w:rPr>
        <w:t xml:space="preserve">an increase of about NIS 39.4 billion (4.7 percent); ETFs abroad that track equity indices—an increase of about NIS 22.3 billion (11 percent), due to a combination of price increases and purchases; </w:t>
      </w:r>
      <w:r w:rsidR="00E542C6" w:rsidRPr="00A7044E">
        <w:rPr>
          <w:rFonts w:ascii="Calibri" w:hAnsi="Calibri" w:cs="Calibri"/>
        </w:rPr>
        <w:t>equities in Israel</w:t>
      </w:r>
      <w:r w:rsidR="002D746E" w:rsidRPr="00A7044E">
        <w:rPr>
          <w:rFonts w:ascii="Calibri" w:hAnsi="Calibri" w:cs="Calibri"/>
        </w:rPr>
        <w:t>—</w:t>
      </w:r>
      <w:r w:rsidR="0053439A" w:rsidRPr="00A7044E">
        <w:rPr>
          <w:rFonts w:ascii="Calibri" w:hAnsi="Calibri" w:cs="Calibri"/>
        </w:rPr>
        <w:t>a</w:t>
      </w:r>
      <w:r w:rsidR="00D06578" w:rsidRPr="00A7044E">
        <w:rPr>
          <w:rFonts w:ascii="Calibri" w:hAnsi="Calibri" w:cs="Calibri"/>
        </w:rPr>
        <w:t>n</w:t>
      </w:r>
      <w:r w:rsidR="0053439A" w:rsidRPr="00A7044E">
        <w:rPr>
          <w:rFonts w:ascii="Calibri" w:hAnsi="Calibri" w:cs="Calibri"/>
        </w:rPr>
        <w:t xml:space="preserve"> </w:t>
      </w:r>
      <w:r w:rsidR="00D06578" w:rsidRPr="00A7044E">
        <w:rPr>
          <w:rFonts w:ascii="Calibri" w:hAnsi="Calibri" w:cs="Calibri"/>
        </w:rPr>
        <w:t>increase</w:t>
      </w:r>
      <w:r w:rsidR="0053439A" w:rsidRPr="00A7044E">
        <w:rPr>
          <w:rFonts w:ascii="Calibri" w:hAnsi="Calibri" w:cs="Calibri"/>
        </w:rPr>
        <w:t xml:space="preserve"> of </w:t>
      </w:r>
      <w:r w:rsidR="002D746E" w:rsidRPr="00A7044E">
        <w:rPr>
          <w:rFonts w:ascii="Calibri" w:hAnsi="Calibri" w:cs="Calibri"/>
        </w:rPr>
        <w:t xml:space="preserve">about </w:t>
      </w:r>
      <w:r w:rsidR="0053439A" w:rsidRPr="00A7044E">
        <w:rPr>
          <w:rFonts w:ascii="Calibri" w:hAnsi="Calibri" w:cs="Calibri"/>
        </w:rPr>
        <w:t xml:space="preserve">NIS </w:t>
      </w:r>
      <w:r w:rsidR="002D746E" w:rsidRPr="00A7044E">
        <w:rPr>
          <w:rFonts w:ascii="Calibri" w:hAnsi="Calibri" w:cs="Calibri"/>
        </w:rPr>
        <w:t>2</w:t>
      </w:r>
      <w:r w:rsidR="00D06578" w:rsidRPr="00A7044E">
        <w:rPr>
          <w:rFonts w:ascii="Calibri" w:hAnsi="Calibri" w:cs="Calibri"/>
        </w:rPr>
        <w:t>0.6</w:t>
      </w:r>
      <w:r w:rsidR="0053439A" w:rsidRPr="00A7044E">
        <w:rPr>
          <w:rFonts w:ascii="Calibri" w:hAnsi="Calibri" w:cs="Calibri"/>
        </w:rPr>
        <w:t xml:space="preserve"> billion (</w:t>
      </w:r>
      <w:r w:rsidR="002D746E" w:rsidRPr="00A7044E">
        <w:rPr>
          <w:rFonts w:ascii="Calibri" w:hAnsi="Calibri" w:cs="Calibri"/>
        </w:rPr>
        <w:t>9.</w:t>
      </w:r>
      <w:r w:rsidR="00D06578" w:rsidRPr="00A7044E">
        <w:rPr>
          <w:rFonts w:ascii="Calibri" w:hAnsi="Calibri" w:cs="Calibri"/>
        </w:rPr>
        <w:t>4</w:t>
      </w:r>
      <w:r w:rsidR="0053439A" w:rsidRPr="00A7044E">
        <w:rPr>
          <w:rFonts w:ascii="Calibri" w:hAnsi="Calibri" w:cs="Calibri"/>
        </w:rPr>
        <w:t xml:space="preserve"> percent), mainly in view of price </w:t>
      </w:r>
      <w:r w:rsidR="00D06578" w:rsidRPr="00A7044E">
        <w:rPr>
          <w:rFonts w:ascii="Calibri" w:hAnsi="Calibri" w:cs="Calibri"/>
        </w:rPr>
        <w:t>increase</w:t>
      </w:r>
      <w:r w:rsidR="002D746E" w:rsidRPr="00A7044E">
        <w:rPr>
          <w:rFonts w:ascii="Calibri" w:hAnsi="Calibri" w:cs="Calibri"/>
        </w:rPr>
        <w:t>s</w:t>
      </w:r>
      <w:r w:rsidR="0053439A" w:rsidRPr="00A7044E">
        <w:rPr>
          <w:rFonts w:ascii="Calibri" w:hAnsi="Calibri" w:cs="Calibri"/>
        </w:rPr>
        <w:t xml:space="preserve">; </w:t>
      </w:r>
      <w:r w:rsidR="00D06578" w:rsidRPr="00A7044E">
        <w:rPr>
          <w:rFonts w:ascii="Calibri" w:hAnsi="Calibri" w:cs="Calibri"/>
        </w:rPr>
        <w:t>futures contracts abroad—an increase of about NIS 7.8 billion in the balance-sheet balance; and investment funds abroad—an increase of about NIS 6 billion (2.6 percent), while there was a decline equities abroad—about NIS 7.5 billion (4.5 percent) despite price increases.</w:t>
      </w:r>
    </w:p>
    <w:p w14:paraId="7725247A" w14:textId="77777777" w:rsidR="006418CA" w:rsidRPr="00A7044E" w:rsidRDefault="006418CA" w:rsidP="006418CA">
      <w:pPr>
        <w:pStyle w:val="ab"/>
        <w:tabs>
          <w:tab w:val="left" w:pos="5670"/>
        </w:tabs>
        <w:bidi w:val="0"/>
        <w:spacing w:line="300" w:lineRule="exact"/>
        <w:ind w:left="360"/>
        <w:jc w:val="both"/>
        <w:rPr>
          <w:rFonts w:ascii="Calibri" w:hAnsi="Calibri" w:cs="Calibri"/>
        </w:rPr>
      </w:pPr>
    </w:p>
    <w:p w14:paraId="75802A2B" w14:textId="234A99EE" w:rsidR="004A407B" w:rsidRPr="00A7044E" w:rsidRDefault="004A407B" w:rsidP="001C09C8">
      <w:pPr>
        <w:pStyle w:val="ab"/>
        <w:numPr>
          <w:ilvl w:val="0"/>
          <w:numId w:val="25"/>
        </w:numPr>
        <w:bidi w:val="0"/>
        <w:spacing w:line="300" w:lineRule="exact"/>
        <w:jc w:val="both"/>
        <w:rPr>
          <w:rFonts w:ascii="Calibri" w:hAnsi="Calibri" w:cs="Calibri"/>
        </w:rPr>
      </w:pPr>
      <w:r w:rsidRPr="00A7044E">
        <w:rPr>
          <w:rFonts w:ascii="Calibri" w:hAnsi="Calibri" w:cs="Calibri"/>
          <w:b/>
          <w:bCs/>
        </w:rPr>
        <w:t>Exposure</w:t>
      </w:r>
      <w:r w:rsidR="00240F5E" w:rsidRPr="00A7044E">
        <w:rPr>
          <w:rFonts w:ascii="Calibri" w:hAnsi="Calibri" w:cs="Calibri"/>
          <w:b/>
          <w:bCs/>
        </w:rPr>
        <w:t xml:space="preserve"> of the portfolio managed by institutional investors</w:t>
      </w:r>
      <w:r w:rsidRPr="00A7044E">
        <w:rPr>
          <w:rStyle w:val="a8"/>
          <w:rFonts w:ascii="Calibri" w:hAnsi="Calibri" w:cs="Calibri"/>
          <w:b/>
          <w:bCs/>
        </w:rPr>
        <w:footnoteReference w:id="2"/>
      </w:r>
      <w:r w:rsidRPr="00A7044E">
        <w:rPr>
          <w:rFonts w:ascii="Calibri" w:hAnsi="Calibri" w:cs="Calibri"/>
          <w:b/>
          <w:bCs/>
        </w:rPr>
        <w:t xml:space="preserve"> to foreign assets</w:t>
      </w:r>
      <w:r w:rsidR="00E04B4A" w:rsidRPr="00A7044E">
        <w:rPr>
          <w:rFonts w:ascii="Calibri" w:hAnsi="Calibri" w:cs="Calibri"/>
          <w:b/>
          <w:bCs/>
        </w:rPr>
        <w:t xml:space="preserve"> and to foreign currency</w:t>
      </w:r>
    </w:p>
    <w:p w14:paraId="50DEA6A3" w14:textId="5AA90D94" w:rsidR="004A407B" w:rsidRPr="00A7044E" w:rsidRDefault="004A407B" w:rsidP="007E422E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49AE2C76" w14:textId="2EC033F9" w:rsidR="00FF72BA" w:rsidRPr="00A7044E" w:rsidRDefault="00EB7E20" w:rsidP="00FE339F">
      <w:pPr>
        <w:bidi w:val="0"/>
        <w:spacing w:line="300" w:lineRule="exact"/>
        <w:ind w:left="426"/>
        <w:jc w:val="both"/>
        <w:rPr>
          <w:rFonts w:ascii="Calibri" w:hAnsi="Calibri" w:cs="Calibri"/>
        </w:rPr>
      </w:pPr>
      <w:r w:rsidRPr="00A7044E">
        <w:rPr>
          <w:rFonts w:ascii="Calibri" w:hAnsi="Calibri" w:cs="Calibri"/>
        </w:rPr>
        <w:t xml:space="preserve">In the </w:t>
      </w:r>
      <w:r w:rsidR="006F0772" w:rsidRPr="00A7044E">
        <w:rPr>
          <w:rFonts w:ascii="Calibri" w:hAnsi="Calibri" w:cs="Calibri"/>
        </w:rPr>
        <w:t>third</w:t>
      </w:r>
      <w:r w:rsidR="006B32D0" w:rsidRPr="00A7044E">
        <w:rPr>
          <w:rFonts w:ascii="Calibri" w:hAnsi="Calibri" w:cs="Calibri"/>
        </w:rPr>
        <w:t xml:space="preserve"> quarter</w:t>
      </w:r>
      <w:r w:rsidRPr="00A7044E">
        <w:rPr>
          <w:rFonts w:ascii="Calibri" w:hAnsi="Calibri" w:cs="Calibri"/>
        </w:rPr>
        <w:t xml:space="preserve"> of </w:t>
      </w:r>
      <w:r w:rsidR="003316A5" w:rsidRPr="00A7044E">
        <w:rPr>
          <w:rFonts w:ascii="Calibri" w:hAnsi="Calibri" w:cs="Calibri"/>
        </w:rPr>
        <w:t>2024</w:t>
      </w:r>
      <w:r w:rsidRPr="00A7044E">
        <w:rPr>
          <w:rFonts w:ascii="Calibri" w:hAnsi="Calibri" w:cs="Calibri"/>
        </w:rPr>
        <w:t xml:space="preserve">, </w:t>
      </w:r>
      <w:r w:rsidR="00CB0861" w:rsidRPr="00A7044E">
        <w:rPr>
          <w:rFonts w:ascii="Calibri" w:hAnsi="Calibri" w:cs="Calibri"/>
        </w:rPr>
        <w:t xml:space="preserve">the </w:t>
      </w:r>
      <w:r w:rsidR="000B5559" w:rsidRPr="00A7044E">
        <w:rPr>
          <w:rFonts w:ascii="Calibri" w:hAnsi="Calibri" w:cs="Calibri"/>
        </w:rPr>
        <w:t>rate</w:t>
      </w:r>
      <w:r w:rsidR="007519F5" w:rsidRPr="00A7044E">
        <w:rPr>
          <w:rFonts w:ascii="Calibri" w:hAnsi="Calibri" w:cs="Calibri"/>
        </w:rPr>
        <w:t xml:space="preserve"> </w:t>
      </w:r>
      <w:r w:rsidR="00CB0861" w:rsidRPr="00A7044E">
        <w:rPr>
          <w:rFonts w:ascii="Calibri" w:hAnsi="Calibri" w:cs="Calibri"/>
        </w:rPr>
        <w:t xml:space="preserve">of </w:t>
      </w:r>
      <w:r w:rsidRPr="00A7044E">
        <w:rPr>
          <w:rFonts w:ascii="Calibri" w:hAnsi="Calibri" w:cs="Calibri"/>
        </w:rPr>
        <w:t>institutional investors</w:t>
      </w:r>
      <w:r w:rsidR="00CB0861" w:rsidRPr="00A7044E">
        <w:rPr>
          <w:rFonts w:ascii="Calibri" w:hAnsi="Calibri" w:cs="Calibri"/>
        </w:rPr>
        <w:t>’</w:t>
      </w:r>
      <w:r w:rsidR="00D15E31" w:rsidRPr="00A7044E">
        <w:rPr>
          <w:rFonts w:ascii="Calibri" w:hAnsi="Calibri" w:cs="Calibri"/>
        </w:rPr>
        <w:t xml:space="preserve"> </w:t>
      </w:r>
      <w:r w:rsidRPr="00A7044E">
        <w:rPr>
          <w:rFonts w:ascii="Calibri" w:hAnsi="Calibri" w:cs="Calibri"/>
        </w:rPr>
        <w:t>exposure to assets</w:t>
      </w:r>
      <w:r w:rsidR="00CB0861" w:rsidRPr="00A7044E">
        <w:rPr>
          <w:rFonts w:ascii="Calibri" w:hAnsi="Calibri" w:cs="Calibri"/>
        </w:rPr>
        <w:t xml:space="preserve"> </w:t>
      </w:r>
      <w:r w:rsidR="007519F5" w:rsidRPr="00A7044E">
        <w:rPr>
          <w:rFonts w:ascii="Calibri" w:hAnsi="Calibri" w:cs="Calibri"/>
        </w:rPr>
        <w:t xml:space="preserve">abroad </w:t>
      </w:r>
      <w:r w:rsidR="00FE339F" w:rsidRPr="00A7044E">
        <w:rPr>
          <w:rFonts w:ascii="Calibri" w:hAnsi="Calibri" w:cs="Calibri"/>
        </w:rPr>
        <w:t>declined</w:t>
      </w:r>
      <w:r w:rsidR="007519F5" w:rsidRPr="00A7044E">
        <w:rPr>
          <w:rFonts w:ascii="Calibri" w:hAnsi="Calibri" w:cs="Calibri"/>
        </w:rPr>
        <w:t xml:space="preserve"> </w:t>
      </w:r>
      <w:r w:rsidR="00B46EB5" w:rsidRPr="00A7044E">
        <w:rPr>
          <w:rFonts w:ascii="Calibri" w:hAnsi="Calibri" w:cs="Calibri"/>
        </w:rPr>
        <w:t xml:space="preserve">by about </w:t>
      </w:r>
      <w:r w:rsidR="00FE339F" w:rsidRPr="00A7044E">
        <w:rPr>
          <w:rFonts w:ascii="Calibri" w:hAnsi="Calibri" w:cs="Calibri"/>
        </w:rPr>
        <w:t>0</w:t>
      </w:r>
      <w:r w:rsidR="000B5559" w:rsidRPr="00A7044E">
        <w:rPr>
          <w:rFonts w:ascii="Calibri" w:hAnsi="Calibri" w:cs="Calibri"/>
        </w:rPr>
        <w:t>.3</w:t>
      </w:r>
      <w:r w:rsidR="007519F5" w:rsidRPr="00A7044E">
        <w:rPr>
          <w:rFonts w:ascii="Calibri" w:hAnsi="Calibri" w:cs="Calibri"/>
        </w:rPr>
        <w:t xml:space="preserve"> </w:t>
      </w:r>
      <w:r w:rsidR="00B46EB5" w:rsidRPr="00A7044E">
        <w:rPr>
          <w:rFonts w:ascii="Calibri" w:hAnsi="Calibri" w:cs="Calibri"/>
        </w:rPr>
        <w:t>percentage points</w:t>
      </w:r>
      <w:r w:rsidR="00D15E31" w:rsidRPr="00A7044E">
        <w:rPr>
          <w:rFonts w:ascii="Calibri" w:hAnsi="Calibri" w:cs="Calibri"/>
        </w:rPr>
        <w:t>,</w:t>
      </w:r>
      <w:r w:rsidR="00B46EB5" w:rsidRPr="00A7044E">
        <w:rPr>
          <w:rFonts w:ascii="Calibri" w:hAnsi="Calibri" w:cs="Calibri"/>
        </w:rPr>
        <w:t xml:space="preserve"> to </w:t>
      </w:r>
      <w:r w:rsidR="00C66406" w:rsidRPr="00A7044E">
        <w:rPr>
          <w:rFonts w:ascii="Calibri" w:hAnsi="Calibri" w:cs="Calibri"/>
        </w:rPr>
        <w:t xml:space="preserve">approximately </w:t>
      </w:r>
      <w:r w:rsidR="007D054E" w:rsidRPr="00A7044E">
        <w:rPr>
          <w:rFonts w:ascii="Calibri" w:hAnsi="Calibri" w:cs="Calibri"/>
        </w:rPr>
        <w:t>4</w:t>
      </w:r>
      <w:r w:rsidR="00FE339F" w:rsidRPr="00A7044E">
        <w:rPr>
          <w:rFonts w:ascii="Calibri" w:hAnsi="Calibri" w:cs="Calibri"/>
        </w:rPr>
        <w:t>6.</w:t>
      </w:r>
      <w:r w:rsidR="007D054E" w:rsidRPr="00A7044E">
        <w:rPr>
          <w:rFonts w:ascii="Calibri" w:hAnsi="Calibri" w:cs="Calibri"/>
        </w:rPr>
        <w:t xml:space="preserve">7 </w:t>
      </w:r>
      <w:r w:rsidR="00BB5A5B" w:rsidRPr="00A7044E">
        <w:rPr>
          <w:rFonts w:ascii="Calibri" w:hAnsi="Calibri" w:cs="Calibri"/>
        </w:rPr>
        <w:t xml:space="preserve">percent </w:t>
      </w:r>
      <w:r w:rsidR="00B46EB5" w:rsidRPr="00A7044E">
        <w:rPr>
          <w:rFonts w:ascii="Calibri" w:hAnsi="Calibri" w:cs="Calibri"/>
        </w:rPr>
        <w:t xml:space="preserve">of </w:t>
      </w:r>
      <w:r w:rsidR="007E404C" w:rsidRPr="00A7044E">
        <w:rPr>
          <w:rFonts w:ascii="Calibri" w:hAnsi="Calibri" w:cs="Calibri"/>
        </w:rPr>
        <w:t>total assets</w:t>
      </w:r>
      <w:r w:rsidR="00300932" w:rsidRPr="00A7044E">
        <w:rPr>
          <w:rFonts w:ascii="Calibri" w:hAnsi="Calibri" w:cs="Calibri"/>
        </w:rPr>
        <w:t xml:space="preserve">. This </w:t>
      </w:r>
      <w:r w:rsidR="00A30F43" w:rsidRPr="00A7044E">
        <w:rPr>
          <w:rFonts w:ascii="Calibri" w:hAnsi="Calibri" w:cs="Calibri"/>
        </w:rPr>
        <w:t xml:space="preserve">was </w:t>
      </w:r>
      <w:r w:rsidR="00D8221C" w:rsidRPr="00A7044E">
        <w:rPr>
          <w:rFonts w:ascii="Calibri" w:hAnsi="Calibri" w:cs="Calibri"/>
        </w:rPr>
        <w:t xml:space="preserve">a result of </w:t>
      </w:r>
      <w:r w:rsidR="007519F5" w:rsidRPr="00A7044E">
        <w:rPr>
          <w:rFonts w:ascii="Calibri" w:hAnsi="Calibri" w:cs="Calibri"/>
        </w:rPr>
        <w:t xml:space="preserve">an increase </w:t>
      </w:r>
      <w:r w:rsidR="00C14D26" w:rsidRPr="00A7044E">
        <w:rPr>
          <w:rFonts w:ascii="Calibri" w:hAnsi="Calibri" w:cs="Calibri"/>
        </w:rPr>
        <w:t xml:space="preserve">in the </w:t>
      </w:r>
      <w:r w:rsidR="00FF72BA" w:rsidRPr="00A7044E">
        <w:rPr>
          <w:rFonts w:ascii="Calibri" w:hAnsi="Calibri" w:cs="Calibri"/>
        </w:rPr>
        <w:t>balance of</w:t>
      </w:r>
      <w:r w:rsidR="00D8221C" w:rsidRPr="00A7044E">
        <w:rPr>
          <w:rFonts w:ascii="Calibri" w:hAnsi="Calibri" w:cs="Calibri"/>
        </w:rPr>
        <w:t xml:space="preserve"> </w:t>
      </w:r>
      <w:r w:rsidR="00FE339F" w:rsidRPr="00A7044E">
        <w:rPr>
          <w:rFonts w:ascii="Calibri" w:hAnsi="Calibri" w:cs="Calibri"/>
        </w:rPr>
        <w:t xml:space="preserve">institutional investors’ total assets (5.4 percent) that was greater than the increase in </w:t>
      </w:r>
      <w:r w:rsidR="00A4505C" w:rsidRPr="00A7044E">
        <w:rPr>
          <w:rFonts w:ascii="Calibri" w:hAnsi="Calibri" w:cs="Calibri"/>
        </w:rPr>
        <w:t xml:space="preserve">exposure to foreign assets </w:t>
      </w:r>
      <w:r w:rsidR="00D52DB8" w:rsidRPr="00A7044E">
        <w:rPr>
          <w:rFonts w:ascii="Calibri" w:hAnsi="Calibri" w:cs="Calibri"/>
        </w:rPr>
        <w:t>(</w:t>
      </w:r>
      <w:r w:rsidR="000B5559" w:rsidRPr="00A7044E">
        <w:rPr>
          <w:rFonts w:ascii="Calibri" w:hAnsi="Calibri" w:cs="Calibri"/>
        </w:rPr>
        <w:t>4.</w:t>
      </w:r>
      <w:r w:rsidR="00FE339F" w:rsidRPr="00A7044E">
        <w:rPr>
          <w:rFonts w:ascii="Calibri" w:hAnsi="Calibri" w:cs="Calibri"/>
        </w:rPr>
        <w:t>7</w:t>
      </w:r>
      <w:r w:rsidR="007D054E" w:rsidRPr="00A7044E">
        <w:rPr>
          <w:rFonts w:ascii="Calibri" w:hAnsi="Calibri" w:cs="Calibri"/>
        </w:rPr>
        <w:t xml:space="preserve"> </w:t>
      </w:r>
      <w:r w:rsidR="00D52DB8" w:rsidRPr="00A7044E">
        <w:rPr>
          <w:rFonts w:ascii="Calibri" w:hAnsi="Calibri" w:cs="Calibri"/>
        </w:rPr>
        <w:t>percent)</w:t>
      </w:r>
      <w:r w:rsidR="00C14D26" w:rsidRPr="00A7044E">
        <w:rPr>
          <w:rFonts w:ascii="Calibri" w:hAnsi="Calibri" w:cs="Calibri"/>
        </w:rPr>
        <w:t xml:space="preserve"> in dollar terms</w:t>
      </w:r>
      <w:r w:rsidR="00C36A60" w:rsidRPr="00A7044E">
        <w:rPr>
          <w:rFonts w:ascii="Calibri" w:hAnsi="Calibri" w:cs="Calibri"/>
        </w:rPr>
        <w:t>.</w:t>
      </w:r>
    </w:p>
    <w:p w14:paraId="1BD166CF" w14:textId="1DEFACCD" w:rsidR="00FE339F" w:rsidRPr="00A7044E" w:rsidRDefault="00C14D26" w:rsidP="00D1348F">
      <w:pPr>
        <w:bidi w:val="0"/>
        <w:spacing w:line="300" w:lineRule="exact"/>
        <w:ind w:left="426"/>
        <w:jc w:val="both"/>
        <w:rPr>
          <w:rFonts w:ascii="Calibri" w:hAnsi="Calibri" w:cs="Calibri"/>
        </w:rPr>
      </w:pPr>
      <w:r w:rsidRPr="00A7044E">
        <w:rPr>
          <w:rFonts w:ascii="Calibri" w:hAnsi="Calibri" w:cs="Calibri"/>
        </w:rPr>
        <w:t>T</w:t>
      </w:r>
      <w:r w:rsidR="00FF72BA" w:rsidRPr="00A7044E">
        <w:rPr>
          <w:rFonts w:ascii="Calibri" w:hAnsi="Calibri" w:cs="Calibri"/>
        </w:rPr>
        <w:t xml:space="preserve">he </w:t>
      </w:r>
      <w:r w:rsidR="007519F5" w:rsidRPr="00A7044E">
        <w:rPr>
          <w:rFonts w:ascii="Calibri" w:hAnsi="Calibri" w:cs="Calibri"/>
        </w:rPr>
        <w:t xml:space="preserve">increase </w:t>
      </w:r>
      <w:r w:rsidR="00FF72BA" w:rsidRPr="00A7044E">
        <w:rPr>
          <w:rFonts w:ascii="Calibri" w:hAnsi="Calibri" w:cs="Calibri"/>
        </w:rPr>
        <w:t>in the balance of exposure to foreign assets (about $</w:t>
      </w:r>
      <w:r w:rsidR="00FE339F" w:rsidRPr="00A7044E">
        <w:rPr>
          <w:rFonts w:ascii="Calibri" w:hAnsi="Calibri" w:cs="Calibri"/>
        </w:rPr>
        <w:t>15</w:t>
      </w:r>
      <w:r w:rsidR="00FB4819" w:rsidRPr="00A7044E">
        <w:rPr>
          <w:rFonts w:ascii="Calibri" w:hAnsi="Calibri" w:cs="Calibri"/>
        </w:rPr>
        <w:t xml:space="preserve"> </w:t>
      </w:r>
      <w:r w:rsidR="007519F5" w:rsidRPr="00A7044E">
        <w:rPr>
          <w:rFonts w:ascii="Calibri" w:hAnsi="Calibri" w:cs="Calibri"/>
        </w:rPr>
        <w:t>b</w:t>
      </w:r>
      <w:r w:rsidR="00FF72BA" w:rsidRPr="00A7044E">
        <w:rPr>
          <w:rFonts w:ascii="Calibri" w:hAnsi="Calibri" w:cs="Calibri"/>
        </w:rPr>
        <w:t xml:space="preserve">illion) </w:t>
      </w:r>
      <w:r w:rsidR="000B5559" w:rsidRPr="00A7044E">
        <w:rPr>
          <w:rFonts w:ascii="Calibri" w:hAnsi="Calibri" w:cs="Calibri"/>
        </w:rPr>
        <w:t>was</w:t>
      </w:r>
      <w:r w:rsidR="00CF0180" w:rsidRPr="00A7044E">
        <w:rPr>
          <w:rFonts w:ascii="Calibri" w:hAnsi="Calibri" w:cs="Calibri"/>
        </w:rPr>
        <w:t xml:space="preserve"> mainly</w:t>
      </w:r>
      <w:r w:rsidR="00D13712" w:rsidRPr="00A7044E">
        <w:rPr>
          <w:rFonts w:ascii="Calibri" w:hAnsi="Calibri" w:cs="Calibri"/>
        </w:rPr>
        <w:t xml:space="preserve"> </w:t>
      </w:r>
      <w:r w:rsidR="000B5559" w:rsidRPr="00A7044E">
        <w:rPr>
          <w:rFonts w:ascii="Calibri" w:hAnsi="Calibri" w:cs="Calibri"/>
        </w:rPr>
        <w:t xml:space="preserve">due to </w:t>
      </w:r>
      <w:r w:rsidR="00331BC4" w:rsidRPr="00A7044E">
        <w:rPr>
          <w:rFonts w:ascii="Calibri" w:hAnsi="Calibri" w:cs="Calibri"/>
        </w:rPr>
        <w:t>increase</w:t>
      </w:r>
      <w:r w:rsidR="00FE339F" w:rsidRPr="00A7044E">
        <w:rPr>
          <w:rFonts w:ascii="Calibri" w:hAnsi="Calibri" w:cs="Calibri"/>
        </w:rPr>
        <w:t>s</w:t>
      </w:r>
      <w:r w:rsidR="00331BC4" w:rsidRPr="00A7044E">
        <w:rPr>
          <w:rFonts w:ascii="Calibri" w:hAnsi="Calibri" w:cs="Calibri"/>
        </w:rPr>
        <w:t xml:space="preserve"> </w:t>
      </w:r>
      <w:r w:rsidR="00FF72BA" w:rsidRPr="00A7044E">
        <w:rPr>
          <w:rFonts w:ascii="Calibri" w:hAnsi="Calibri" w:cs="Calibri"/>
        </w:rPr>
        <w:t>in</w:t>
      </w:r>
      <w:r w:rsidR="00703E74" w:rsidRPr="00A7044E">
        <w:rPr>
          <w:rFonts w:ascii="Calibri" w:hAnsi="Calibri" w:cs="Calibri"/>
        </w:rPr>
        <w:t xml:space="preserve"> </w:t>
      </w:r>
      <w:r w:rsidRPr="00A7044E">
        <w:rPr>
          <w:rFonts w:ascii="Calibri" w:hAnsi="Calibri" w:cs="Calibri"/>
        </w:rPr>
        <w:t>exposure through futures contracts and options on foreign equity indices (about $</w:t>
      </w:r>
      <w:r w:rsidR="00FE339F" w:rsidRPr="00A7044E">
        <w:rPr>
          <w:rFonts w:ascii="Calibri" w:hAnsi="Calibri" w:cs="Calibri"/>
        </w:rPr>
        <w:t>6.5</w:t>
      </w:r>
      <w:r w:rsidR="007519F5" w:rsidRPr="00A7044E">
        <w:rPr>
          <w:rFonts w:ascii="Calibri" w:hAnsi="Calibri" w:cs="Calibri"/>
        </w:rPr>
        <w:t xml:space="preserve"> </w:t>
      </w:r>
      <w:r w:rsidRPr="00A7044E">
        <w:rPr>
          <w:rFonts w:ascii="Calibri" w:hAnsi="Calibri" w:cs="Calibri"/>
        </w:rPr>
        <w:t>billion)</w:t>
      </w:r>
      <w:r w:rsidR="00CF0180" w:rsidRPr="00A7044E">
        <w:rPr>
          <w:rFonts w:ascii="Calibri" w:hAnsi="Calibri" w:cs="Calibri"/>
        </w:rPr>
        <w:t xml:space="preserve"> and in the balance </w:t>
      </w:r>
      <w:r w:rsidR="00331BC4" w:rsidRPr="00A7044E">
        <w:rPr>
          <w:rFonts w:ascii="Calibri" w:hAnsi="Calibri" w:cs="Calibri"/>
        </w:rPr>
        <w:t xml:space="preserve">of equities abroad (about </w:t>
      </w:r>
      <w:r w:rsidR="00D0312C" w:rsidRPr="00A7044E">
        <w:rPr>
          <w:rFonts w:ascii="Calibri" w:hAnsi="Calibri" w:cs="Calibri"/>
        </w:rPr>
        <w:t>$</w:t>
      </w:r>
      <w:r w:rsidR="00181CB0" w:rsidRPr="00A7044E">
        <w:rPr>
          <w:rFonts w:ascii="Calibri" w:hAnsi="Calibri" w:cs="Calibri"/>
        </w:rPr>
        <w:t>5</w:t>
      </w:r>
      <w:r w:rsidR="00355784" w:rsidRPr="00A7044E">
        <w:rPr>
          <w:rFonts w:ascii="Calibri" w:hAnsi="Calibri" w:cs="Calibri"/>
        </w:rPr>
        <w:t xml:space="preserve"> billion).</w:t>
      </w:r>
    </w:p>
    <w:p w14:paraId="57F77D3E" w14:textId="2AEEF0AD" w:rsidR="00181CB0" w:rsidRPr="00A7044E" w:rsidRDefault="00181CB0" w:rsidP="000B5559">
      <w:pPr>
        <w:bidi w:val="0"/>
        <w:spacing w:line="300" w:lineRule="exact"/>
        <w:ind w:left="426"/>
        <w:jc w:val="both"/>
        <w:rPr>
          <w:rFonts w:ascii="Calibri" w:hAnsi="Calibri" w:cs="Calibri"/>
        </w:rPr>
      </w:pPr>
      <w:r w:rsidRPr="00A7044E">
        <w:rPr>
          <w:rFonts w:ascii="Calibri" w:hAnsi="Calibri" w:cs="Calibri"/>
          <w:b/>
          <w:bCs/>
        </w:rPr>
        <w:lastRenderedPageBreak/>
        <w:t>Exposure to foreign currency</w:t>
      </w:r>
      <w:r w:rsidR="00355784" w:rsidRPr="00A7044E">
        <w:rPr>
          <w:rFonts w:ascii="Calibri" w:hAnsi="Calibri" w:cs="Calibri"/>
          <w:b/>
          <w:bCs/>
        </w:rPr>
        <w:t xml:space="preserve"> </w:t>
      </w:r>
      <w:r w:rsidR="00355784" w:rsidRPr="00A7044E">
        <w:rPr>
          <w:rFonts w:ascii="Calibri" w:hAnsi="Calibri" w:cs="Calibri"/>
        </w:rPr>
        <w:t xml:space="preserve">- </w:t>
      </w:r>
    </w:p>
    <w:p w14:paraId="3F6BE4B5" w14:textId="11D685F6" w:rsidR="00FF2C7E" w:rsidRPr="00A7044E" w:rsidRDefault="00355784" w:rsidP="00FE339F">
      <w:pPr>
        <w:bidi w:val="0"/>
        <w:spacing w:line="300" w:lineRule="exact"/>
        <w:ind w:left="426"/>
        <w:jc w:val="both"/>
        <w:rPr>
          <w:rFonts w:ascii="Calibri" w:hAnsi="Calibri" w:cs="Calibri"/>
        </w:rPr>
      </w:pPr>
      <w:r w:rsidRPr="00A7044E">
        <w:rPr>
          <w:rFonts w:ascii="Calibri" w:hAnsi="Calibri" w:cs="Calibri"/>
        </w:rPr>
        <w:t xml:space="preserve">During the </w:t>
      </w:r>
      <w:r w:rsidR="006F0772" w:rsidRPr="00A7044E">
        <w:rPr>
          <w:rFonts w:ascii="Calibri" w:hAnsi="Calibri" w:cs="Calibri"/>
        </w:rPr>
        <w:t>third</w:t>
      </w:r>
      <w:r w:rsidRPr="00A7044E">
        <w:rPr>
          <w:rFonts w:ascii="Calibri" w:hAnsi="Calibri" w:cs="Calibri"/>
        </w:rPr>
        <w:t xml:space="preserve"> quarter of 2024</w:t>
      </w:r>
      <w:r w:rsidR="00E11635" w:rsidRPr="00A7044E">
        <w:rPr>
          <w:rFonts w:ascii="Calibri" w:hAnsi="Calibri" w:cs="Calibri"/>
        </w:rPr>
        <w:t xml:space="preserve">, institutional investors </w:t>
      </w:r>
      <w:r w:rsidR="000B5559" w:rsidRPr="00A7044E">
        <w:rPr>
          <w:rFonts w:ascii="Calibri" w:hAnsi="Calibri" w:cs="Calibri"/>
        </w:rPr>
        <w:t>made</w:t>
      </w:r>
      <w:r w:rsidR="00E11635" w:rsidRPr="00A7044E">
        <w:rPr>
          <w:rFonts w:ascii="Calibri" w:hAnsi="Calibri" w:cs="Calibri"/>
        </w:rPr>
        <w:t xml:space="preserve"> net</w:t>
      </w:r>
      <w:r w:rsidR="000B5559" w:rsidRPr="00A7044E">
        <w:rPr>
          <w:rFonts w:ascii="Calibri" w:hAnsi="Calibri" w:cs="Calibri"/>
        </w:rPr>
        <w:t xml:space="preserve"> purchases</w:t>
      </w:r>
      <w:r w:rsidR="00E11635" w:rsidRPr="00A7044E">
        <w:rPr>
          <w:rFonts w:ascii="Calibri" w:hAnsi="Calibri" w:cs="Calibri"/>
        </w:rPr>
        <w:t xml:space="preserve"> foreign currency assets </w:t>
      </w:r>
      <w:r w:rsidR="004A28DA" w:rsidRPr="00A7044E">
        <w:rPr>
          <w:rFonts w:ascii="Calibri" w:hAnsi="Calibri" w:cs="Calibri"/>
        </w:rPr>
        <w:t>totaling about $</w:t>
      </w:r>
      <w:r w:rsidR="00FE339F" w:rsidRPr="00A7044E">
        <w:rPr>
          <w:rFonts w:ascii="Calibri" w:hAnsi="Calibri" w:cs="Calibri"/>
        </w:rPr>
        <w:t>6.9</w:t>
      </w:r>
      <w:r w:rsidR="004A28DA" w:rsidRPr="00A7044E">
        <w:rPr>
          <w:rFonts w:ascii="Calibri" w:hAnsi="Calibri" w:cs="Calibri"/>
        </w:rPr>
        <w:t xml:space="preserve"> billion</w:t>
      </w:r>
      <w:r w:rsidR="004A034A" w:rsidRPr="00A7044E">
        <w:rPr>
          <w:rFonts w:ascii="Calibri" w:hAnsi="Calibri" w:cs="Calibri"/>
        </w:rPr>
        <w:t>—</w:t>
      </w:r>
      <w:r w:rsidR="000B5559" w:rsidRPr="00A7044E">
        <w:rPr>
          <w:rFonts w:ascii="Calibri" w:hAnsi="Calibri" w:cs="Calibri"/>
        </w:rPr>
        <w:t>purchases</w:t>
      </w:r>
      <w:r w:rsidR="004A034A" w:rsidRPr="00A7044E">
        <w:rPr>
          <w:rFonts w:ascii="Calibri" w:hAnsi="Calibri" w:cs="Calibri"/>
        </w:rPr>
        <w:t xml:space="preserve"> of </w:t>
      </w:r>
      <w:r w:rsidR="004A28DA" w:rsidRPr="00A7044E">
        <w:rPr>
          <w:rFonts w:ascii="Calibri" w:hAnsi="Calibri" w:cs="Calibri"/>
        </w:rPr>
        <w:t xml:space="preserve">about </w:t>
      </w:r>
      <w:r w:rsidR="00331BC4" w:rsidRPr="00A7044E">
        <w:rPr>
          <w:rFonts w:ascii="Calibri" w:hAnsi="Calibri" w:cs="Calibri"/>
        </w:rPr>
        <w:t>$</w:t>
      </w:r>
      <w:r w:rsidR="00FE339F" w:rsidRPr="00A7044E">
        <w:rPr>
          <w:rFonts w:ascii="Calibri" w:hAnsi="Calibri" w:cs="Calibri"/>
        </w:rPr>
        <w:t>3.6</w:t>
      </w:r>
      <w:r w:rsidR="00331BC4" w:rsidRPr="00A7044E">
        <w:rPr>
          <w:rFonts w:ascii="Calibri" w:hAnsi="Calibri" w:cs="Calibri"/>
        </w:rPr>
        <w:t xml:space="preserve"> billion in assets denominated in and indexed to foreign currency </w:t>
      </w:r>
      <w:r w:rsidR="005525D7" w:rsidRPr="00A7044E">
        <w:rPr>
          <w:rFonts w:ascii="Calibri" w:hAnsi="Calibri" w:cs="Calibri"/>
        </w:rPr>
        <w:t>(mainly ETFs</w:t>
      </w:r>
      <w:r w:rsidR="00FE339F" w:rsidRPr="00A7044E">
        <w:rPr>
          <w:rFonts w:ascii="Calibri" w:hAnsi="Calibri" w:cs="Calibri"/>
        </w:rPr>
        <w:t xml:space="preserve"> and</w:t>
      </w:r>
      <w:r w:rsidR="005525D7" w:rsidRPr="00A7044E">
        <w:rPr>
          <w:rFonts w:ascii="Calibri" w:hAnsi="Calibri" w:cs="Calibri"/>
        </w:rPr>
        <w:t xml:space="preserve"> foreign equities traded in Israel</w:t>
      </w:r>
      <w:r w:rsidR="000B5559" w:rsidRPr="00A7044E">
        <w:rPr>
          <w:rFonts w:ascii="Calibri" w:hAnsi="Calibri" w:cs="Calibri"/>
        </w:rPr>
        <w:t xml:space="preserve"> and equities </w:t>
      </w:r>
      <w:r w:rsidR="00FE339F" w:rsidRPr="00A7044E">
        <w:rPr>
          <w:rFonts w:ascii="Calibri" w:hAnsi="Calibri" w:cs="Calibri"/>
        </w:rPr>
        <w:t xml:space="preserve">traded </w:t>
      </w:r>
      <w:r w:rsidR="000B5559" w:rsidRPr="00A7044E">
        <w:rPr>
          <w:rFonts w:ascii="Calibri" w:hAnsi="Calibri" w:cs="Calibri"/>
        </w:rPr>
        <w:t>abroad</w:t>
      </w:r>
      <w:r w:rsidR="00FE339F" w:rsidRPr="00A7044E">
        <w:rPr>
          <w:rFonts w:ascii="Calibri" w:hAnsi="Calibri" w:cs="Calibri"/>
        </w:rPr>
        <w:t>, and the sale of bonds</w:t>
      </w:r>
      <w:r w:rsidR="005525D7" w:rsidRPr="00A7044E">
        <w:rPr>
          <w:rFonts w:ascii="Calibri" w:hAnsi="Calibri" w:cs="Calibri"/>
        </w:rPr>
        <w:t xml:space="preserve">), and </w:t>
      </w:r>
      <w:r w:rsidR="000B5559" w:rsidRPr="00A7044E">
        <w:rPr>
          <w:rFonts w:ascii="Calibri" w:hAnsi="Calibri" w:cs="Calibri"/>
        </w:rPr>
        <w:t xml:space="preserve">parallel </w:t>
      </w:r>
      <w:r w:rsidR="005525D7" w:rsidRPr="00A7044E">
        <w:rPr>
          <w:rFonts w:ascii="Calibri" w:hAnsi="Calibri" w:cs="Calibri"/>
        </w:rPr>
        <w:t xml:space="preserve">net </w:t>
      </w:r>
      <w:r w:rsidR="00FE339F" w:rsidRPr="00A7044E">
        <w:rPr>
          <w:rFonts w:ascii="Calibri" w:hAnsi="Calibri" w:cs="Calibri"/>
        </w:rPr>
        <w:t>purchases</w:t>
      </w:r>
      <w:r w:rsidR="005525D7" w:rsidRPr="00A7044E">
        <w:rPr>
          <w:rFonts w:ascii="Calibri" w:hAnsi="Calibri" w:cs="Calibri"/>
        </w:rPr>
        <w:t xml:space="preserve"> of foreign currency via derivat</w:t>
      </w:r>
      <w:r w:rsidR="00B31F6D" w:rsidRPr="00A7044E">
        <w:rPr>
          <w:rFonts w:ascii="Calibri" w:hAnsi="Calibri" w:cs="Calibri"/>
        </w:rPr>
        <w:t>ive finan</w:t>
      </w:r>
      <w:r w:rsidR="004A28DA" w:rsidRPr="00A7044E">
        <w:rPr>
          <w:rFonts w:ascii="Calibri" w:hAnsi="Calibri" w:cs="Calibri"/>
        </w:rPr>
        <w:t>cial instrume</w:t>
      </w:r>
      <w:r w:rsidR="005525D7" w:rsidRPr="00A7044E">
        <w:rPr>
          <w:rFonts w:ascii="Calibri" w:hAnsi="Calibri" w:cs="Calibri"/>
        </w:rPr>
        <w:t>n</w:t>
      </w:r>
      <w:r w:rsidR="004A28DA" w:rsidRPr="00A7044E">
        <w:rPr>
          <w:rFonts w:ascii="Calibri" w:hAnsi="Calibri" w:cs="Calibri"/>
        </w:rPr>
        <w:t>t</w:t>
      </w:r>
      <w:r w:rsidR="005525D7" w:rsidRPr="00A7044E">
        <w:rPr>
          <w:rFonts w:ascii="Calibri" w:hAnsi="Calibri" w:cs="Calibri"/>
        </w:rPr>
        <w:t xml:space="preserve">s </w:t>
      </w:r>
      <w:r w:rsidR="000B5559" w:rsidRPr="00A7044E">
        <w:rPr>
          <w:rFonts w:ascii="Calibri" w:hAnsi="Calibri" w:cs="Calibri"/>
        </w:rPr>
        <w:t>totaling about</w:t>
      </w:r>
      <w:r w:rsidR="005525D7" w:rsidRPr="00A7044E">
        <w:rPr>
          <w:rFonts w:ascii="Calibri" w:hAnsi="Calibri" w:cs="Calibri"/>
        </w:rPr>
        <w:t xml:space="preserve"> $</w:t>
      </w:r>
      <w:r w:rsidR="00FE339F" w:rsidRPr="00A7044E">
        <w:rPr>
          <w:rFonts w:ascii="Calibri" w:hAnsi="Calibri" w:cs="Calibri"/>
        </w:rPr>
        <w:t>3.3</w:t>
      </w:r>
      <w:r w:rsidR="005525D7" w:rsidRPr="00A7044E">
        <w:rPr>
          <w:rFonts w:ascii="Calibri" w:hAnsi="Calibri" w:cs="Calibri"/>
        </w:rPr>
        <w:t xml:space="preserve"> billion</w:t>
      </w:r>
      <w:r w:rsidR="00380CE9" w:rsidRPr="00A7044E">
        <w:rPr>
          <w:rFonts w:ascii="Calibri" w:hAnsi="Calibri" w:cs="Calibri"/>
        </w:rPr>
        <w:t>, meaning a</w:t>
      </w:r>
      <w:r w:rsidR="000B5559" w:rsidRPr="00A7044E">
        <w:rPr>
          <w:rFonts w:ascii="Calibri" w:hAnsi="Calibri" w:cs="Calibri"/>
        </w:rPr>
        <w:t xml:space="preserve"> </w:t>
      </w:r>
      <w:r w:rsidR="00FE339F" w:rsidRPr="00A7044E">
        <w:rPr>
          <w:rFonts w:ascii="Calibri" w:hAnsi="Calibri" w:cs="Calibri"/>
        </w:rPr>
        <w:t>declin</w:t>
      </w:r>
      <w:r w:rsidR="000B5559" w:rsidRPr="00A7044E">
        <w:rPr>
          <w:rFonts w:ascii="Calibri" w:hAnsi="Calibri" w:cs="Calibri"/>
        </w:rPr>
        <w:t>e in</w:t>
      </w:r>
      <w:r w:rsidR="00380CE9" w:rsidRPr="00A7044E">
        <w:rPr>
          <w:rFonts w:ascii="Calibri" w:hAnsi="Calibri" w:cs="Calibri"/>
        </w:rPr>
        <w:t xml:space="preserve"> future</w:t>
      </w:r>
      <w:r w:rsidR="004A28DA" w:rsidRPr="00A7044E">
        <w:rPr>
          <w:rFonts w:ascii="Calibri" w:hAnsi="Calibri" w:cs="Calibri"/>
        </w:rPr>
        <w:t>s tr</w:t>
      </w:r>
      <w:r w:rsidR="00380CE9" w:rsidRPr="00A7044E">
        <w:rPr>
          <w:rFonts w:ascii="Calibri" w:hAnsi="Calibri" w:cs="Calibri"/>
        </w:rPr>
        <w:t>a</w:t>
      </w:r>
      <w:r w:rsidR="004A28DA" w:rsidRPr="00A7044E">
        <w:rPr>
          <w:rFonts w:ascii="Calibri" w:hAnsi="Calibri" w:cs="Calibri"/>
        </w:rPr>
        <w:t>nsacti</w:t>
      </w:r>
      <w:r w:rsidR="00D1348F" w:rsidRPr="00A7044E">
        <w:rPr>
          <w:rFonts w:ascii="Calibri" w:hAnsi="Calibri" w:cs="Calibri"/>
        </w:rPr>
        <w:t>ons to sell foreign currency.</w:t>
      </w:r>
    </w:p>
    <w:p w14:paraId="591690ED" w14:textId="16F45C0F" w:rsidR="000B5559" w:rsidRPr="00A7044E" w:rsidRDefault="000B5559" w:rsidP="000B5559">
      <w:pPr>
        <w:bidi w:val="0"/>
        <w:spacing w:line="300" w:lineRule="exact"/>
        <w:ind w:left="426"/>
        <w:jc w:val="both"/>
        <w:rPr>
          <w:rFonts w:ascii="Calibri" w:hAnsi="Calibri" w:cs="Calibri"/>
        </w:rPr>
      </w:pPr>
    </w:p>
    <w:p w14:paraId="667BCDE4" w14:textId="121F9EEE" w:rsidR="00380CE9" w:rsidRPr="00A7044E" w:rsidRDefault="00380CE9" w:rsidP="00FE339F">
      <w:pPr>
        <w:bidi w:val="0"/>
        <w:spacing w:line="300" w:lineRule="exact"/>
        <w:ind w:left="426"/>
        <w:jc w:val="both"/>
        <w:rPr>
          <w:rFonts w:ascii="Calibri" w:hAnsi="Calibri" w:cs="Calibri"/>
        </w:rPr>
      </w:pPr>
      <w:r w:rsidRPr="00A7044E">
        <w:rPr>
          <w:rFonts w:ascii="Calibri" w:hAnsi="Calibri" w:cs="Calibri"/>
        </w:rPr>
        <w:t xml:space="preserve">In this quarter, there was an increase </w:t>
      </w:r>
      <w:r w:rsidR="0080634F" w:rsidRPr="00A7044E">
        <w:rPr>
          <w:rFonts w:ascii="Calibri" w:hAnsi="Calibri" w:cs="Calibri"/>
        </w:rPr>
        <w:t>in th</w:t>
      </w:r>
      <w:r w:rsidR="004A28DA" w:rsidRPr="00A7044E">
        <w:rPr>
          <w:rFonts w:ascii="Calibri" w:hAnsi="Calibri" w:cs="Calibri"/>
        </w:rPr>
        <w:t>e</w:t>
      </w:r>
      <w:r w:rsidR="0080634F" w:rsidRPr="00A7044E">
        <w:rPr>
          <w:rFonts w:ascii="Calibri" w:hAnsi="Calibri" w:cs="Calibri"/>
        </w:rPr>
        <w:t xml:space="preserve"> </w:t>
      </w:r>
      <w:r w:rsidR="000B5559" w:rsidRPr="00A7044E">
        <w:rPr>
          <w:rFonts w:ascii="Calibri" w:hAnsi="Calibri" w:cs="Calibri"/>
        </w:rPr>
        <w:t>rate</w:t>
      </w:r>
      <w:r w:rsidR="0080634F" w:rsidRPr="00A7044E">
        <w:rPr>
          <w:rFonts w:ascii="Calibri" w:hAnsi="Calibri" w:cs="Calibri"/>
        </w:rPr>
        <w:t xml:space="preserve"> of </w:t>
      </w:r>
      <w:r w:rsidR="000B5559" w:rsidRPr="00A7044E">
        <w:rPr>
          <w:rFonts w:ascii="Calibri" w:hAnsi="Calibri" w:cs="Calibri"/>
        </w:rPr>
        <w:t xml:space="preserve">institutional investors’ </w:t>
      </w:r>
      <w:r w:rsidR="0080634F" w:rsidRPr="00A7044E">
        <w:rPr>
          <w:rFonts w:ascii="Calibri" w:hAnsi="Calibri" w:cs="Calibri"/>
        </w:rPr>
        <w:t>exp</w:t>
      </w:r>
      <w:r w:rsidR="004A28DA" w:rsidRPr="00A7044E">
        <w:rPr>
          <w:rFonts w:ascii="Calibri" w:hAnsi="Calibri" w:cs="Calibri"/>
        </w:rPr>
        <w:t>osure to foreign currency (incl</w:t>
      </w:r>
      <w:r w:rsidR="0080634F" w:rsidRPr="00A7044E">
        <w:rPr>
          <w:rFonts w:ascii="Calibri" w:hAnsi="Calibri" w:cs="Calibri"/>
        </w:rPr>
        <w:t>u</w:t>
      </w:r>
      <w:r w:rsidR="004A28DA" w:rsidRPr="00A7044E">
        <w:rPr>
          <w:rFonts w:ascii="Calibri" w:hAnsi="Calibri" w:cs="Calibri"/>
        </w:rPr>
        <w:t>d</w:t>
      </w:r>
      <w:r w:rsidR="0080634F" w:rsidRPr="00A7044E">
        <w:rPr>
          <w:rFonts w:ascii="Calibri" w:hAnsi="Calibri" w:cs="Calibri"/>
        </w:rPr>
        <w:t xml:space="preserve">ing NIS/forex derivatives) of about </w:t>
      </w:r>
      <w:r w:rsidR="00FE339F" w:rsidRPr="00A7044E">
        <w:rPr>
          <w:rFonts w:ascii="Calibri" w:hAnsi="Calibri" w:cs="Calibri"/>
        </w:rPr>
        <w:t>0.5</w:t>
      </w:r>
      <w:r w:rsidR="0080634F" w:rsidRPr="00A7044E">
        <w:rPr>
          <w:rFonts w:ascii="Calibri" w:hAnsi="Calibri" w:cs="Calibri"/>
        </w:rPr>
        <w:t xml:space="preserve"> percentage point</w:t>
      </w:r>
      <w:r w:rsidR="00FE339F" w:rsidRPr="00A7044E">
        <w:rPr>
          <w:rFonts w:ascii="Calibri" w:hAnsi="Calibri" w:cs="Calibri"/>
        </w:rPr>
        <w:t>s</w:t>
      </w:r>
      <w:r w:rsidR="004A28DA" w:rsidRPr="00A7044E">
        <w:rPr>
          <w:rFonts w:ascii="Calibri" w:hAnsi="Calibri" w:cs="Calibri"/>
        </w:rPr>
        <w:t xml:space="preserve"> </w:t>
      </w:r>
      <w:r w:rsidR="00C77279" w:rsidRPr="00A7044E">
        <w:rPr>
          <w:rFonts w:ascii="Calibri" w:hAnsi="Calibri" w:cs="Calibri"/>
        </w:rPr>
        <w:t xml:space="preserve">to a level of </w:t>
      </w:r>
      <w:r w:rsidR="000B5559" w:rsidRPr="00A7044E">
        <w:rPr>
          <w:rFonts w:ascii="Calibri" w:hAnsi="Calibri" w:cs="Calibri"/>
        </w:rPr>
        <w:t xml:space="preserve">about </w:t>
      </w:r>
      <w:r w:rsidR="00C77279" w:rsidRPr="00A7044E">
        <w:rPr>
          <w:rFonts w:ascii="Calibri" w:hAnsi="Calibri" w:cs="Calibri"/>
        </w:rPr>
        <w:t>2</w:t>
      </w:r>
      <w:r w:rsidR="00FE339F" w:rsidRPr="00A7044E">
        <w:rPr>
          <w:rFonts w:ascii="Calibri" w:hAnsi="Calibri" w:cs="Calibri"/>
        </w:rPr>
        <w:t>4</w:t>
      </w:r>
      <w:r w:rsidR="00C77279" w:rsidRPr="00A7044E">
        <w:rPr>
          <w:rFonts w:ascii="Calibri" w:hAnsi="Calibri" w:cs="Calibri"/>
        </w:rPr>
        <w:t>.</w:t>
      </w:r>
      <w:r w:rsidR="00FE339F" w:rsidRPr="00A7044E">
        <w:rPr>
          <w:rFonts w:ascii="Calibri" w:hAnsi="Calibri" w:cs="Calibri"/>
        </w:rPr>
        <w:t>1</w:t>
      </w:r>
      <w:r w:rsidR="00C77279" w:rsidRPr="00A7044E">
        <w:rPr>
          <w:rFonts w:ascii="Calibri" w:hAnsi="Calibri" w:cs="Calibri"/>
        </w:rPr>
        <w:t xml:space="preserve"> percent.</w:t>
      </w:r>
    </w:p>
    <w:p w14:paraId="5CEF4FAD" w14:textId="2DA246F3" w:rsidR="00FF2C7E" w:rsidRPr="00A7044E" w:rsidRDefault="00FF2C7E" w:rsidP="00FF2C7E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6F8E28B9" w14:textId="5D0AB67D" w:rsidR="00A34C08" w:rsidRPr="00A7044E" w:rsidRDefault="00D1348F" w:rsidP="00A34C08">
      <w:pPr>
        <w:bidi w:val="0"/>
        <w:spacing w:line="300" w:lineRule="exact"/>
        <w:jc w:val="both"/>
        <w:rPr>
          <w:rFonts w:ascii="Calibri" w:hAnsi="Calibri" w:cs="Calibri"/>
        </w:rPr>
      </w:pPr>
      <w:r w:rsidRPr="00A7044E">
        <w:rPr>
          <w:rFonts w:ascii="Calibri" w:hAnsi="Calibri" w:cs="Calibri"/>
          <w:noProof/>
        </w:rPr>
        <w:drawing>
          <wp:anchor distT="0" distB="0" distL="114300" distR="114300" simplePos="0" relativeHeight="251678720" behindDoc="0" locked="0" layoutInCell="1" allowOverlap="1" wp14:anchorId="0C7066DF" wp14:editId="68686DE8">
            <wp:simplePos x="0" y="0"/>
            <wp:positionH relativeFrom="column">
              <wp:posOffset>-193372</wp:posOffset>
            </wp:positionH>
            <wp:positionV relativeFrom="paragraph">
              <wp:posOffset>425902</wp:posOffset>
            </wp:positionV>
            <wp:extent cx="3322800" cy="2476627"/>
            <wp:effectExtent l="0" t="0" r="0" b="0"/>
            <wp:wrapSquare wrapText="bothSides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800" cy="2476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74238" w14:textId="7F07C6F4" w:rsidR="00935E04" w:rsidRPr="00A7044E" w:rsidRDefault="00D1348F" w:rsidP="00A35DF3">
      <w:pPr>
        <w:bidi w:val="0"/>
        <w:spacing w:line="300" w:lineRule="exact"/>
        <w:jc w:val="both"/>
        <w:rPr>
          <w:rFonts w:ascii="Calibri" w:hAnsi="Calibri" w:cs="Calibri"/>
        </w:rPr>
      </w:pPr>
      <w:r w:rsidRPr="00A7044E">
        <w:rPr>
          <w:rFonts w:ascii="Calibri" w:hAnsi="Calibri" w:cs="Calibri"/>
          <w:noProof/>
        </w:rPr>
        <w:drawing>
          <wp:anchor distT="0" distB="0" distL="114300" distR="114300" simplePos="0" relativeHeight="251679744" behindDoc="0" locked="0" layoutInCell="1" allowOverlap="1" wp14:anchorId="1003F40E" wp14:editId="4984EF53">
            <wp:simplePos x="0" y="0"/>
            <wp:positionH relativeFrom="column">
              <wp:posOffset>3217821</wp:posOffset>
            </wp:positionH>
            <wp:positionV relativeFrom="paragraph">
              <wp:posOffset>212670</wp:posOffset>
            </wp:positionV>
            <wp:extent cx="3069590" cy="2508885"/>
            <wp:effectExtent l="0" t="0" r="0" b="5715"/>
            <wp:wrapSquare wrapText="bothSides"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250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80E867" w14:textId="7B0298EC" w:rsidR="00935E04" w:rsidRPr="00A7044E" w:rsidRDefault="00935E04" w:rsidP="007E422E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6A32BCD4" w14:textId="51856BD1" w:rsidR="00111C23" w:rsidRPr="00A7044E" w:rsidRDefault="004F34CD" w:rsidP="007E422E">
      <w:pPr>
        <w:pStyle w:val="1"/>
        <w:jc w:val="left"/>
        <w:rPr>
          <w:rFonts w:ascii="Calibri" w:hAnsi="Calibri" w:cs="Calibri"/>
        </w:rPr>
      </w:pPr>
      <w:r w:rsidRPr="00A7044E">
        <w:rPr>
          <w:rFonts w:ascii="Calibri" w:hAnsi="Calibri" w:cs="Calibri"/>
        </w:rPr>
        <w:t>4</w:t>
      </w:r>
      <w:r w:rsidR="00111C23" w:rsidRPr="00A7044E">
        <w:rPr>
          <w:rFonts w:ascii="Calibri" w:hAnsi="Calibri" w:cs="Calibri"/>
        </w:rPr>
        <w:t xml:space="preserve">. </w:t>
      </w:r>
      <w:r w:rsidR="008C0538" w:rsidRPr="00A7044E">
        <w:rPr>
          <w:rFonts w:ascii="Calibri" w:hAnsi="Calibri" w:cs="Calibri"/>
        </w:rPr>
        <w:t>The portfolio managed by m</w:t>
      </w:r>
      <w:r w:rsidR="00111C23" w:rsidRPr="00A7044E">
        <w:rPr>
          <w:rFonts w:ascii="Calibri" w:hAnsi="Calibri" w:cs="Calibri"/>
        </w:rPr>
        <w:t>utual funds</w:t>
      </w:r>
    </w:p>
    <w:p w14:paraId="3782F0C6" w14:textId="61E665CB" w:rsidR="00111C23" w:rsidRPr="00A7044E" w:rsidRDefault="00111C23" w:rsidP="007E422E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355BBB04" w14:textId="253D2BE7" w:rsidR="002F55F2" w:rsidRPr="00A7044E" w:rsidRDefault="00111C23" w:rsidP="00FE339F">
      <w:pPr>
        <w:bidi w:val="0"/>
        <w:spacing w:line="300" w:lineRule="exact"/>
        <w:jc w:val="both"/>
        <w:rPr>
          <w:rFonts w:ascii="Calibri" w:hAnsi="Calibri" w:cs="Calibri"/>
        </w:rPr>
      </w:pPr>
      <w:r w:rsidRPr="00A7044E">
        <w:rPr>
          <w:rFonts w:ascii="Calibri" w:hAnsi="Calibri" w:cs="Calibri"/>
        </w:rPr>
        <w:t>The value of the portfolio managed by</w:t>
      </w:r>
      <w:r w:rsidR="00150DCF" w:rsidRPr="00A7044E">
        <w:rPr>
          <w:rFonts w:ascii="Calibri" w:hAnsi="Calibri" w:cs="Calibri"/>
        </w:rPr>
        <w:t xml:space="preserve"> Israeli </w:t>
      </w:r>
      <w:r w:rsidRPr="00A7044E">
        <w:rPr>
          <w:rFonts w:ascii="Calibri" w:hAnsi="Calibri" w:cs="Calibri"/>
        </w:rPr>
        <w:t xml:space="preserve">mutual funds </w:t>
      </w:r>
      <w:r w:rsidR="00A76DF8" w:rsidRPr="00A7044E">
        <w:rPr>
          <w:rFonts w:ascii="Calibri" w:hAnsi="Calibri" w:cs="Calibri"/>
        </w:rPr>
        <w:t>increased</w:t>
      </w:r>
      <w:r w:rsidR="005F1CA9" w:rsidRPr="00A7044E">
        <w:rPr>
          <w:rFonts w:ascii="Calibri" w:hAnsi="Calibri" w:cs="Calibri"/>
        </w:rPr>
        <w:t xml:space="preserve"> in the </w:t>
      </w:r>
      <w:r w:rsidR="006F0772" w:rsidRPr="00A7044E">
        <w:rPr>
          <w:rFonts w:ascii="Calibri" w:hAnsi="Calibri" w:cs="Calibri"/>
        </w:rPr>
        <w:t>third</w:t>
      </w:r>
      <w:r w:rsidR="006B32D0" w:rsidRPr="00A7044E">
        <w:rPr>
          <w:rFonts w:ascii="Calibri" w:hAnsi="Calibri" w:cs="Calibri"/>
        </w:rPr>
        <w:t xml:space="preserve"> quarter</w:t>
      </w:r>
      <w:r w:rsidR="005F1CA9" w:rsidRPr="00A7044E">
        <w:rPr>
          <w:rFonts w:ascii="Calibri" w:hAnsi="Calibri" w:cs="Calibri"/>
        </w:rPr>
        <w:t xml:space="preserve"> by </w:t>
      </w:r>
      <w:r w:rsidR="00C66406" w:rsidRPr="00A7044E">
        <w:rPr>
          <w:rFonts w:ascii="Calibri" w:hAnsi="Calibri" w:cs="Calibri"/>
        </w:rPr>
        <w:t xml:space="preserve">approximately </w:t>
      </w:r>
      <w:r w:rsidR="00935E04" w:rsidRPr="00A7044E">
        <w:rPr>
          <w:rFonts w:ascii="Calibri" w:hAnsi="Calibri" w:cs="Calibri"/>
        </w:rPr>
        <w:t xml:space="preserve">NIS </w:t>
      </w:r>
      <w:r w:rsidR="00FE339F" w:rsidRPr="00A7044E">
        <w:rPr>
          <w:rFonts w:ascii="Calibri" w:hAnsi="Calibri" w:cs="Calibri"/>
        </w:rPr>
        <w:t>39.6</w:t>
      </w:r>
      <w:r w:rsidR="00330595" w:rsidRPr="00A7044E">
        <w:rPr>
          <w:rFonts w:ascii="Calibri" w:hAnsi="Calibri" w:cs="Calibri"/>
        </w:rPr>
        <w:t xml:space="preserve"> </w:t>
      </w:r>
      <w:r w:rsidR="00935E04" w:rsidRPr="00A7044E">
        <w:rPr>
          <w:rFonts w:ascii="Calibri" w:hAnsi="Calibri" w:cs="Calibri"/>
        </w:rPr>
        <w:t>billion (</w:t>
      </w:r>
      <w:r w:rsidR="00FE339F" w:rsidRPr="00A7044E">
        <w:rPr>
          <w:rFonts w:ascii="Calibri" w:hAnsi="Calibri" w:cs="Calibri"/>
        </w:rPr>
        <w:t>7.6</w:t>
      </w:r>
      <w:r w:rsidR="00330595" w:rsidRPr="00A7044E">
        <w:rPr>
          <w:rFonts w:ascii="Calibri" w:hAnsi="Calibri" w:cs="Calibri"/>
        </w:rPr>
        <w:t xml:space="preserve"> </w:t>
      </w:r>
      <w:r w:rsidR="00935E04" w:rsidRPr="00A7044E">
        <w:rPr>
          <w:rFonts w:ascii="Calibri" w:hAnsi="Calibri" w:cs="Calibri"/>
        </w:rPr>
        <w:t>percent), to</w:t>
      </w:r>
      <w:r w:rsidRPr="00A7044E">
        <w:rPr>
          <w:rFonts w:ascii="Calibri" w:hAnsi="Calibri" w:cs="Calibri"/>
        </w:rPr>
        <w:t xml:space="preserve"> </w:t>
      </w:r>
      <w:r w:rsidR="00A22FC4" w:rsidRPr="00A7044E">
        <w:rPr>
          <w:rFonts w:ascii="Calibri" w:hAnsi="Calibri" w:cs="Calibri"/>
        </w:rPr>
        <w:t xml:space="preserve">about </w:t>
      </w:r>
      <w:r w:rsidRPr="00A7044E">
        <w:rPr>
          <w:rFonts w:ascii="Calibri" w:hAnsi="Calibri" w:cs="Calibri"/>
        </w:rPr>
        <w:t xml:space="preserve">NIS </w:t>
      </w:r>
      <w:r w:rsidR="000B5559" w:rsidRPr="00A7044E">
        <w:rPr>
          <w:rFonts w:ascii="Calibri" w:hAnsi="Calibri" w:cs="Calibri"/>
        </w:rPr>
        <w:t>5</w:t>
      </w:r>
      <w:r w:rsidR="00FE339F" w:rsidRPr="00A7044E">
        <w:rPr>
          <w:rFonts w:ascii="Calibri" w:hAnsi="Calibri" w:cs="Calibri"/>
        </w:rPr>
        <w:t>57</w:t>
      </w:r>
      <w:r w:rsidR="000B5559" w:rsidRPr="00A7044E">
        <w:rPr>
          <w:rFonts w:ascii="Calibri" w:hAnsi="Calibri" w:cs="Calibri"/>
        </w:rPr>
        <w:t>.</w:t>
      </w:r>
      <w:r w:rsidR="00FE339F" w:rsidRPr="00A7044E">
        <w:rPr>
          <w:rFonts w:ascii="Calibri" w:hAnsi="Calibri" w:cs="Calibri"/>
        </w:rPr>
        <w:t>8</w:t>
      </w:r>
      <w:r w:rsidR="002D1BB3" w:rsidRPr="00A7044E">
        <w:rPr>
          <w:rFonts w:ascii="Calibri" w:hAnsi="Calibri" w:cs="Calibri"/>
        </w:rPr>
        <w:t xml:space="preserve"> </w:t>
      </w:r>
      <w:r w:rsidRPr="00A7044E">
        <w:rPr>
          <w:rFonts w:ascii="Calibri" w:hAnsi="Calibri" w:cs="Calibri"/>
        </w:rPr>
        <w:t>billion</w:t>
      </w:r>
      <w:r w:rsidR="00330595" w:rsidRPr="00A7044E">
        <w:rPr>
          <w:rFonts w:ascii="Calibri" w:hAnsi="Calibri" w:cs="Calibri"/>
        </w:rPr>
        <w:t xml:space="preserve"> at the end of the quarter</w:t>
      </w:r>
      <w:r w:rsidR="000A2FAD" w:rsidRPr="00A7044E">
        <w:rPr>
          <w:rFonts w:ascii="Calibri" w:hAnsi="Calibri" w:cs="Calibri"/>
        </w:rPr>
        <w:t>,</w:t>
      </w:r>
      <w:r w:rsidRPr="00A7044E">
        <w:rPr>
          <w:rFonts w:ascii="Calibri" w:hAnsi="Calibri" w:cs="Calibri"/>
        </w:rPr>
        <w:t xml:space="preserve"> </w:t>
      </w:r>
      <w:r w:rsidR="000A2FAD" w:rsidRPr="00A7044E">
        <w:rPr>
          <w:rFonts w:ascii="Calibri" w:hAnsi="Calibri" w:cs="Calibri"/>
        </w:rPr>
        <w:t>constituting</w:t>
      </w:r>
      <w:r w:rsidR="00E3433E" w:rsidRPr="00A7044E">
        <w:rPr>
          <w:rFonts w:ascii="Calibri" w:hAnsi="Calibri" w:cs="Calibri"/>
        </w:rPr>
        <w:t xml:space="preserve"> about </w:t>
      </w:r>
      <w:r w:rsidR="000B5559" w:rsidRPr="00A7044E">
        <w:rPr>
          <w:rFonts w:ascii="Calibri" w:hAnsi="Calibri" w:cs="Calibri"/>
        </w:rPr>
        <w:t>9</w:t>
      </w:r>
      <w:r w:rsidR="00FE339F" w:rsidRPr="00A7044E">
        <w:rPr>
          <w:rFonts w:ascii="Calibri" w:hAnsi="Calibri" w:cs="Calibri"/>
        </w:rPr>
        <w:t>.3</w:t>
      </w:r>
      <w:r w:rsidR="00156076" w:rsidRPr="00A7044E">
        <w:rPr>
          <w:rFonts w:ascii="Calibri" w:hAnsi="Calibri" w:cs="Calibri"/>
        </w:rPr>
        <w:t xml:space="preserve"> </w:t>
      </w:r>
      <w:r w:rsidR="00E3433E" w:rsidRPr="00A7044E">
        <w:rPr>
          <w:rFonts w:ascii="Calibri" w:hAnsi="Calibri" w:cs="Calibri"/>
        </w:rPr>
        <w:t>percent of the public’s asset portfolio.</w:t>
      </w:r>
    </w:p>
    <w:p w14:paraId="1B224F30" w14:textId="03E54A14" w:rsidR="006704E6" w:rsidRPr="00A7044E" w:rsidRDefault="006704E6" w:rsidP="007E422E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7DE3F9E5" w14:textId="34E4B32E" w:rsidR="00A76DF8" w:rsidRPr="00A7044E" w:rsidRDefault="006A3AF5" w:rsidP="00FE339F">
      <w:pPr>
        <w:bidi w:val="0"/>
        <w:spacing w:line="300" w:lineRule="exact"/>
        <w:jc w:val="both"/>
        <w:rPr>
          <w:rFonts w:ascii="Calibri" w:hAnsi="Calibri" w:cs="Calibri"/>
        </w:rPr>
      </w:pPr>
      <w:r w:rsidRPr="00A7044E">
        <w:rPr>
          <w:rFonts w:ascii="Calibri" w:hAnsi="Calibri" w:cs="Calibri"/>
        </w:rPr>
        <w:t xml:space="preserve">The </w:t>
      </w:r>
      <w:r w:rsidR="00A76DF8" w:rsidRPr="00A7044E">
        <w:rPr>
          <w:rFonts w:ascii="Calibri" w:hAnsi="Calibri" w:cs="Calibri"/>
        </w:rPr>
        <w:t>increase</w:t>
      </w:r>
      <w:r w:rsidR="00EC215C" w:rsidRPr="00A7044E">
        <w:rPr>
          <w:rFonts w:ascii="Calibri" w:hAnsi="Calibri" w:cs="Calibri"/>
        </w:rPr>
        <w:t xml:space="preserve"> in the </w:t>
      </w:r>
      <w:r w:rsidR="006F0772" w:rsidRPr="00A7044E">
        <w:rPr>
          <w:rFonts w:ascii="Calibri" w:hAnsi="Calibri" w:cs="Calibri"/>
        </w:rPr>
        <w:t>third</w:t>
      </w:r>
      <w:r w:rsidR="006B32D0" w:rsidRPr="00A7044E">
        <w:rPr>
          <w:rFonts w:ascii="Calibri" w:hAnsi="Calibri" w:cs="Calibri"/>
        </w:rPr>
        <w:t xml:space="preserve"> quarter</w:t>
      </w:r>
      <w:r w:rsidRPr="00A7044E">
        <w:rPr>
          <w:rFonts w:ascii="Calibri" w:hAnsi="Calibri" w:cs="Calibri"/>
        </w:rPr>
        <w:t xml:space="preserve"> </w:t>
      </w:r>
      <w:r w:rsidR="000B5559" w:rsidRPr="00A7044E">
        <w:rPr>
          <w:rFonts w:ascii="Calibri" w:hAnsi="Calibri" w:cs="Calibri"/>
        </w:rPr>
        <w:t xml:space="preserve">was mainly due to </w:t>
      </w:r>
      <w:r w:rsidR="002749DD" w:rsidRPr="00A7044E">
        <w:rPr>
          <w:rFonts w:ascii="Calibri" w:hAnsi="Calibri" w:cs="Calibri"/>
        </w:rPr>
        <w:t xml:space="preserve">net </w:t>
      </w:r>
      <w:r w:rsidR="000B5559" w:rsidRPr="00A7044E">
        <w:rPr>
          <w:rFonts w:ascii="Calibri" w:hAnsi="Calibri" w:cs="Calibri"/>
        </w:rPr>
        <w:t xml:space="preserve">new </w:t>
      </w:r>
      <w:r w:rsidR="00BE0F6C" w:rsidRPr="00A7044E">
        <w:rPr>
          <w:rFonts w:ascii="Calibri" w:hAnsi="Calibri" w:cs="Calibri"/>
        </w:rPr>
        <w:t>investment</w:t>
      </w:r>
      <w:r w:rsidR="00E16423" w:rsidRPr="00A7044E">
        <w:rPr>
          <w:rFonts w:ascii="Calibri" w:hAnsi="Calibri" w:cs="Calibri"/>
        </w:rPr>
        <w:t xml:space="preserve"> in the funds</w:t>
      </w:r>
      <w:r w:rsidR="00766AD6" w:rsidRPr="00A7044E">
        <w:rPr>
          <w:rFonts w:ascii="Calibri" w:hAnsi="Calibri" w:cs="Calibri"/>
        </w:rPr>
        <w:t xml:space="preserve"> </w:t>
      </w:r>
      <w:r w:rsidR="00A76DF8" w:rsidRPr="00A7044E">
        <w:rPr>
          <w:rFonts w:ascii="Calibri" w:hAnsi="Calibri" w:cs="Calibri"/>
        </w:rPr>
        <w:t xml:space="preserve">totaling </w:t>
      </w:r>
      <w:r w:rsidR="00E16423" w:rsidRPr="00A7044E">
        <w:rPr>
          <w:rFonts w:ascii="Calibri" w:hAnsi="Calibri" w:cs="Calibri"/>
        </w:rPr>
        <w:t xml:space="preserve">about </w:t>
      </w:r>
      <w:r w:rsidR="00A76DF8" w:rsidRPr="00A7044E">
        <w:rPr>
          <w:rFonts w:ascii="Calibri" w:hAnsi="Calibri" w:cs="Calibri"/>
        </w:rPr>
        <w:t xml:space="preserve">NIS </w:t>
      </w:r>
      <w:r w:rsidR="00FE339F" w:rsidRPr="00A7044E">
        <w:rPr>
          <w:rFonts w:ascii="Calibri" w:hAnsi="Calibri" w:cs="Calibri"/>
        </w:rPr>
        <w:t>21.2</w:t>
      </w:r>
      <w:r w:rsidR="001A3180" w:rsidRPr="00A7044E">
        <w:rPr>
          <w:rFonts w:ascii="Calibri" w:hAnsi="Calibri" w:cs="Calibri"/>
        </w:rPr>
        <w:t xml:space="preserve"> b</w:t>
      </w:r>
      <w:r w:rsidR="00E16423" w:rsidRPr="00A7044E">
        <w:rPr>
          <w:rFonts w:ascii="Calibri" w:hAnsi="Calibri" w:cs="Calibri"/>
        </w:rPr>
        <w:t>illion</w:t>
      </w:r>
      <w:r w:rsidR="00FE339F" w:rsidRPr="00A7044E">
        <w:rPr>
          <w:rFonts w:ascii="Calibri" w:hAnsi="Calibri" w:cs="Calibri"/>
        </w:rPr>
        <w:t>,</w:t>
      </w:r>
      <w:r w:rsidR="00BB79C7" w:rsidRPr="00A7044E">
        <w:rPr>
          <w:rFonts w:ascii="Calibri" w:hAnsi="Calibri" w:cs="Calibri"/>
        </w:rPr>
        <w:t xml:space="preserve"> and price increases</w:t>
      </w:r>
      <w:r w:rsidR="00E16423" w:rsidRPr="00A7044E">
        <w:rPr>
          <w:rFonts w:ascii="Calibri" w:hAnsi="Calibri" w:cs="Calibri"/>
        </w:rPr>
        <w:t>.</w:t>
      </w:r>
      <w:r w:rsidR="00A76DF8" w:rsidRPr="00A7044E">
        <w:rPr>
          <w:rFonts w:ascii="Calibri" w:hAnsi="Calibri" w:cs="Calibri"/>
        </w:rPr>
        <w:t xml:space="preserve"> Most of the new </w:t>
      </w:r>
      <w:r w:rsidR="00BE0F6C" w:rsidRPr="00A7044E">
        <w:rPr>
          <w:rFonts w:ascii="Calibri" w:hAnsi="Calibri" w:cs="Calibri"/>
        </w:rPr>
        <w:t xml:space="preserve">investment </w:t>
      </w:r>
      <w:r w:rsidR="00A76DF8" w:rsidRPr="00A7044E">
        <w:rPr>
          <w:rFonts w:ascii="Calibri" w:hAnsi="Calibri" w:cs="Calibri"/>
        </w:rPr>
        <w:t>was in shekel money market funds</w:t>
      </w:r>
      <w:r w:rsidR="00847A61" w:rsidRPr="00A7044E">
        <w:rPr>
          <w:rFonts w:ascii="Calibri" w:hAnsi="Calibri" w:cs="Calibri"/>
        </w:rPr>
        <w:t>,</w:t>
      </w:r>
      <w:r w:rsidR="00A76DF8" w:rsidRPr="00A7044E">
        <w:rPr>
          <w:rFonts w:ascii="Calibri" w:hAnsi="Calibri" w:cs="Calibri"/>
        </w:rPr>
        <w:t xml:space="preserve"> totaling </w:t>
      </w:r>
      <w:r w:rsidR="00C66406" w:rsidRPr="00A7044E">
        <w:rPr>
          <w:rFonts w:ascii="Calibri" w:hAnsi="Calibri" w:cs="Calibri"/>
        </w:rPr>
        <w:t xml:space="preserve">approximately </w:t>
      </w:r>
      <w:r w:rsidR="00A76DF8" w:rsidRPr="00A7044E">
        <w:rPr>
          <w:rFonts w:ascii="Calibri" w:hAnsi="Calibri" w:cs="Calibri"/>
        </w:rPr>
        <w:t xml:space="preserve">NIS </w:t>
      </w:r>
      <w:r w:rsidR="00FE339F" w:rsidRPr="00A7044E">
        <w:rPr>
          <w:rFonts w:ascii="Calibri" w:hAnsi="Calibri" w:cs="Calibri"/>
        </w:rPr>
        <w:t>15.3</w:t>
      </w:r>
      <w:r w:rsidR="003D3B74" w:rsidRPr="00A7044E">
        <w:rPr>
          <w:rFonts w:ascii="Calibri" w:hAnsi="Calibri" w:cs="Calibri"/>
        </w:rPr>
        <w:t xml:space="preserve"> </w:t>
      </w:r>
      <w:r w:rsidR="00A76DF8" w:rsidRPr="00A7044E">
        <w:rPr>
          <w:rFonts w:ascii="Calibri" w:hAnsi="Calibri" w:cs="Calibri"/>
        </w:rPr>
        <w:t>billion</w:t>
      </w:r>
      <w:r w:rsidR="001A3180" w:rsidRPr="00A7044E">
        <w:rPr>
          <w:rFonts w:ascii="Calibri" w:hAnsi="Calibri" w:cs="Calibri"/>
        </w:rPr>
        <w:t>,</w:t>
      </w:r>
      <w:r w:rsidR="000B5559" w:rsidRPr="00A7044E">
        <w:rPr>
          <w:rFonts w:ascii="Calibri" w:hAnsi="Calibri" w:cs="Calibri"/>
        </w:rPr>
        <w:t xml:space="preserve"> </w:t>
      </w:r>
      <w:r w:rsidR="005229FB" w:rsidRPr="00A7044E">
        <w:rPr>
          <w:rFonts w:ascii="Calibri" w:hAnsi="Calibri" w:cs="Calibri"/>
        </w:rPr>
        <w:t xml:space="preserve">and in </w:t>
      </w:r>
      <w:r w:rsidR="000B5559" w:rsidRPr="00A7044E">
        <w:rPr>
          <w:rFonts w:ascii="Calibri" w:hAnsi="Calibri" w:cs="Calibri"/>
        </w:rPr>
        <w:t xml:space="preserve">funds specializing in equities abroad, </w:t>
      </w:r>
      <w:r w:rsidR="005229FB" w:rsidRPr="00A7044E">
        <w:rPr>
          <w:rFonts w:ascii="Calibri" w:hAnsi="Calibri" w:cs="Calibri"/>
        </w:rPr>
        <w:t>totaling about</w:t>
      </w:r>
      <w:r w:rsidR="000B5559" w:rsidRPr="00A7044E">
        <w:rPr>
          <w:rFonts w:ascii="Calibri" w:hAnsi="Calibri" w:cs="Calibri"/>
        </w:rPr>
        <w:t xml:space="preserve"> NIS </w:t>
      </w:r>
      <w:r w:rsidR="00FE339F" w:rsidRPr="00A7044E">
        <w:rPr>
          <w:rFonts w:ascii="Calibri" w:hAnsi="Calibri" w:cs="Calibri"/>
        </w:rPr>
        <w:t>4.4</w:t>
      </w:r>
      <w:r w:rsidR="000B5559" w:rsidRPr="00A7044E">
        <w:rPr>
          <w:rFonts w:ascii="Calibri" w:hAnsi="Calibri" w:cs="Calibri"/>
        </w:rPr>
        <w:t xml:space="preserve"> billion</w:t>
      </w:r>
      <w:r w:rsidR="00FE339F" w:rsidRPr="00A7044E">
        <w:rPr>
          <w:rFonts w:ascii="Calibri" w:hAnsi="Calibri" w:cs="Calibri"/>
        </w:rPr>
        <w:t>, further to the trend since mid-2023</w:t>
      </w:r>
      <w:r w:rsidR="00D1348F" w:rsidRPr="00A7044E">
        <w:rPr>
          <w:rFonts w:ascii="Calibri" w:hAnsi="Calibri" w:cs="Calibri"/>
        </w:rPr>
        <w:t>.</w:t>
      </w:r>
    </w:p>
    <w:p w14:paraId="65E797D9" w14:textId="4DDAAECE" w:rsidR="00487311" w:rsidRPr="00A7044E" w:rsidRDefault="00D1348F" w:rsidP="00487311">
      <w:pPr>
        <w:bidi w:val="0"/>
        <w:spacing w:line="300" w:lineRule="exact"/>
        <w:jc w:val="both"/>
        <w:rPr>
          <w:rFonts w:ascii="Calibri" w:hAnsi="Calibri" w:cs="Calibri"/>
        </w:rPr>
      </w:pPr>
      <w:r w:rsidRPr="00A7044E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5C1530E3" wp14:editId="49871023">
            <wp:simplePos x="0" y="0"/>
            <wp:positionH relativeFrom="margin">
              <wp:align>center</wp:align>
            </wp:positionH>
            <wp:positionV relativeFrom="paragraph">
              <wp:posOffset>83</wp:posOffset>
            </wp:positionV>
            <wp:extent cx="5400000" cy="2222811"/>
            <wp:effectExtent l="0" t="0" r="0" b="6350"/>
            <wp:wrapSquare wrapText="bothSides"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222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A2BACC" w14:textId="1D0B196A" w:rsidR="00A76DF8" w:rsidRPr="00A7044E" w:rsidRDefault="00A76DF8" w:rsidP="00A76DF8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7880433D" w14:textId="688541E6" w:rsidR="00F856FE" w:rsidRPr="00A7044E" w:rsidRDefault="00F856FE" w:rsidP="007E422E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5B3DFFED" w14:textId="39359AC5" w:rsidR="00D1348F" w:rsidRPr="00A7044E" w:rsidRDefault="00D1348F" w:rsidP="00D1348F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262CA92F" w14:textId="704FF346" w:rsidR="00D1348F" w:rsidRPr="00A7044E" w:rsidRDefault="00D1348F" w:rsidP="00D1348F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08525AC2" w14:textId="4996CE0A" w:rsidR="00D1348F" w:rsidRPr="00A7044E" w:rsidRDefault="00D1348F" w:rsidP="00D1348F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05A9883B" w14:textId="0F2AD286" w:rsidR="00D1348F" w:rsidRPr="00A7044E" w:rsidRDefault="00D1348F" w:rsidP="00D1348F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7424E8E8" w14:textId="7AA67544" w:rsidR="00D1348F" w:rsidRPr="00A7044E" w:rsidRDefault="00D1348F" w:rsidP="007E422E">
      <w:pPr>
        <w:pStyle w:val="regpar"/>
        <w:ind w:firstLine="0"/>
        <w:jc w:val="left"/>
        <w:outlineLvl w:val="0"/>
        <w:rPr>
          <w:rFonts w:ascii="Calibri" w:hAnsi="Calibri" w:cs="Calibri"/>
          <w:b/>
          <w:bCs/>
        </w:rPr>
      </w:pPr>
    </w:p>
    <w:p w14:paraId="5EEDBB46" w14:textId="2DEB68F7" w:rsidR="00D1348F" w:rsidRPr="00A7044E" w:rsidRDefault="00D1348F" w:rsidP="007E422E">
      <w:pPr>
        <w:pStyle w:val="regpar"/>
        <w:ind w:firstLine="0"/>
        <w:jc w:val="left"/>
        <w:outlineLvl w:val="0"/>
        <w:rPr>
          <w:rFonts w:ascii="Calibri" w:hAnsi="Calibri" w:cs="Calibri"/>
          <w:b/>
          <w:bCs/>
        </w:rPr>
      </w:pPr>
    </w:p>
    <w:p w14:paraId="3B269490" w14:textId="1C9F12E7" w:rsidR="00D1348F" w:rsidRPr="00A7044E" w:rsidRDefault="00D1348F" w:rsidP="007E422E">
      <w:pPr>
        <w:pStyle w:val="regpar"/>
        <w:ind w:firstLine="0"/>
        <w:jc w:val="left"/>
        <w:outlineLvl w:val="0"/>
        <w:rPr>
          <w:rFonts w:ascii="Calibri" w:hAnsi="Calibri" w:cs="Calibri"/>
          <w:b/>
          <w:bCs/>
        </w:rPr>
      </w:pPr>
    </w:p>
    <w:p w14:paraId="1DA4E07E" w14:textId="6CD4B329" w:rsidR="00D1348F" w:rsidRPr="00A7044E" w:rsidRDefault="00D1348F" w:rsidP="007E422E">
      <w:pPr>
        <w:pStyle w:val="regpar"/>
        <w:ind w:firstLine="0"/>
        <w:jc w:val="left"/>
        <w:outlineLvl w:val="0"/>
        <w:rPr>
          <w:rFonts w:ascii="Calibri" w:hAnsi="Calibri" w:cs="Calibri"/>
          <w:b/>
          <w:bCs/>
        </w:rPr>
      </w:pPr>
    </w:p>
    <w:p w14:paraId="36EA10C0" w14:textId="408E68D0" w:rsidR="00D1348F" w:rsidRPr="00A7044E" w:rsidRDefault="00D1348F" w:rsidP="007E422E">
      <w:pPr>
        <w:pStyle w:val="regpar"/>
        <w:ind w:firstLine="0"/>
        <w:jc w:val="left"/>
        <w:outlineLvl w:val="0"/>
        <w:rPr>
          <w:rFonts w:ascii="Calibri" w:hAnsi="Calibri" w:cs="Calibri"/>
          <w:b/>
          <w:bCs/>
        </w:rPr>
      </w:pPr>
    </w:p>
    <w:p w14:paraId="3257CFF3" w14:textId="77777777" w:rsidR="00D1348F" w:rsidRPr="00A7044E" w:rsidRDefault="00D1348F" w:rsidP="007E422E">
      <w:pPr>
        <w:pStyle w:val="regpar"/>
        <w:ind w:firstLine="0"/>
        <w:jc w:val="left"/>
        <w:outlineLvl w:val="0"/>
        <w:rPr>
          <w:rFonts w:ascii="Calibri" w:hAnsi="Calibri" w:cs="Calibri"/>
          <w:b/>
          <w:bCs/>
        </w:rPr>
      </w:pPr>
    </w:p>
    <w:p w14:paraId="4A1BB88E" w14:textId="5B98132F" w:rsidR="00030E0F" w:rsidRPr="00A7044E" w:rsidRDefault="00FA1969" w:rsidP="007E422E">
      <w:pPr>
        <w:pStyle w:val="regpar"/>
        <w:ind w:firstLine="0"/>
        <w:jc w:val="left"/>
        <w:outlineLvl w:val="0"/>
        <w:rPr>
          <w:rFonts w:ascii="Calibri" w:hAnsi="Calibri" w:cs="Calibri"/>
          <w:b/>
          <w:bCs/>
        </w:rPr>
      </w:pPr>
      <w:r w:rsidRPr="00A7044E">
        <w:rPr>
          <w:rFonts w:ascii="Calibri" w:hAnsi="Calibri" w:cs="Calibri"/>
          <w:b/>
          <w:bCs/>
        </w:rPr>
        <w:t>Further information and details:</w:t>
      </w:r>
    </w:p>
    <w:p w14:paraId="248400D8" w14:textId="6EF52029" w:rsidR="00030E0F" w:rsidRPr="00A7044E" w:rsidRDefault="00030E0F" w:rsidP="007E422E">
      <w:pPr>
        <w:pStyle w:val="regpar"/>
        <w:ind w:firstLine="0"/>
        <w:jc w:val="left"/>
        <w:outlineLvl w:val="0"/>
        <w:rPr>
          <w:rFonts w:ascii="Calibri" w:hAnsi="Calibri" w:cs="Calibri"/>
        </w:rPr>
      </w:pPr>
    </w:p>
    <w:p w14:paraId="77212F77" w14:textId="334C5C72" w:rsidR="00030E0F" w:rsidRPr="00A7044E" w:rsidRDefault="00030E0F" w:rsidP="007E422E">
      <w:pPr>
        <w:pStyle w:val="regpar"/>
        <w:ind w:firstLine="0"/>
        <w:jc w:val="left"/>
        <w:outlineLvl w:val="0"/>
        <w:rPr>
          <w:rFonts w:ascii="Calibri" w:hAnsi="Calibri" w:cs="Calibri"/>
        </w:rPr>
      </w:pPr>
      <w:r w:rsidRPr="00A7044E">
        <w:rPr>
          <w:rFonts w:ascii="Calibri" w:hAnsi="Calibri" w:cs="Calibri"/>
        </w:rPr>
        <w:t>Long-term tables on the asset portfolio are available here.</w:t>
      </w:r>
    </w:p>
    <w:p w14:paraId="4F26CFA2" w14:textId="642FA4E8" w:rsidR="00030E0F" w:rsidRPr="00A7044E" w:rsidRDefault="00030E0F" w:rsidP="007E422E">
      <w:pPr>
        <w:pStyle w:val="regpar"/>
        <w:ind w:firstLine="0"/>
        <w:jc w:val="left"/>
        <w:outlineLvl w:val="0"/>
        <w:rPr>
          <w:rFonts w:ascii="Calibri" w:hAnsi="Calibri" w:cs="Calibri"/>
        </w:rPr>
      </w:pPr>
      <w:r w:rsidRPr="00A7044E">
        <w:rPr>
          <w:rFonts w:ascii="Calibri" w:hAnsi="Calibri" w:cs="Calibri"/>
        </w:rPr>
        <w:t>Long-term tables on institutional investors’ exposure to foreign exchange and to foreign assets are available here.</w:t>
      </w:r>
    </w:p>
    <w:p w14:paraId="1EF846CE" w14:textId="62A5126F" w:rsidR="00030E0F" w:rsidRPr="00A7044E" w:rsidRDefault="00030E0F" w:rsidP="007E422E">
      <w:pPr>
        <w:pStyle w:val="regpar"/>
        <w:ind w:firstLine="0"/>
        <w:jc w:val="left"/>
        <w:outlineLvl w:val="0"/>
        <w:rPr>
          <w:rFonts w:ascii="Calibri" w:hAnsi="Calibri" w:cs="Calibri"/>
        </w:rPr>
      </w:pPr>
      <w:r w:rsidRPr="00A7044E">
        <w:rPr>
          <w:rFonts w:ascii="Calibri" w:hAnsi="Calibri" w:cs="Calibri"/>
        </w:rPr>
        <w:t>Long-term tables on mutual funds are available here.</w:t>
      </w:r>
    </w:p>
    <w:sectPr w:rsidR="00030E0F" w:rsidRPr="00A7044E" w:rsidSect="009E75D5">
      <w:footerReference w:type="first" r:id="rId16"/>
      <w:pgSz w:w="11906" w:h="16838"/>
      <w:pgMar w:top="1440" w:right="1080" w:bottom="1440" w:left="108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2982A" w14:textId="77777777" w:rsidR="00E60FEA" w:rsidRDefault="00E60FEA">
      <w:r>
        <w:separator/>
      </w:r>
    </w:p>
  </w:endnote>
  <w:endnote w:type="continuationSeparator" w:id="0">
    <w:p w14:paraId="4941FA83" w14:textId="77777777" w:rsidR="00E60FEA" w:rsidRDefault="00E6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86564" w14:textId="55493B43" w:rsidR="00FA1969" w:rsidRPr="00883CEC" w:rsidRDefault="00FA1969" w:rsidP="00A851AB">
    <w:pPr>
      <w:pStyle w:val="regpar"/>
      <w:jc w:val="left"/>
      <w:outlineLvl w:val="0"/>
      <w:rPr>
        <w:sz w:val="20"/>
        <w:szCs w:val="20"/>
        <w:rtl/>
        <w:cs/>
      </w:rPr>
    </w:pPr>
    <w:r>
      <w:rPr>
        <w:sz w:val="20"/>
        <w:szCs w:val="20"/>
      </w:rPr>
      <w:t xml:space="preserve">Bank of Israel </w:t>
    </w:r>
    <w:r w:rsidR="00BB70FB">
      <w:rPr>
        <w:sz w:val="20"/>
        <w:szCs w:val="20"/>
      </w:rPr>
      <w:t>–</w:t>
    </w:r>
    <w:r>
      <w:rPr>
        <w:sz w:val="20"/>
        <w:szCs w:val="20"/>
      </w:rPr>
      <w:t xml:space="preserve"> </w:t>
    </w:r>
    <w:r w:rsidR="00BB70FB">
      <w:rPr>
        <w:sz w:val="20"/>
        <w:szCs w:val="20"/>
      </w:rPr>
      <w:t xml:space="preserve">The </w:t>
    </w:r>
    <w:r w:rsidR="00644071">
      <w:rPr>
        <w:sz w:val="20"/>
        <w:szCs w:val="20"/>
      </w:rPr>
      <w:t>Public</w:t>
    </w:r>
    <w:r w:rsidR="00BB70FB">
      <w:rPr>
        <w:sz w:val="20"/>
        <w:szCs w:val="20"/>
      </w:rPr>
      <w:t>’s</w:t>
    </w:r>
    <w:r w:rsidR="00644071">
      <w:rPr>
        <w:sz w:val="20"/>
        <w:szCs w:val="20"/>
      </w:rPr>
      <w:t xml:space="preserve"> </w:t>
    </w:r>
    <w:r w:rsidR="00BB70FB">
      <w:rPr>
        <w:sz w:val="20"/>
        <w:szCs w:val="20"/>
      </w:rPr>
      <w:t xml:space="preserve">Financial </w:t>
    </w:r>
    <w:r w:rsidR="00644071">
      <w:rPr>
        <w:sz w:val="20"/>
        <w:szCs w:val="20"/>
      </w:rPr>
      <w:t>Asset</w:t>
    </w:r>
    <w:r w:rsidR="00BB70FB">
      <w:rPr>
        <w:sz w:val="20"/>
        <w:szCs w:val="20"/>
      </w:rPr>
      <w:t>s</w:t>
    </w:r>
    <w:r w:rsidR="00644071">
      <w:rPr>
        <w:sz w:val="20"/>
        <w:szCs w:val="20"/>
      </w:rPr>
      <w:t xml:space="preserve"> Portfolio, </w:t>
    </w:r>
    <w:r w:rsidR="006F0772">
      <w:rPr>
        <w:sz w:val="20"/>
        <w:szCs w:val="20"/>
      </w:rPr>
      <w:t>Third</w:t>
    </w:r>
    <w:r w:rsidR="00BF367C">
      <w:rPr>
        <w:sz w:val="20"/>
        <w:szCs w:val="20"/>
      </w:rPr>
      <w:t xml:space="preserve"> </w:t>
    </w:r>
    <w:r w:rsidR="004C343B">
      <w:rPr>
        <w:sz w:val="20"/>
        <w:szCs w:val="20"/>
      </w:rPr>
      <w:t>Q</w:t>
    </w:r>
    <w:r w:rsidR="00BF367C">
      <w:rPr>
        <w:sz w:val="20"/>
        <w:szCs w:val="20"/>
      </w:rPr>
      <w:t xml:space="preserve">uarter </w:t>
    </w:r>
    <w:r w:rsidR="00B228AF">
      <w:rPr>
        <w:sz w:val="20"/>
        <w:szCs w:val="20"/>
      </w:rPr>
      <w:t>of</w:t>
    </w:r>
    <w:r w:rsidR="00644071">
      <w:rPr>
        <w:sz w:val="20"/>
        <w:szCs w:val="20"/>
      </w:rPr>
      <w:t xml:space="preserve"> </w:t>
    </w:r>
    <w:r w:rsidR="003316A5">
      <w:rPr>
        <w:sz w:val="20"/>
        <w:szCs w:val="20"/>
      </w:rPr>
      <w:t>2024</w:t>
    </w:r>
    <w:r w:rsidR="00BB70FB">
      <w:rPr>
        <w:sz w:val="20"/>
        <w:szCs w:val="20"/>
      </w:rPr>
      <w:t>.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B96022">
      <w:rPr>
        <w:sz w:val="20"/>
        <w:szCs w:val="20"/>
      </w:rPr>
      <w:t>Page</w:t>
    </w:r>
    <w:r w:rsidRPr="00883CEC">
      <w:rPr>
        <w:sz w:val="20"/>
        <w:szCs w:val="20"/>
        <w:rtl/>
        <w:cs/>
      </w:rPr>
      <w:t xml:space="preserve"> </w:t>
    </w:r>
    <w:r w:rsidRPr="00883CEC">
      <w:rPr>
        <w:sz w:val="20"/>
        <w:szCs w:val="20"/>
      </w:rPr>
      <w:fldChar w:fldCharType="begin"/>
    </w:r>
    <w:r w:rsidRPr="00883CEC">
      <w:rPr>
        <w:sz w:val="20"/>
        <w:szCs w:val="20"/>
        <w:rtl/>
        <w:cs/>
      </w:rPr>
      <w:instrText>PAGE</w:instrText>
    </w:r>
    <w:r w:rsidRPr="00883CEC">
      <w:rPr>
        <w:sz w:val="20"/>
        <w:szCs w:val="20"/>
      </w:rPr>
      <w:fldChar w:fldCharType="separate"/>
    </w:r>
    <w:r w:rsidR="00A7044E">
      <w:rPr>
        <w:noProof/>
        <w:sz w:val="20"/>
        <w:szCs w:val="20"/>
      </w:rPr>
      <w:t>1</w:t>
    </w:r>
    <w:r w:rsidRPr="00883CEC">
      <w:rPr>
        <w:sz w:val="20"/>
        <w:szCs w:val="20"/>
      </w:rPr>
      <w:fldChar w:fldCharType="end"/>
    </w:r>
    <w:r w:rsidRPr="00B96022">
      <w:rPr>
        <w:sz w:val="20"/>
        <w:szCs w:val="20"/>
      </w:rPr>
      <w:t xml:space="preserve"> Of</w:t>
    </w:r>
    <w:r w:rsidRPr="00883CEC">
      <w:rPr>
        <w:sz w:val="20"/>
        <w:szCs w:val="20"/>
        <w:rtl/>
        <w:cs/>
      </w:rPr>
      <w:t xml:space="preserve"> </w:t>
    </w:r>
    <w:r w:rsidRPr="00883CEC">
      <w:rPr>
        <w:sz w:val="20"/>
        <w:szCs w:val="20"/>
      </w:rPr>
      <w:fldChar w:fldCharType="begin"/>
    </w:r>
    <w:r w:rsidRPr="00883CEC">
      <w:rPr>
        <w:sz w:val="20"/>
        <w:szCs w:val="20"/>
        <w:rtl/>
        <w:cs/>
      </w:rPr>
      <w:instrText>NUMPAGES</w:instrText>
    </w:r>
    <w:r w:rsidRPr="00883CEC">
      <w:rPr>
        <w:sz w:val="20"/>
        <w:szCs w:val="20"/>
      </w:rPr>
      <w:fldChar w:fldCharType="separate"/>
    </w:r>
    <w:r w:rsidR="00A7044E">
      <w:rPr>
        <w:noProof/>
        <w:sz w:val="20"/>
        <w:szCs w:val="20"/>
      </w:rPr>
      <w:t>6</w:t>
    </w:r>
    <w:r w:rsidRPr="00883CEC">
      <w:rPr>
        <w:sz w:val="20"/>
        <w:szCs w:val="20"/>
      </w:rPr>
      <w:fldChar w:fldCharType="end"/>
    </w:r>
  </w:p>
  <w:p w14:paraId="1706978B" w14:textId="77777777" w:rsidR="00527385" w:rsidRPr="00FA1969" w:rsidRDefault="00527385" w:rsidP="00FA1969">
    <w:pPr>
      <w:pStyle w:val="a4"/>
      <w:rPr>
        <w:rtl/>
        <w:lang w:bidi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132CA" w14:textId="77777777" w:rsidR="00E60FEA" w:rsidRDefault="00E60FEA">
      <w:r>
        <w:separator/>
      </w:r>
    </w:p>
  </w:footnote>
  <w:footnote w:type="continuationSeparator" w:id="0">
    <w:p w14:paraId="5F1F6B6A" w14:textId="77777777" w:rsidR="00E60FEA" w:rsidRDefault="00E60FEA">
      <w:r>
        <w:continuationSeparator/>
      </w:r>
    </w:p>
  </w:footnote>
  <w:footnote w:id="1">
    <w:p w14:paraId="28D7B6E0" w14:textId="77777777" w:rsidR="00DF0119" w:rsidRDefault="00DF0119" w:rsidP="00DF0119">
      <w:pPr>
        <w:pStyle w:val="a7"/>
        <w:bidi w:val="0"/>
      </w:pPr>
      <w:r>
        <w:rPr>
          <w:rStyle w:val="a8"/>
        </w:rPr>
        <w:footnoteRef/>
      </w:r>
      <w:r>
        <w:t xml:space="preserve"> Excluding mutual funds.</w:t>
      </w:r>
    </w:p>
  </w:footnote>
  <w:footnote w:id="2">
    <w:p w14:paraId="768F7FB2" w14:textId="1B22A2B3" w:rsidR="004A407B" w:rsidRDefault="004A407B" w:rsidP="0004599E">
      <w:pPr>
        <w:pStyle w:val="a7"/>
        <w:bidi w:val="0"/>
      </w:pPr>
      <w:r w:rsidRPr="00203A86">
        <w:rPr>
          <w:rStyle w:val="a8"/>
        </w:rPr>
        <w:footnoteRef/>
      </w:r>
      <w:r w:rsidRPr="00203A86">
        <w:rPr>
          <w:rtl/>
        </w:rPr>
        <w:t xml:space="preserve"> </w:t>
      </w:r>
      <w:r w:rsidR="00D879B5" w:rsidRPr="00203A86">
        <w:t>Estimates of members’ exposure (rather than exposure of the institutional investors themselves) to various risks in the portfolio managed for them by the institutional investors (excluding insurance policies with a guaranteed yield, where the risk is taken on by the institutional investors).</w:t>
      </w:r>
      <w:r w:rsidR="00CC1271" w:rsidRPr="00203A86">
        <w:t xml:space="preserve"> For additional details on definitions, terms, and explanations, see “Measuring the Exposures of Institutional Investors to Foreign Currency and to Foreign Assets” in the Bank</w:t>
      </w:r>
      <w:r w:rsidR="00CF0180">
        <w:t xml:space="preserve"> of Israel</w:t>
      </w:r>
      <w:r w:rsidR="00CC1271" w:rsidRPr="00203A86">
        <w:t xml:space="preserve">’s </w:t>
      </w:r>
      <w:r w:rsidR="00CC1271" w:rsidRPr="000B5559">
        <w:rPr>
          <w:i/>
          <w:iCs/>
        </w:rPr>
        <w:t>Statistical Bulletin</w:t>
      </w:r>
      <w:r w:rsidR="00CC1271" w:rsidRPr="00203A86">
        <w:t xml:space="preserve"> for 2016</w:t>
      </w:r>
      <w:r w:rsidR="0004599E" w:rsidRPr="00203A86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D1B"/>
    <w:multiLevelType w:val="hybridMultilevel"/>
    <w:tmpl w:val="CFEAE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0A0C"/>
    <w:multiLevelType w:val="hybridMultilevel"/>
    <w:tmpl w:val="1C124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76DF"/>
    <w:multiLevelType w:val="hybridMultilevel"/>
    <w:tmpl w:val="2A148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FF2751"/>
    <w:multiLevelType w:val="hybridMultilevel"/>
    <w:tmpl w:val="0DEE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803CB"/>
    <w:multiLevelType w:val="hybridMultilevel"/>
    <w:tmpl w:val="4A9A77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605F3"/>
    <w:multiLevelType w:val="hybridMultilevel"/>
    <w:tmpl w:val="B30C4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94805"/>
    <w:multiLevelType w:val="hybridMultilevel"/>
    <w:tmpl w:val="A8B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A3B03"/>
    <w:multiLevelType w:val="multilevel"/>
    <w:tmpl w:val="A4E44050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61592"/>
    <w:multiLevelType w:val="hybridMultilevel"/>
    <w:tmpl w:val="47BEB7D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745DF"/>
    <w:multiLevelType w:val="hybridMultilevel"/>
    <w:tmpl w:val="6018D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27C0C"/>
    <w:multiLevelType w:val="hybridMultilevel"/>
    <w:tmpl w:val="5B88046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7A46D6"/>
    <w:multiLevelType w:val="hybridMultilevel"/>
    <w:tmpl w:val="75F83FFC"/>
    <w:lvl w:ilvl="0" w:tplc="DB888D32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40138"/>
    <w:multiLevelType w:val="hybridMultilevel"/>
    <w:tmpl w:val="8FE6CD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427E5E"/>
    <w:multiLevelType w:val="hybridMultilevel"/>
    <w:tmpl w:val="B40844E8"/>
    <w:lvl w:ilvl="0" w:tplc="82020CE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A3A5F80"/>
    <w:multiLevelType w:val="hybridMultilevel"/>
    <w:tmpl w:val="1E8C5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A0AB1"/>
    <w:multiLevelType w:val="hybridMultilevel"/>
    <w:tmpl w:val="0B4A8B5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495A6B"/>
    <w:multiLevelType w:val="hybridMultilevel"/>
    <w:tmpl w:val="5F8CFB4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1EA"/>
    <w:multiLevelType w:val="hybridMultilevel"/>
    <w:tmpl w:val="A4E44050"/>
    <w:lvl w:ilvl="0" w:tplc="4B1286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34EF0"/>
    <w:multiLevelType w:val="hybridMultilevel"/>
    <w:tmpl w:val="15442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067F0E"/>
    <w:multiLevelType w:val="hybridMultilevel"/>
    <w:tmpl w:val="3B941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969B0"/>
    <w:multiLevelType w:val="hybridMultilevel"/>
    <w:tmpl w:val="331E9492"/>
    <w:lvl w:ilvl="0" w:tplc="C45ED432">
      <w:start w:val="1"/>
      <w:numFmt w:val="decimal"/>
      <w:lvlText w:val="%1."/>
      <w:lvlJc w:val="left"/>
      <w:pPr>
        <w:tabs>
          <w:tab w:val="num" w:pos="3120"/>
        </w:tabs>
        <w:ind w:left="3120" w:hanging="27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E37DDA"/>
    <w:multiLevelType w:val="multilevel"/>
    <w:tmpl w:val="E758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B5E70"/>
    <w:multiLevelType w:val="hybridMultilevel"/>
    <w:tmpl w:val="182003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450E37"/>
    <w:multiLevelType w:val="hybridMultilevel"/>
    <w:tmpl w:val="162E62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F6054"/>
    <w:multiLevelType w:val="hybridMultilevel"/>
    <w:tmpl w:val="9CB69E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4"/>
  </w:num>
  <w:num w:numId="4">
    <w:abstractNumId w:val="12"/>
  </w:num>
  <w:num w:numId="5">
    <w:abstractNumId w:val="22"/>
  </w:num>
  <w:num w:numId="6">
    <w:abstractNumId w:val="11"/>
  </w:num>
  <w:num w:numId="7">
    <w:abstractNumId w:val="19"/>
  </w:num>
  <w:num w:numId="8">
    <w:abstractNumId w:val="13"/>
  </w:num>
  <w:num w:numId="9">
    <w:abstractNumId w:val="0"/>
  </w:num>
  <w:num w:numId="10">
    <w:abstractNumId w:val="21"/>
  </w:num>
  <w:num w:numId="11">
    <w:abstractNumId w:val="23"/>
  </w:num>
  <w:num w:numId="12">
    <w:abstractNumId w:val="24"/>
  </w:num>
  <w:num w:numId="13">
    <w:abstractNumId w:val="9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7"/>
  </w:num>
  <w:num w:numId="17">
    <w:abstractNumId w:val="10"/>
  </w:num>
  <w:num w:numId="18">
    <w:abstractNumId w:val="8"/>
  </w:num>
  <w:num w:numId="19">
    <w:abstractNumId w:val="16"/>
  </w:num>
  <w:num w:numId="20">
    <w:abstractNumId w:val="14"/>
  </w:num>
  <w:num w:numId="21">
    <w:abstractNumId w:val="1"/>
  </w:num>
  <w:num w:numId="22">
    <w:abstractNumId w:val="6"/>
  </w:num>
  <w:num w:numId="23">
    <w:abstractNumId w:val="3"/>
  </w:num>
  <w:num w:numId="24">
    <w:abstractNumId w:val="5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53"/>
    <w:rsid w:val="00001639"/>
    <w:rsid w:val="00002378"/>
    <w:rsid w:val="000029D9"/>
    <w:rsid w:val="00004DEE"/>
    <w:rsid w:val="00005F13"/>
    <w:rsid w:val="00007712"/>
    <w:rsid w:val="00007ABC"/>
    <w:rsid w:val="00007CFD"/>
    <w:rsid w:val="00010E6D"/>
    <w:rsid w:val="00011480"/>
    <w:rsid w:val="0001230C"/>
    <w:rsid w:val="00012BEC"/>
    <w:rsid w:val="000130F6"/>
    <w:rsid w:val="000131ED"/>
    <w:rsid w:val="0001349E"/>
    <w:rsid w:val="00014CF7"/>
    <w:rsid w:val="00015F2B"/>
    <w:rsid w:val="0001611E"/>
    <w:rsid w:val="00016AAE"/>
    <w:rsid w:val="0001757B"/>
    <w:rsid w:val="00021226"/>
    <w:rsid w:val="00021906"/>
    <w:rsid w:val="00021A26"/>
    <w:rsid w:val="00022CED"/>
    <w:rsid w:val="00023598"/>
    <w:rsid w:val="0002460E"/>
    <w:rsid w:val="0002558A"/>
    <w:rsid w:val="00025A61"/>
    <w:rsid w:val="00026495"/>
    <w:rsid w:val="00026948"/>
    <w:rsid w:val="00027156"/>
    <w:rsid w:val="000303AD"/>
    <w:rsid w:val="00030937"/>
    <w:rsid w:val="00030C47"/>
    <w:rsid w:val="00030E0F"/>
    <w:rsid w:val="00031A70"/>
    <w:rsid w:val="00032B80"/>
    <w:rsid w:val="00034BDA"/>
    <w:rsid w:val="00037EA5"/>
    <w:rsid w:val="00040334"/>
    <w:rsid w:val="00042656"/>
    <w:rsid w:val="00042EBE"/>
    <w:rsid w:val="0004373E"/>
    <w:rsid w:val="000451FC"/>
    <w:rsid w:val="0004599E"/>
    <w:rsid w:val="00046071"/>
    <w:rsid w:val="00046636"/>
    <w:rsid w:val="00046B0A"/>
    <w:rsid w:val="00046FFC"/>
    <w:rsid w:val="000515C2"/>
    <w:rsid w:val="000534FA"/>
    <w:rsid w:val="00055574"/>
    <w:rsid w:val="000555D2"/>
    <w:rsid w:val="000568B1"/>
    <w:rsid w:val="00056985"/>
    <w:rsid w:val="00056FD7"/>
    <w:rsid w:val="00060F3C"/>
    <w:rsid w:val="00061279"/>
    <w:rsid w:val="0006161F"/>
    <w:rsid w:val="00061E54"/>
    <w:rsid w:val="00062BC0"/>
    <w:rsid w:val="00064B14"/>
    <w:rsid w:val="00064B4F"/>
    <w:rsid w:val="00065A05"/>
    <w:rsid w:val="00066BE2"/>
    <w:rsid w:val="0006727C"/>
    <w:rsid w:val="00071569"/>
    <w:rsid w:val="00071706"/>
    <w:rsid w:val="00072650"/>
    <w:rsid w:val="00072BC5"/>
    <w:rsid w:val="000730F5"/>
    <w:rsid w:val="000733F6"/>
    <w:rsid w:val="00073536"/>
    <w:rsid w:val="00073A52"/>
    <w:rsid w:val="000742EC"/>
    <w:rsid w:val="00074A88"/>
    <w:rsid w:val="00075628"/>
    <w:rsid w:val="0007598C"/>
    <w:rsid w:val="00076E8B"/>
    <w:rsid w:val="000770C2"/>
    <w:rsid w:val="00077374"/>
    <w:rsid w:val="00077422"/>
    <w:rsid w:val="0007769E"/>
    <w:rsid w:val="00077ABB"/>
    <w:rsid w:val="00077D45"/>
    <w:rsid w:val="00080272"/>
    <w:rsid w:val="00080D87"/>
    <w:rsid w:val="00082726"/>
    <w:rsid w:val="000827F1"/>
    <w:rsid w:val="000836B8"/>
    <w:rsid w:val="00083D7F"/>
    <w:rsid w:val="00083FB0"/>
    <w:rsid w:val="00084032"/>
    <w:rsid w:val="00084081"/>
    <w:rsid w:val="0008433F"/>
    <w:rsid w:val="00084AD9"/>
    <w:rsid w:val="00085E6A"/>
    <w:rsid w:val="00087197"/>
    <w:rsid w:val="00087B82"/>
    <w:rsid w:val="00087F9E"/>
    <w:rsid w:val="00090B9D"/>
    <w:rsid w:val="00090F04"/>
    <w:rsid w:val="000913E8"/>
    <w:rsid w:val="00096B23"/>
    <w:rsid w:val="00096BCA"/>
    <w:rsid w:val="000979C4"/>
    <w:rsid w:val="000A0574"/>
    <w:rsid w:val="000A05C1"/>
    <w:rsid w:val="000A0B1D"/>
    <w:rsid w:val="000A0DC3"/>
    <w:rsid w:val="000A28FD"/>
    <w:rsid w:val="000A2FAD"/>
    <w:rsid w:val="000A5131"/>
    <w:rsid w:val="000A5497"/>
    <w:rsid w:val="000A5596"/>
    <w:rsid w:val="000A616C"/>
    <w:rsid w:val="000A6565"/>
    <w:rsid w:val="000A794F"/>
    <w:rsid w:val="000A7A78"/>
    <w:rsid w:val="000A7F6F"/>
    <w:rsid w:val="000B19BE"/>
    <w:rsid w:val="000B3856"/>
    <w:rsid w:val="000B38F4"/>
    <w:rsid w:val="000B5559"/>
    <w:rsid w:val="000C000E"/>
    <w:rsid w:val="000C21A7"/>
    <w:rsid w:val="000C2857"/>
    <w:rsid w:val="000D1297"/>
    <w:rsid w:val="000D193E"/>
    <w:rsid w:val="000D1D64"/>
    <w:rsid w:val="000D1F69"/>
    <w:rsid w:val="000D1FF2"/>
    <w:rsid w:val="000D283A"/>
    <w:rsid w:val="000D28C8"/>
    <w:rsid w:val="000D2D34"/>
    <w:rsid w:val="000D2F56"/>
    <w:rsid w:val="000D2F8B"/>
    <w:rsid w:val="000D4E1C"/>
    <w:rsid w:val="000D5FCD"/>
    <w:rsid w:val="000D6056"/>
    <w:rsid w:val="000D63F7"/>
    <w:rsid w:val="000D6826"/>
    <w:rsid w:val="000D6F91"/>
    <w:rsid w:val="000E15B9"/>
    <w:rsid w:val="000E1E65"/>
    <w:rsid w:val="000E1EBF"/>
    <w:rsid w:val="000E3BB6"/>
    <w:rsid w:val="000E3F59"/>
    <w:rsid w:val="000F008D"/>
    <w:rsid w:val="000F0704"/>
    <w:rsid w:val="000F09CF"/>
    <w:rsid w:val="000F1279"/>
    <w:rsid w:val="000F3911"/>
    <w:rsid w:val="000F4E29"/>
    <w:rsid w:val="000F5D12"/>
    <w:rsid w:val="000F5E04"/>
    <w:rsid w:val="00100BAC"/>
    <w:rsid w:val="00101E40"/>
    <w:rsid w:val="001028F7"/>
    <w:rsid w:val="001037DF"/>
    <w:rsid w:val="0010395A"/>
    <w:rsid w:val="001041D2"/>
    <w:rsid w:val="0010469E"/>
    <w:rsid w:val="00105992"/>
    <w:rsid w:val="00105A05"/>
    <w:rsid w:val="00106B14"/>
    <w:rsid w:val="00110A0B"/>
    <w:rsid w:val="00110A6B"/>
    <w:rsid w:val="00110F2B"/>
    <w:rsid w:val="00111379"/>
    <w:rsid w:val="00111C23"/>
    <w:rsid w:val="00112DFA"/>
    <w:rsid w:val="00113852"/>
    <w:rsid w:val="00117240"/>
    <w:rsid w:val="00117349"/>
    <w:rsid w:val="00117C88"/>
    <w:rsid w:val="00117EA8"/>
    <w:rsid w:val="001212BC"/>
    <w:rsid w:val="00121863"/>
    <w:rsid w:val="00121AD1"/>
    <w:rsid w:val="001225C6"/>
    <w:rsid w:val="00122677"/>
    <w:rsid w:val="00123403"/>
    <w:rsid w:val="00123F47"/>
    <w:rsid w:val="00125BC4"/>
    <w:rsid w:val="00126B0A"/>
    <w:rsid w:val="001277E0"/>
    <w:rsid w:val="00130432"/>
    <w:rsid w:val="00131BF1"/>
    <w:rsid w:val="00131BFB"/>
    <w:rsid w:val="00132090"/>
    <w:rsid w:val="00132AD5"/>
    <w:rsid w:val="00134B93"/>
    <w:rsid w:val="00134BBB"/>
    <w:rsid w:val="001361FB"/>
    <w:rsid w:val="001368EE"/>
    <w:rsid w:val="00137F23"/>
    <w:rsid w:val="00141D4A"/>
    <w:rsid w:val="00142F66"/>
    <w:rsid w:val="00143081"/>
    <w:rsid w:val="00150DCF"/>
    <w:rsid w:val="00152DB5"/>
    <w:rsid w:val="0015326A"/>
    <w:rsid w:val="00153693"/>
    <w:rsid w:val="00153B8E"/>
    <w:rsid w:val="00153E5E"/>
    <w:rsid w:val="001559DF"/>
    <w:rsid w:val="00155A7B"/>
    <w:rsid w:val="00155FC7"/>
    <w:rsid w:val="00156076"/>
    <w:rsid w:val="0015643E"/>
    <w:rsid w:val="00156775"/>
    <w:rsid w:val="00157086"/>
    <w:rsid w:val="00160252"/>
    <w:rsid w:val="00160FD3"/>
    <w:rsid w:val="001617F7"/>
    <w:rsid w:val="001621C9"/>
    <w:rsid w:val="00162C08"/>
    <w:rsid w:val="00164265"/>
    <w:rsid w:val="001648C9"/>
    <w:rsid w:val="00164F0B"/>
    <w:rsid w:val="00166FAD"/>
    <w:rsid w:val="00167663"/>
    <w:rsid w:val="00173CD7"/>
    <w:rsid w:val="0017463C"/>
    <w:rsid w:val="00175845"/>
    <w:rsid w:val="0017625D"/>
    <w:rsid w:val="001777E8"/>
    <w:rsid w:val="00177B46"/>
    <w:rsid w:val="00180F85"/>
    <w:rsid w:val="00181CB0"/>
    <w:rsid w:val="0018249C"/>
    <w:rsid w:val="001825F8"/>
    <w:rsid w:val="001829FC"/>
    <w:rsid w:val="00182C7D"/>
    <w:rsid w:val="001849E7"/>
    <w:rsid w:val="001862E3"/>
    <w:rsid w:val="00186591"/>
    <w:rsid w:val="00186701"/>
    <w:rsid w:val="001903DA"/>
    <w:rsid w:val="001904AF"/>
    <w:rsid w:val="00190880"/>
    <w:rsid w:val="00190956"/>
    <w:rsid w:val="00190B50"/>
    <w:rsid w:val="001910E4"/>
    <w:rsid w:val="00192FE0"/>
    <w:rsid w:val="0019307C"/>
    <w:rsid w:val="00193AC4"/>
    <w:rsid w:val="0019572A"/>
    <w:rsid w:val="00195C3E"/>
    <w:rsid w:val="00195E75"/>
    <w:rsid w:val="00196353"/>
    <w:rsid w:val="00197D9E"/>
    <w:rsid w:val="001A0B4E"/>
    <w:rsid w:val="001A0F65"/>
    <w:rsid w:val="001A1082"/>
    <w:rsid w:val="001A17D0"/>
    <w:rsid w:val="001A1983"/>
    <w:rsid w:val="001A3180"/>
    <w:rsid w:val="001A3A99"/>
    <w:rsid w:val="001A3B35"/>
    <w:rsid w:val="001A3EBE"/>
    <w:rsid w:val="001A5804"/>
    <w:rsid w:val="001A620F"/>
    <w:rsid w:val="001A76C1"/>
    <w:rsid w:val="001B0802"/>
    <w:rsid w:val="001B155A"/>
    <w:rsid w:val="001B275A"/>
    <w:rsid w:val="001B42A1"/>
    <w:rsid w:val="001B4C79"/>
    <w:rsid w:val="001B4FF0"/>
    <w:rsid w:val="001B6F1C"/>
    <w:rsid w:val="001B7792"/>
    <w:rsid w:val="001B7AE4"/>
    <w:rsid w:val="001B7C95"/>
    <w:rsid w:val="001C09C8"/>
    <w:rsid w:val="001C10D5"/>
    <w:rsid w:val="001C13BF"/>
    <w:rsid w:val="001C17FB"/>
    <w:rsid w:val="001C1C22"/>
    <w:rsid w:val="001C2666"/>
    <w:rsid w:val="001C2C91"/>
    <w:rsid w:val="001C3794"/>
    <w:rsid w:val="001C40EE"/>
    <w:rsid w:val="001C5AAF"/>
    <w:rsid w:val="001C7BA1"/>
    <w:rsid w:val="001C7F86"/>
    <w:rsid w:val="001D03E7"/>
    <w:rsid w:val="001D2255"/>
    <w:rsid w:val="001D672B"/>
    <w:rsid w:val="001D680D"/>
    <w:rsid w:val="001D72B6"/>
    <w:rsid w:val="001D73FB"/>
    <w:rsid w:val="001D7666"/>
    <w:rsid w:val="001E01B6"/>
    <w:rsid w:val="001E03F4"/>
    <w:rsid w:val="001E0BB4"/>
    <w:rsid w:val="001E1450"/>
    <w:rsid w:val="001E4860"/>
    <w:rsid w:val="001E6BC1"/>
    <w:rsid w:val="001E6EEE"/>
    <w:rsid w:val="001E74E0"/>
    <w:rsid w:val="001E7841"/>
    <w:rsid w:val="001E78EB"/>
    <w:rsid w:val="001E7E8F"/>
    <w:rsid w:val="001F07D8"/>
    <w:rsid w:val="001F25C6"/>
    <w:rsid w:val="001F2773"/>
    <w:rsid w:val="001F294B"/>
    <w:rsid w:val="001F47EA"/>
    <w:rsid w:val="001F4FC4"/>
    <w:rsid w:val="001F5034"/>
    <w:rsid w:val="001F55BF"/>
    <w:rsid w:val="001F5920"/>
    <w:rsid w:val="00202426"/>
    <w:rsid w:val="00202565"/>
    <w:rsid w:val="002026ED"/>
    <w:rsid w:val="00202B01"/>
    <w:rsid w:val="00202C1F"/>
    <w:rsid w:val="002035D1"/>
    <w:rsid w:val="00203777"/>
    <w:rsid w:val="00203997"/>
    <w:rsid w:val="00203A86"/>
    <w:rsid w:val="00204632"/>
    <w:rsid w:val="00204BED"/>
    <w:rsid w:val="002058CF"/>
    <w:rsid w:val="00205985"/>
    <w:rsid w:val="00206068"/>
    <w:rsid w:val="00206719"/>
    <w:rsid w:val="0020691A"/>
    <w:rsid w:val="00207390"/>
    <w:rsid w:val="00207524"/>
    <w:rsid w:val="00210190"/>
    <w:rsid w:val="00210A74"/>
    <w:rsid w:val="00211069"/>
    <w:rsid w:val="00211075"/>
    <w:rsid w:val="0021142F"/>
    <w:rsid w:val="0021170F"/>
    <w:rsid w:val="00211E5F"/>
    <w:rsid w:val="00212971"/>
    <w:rsid w:val="002134F9"/>
    <w:rsid w:val="00214F11"/>
    <w:rsid w:val="00215694"/>
    <w:rsid w:val="0021590B"/>
    <w:rsid w:val="00215D14"/>
    <w:rsid w:val="0021612F"/>
    <w:rsid w:val="002165A4"/>
    <w:rsid w:val="00216917"/>
    <w:rsid w:val="002169A7"/>
    <w:rsid w:val="00216BA0"/>
    <w:rsid w:val="00216C54"/>
    <w:rsid w:val="00221532"/>
    <w:rsid w:val="00221663"/>
    <w:rsid w:val="002234B0"/>
    <w:rsid w:val="00223E46"/>
    <w:rsid w:val="00226B34"/>
    <w:rsid w:val="002274B2"/>
    <w:rsid w:val="00227817"/>
    <w:rsid w:val="002279C5"/>
    <w:rsid w:val="002322C4"/>
    <w:rsid w:val="002336E8"/>
    <w:rsid w:val="00233E6F"/>
    <w:rsid w:val="00234629"/>
    <w:rsid w:val="002348A9"/>
    <w:rsid w:val="00236044"/>
    <w:rsid w:val="00240305"/>
    <w:rsid w:val="00240F5E"/>
    <w:rsid w:val="00242EEC"/>
    <w:rsid w:val="00243B18"/>
    <w:rsid w:val="00243D62"/>
    <w:rsid w:val="002446CA"/>
    <w:rsid w:val="00244AA4"/>
    <w:rsid w:val="00244B90"/>
    <w:rsid w:val="00245041"/>
    <w:rsid w:val="00245B79"/>
    <w:rsid w:val="00245C37"/>
    <w:rsid w:val="00245F1B"/>
    <w:rsid w:val="002468D7"/>
    <w:rsid w:val="00247F90"/>
    <w:rsid w:val="00250BA8"/>
    <w:rsid w:val="00251701"/>
    <w:rsid w:val="00251E96"/>
    <w:rsid w:val="0025230A"/>
    <w:rsid w:val="002527B1"/>
    <w:rsid w:val="00253115"/>
    <w:rsid w:val="00254125"/>
    <w:rsid w:val="00254AAB"/>
    <w:rsid w:val="00255454"/>
    <w:rsid w:val="0025558D"/>
    <w:rsid w:val="002559A8"/>
    <w:rsid w:val="00257E01"/>
    <w:rsid w:val="00257E2A"/>
    <w:rsid w:val="00260AB9"/>
    <w:rsid w:val="00260AFC"/>
    <w:rsid w:val="00260FE7"/>
    <w:rsid w:val="00261B22"/>
    <w:rsid w:val="00262435"/>
    <w:rsid w:val="00262464"/>
    <w:rsid w:val="0026287A"/>
    <w:rsid w:val="00262B04"/>
    <w:rsid w:val="002632E1"/>
    <w:rsid w:val="002643E0"/>
    <w:rsid w:val="00264B82"/>
    <w:rsid w:val="00265935"/>
    <w:rsid w:val="00265E31"/>
    <w:rsid w:val="002666F2"/>
    <w:rsid w:val="00267C4D"/>
    <w:rsid w:val="00267E9D"/>
    <w:rsid w:val="00270181"/>
    <w:rsid w:val="0027082F"/>
    <w:rsid w:val="00270C3E"/>
    <w:rsid w:val="00270F3E"/>
    <w:rsid w:val="002720DA"/>
    <w:rsid w:val="00272EB6"/>
    <w:rsid w:val="00272F0C"/>
    <w:rsid w:val="002749DD"/>
    <w:rsid w:val="00274DE1"/>
    <w:rsid w:val="002763E8"/>
    <w:rsid w:val="002804F4"/>
    <w:rsid w:val="00280D05"/>
    <w:rsid w:val="00281187"/>
    <w:rsid w:val="00281D1F"/>
    <w:rsid w:val="002830B3"/>
    <w:rsid w:val="002837E1"/>
    <w:rsid w:val="00283948"/>
    <w:rsid w:val="00284325"/>
    <w:rsid w:val="002854F4"/>
    <w:rsid w:val="00285C6E"/>
    <w:rsid w:val="00285FCB"/>
    <w:rsid w:val="002861D9"/>
    <w:rsid w:val="002862C7"/>
    <w:rsid w:val="00287183"/>
    <w:rsid w:val="0028784B"/>
    <w:rsid w:val="002910A7"/>
    <w:rsid w:val="00291F87"/>
    <w:rsid w:val="00292F62"/>
    <w:rsid w:val="00293A2B"/>
    <w:rsid w:val="002940E9"/>
    <w:rsid w:val="00294ED7"/>
    <w:rsid w:val="002956DF"/>
    <w:rsid w:val="00295E21"/>
    <w:rsid w:val="0029626E"/>
    <w:rsid w:val="00296C0D"/>
    <w:rsid w:val="002A0A29"/>
    <w:rsid w:val="002A1069"/>
    <w:rsid w:val="002A1F90"/>
    <w:rsid w:val="002A5618"/>
    <w:rsid w:val="002A6A02"/>
    <w:rsid w:val="002A79DB"/>
    <w:rsid w:val="002A7A79"/>
    <w:rsid w:val="002A7F2D"/>
    <w:rsid w:val="002B03AC"/>
    <w:rsid w:val="002B0735"/>
    <w:rsid w:val="002B0BD0"/>
    <w:rsid w:val="002B0EA2"/>
    <w:rsid w:val="002B111B"/>
    <w:rsid w:val="002B132F"/>
    <w:rsid w:val="002B146C"/>
    <w:rsid w:val="002B1629"/>
    <w:rsid w:val="002B1956"/>
    <w:rsid w:val="002B20B9"/>
    <w:rsid w:val="002B36CA"/>
    <w:rsid w:val="002B41EA"/>
    <w:rsid w:val="002B4397"/>
    <w:rsid w:val="002B4AD7"/>
    <w:rsid w:val="002C1606"/>
    <w:rsid w:val="002C40ED"/>
    <w:rsid w:val="002C4278"/>
    <w:rsid w:val="002C4625"/>
    <w:rsid w:val="002C46ED"/>
    <w:rsid w:val="002C5BC5"/>
    <w:rsid w:val="002C6355"/>
    <w:rsid w:val="002C6776"/>
    <w:rsid w:val="002C77A3"/>
    <w:rsid w:val="002D0722"/>
    <w:rsid w:val="002D0953"/>
    <w:rsid w:val="002D09EE"/>
    <w:rsid w:val="002D17EE"/>
    <w:rsid w:val="002D1BB3"/>
    <w:rsid w:val="002D1DB1"/>
    <w:rsid w:val="002D21DA"/>
    <w:rsid w:val="002D3AFA"/>
    <w:rsid w:val="002D43A1"/>
    <w:rsid w:val="002D4AF7"/>
    <w:rsid w:val="002D4F52"/>
    <w:rsid w:val="002D670F"/>
    <w:rsid w:val="002D6929"/>
    <w:rsid w:val="002D6B8A"/>
    <w:rsid w:val="002D7028"/>
    <w:rsid w:val="002D746E"/>
    <w:rsid w:val="002E1F22"/>
    <w:rsid w:val="002E269A"/>
    <w:rsid w:val="002E347D"/>
    <w:rsid w:val="002E3A4D"/>
    <w:rsid w:val="002E579F"/>
    <w:rsid w:val="002E5D3E"/>
    <w:rsid w:val="002E63B3"/>
    <w:rsid w:val="002F0FD5"/>
    <w:rsid w:val="002F1A50"/>
    <w:rsid w:val="002F1D64"/>
    <w:rsid w:val="002F348F"/>
    <w:rsid w:val="002F3824"/>
    <w:rsid w:val="002F426A"/>
    <w:rsid w:val="002F456F"/>
    <w:rsid w:val="002F55F2"/>
    <w:rsid w:val="002F57E5"/>
    <w:rsid w:val="002F6063"/>
    <w:rsid w:val="002F660B"/>
    <w:rsid w:val="0030076F"/>
    <w:rsid w:val="0030084A"/>
    <w:rsid w:val="00300932"/>
    <w:rsid w:val="00300B42"/>
    <w:rsid w:val="0030109B"/>
    <w:rsid w:val="003013B7"/>
    <w:rsid w:val="00301495"/>
    <w:rsid w:val="00301814"/>
    <w:rsid w:val="00303BE4"/>
    <w:rsid w:val="00304403"/>
    <w:rsid w:val="00304614"/>
    <w:rsid w:val="00304E14"/>
    <w:rsid w:val="003060EE"/>
    <w:rsid w:val="00306B10"/>
    <w:rsid w:val="00306DD1"/>
    <w:rsid w:val="00307A36"/>
    <w:rsid w:val="0031159F"/>
    <w:rsid w:val="00311BB9"/>
    <w:rsid w:val="0031228A"/>
    <w:rsid w:val="00314470"/>
    <w:rsid w:val="00314A18"/>
    <w:rsid w:val="00314B1E"/>
    <w:rsid w:val="00314CFD"/>
    <w:rsid w:val="0031513A"/>
    <w:rsid w:val="00316F2B"/>
    <w:rsid w:val="0031760F"/>
    <w:rsid w:val="003220F2"/>
    <w:rsid w:val="0032250E"/>
    <w:rsid w:val="003229AF"/>
    <w:rsid w:val="0032497A"/>
    <w:rsid w:val="00327D6F"/>
    <w:rsid w:val="00330595"/>
    <w:rsid w:val="00331310"/>
    <w:rsid w:val="003316A5"/>
    <w:rsid w:val="00331BC4"/>
    <w:rsid w:val="00332036"/>
    <w:rsid w:val="00332140"/>
    <w:rsid w:val="00332339"/>
    <w:rsid w:val="0033260A"/>
    <w:rsid w:val="00332FA1"/>
    <w:rsid w:val="00333D4A"/>
    <w:rsid w:val="00333E56"/>
    <w:rsid w:val="003341B1"/>
    <w:rsid w:val="00334B4B"/>
    <w:rsid w:val="003352A9"/>
    <w:rsid w:val="003362E9"/>
    <w:rsid w:val="003364AD"/>
    <w:rsid w:val="00340064"/>
    <w:rsid w:val="00342578"/>
    <w:rsid w:val="003432BF"/>
    <w:rsid w:val="00343B20"/>
    <w:rsid w:val="003464F1"/>
    <w:rsid w:val="003472F7"/>
    <w:rsid w:val="00347A26"/>
    <w:rsid w:val="00347D8B"/>
    <w:rsid w:val="00347DED"/>
    <w:rsid w:val="00347E88"/>
    <w:rsid w:val="0035064D"/>
    <w:rsid w:val="0035079C"/>
    <w:rsid w:val="00350A32"/>
    <w:rsid w:val="00350CB8"/>
    <w:rsid w:val="00352B3C"/>
    <w:rsid w:val="00355784"/>
    <w:rsid w:val="00355822"/>
    <w:rsid w:val="0035617A"/>
    <w:rsid w:val="00356331"/>
    <w:rsid w:val="003564F1"/>
    <w:rsid w:val="0036192B"/>
    <w:rsid w:val="003619A6"/>
    <w:rsid w:val="003619D5"/>
    <w:rsid w:val="00364581"/>
    <w:rsid w:val="00364A9A"/>
    <w:rsid w:val="00365255"/>
    <w:rsid w:val="00367017"/>
    <w:rsid w:val="00370133"/>
    <w:rsid w:val="0037140F"/>
    <w:rsid w:val="00372C60"/>
    <w:rsid w:val="00372D42"/>
    <w:rsid w:val="00380CE9"/>
    <w:rsid w:val="0038136B"/>
    <w:rsid w:val="003814BD"/>
    <w:rsid w:val="00382839"/>
    <w:rsid w:val="00383726"/>
    <w:rsid w:val="0038374A"/>
    <w:rsid w:val="0038469B"/>
    <w:rsid w:val="00384AF4"/>
    <w:rsid w:val="00384D46"/>
    <w:rsid w:val="003866F0"/>
    <w:rsid w:val="0038756A"/>
    <w:rsid w:val="00390134"/>
    <w:rsid w:val="0039069F"/>
    <w:rsid w:val="00391815"/>
    <w:rsid w:val="0039305B"/>
    <w:rsid w:val="00393091"/>
    <w:rsid w:val="00394B7C"/>
    <w:rsid w:val="00395476"/>
    <w:rsid w:val="003966E0"/>
    <w:rsid w:val="00396A86"/>
    <w:rsid w:val="00396F9B"/>
    <w:rsid w:val="003A171E"/>
    <w:rsid w:val="003A1B2E"/>
    <w:rsid w:val="003A292D"/>
    <w:rsid w:val="003A2D09"/>
    <w:rsid w:val="003A2F59"/>
    <w:rsid w:val="003A336D"/>
    <w:rsid w:val="003A3AB2"/>
    <w:rsid w:val="003A3E05"/>
    <w:rsid w:val="003A4A56"/>
    <w:rsid w:val="003A4CC3"/>
    <w:rsid w:val="003A5AE4"/>
    <w:rsid w:val="003A5B8D"/>
    <w:rsid w:val="003A613B"/>
    <w:rsid w:val="003A6D75"/>
    <w:rsid w:val="003A7404"/>
    <w:rsid w:val="003B1261"/>
    <w:rsid w:val="003B1FA5"/>
    <w:rsid w:val="003B2166"/>
    <w:rsid w:val="003B3F9A"/>
    <w:rsid w:val="003B4B09"/>
    <w:rsid w:val="003B5666"/>
    <w:rsid w:val="003B693D"/>
    <w:rsid w:val="003B6B7E"/>
    <w:rsid w:val="003B7065"/>
    <w:rsid w:val="003C0136"/>
    <w:rsid w:val="003C2229"/>
    <w:rsid w:val="003C2952"/>
    <w:rsid w:val="003C2F9D"/>
    <w:rsid w:val="003C3E71"/>
    <w:rsid w:val="003C4BEC"/>
    <w:rsid w:val="003D008A"/>
    <w:rsid w:val="003D03CF"/>
    <w:rsid w:val="003D14D9"/>
    <w:rsid w:val="003D2DB4"/>
    <w:rsid w:val="003D2F2A"/>
    <w:rsid w:val="003D31DD"/>
    <w:rsid w:val="003D3B74"/>
    <w:rsid w:val="003D4469"/>
    <w:rsid w:val="003D4FC6"/>
    <w:rsid w:val="003D5519"/>
    <w:rsid w:val="003D5846"/>
    <w:rsid w:val="003D677F"/>
    <w:rsid w:val="003D7C1F"/>
    <w:rsid w:val="003D7F26"/>
    <w:rsid w:val="003E017C"/>
    <w:rsid w:val="003E02FC"/>
    <w:rsid w:val="003E0FF4"/>
    <w:rsid w:val="003E103A"/>
    <w:rsid w:val="003E2295"/>
    <w:rsid w:val="003E25CB"/>
    <w:rsid w:val="003E3084"/>
    <w:rsid w:val="003E32B0"/>
    <w:rsid w:val="003E56C0"/>
    <w:rsid w:val="003E5F37"/>
    <w:rsid w:val="003E613D"/>
    <w:rsid w:val="003E6527"/>
    <w:rsid w:val="003E656B"/>
    <w:rsid w:val="003E71DE"/>
    <w:rsid w:val="003E77F7"/>
    <w:rsid w:val="003F1446"/>
    <w:rsid w:val="003F1DF8"/>
    <w:rsid w:val="003F3161"/>
    <w:rsid w:val="003F457B"/>
    <w:rsid w:val="003F56A0"/>
    <w:rsid w:val="003F58C6"/>
    <w:rsid w:val="003F6B6D"/>
    <w:rsid w:val="003F718B"/>
    <w:rsid w:val="004001F6"/>
    <w:rsid w:val="004004B8"/>
    <w:rsid w:val="004012F0"/>
    <w:rsid w:val="0040273E"/>
    <w:rsid w:val="004027A7"/>
    <w:rsid w:val="004048D0"/>
    <w:rsid w:val="00404E58"/>
    <w:rsid w:val="00405DAB"/>
    <w:rsid w:val="00406531"/>
    <w:rsid w:val="00406BA6"/>
    <w:rsid w:val="00407B1E"/>
    <w:rsid w:val="00410D14"/>
    <w:rsid w:val="004110C5"/>
    <w:rsid w:val="004121F0"/>
    <w:rsid w:val="00413395"/>
    <w:rsid w:val="004144FD"/>
    <w:rsid w:val="00414638"/>
    <w:rsid w:val="00415701"/>
    <w:rsid w:val="004179FC"/>
    <w:rsid w:val="00417F90"/>
    <w:rsid w:val="00420603"/>
    <w:rsid w:val="00420BC3"/>
    <w:rsid w:val="00422354"/>
    <w:rsid w:val="00423C29"/>
    <w:rsid w:val="00426567"/>
    <w:rsid w:val="00427B96"/>
    <w:rsid w:val="00427E1D"/>
    <w:rsid w:val="00432340"/>
    <w:rsid w:val="0043361B"/>
    <w:rsid w:val="00435548"/>
    <w:rsid w:val="00436A27"/>
    <w:rsid w:val="0044010B"/>
    <w:rsid w:val="00441550"/>
    <w:rsid w:val="00441CC4"/>
    <w:rsid w:val="00442B1C"/>
    <w:rsid w:val="00442D5A"/>
    <w:rsid w:val="004432EF"/>
    <w:rsid w:val="00443AE1"/>
    <w:rsid w:val="00445287"/>
    <w:rsid w:val="004473DA"/>
    <w:rsid w:val="004477AF"/>
    <w:rsid w:val="00447D06"/>
    <w:rsid w:val="00447E57"/>
    <w:rsid w:val="00450271"/>
    <w:rsid w:val="0045049D"/>
    <w:rsid w:val="00450B95"/>
    <w:rsid w:val="00450D5F"/>
    <w:rsid w:val="00451008"/>
    <w:rsid w:val="00452759"/>
    <w:rsid w:val="00452EFF"/>
    <w:rsid w:val="004548B3"/>
    <w:rsid w:val="00454A9D"/>
    <w:rsid w:val="00455E2B"/>
    <w:rsid w:val="00456ADF"/>
    <w:rsid w:val="0045793A"/>
    <w:rsid w:val="004614B4"/>
    <w:rsid w:val="00463E31"/>
    <w:rsid w:val="00465820"/>
    <w:rsid w:val="00465B91"/>
    <w:rsid w:val="00465C25"/>
    <w:rsid w:val="00465C9F"/>
    <w:rsid w:val="00466098"/>
    <w:rsid w:val="00466D57"/>
    <w:rsid w:val="00467EA1"/>
    <w:rsid w:val="004723F7"/>
    <w:rsid w:val="0047420A"/>
    <w:rsid w:val="0047470A"/>
    <w:rsid w:val="0047471D"/>
    <w:rsid w:val="004750F0"/>
    <w:rsid w:val="00475E93"/>
    <w:rsid w:val="004769B0"/>
    <w:rsid w:val="00476B88"/>
    <w:rsid w:val="00476D5E"/>
    <w:rsid w:val="0048255E"/>
    <w:rsid w:val="004828F9"/>
    <w:rsid w:val="00484071"/>
    <w:rsid w:val="00484250"/>
    <w:rsid w:val="00484C72"/>
    <w:rsid w:val="00487311"/>
    <w:rsid w:val="0048738A"/>
    <w:rsid w:val="0048761D"/>
    <w:rsid w:val="004877C1"/>
    <w:rsid w:val="00487B02"/>
    <w:rsid w:val="004900B1"/>
    <w:rsid w:val="004905B5"/>
    <w:rsid w:val="0049064A"/>
    <w:rsid w:val="00490B94"/>
    <w:rsid w:val="0049133F"/>
    <w:rsid w:val="004917A5"/>
    <w:rsid w:val="0049194E"/>
    <w:rsid w:val="00496384"/>
    <w:rsid w:val="0049671C"/>
    <w:rsid w:val="00496808"/>
    <w:rsid w:val="004968D4"/>
    <w:rsid w:val="00497370"/>
    <w:rsid w:val="004A034A"/>
    <w:rsid w:val="004A1436"/>
    <w:rsid w:val="004A24ED"/>
    <w:rsid w:val="004A28DA"/>
    <w:rsid w:val="004A2AF4"/>
    <w:rsid w:val="004A2CFC"/>
    <w:rsid w:val="004A36D0"/>
    <w:rsid w:val="004A3FEE"/>
    <w:rsid w:val="004A407B"/>
    <w:rsid w:val="004A4FEC"/>
    <w:rsid w:val="004A582B"/>
    <w:rsid w:val="004A603B"/>
    <w:rsid w:val="004A6864"/>
    <w:rsid w:val="004A700F"/>
    <w:rsid w:val="004A7A18"/>
    <w:rsid w:val="004B0A46"/>
    <w:rsid w:val="004B0B9B"/>
    <w:rsid w:val="004B1208"/>
    <w:rsid w:val="004B1404"/>
    <w:rsid w:val="004B1FF8"/>
    <w:rsid w:val="004B27F2"/>
    <w:rsid w:val="004B2B27"/>
    <w:rsid w:val="004B2C68"/>
    <w:rsid w:val="004B2D26"/>
    <w:rsid w:val="004B301C"/>
    <w:rsid w:val="004B4733"/>
    <w:rsid w:val="004B4F42"/>
    <w:rsid w:val="004B500B"/>
    <w:rsid w:val="004B5B0E"/>
    <w:rsid w:val="004B6368"/>
    <w:rsid w:val="004B7D72"/>
    <w:rsid w:val="004B7E92"/>
    <w:rsid w:val="004C05B2"/>
    <w:rsid w:val="004C0CE7"/>
    <w:rsid w:val="004C25E5"/>
    <w:rsid w:val="004C343B"/>
    <w:rsid w:val="004C41AF"/>
    <w:rsid w:val="004C459F"/>
    <w:rsid w:val="004C5D57"/>
    <w:rsid w:val="004C610B"/>
    <w:rsid w:val="004C62AF"/>
    <w:rsid w:val="004C644A"/>
    <w:rsid w:val="004C6845"/>
    <w:rsid w:val="004C6B47"/>
    <w:rsid w:val="004C7181"/>
    <w:rsid w:val="004C7879"/>
    <w:rsid w:val="004C7F25"/>
    <w:rsid w:val="004D0393"/>
    <w:rsid w:val="004D074E"/>
    <w:rsid w:val="004D20FF"/>
    <w:rsid w:val="004D2C0E"/>
    <w:rsid w:val="004D2F40"/>
    <w:rsid w:val="004D3901"/>
    <w:rsid w:val="004D446A"/>
    <w:rsid w:val="004D53F8"/>
    <w:rsid w:val="004D6523"/>
    <w:rsid w:val="004D700B"/>
    <w:rsid w:val="004D7118"/>
    <w:rsid w:val="004D7DFB"/>
    <w:rsid w:val="004E2907"/>
    <w:rsid w:val="004E3447"/>
    <w:rsid w:val="004E37A4"/>
    <w:rsid w:val="004E5A18"/>
    <w:rsid w:val="004F1539"/>
    <w:rsid w:val="004F1F78"/>
    <w:rsid w:val="004F26C6"/>
    <w:rsid w:val="004F34CD"/>
    <w:rsid w:val="004F472B"/>
    <w:rsid w:val="004F5256"/>
    <w:rsid w:val="004F6146"/>
    <w:rsid w:val="004F6F2D"/>
    <w:rsid w:val="004F7FFD"/>
    <w:rsid w:val="0050004E"/>
    <w:rsid w:val="005011FE"/>
    <w:rsid w:val="00502BC8"/>
    <w:rsid w:val="00502DFD"/>
    <w:rsid w:val="005034F5"/>
    <w:rsid w:val="0050420E"/>
    <w:rsid w:val="0050429F"/>
    <w:rsid w:val="00505128"/>
    <w:rsid w:val="00505893"/>
    <w:rsid w:val="0050623C"/>
    <w:rsid w:val="00506636"/>
    <w:rsid w:val="0050748D"/>
    <w:rsid w:val="00510000"/>
    <w:rsid w:val="0051030E"/>
    <w:rsid w:val="00510728"/>
    <w:rsid w:val="00511523"/>
    <w:rsid w:val="00511CFF"/>
    <w:rsid w:val="0051226E"/>
    <w:rsid w:val="00512D49"/>
    <w:rsid w:val="00513C6B"/>
    <w:rsid w:val="00514DD8"/>
    <w:rsid w:val="00515115"/>
    <w:rsid w:val="00515118"/>
    <w:rsid w:val="00515342"/>
    <w:rsid w:val="0051650E"/>
    <w:rsid w:val="0051690D"/>
    <w:rsid w:val="00516F34"/>
    <w:rsid w:val="00517377"/>
    <w:rsid w:val="00517389"/>
    <w:rsid w:val="0051741F"/>
    <w:rsid w:val="005175F3"/>
    <w:rsid w:val="00517971"/>
    <w:rsid w:val="00517B78"/>
    <w:rsid w:val="00517D39"/>
    <w:rsid w:val="00517E67"/>
    <w:rsid w:val="00517F66"/>
    <w:rsid w:val="00520686"/>
    <w:rsid w:val="005218E7"/>
    <w:rsid w:val="00522134"/>
    <w:rsid w:val="005226D3"/>
    <w:rsid w:val="005229FB"/>
    <w:rsid w:val="00522B01"/>
    <w:rsid w:val="0052314F"/>
    <w:rsid w:val="00523846"/>
    <w:rsid w:val="005243CF"/>
    <w:rsid w:val="00524C45"/>
    <w:rsid w:val="0052524C"/>
    <w:rsid w:val="0052690C"/>
    <w:rsid w:val="00526DCA"/>
    <w:rsid w:val="00527385"/>
    <w:rsid w:val="0053056A"/>
    <w:rsid w:val="00530D53"/>
    <w:rsid w:val="00531E72"/>
    <w:rsid w:val="00531E88"/>
    <w:rsid w:val="0053230B"/>
    <w:rsid w:val="00532518"/>
    <w:rsid w:val="00532F90"/>
    <w:rsid w:val="0053439A"/>
    <w:rsid w:val="00535119"/>
    <w:rsid w:val="0053542D"/>
    <w:rsid w:val="00536471"/>
    <w:rsid w:val="00536959"/>
    <w:rsid w:val="00536C99"/>
    <w:rsid w:val="005401D4"/>
    <w:rsid w:val="00540CA5"/>
    <w:rsid w:val="005415D4"/>
    <w:rsid w:val="005428A9"/>
    <w:rsid w:val="005434A3"/>
    <w:rsid w:val="0054358D"/>
    <w:rsid w:val="00543C15"/>
    <w:rsid w:val="0054497E"/>
    <w:rsid w:val="0054568D"/>
    <w:rsid w:val="005466CA"/>
    <w:rsid w:val="00546C44"/>
    <w:rsid w:val="00547AE7"/>
    <w:rsid w:val="00550603"/>
    <w:rsid w:val="00550BC8"/>
    <w:rsid w:val="00551061"/>
    <w:rsid w:val="00551888"/>
    <w:rsid w:val="00551F8F"/>
    <w:rsid w:val="005525D7"/>
    <w:rsid w:val="00552EE3"/>
    <w:rsid w:val="00553C92"/>
    <w:rsid w:val="00554944"/>
    <w:rsid w:val="005572AB"/>
    <w:rsid w:val="00557500"/>
    <w:rsid w:val="00557FE0"/>
    <w:rsid w:val="005604CC"/>
    <w:rsid w:val="00560E9A"/>
    <w:rsid w:val="00561DC3"/>
    <w:rsid w:val="00561E95"/>
    <w:rsid w:val="005620AD"/>
    <w:rsid w:val="00562F0E"/>
    <w:rsid w:val="0056459E"/>
    <w:rsid w:val="00564CE1"/>
    <w:rsid w:val="00566740"/>
    <w:rsid w:val="0057079B"/>
    <w:rsid w:val="00571362"/>
    <w:rsid w:val="005734B9"/>
    <w:rsid w:val="00573D81"/>
    <w:rsid w:val="00575ED5"/>
    <w:rsid w:val="0057653C"/>
    <w:rsid w:val="005769DB"/>
    <w:rsid w:val="00576D60"/>
    <w:rsid w:val="00576F10"/>
    <w:rsid w:val="005800FE"/>
    <w:rsid w:val="00581726"/>
    <w:rsid w:val="00582971"/>
    <w:rsid w:val="00582B78"/>
    <w:rsid w:val="0058335D"/>
    <w:rsid w:val="00583559"/>
    <w:rsid w:val="00584C12"/>
    <w:rsid w:val="00585C8E"/>
    <w:rsid w:val="00586094"/>
    <w:rsid w:val="00586228"/>
    <w:rsid w:val="0059046F"/>
    <w:rsid w:val="00591E4E"/>
    <w:rsid w:val="0059241D"/>
    <w:rsid w:val="0059265F"/>
    <w:rsid w:val="005941C4"/>
    <w:rsid w:val="00594D2B"/>
    <w:rsid w:val="005951C9"/>
    <w:rsid w:val="005956BD"/>
    <w:rsid w:val="00595986"/>
    <w:rsid w:val="00597C34"/>
    <w:rsid w:val="00597D68"/>
    <w:rsid w:val="005A087D"/>
    <w:rsid w:val="005A3C44"/>
    <w:rsid w:val="005A43E3"/>
    <w:rsid w:val="005A5172"/>
    <w:rsid w:val="005A5250"/>
    <w:rsid w:val="005A67E7"/>
    <w:rsid w:val="005A6CCA"/>
    <w:rsid w:val="005A7C9A"/>
    <w:rsid w:val="005B3433"/>
    <w:rsid w:val="005B4143"/>
    <w:rsid w:val="005B48BE"/>
    <w:rsid w:val="005B52DB"/>
    <w:rsid w:val="005B58FC"/>
    <w:rsid w:val="005B5D81"/>
    <w:rsid w:val="005B6C67"/>
    <w:rsid w:val="005C00C2"/>
    <w:rsid w:val="005C0357"/>
    <w:rsid w:val="005C1C7B"/>
    <w:rsid w:val="005C54E9"/>
    <w:rsid w:val="005C7B98"/>
    <w:rsid w:val="005D0063"/>
    <w:rsid w:val="005D1209"/>
    <w:rsid w:val="005D15BE"/>
    <w:rsid w:val="005D40B8"/>
    <w:rsid w:val="005D431A"/>
    <w:rsid w:val="005D72F4"/>
    <w:rsid w:val="005D786E"/>
    <w:rsid w:val="005E0530"/>
    <w:rsid w:val="005E057B"/>
    <w:rsid w:val="005E13FB"/>
    <w:rsid w:val="005E246B"/>
    <w:rsid w:val="005E42AB"/>
    <w:rsid w:val="005E4CF0"/>
    <w:rsid w:val="005E5075"/>
    <w:rsid w:val="005E6A08"/>
    <w:rsid w:val="005E7523"/>
    <w:rsid w:val="005F103C"/>
    <w:rsid w:val="005F10C2"/>
    <w:rsid w:val="005F189F"/>
    <w:rsid w:val="005F1CA9"/>
    <w:rsid w:val="005F36DF"/>
    <w:rsid w:val="005F4F97"/>
    <w:rsid w:val="005F513B"/>
    <w:rsid w:val="005F5632"/>
    <w:rsid w:val="005F60A7"/>
    <w:rsid w:val="005F7982"/>
    <w:rsid w:val="006003FC"/>
    <w:rsid w:val="00602DE6"/>
    <w:rsid w:val="006047FE"/>
    <w:rsid w:val="006048C6"/>
    <w:rsid w:val="00606AEE"/>
    <w:rsid w:val="00612CEF"/>
    <w:rsid w:val="00612D3F"/>
    <w:rsid w:val="006133D1"/>
    <w:rsid w:val="00613C32"/>
    <w:rsid w:val="00615D14"/>
    <w:rsid w:val="00616069"/>
    <w:rsid w:val="006163C1"/>
    <w:rsid w:val="00616DFC"/>
    <w:rsid w:val="00616EC6"/>
    <w:rsid w:val="00617676"/>
    <w:rsid w:val="00620048"/>
    <w:rsid w:val="0062245B"/>
    <w:rsid w:val="00624FD4"/>
    <w:rsid w:val="0062610C"/>
    <w:rsid w:val="00626EC4"/>
    <w:rsid w:val="00632B5D"/>
    <w:rsid w:val="00633277"/>
    <w:rsid w:val="0063417E"/>
    <w:rsid w:val="006347FE"/>
    <w:rsid w:val="00635BDA"/>
    <w:rsid w:val="006400C7"/>
    <w:rsid w:val="00640C52"/>
    <w:rsid w:val="00641337"/>
    <w:rsid w:val="006418CA"/>
    <w:rsid w:val="00643C08"/>
    <w:rsid w:val="00644071"/>
    <w:rsid w:val="00644211"/>
    <w:rsid w:val="00644498"/>
    <w:rsid w:val="00644622"/>
    <w:rsid w:val="006448E2"/>
    <w:rsid w:val="00645379"/>
    <w:rsid w:val="00646A8C"/>
    <w:rsid w:val="00646FBD"/>
    <w:rsid w:val="006479BB"/>
    <w:rsid w:val="00650141"/>
    <w:rsid w:val="006505A5"/>
    <w:rsid w:val="00650CE5"/>
    <w:rsid w:val="00651D36"/>
    <w:rsid w:val="00652F5A"/>
    <w:rsid w:val="006540B7"/>
    <w:rsid w:val="00654374"/>
    <w:rsid w:val="00654EC6"/>
    <w:rsid w:val="00655244"/>
    <w:rsid w:val="00657D1A"/>
    <w:rsid w:val="0066169D"/>
    <w:rsid w:val="0066317F"/>
    <w:rsid w:val="00664042"/>
    <w:rsid w:val="00664212"/>
    <w:rsid w:val="006655A3"/>
    <w:rsid w:val="00665B3A"/>
    <w:rsid w:val="00665B96"/>
    <w:rsid w:val="006660A7"/>
    <w:rsid w:val="0066680B"/>
    <w:rsid w:val="006704E6"/>
    <w:rsid w:val="006705B4"/>
    <w:rsid w:val="00671268"/>
    <w:rsid w:val="00671805"/>
    <w:rsid w:val="00672724"/>
    <w:rsid w:val="00673481"/>
    <w:rsid w:val="006737E5"/>
    <w:rsid w:val="00673858"/>
    <w:rsid w:val="00674AB1"/>
    <w:rsid w:val="00677750"/>
    <w:rsid w:val="00680665"/>
    <w:rsid w:val="00681F56"/>
    <w:rsid w:val="00682436"/>
    <w:rsid w:val="00682981"/>
    <w:rsid w:val="00683395"/>
    <w:rsid w:val="006843F7"/>
    <w:rsid w:val="00684D56"/>
    <w:rsid w:val="00685E23"/>
    <w:rsid w:val="00686AA2"/>
    <w:rsid w:val="00690025"/>
    <w:rsid w:val="00690B65"/>
    <w:rsid w:val="006914A2"/>
    <w:rsid w:val="006919D1"/>
    <w:rsid w:val="006926B8"/>
    <w:rsid w:val="006937DD"/>
    <w:rsid w:val="00694333"/>
    <w:rsid w:val="00695646"/>
    <w:rsid w:val="00696C1B"/>
    <w:rsid w:val="00696D75"/>
    <w:rsid w:val="00696E05"/>
    <w:rsid w:val="006A0C03"/>
    <w:rsid w:val="006A10A7"/>
    <w:rsid w:val="006A1B7B"/>
    <w:rsid w:val="006A374C"/>
    <w:rsid w:val="006A3AF5"/>
    <w:rsid w:val="006A3FDB"/>
    <w:rsid w:val="006A494B"/>
    <w:rsid w:val="006A6F00"/>
    <w:rsid w:val="006A7EAE"/>
    <w:rsid w:val="006B08E4"/>
    <w:rsid w:val="006B097B"/>
    <w:rsid w:val="006B0D61"/>
    <w:rsid w:val="006B170E"/>
    <w:rsid w:val="006B19D7"/>
    <w:rsid w:val="006B2627"/>
    <w:rsid w:val="006B285E"/>
    <w:rsid w:val="006B3099"/>
    <w:rsid w:val="006B32D0"/>
    <w:rsid w:val="006B331A"/>
    <w:rsid w:val="006B547A"/>
    <w:rsid w:val="006B61CC"/>
    <w:rsid w:val="006C03B7"/>
    <w:rsid w:val="006C0799"/>
    <w:rsid w:val="006C0FD1"/>
    <w:rsid w:val="006C2A2E"/>
    <w:rsid w:val="006C2B04"/>
    <w:rsid w:val="006C32FA"/>
    <w:rsid w:val="006C34DA"/>
    <w:rsid w:val="006C44C6"/>
    <w:rsid w:val="006C524E"/>
    <w:rsid w:val="006C7BE0"/>
    <w:rsid w:val="006D0ADE"/>
    <w:rsid w:val="006D0E11"/>
    <w:rsid w:val="006D5767"/>
    <w:rsid w:val="006D607B"/>
    <w:rsid w:val="006E01EF"/>
    <w:rsid w:val="006E1594"/>
    <w:rsid w:val="006E170F"/>
    <w:rsid w:val="006E1E27"/>
    <w:rsid w:val="006E668A"/>
    <w:rsid w:val="006E672F"/>
    <w:rsid w:val="006E6A28"/>
    <w:rsid w:val="006E6C74"/>
    <w:rsid w:val="006E6EB8"/>
    <w:rsid w:val="006E73A8"/>
    <w:rsid w:val="006E74A6"/>
    <w:rsid w:val="006F0772"/>
    <w:rsid w:val="006F1458"/>
    <w:rsid w:val="006F4150"/>
    <w:rsid w:val="006F44F1"/>
    <w:rsid w:val="006F497B"/>
    <w:rsid w:val="006F4A77"/>
    <w:rsid w:val="006F4D0B"/>
    <w:rsid w:val="006F52CC"/>
    <w:rsid w:val="006F55D1"/>
    <w:rsid w:val="006F6344"/>
    <w:rsid w:val="006F66EF"/>
    <w:rsid w:val="006F7BDD"/>
    <w:rsid w:val="00700924"/>
    <w:rsid w:val="00702707"/>
    <w:rsid w:val="00702E5E"/>
    <w:rsid w:val="00702F3D"/>
    <w:rsid w:val="0070358D"/>
    <w:rsid w:val="00703DC5"/>
    <w:rsid w:val="00703E6E"/>
    <w:rsid w:val="00703E74"/>
    <w:rsid w:val="007043F0"/>
    <w:rsid w:val="00704D2C"/>
    <w:rsid w:val="00705A2E"/>
    <w:rsid w:val="0070654C"/>
    <w:rsid w:val="00706604"/>
    <w:rsid w:val="00707FB9"/>
    <w:rsid w:val="0071108D"/>
    <w:rsid w:val="007114C4"/>
    <w:rsid w:val="00711F1A"/>
    <w:rsid w:val="007123E1"/>
    <w:rsid w:val="00712571"/>
    <w:rsid w:val="00714D14"/>
    <w:rsid w:val="00715A66"/>
    <w:rsid w:val="00716CC9"/>
    <w:rsid w:val="00717D97"/>
    <w:rsid w:val="00721156"/>
    <w:rsid w:val="00721AE9"/>
    <w:rsid w:val="007226D8"/>
    <w:rsid w:val="00722DC0"/>
    <w:rsid w:val="007233D0"/>
    <w:rsid w:val="0072429C"/>
    <w:rsid w:val="00724A1F"/>
    <w:rsid w:val="00725CE7"/>
    <w:rsid w:val="007261A7"/>
    <w:rsid w:val="00727457"/>
    <w:rsid w:val="00727F8B"/>
    <w:rsid w:val="00734510"/>
    <w:rsid w:val="007352B7"/>
    <w:rsid w:val="00736312"/>
    <w:rsid w:val="00737595"/>
    <w:rsid w:val="00737EE4"/>
    <w:rsid w:val="00740B14"/>
    <w:rsid w:val="007416B0"/>
    <w:rsid w:val="00741E9C"/>
    <w:rsid w:val="00742176"/>
    <w:rsid w:val="0074349B"/>
    <w:rsid w:val="00744096"/>
    <w:rsid w:val="0074589B"/>
    <w:rsid w:val="00745FEE"/>
    <w:rsid w:val="0074640A"/>
    <w:rsid w:val="00746B90"/>
    <w:rsid w:val="007519F5"/>
    <w:rsid w:val="007521C1"/>
    <w:rsid w:val="007522DE"/>
    <w:rsid w:val="00753F88"/>
    <w:rsid w:val="007540AD"/>
    <w:rsid w:val="00754340"/>
    <w:rsid w:val="00754E11"/>
    <w:rsid w:val="00755014"/>
    <w:rsid w:val="00755348"/>
    <w:rsid w:val="00756501"/>
    <w:rsid w:val="00756981"/>
    <w:rsid w:val="00757830"/>
    <w:rsid w:val="00757CBE"/>
    <w:rsid w:val="00760323"/>
    <w:rsid w:val="00760CD2"/>
    <w:rsid w:val="00760E29"/>
    <w:rsid w:val="00762518"/>
    <w:rsid w:val="0076377C"/>
    <w:rsid w:val="00766451"/>
    <w:rsid w:val="007667AD"/>
    <w:rsid w:val="00766AD6"/>
    <w:rsid w:val="00767508"/>
    <w:rsid w:val="00770889"/>
    <w:rsid w:val="00770DA6"/>
    <w:rsid w:val="00771AA6"/>
    <w:rsid w:val="00772567"/>
    <w:rsid w:val="007727A3"/>
    <w:rsid w:val="007745DC"/>
    <w:rsid w:val="00774B19"/>
    <w:rsid w:val="007763A9"/>
    <w:rsid w:val="007803B4"/>
    <w:rsid w:val="0078052A"/>
    <w:rsid w:val="00780704"/>
    <w:rsid w:val="00780B06"/>
    <w:rsid w:val="00780B52"/>
    <w:rsid w:val="00781BF4"/>
    <w:rsid w:val="00782EA5"/>
    <w:rsid w:val="007835E5"/>
    <w:rsid w:val="00785BC0"/>
    <w:rsid w:val="00785DDB"/>
    <w:rsid w:val="007866C0"/>
    <w:rsid w:val="007905B5"/>
    <w:rsid w:val="00790FA5"/>
    <w:rsid w:val="0079181B"/>
    <w:rsid w:val="007969B0"/>
    <w:rsid w:val="00797E86"/>
    <w:rsid w:val="007A09FA"/>
    <w:rsid w:val="007A09FF"/>
    <w:rsid w:val="007A1B83"/>
    <w:rsid w:val="007A30DE"/>
    <w:rsid w:val="007A4048"/>
    <w:rsid w:val="007A49D9"/>
    <w:rsid w:val="007A4A25"/>
    <w:rsid w:val="007A4E9B"/>
    <w:rsid w:val="007A543D"/>
    <w:rsid w:val="007A5503"/>
    <w:rsid w:val="007A565D"/>
    <w:rsid w:val="007A5CFB"/>
    <w:rsid w:val="007B05EF"/>
    <w:rsid w:val="007B0BD9"/>
    <w:rsid w:val="007B0CB8"/>
    <w:rsid w:val="007B6403"/>
    <w:rsid w:val="007B757B"/>
    <w:rsid w:val="007C0E51"/>
    <w:rsid w:val="007C298F"/>
    <w:rsid w:val="007C3898"/>
    <w:rsid w:val="007C42CA"/>
    <w:rsid w:val="007C4B42"/>
    <w:rsid w:val="007C59A0"/>
    <w:rsid w:val="007C5C97"/>
    <w:rsid w:val="007C5F21"/>
    <w:rsid w:val="007D054E"/>
    <w:rsid w:val="007D0D02"/>
    <w:rsid w:val="007D2943"/>
    <w:rsid w:val="007D37A6"/>
    <w:rsid w:val="007D3FC1"/>
    <w:rsid w:val="007D4C14"/>
    <w:rsid w:val="007D5767"/>
    <w:rsid w:val="007D7606"/>
    <w:rsid w:val="007E3701"/>
    <w:rsid w:val="007E404C"/>
    <w:rsid w:val="007E41FC"/>
    <w:rsid w:val="007E422E"/>
    <w:rsid w:val="007E5190"/>
    <w:rsid w:val="007E529F"/>
    <w:rsid w:val="007E7961"/>
    <w:rsid w:val="007E7CBF"/>
    <w:rsid w:val="007E7E6A"/>
    <w:rsid w:val="007F0B00"/>
    <w:rsid w:val="007F11D9"/>
    <w:rsid w:val="007F23D5"/>
    <w:rsid w:val="007F38C5"/>
    <w:rsid w:val="007F4D5F"/>
    <w:rsid w:val="007F5574"/>
    <w:rsid w:val="007F69A1"/>
    <w:rsid w:val="007F791B"/>
    <w:rsid w:val="00801E32"/>
    <w:rsid w:val="00802530"/>
    <w:rsid w:val="00803217"/>
    <w:rsid w:val="008033B3"/>
    <w:rsid w:val="008046DD"/>
    <w:rsid w:val="00804A2B"/>
    <w:rsid w:val="00805544"/>
    <w:rsid w:val="0080634F"/>
    <w:rsid w:val="0080668F"/>
    <w:rsid w:val="00810F0A"/>
    <w:rsid w:val="00811044"/>
    <w:rsid w:val="00812A30"/>
    <w:rsid w:val="00812EFD"/>
    <w:rsid w:val="00813539"/>
    <w:rsid w:val="00822D47"/>
    <w:rsid w:val="00824AAA"/>
    <w:rsid w:val="0082518A"/>
    <w:rsid w:val="00825FC7"/>
    <w:rsid w:val="00830265"/>
    <w:rsid w:val="00830B7A"/>
    <w:rsid w:val="0083134F"/>
    <w:rsid w:val="0083151F"/>
    <w:rsid w:val="0083165E"/>
    <w:rsid w:val="00831FB9"/>
    <w:rsid w:val="00832105"/>
    <w:rsid w:val="00832C83"/>
    <w:rsid w:val="00833BC1"/>
    <w:rsid w:val="008344AC"/>
    <w:rsid w:val="008359A8"/>
    <w:rsid w:val="00835D18"/>
    <w:rsid w:val="00835EB3"/>
    <w:rsid w:val="00835F93"/>
    <w:rsid w:val="0083716E"/>
    <w:rsid w:val="00837EEB"/>
    <w:rsid w:val="00840E20"/>
    <w:rsid w:val="00840E98"/>
    <w:rsid w:val="0084133D"/>
    <w:rsid w:val="008413EC"/>
    <w:rsid w:val="008422B1"/>
    <w:rsid w:val="00842463"/>
    <w:rsid w:val="00842C0D"/>
    <w:rsid w:val="00842C38"/>
    <w:rsid w:val="00842F1C"/>
    <w:rsid w:val="008436D5"/>
    <w:rsid w:val="0084400C"/>
    <w:rsid w:val="00844089"/>
    <w:rsid w:val="008442B0"/>
    <w:rsid w:val="008445C8"/>
    <w:rsid w:val="008448D2"/>
    <w:rsid w:val="008452FF"/>
    <w:rsid w:val="00845B49"/>
    <w:rsid w:val="00845D48"/>
    <w:rsid w:val="00845DCA"/>
    <w:rsid w:val="008473C0"/>
    <w:rsid w:val="00847A61"/>
    <w:rsid w:val="00850C5D"/>
    <w:rsid w:val="00851DFC"/>
    <w:rsid w:val="00853D37"/>
    <w:rsid w:val="00854396"/>
    <w:rsid w:val="00854764"/>
    <w:rsid w:val="008548B1"/>
    <w:rsid w:val="008554EB"/>
    <w:rsid w:val="008562FD"/>
    <w:rsid w:val="00857CF3"/>
    <w:rsid w:val="00861E0E"/>
    <w:rsid w:val="008620C1"/>
    <w:rsid w:val="008625DE"/>
    <w:rsid w:val="00863F2A"/>
    <w:rsid w:val="008648C4"/>
    <w:rsid w:val="00865278"/>
    <w:rsid w:val="00865D55"/>
    <w:rsid w:val="00866D7A"/>
    <w:rsid w:val="00867008"/>
    <w:rsid w:val="00867A17"/>
    <w:rsid w:val="00871AF5"/>
    <w:rsid w:val="0087214C"/>
    <w:rsid w:val="00872846"/>
    <w:rsid w:val="00872A79"/>
    <w:rsid w:val="00872D92"/>
    <w:rsid w:val="0087332E"/>
    <w:rsid w:val="00873619"/>
    <w:rsid w:val="008756BE"/>
    <w:rsid w:val="00875B26"/>
    <w:rsid w:val="00875C82"/>
    <w:rsid w:val="00876D40"/>
    <w:rsid w:val="00881220"/>
    <w:rsid w:val="0088133C"/>
    <w:rsid w:val="00881BF1"/>
    <w:rsid w:val="00881D08"/>
    <w:rsid w:val="00881DEE"/>
    <w:rsid w:val="00882F30"/>
    <w:rsid w:val="00885071"/>
    <w:rsid w:val="00885B9F"/>
    <w:rsid w:val="008903F8"/>
    <w:rsid w:val="0089090C"/>
    <w:rsid w:val="00890D30"/>
    <w:rsid w:val="008910AD"/>
    <w:rsid w:val="008915E2"/>
    <w:rsid w:val="008929B6"/>
    <w:rsid w:val="00892D46"/>
    <w:rsid w:val="008955A5"/>
    <w:rsid w:val="0089700D"/>
    <w:rsid w:val="008973F2"/>
    <w:rsid w:val="008A0D6B"/>
    <w:rsid w:val="008A1BC5"/>
    <w:rsid w:val="008A225D"/>
    <w:rsid w:val="008A2902"/>
    <w:rsid w:val="008A3704"/>
    <w:rsid w:val="008A40F3"/>
    <w:rsid w:val="008A4A4D"/>
    <w:rsid w:val="008A5583"/>
    <w:rsid w:val="008A666E"/>
    <w:rsid w:val="008A7274"/>
    <w:rsid w:val="008A78F2"/>
    <w:rsid w:val="008B1707"/>
    <w:rsid w:val="008B2220"/>
    <w:rsid w:val="008B2B82"/>
    <w:rsid w:val="008B309B"/>
    <w:rsid w:val="008B3BF4"/>
    <w:rsid w:val="008B7040"/>
    <w:rsid w:val="008B792F"/>
    <w:rsid w:val="008C0538"/>
    <w:rsid w:val="008C0DB0"/>
    <w:rsid w:val="008C2C15"/>
    <w:rsid w:val="008C3A03"/>
    <w:rsid w:val="008C3F48"/>
    <w:rsid w:val="008C6503"/>
    <w:rsid w:val="008C71C4"/>
    <w:rsid w:val="008C72E9"/>
    <w:rsid w:val="008C78E9"/>
    <w:rsid w:val="008C7B48"/>
    <w:rsid w:val="008D08E9"/>
    <w:rsid w:val="008D2F94"/>
    <w:rsid w:val="008D3D19"/>
    <w:rsid w:val="008D43DB"/>
    <w:rsid w:val="008D4B98"/>
    <w:rsid w:val="008D62DF"/>
    <w:rsid w:val="008D76D3"/>
    <w:rsid w:val="008E0DEA"/>
    <w:rsid w:val="008E0E54"/>
    <w:rsid w:val="008E15B3"/>
    <w:rsid w:val="008E1629"/>
    <w:rsid w:val="008E1ADC"/>
    <w:rsid w:val="008E278E"/>
    <w:rsid w:val="008E4A2E"/>
    <w:rsid w:val="008E4AA7"/>
    <w:rsid w:val="008E4D2E"/>
    <w:rsid w:val="008E5AED"/>
    <w:rsid w:val="008E673F"/>
    <w:rsid w:val="008E6C41"/>
    <w:rsid w:val="008F0323"/>
    <w:rsid w:val="008F19A1"/>
    <w:rsid w:val="008F321C"/>
    <w:rsid w:val="008F365E"/>
    <w:rsid w:val="008F50FD"/>
    <w:rsid w:val="008F5631"/>
    <w:rsid w:val="008F6700"/>
    <w:rsid w:val="008F720F"/>
    <w:rsid w:val="00900029"/>
    <w:rsid w:val="009010AE"/>
    <w:rsid w:val="0090374C"/>
    <w:rsid w:val="00903CBE"/>
    <w:rsid w:val="009056FB"/>
    <w:rsid w:val="0090623E"/>
    <w:rsid w:val="00907152"/>
    <w:rsid w:val="0090739F"/>
    <w:rsid w:val="00910D7D"/>
    <w:rsid w:val="009118F8"/>
    <w:rsid w:val="00911F97"/>
    <w:rsid w:val="00913B5E"/>
    <w:rsid w:val="00913C07"/>
    <w:rsid w:val="00914E66"/>
    <w:rsid w:val="00915E5B"/>
    <w:rsid w:val="0091622F"/>
    <w:rsid w:val="009167AA"/>
    <w:rsid w:val="00917120"/>
    <w:rsid w:val="009171EC"/>
    <w:rsid w:val="00917418"/>
    <w:rsid w:val="00917882"/>
    <w:rsid w:val="009205A6"/>
    <w:rsid w:val="00920D89"/>
    <w:rsid w:val="009212FE"/>
    <w:rsid w:val="00921E0E"/>
    <w:rsid w:val="00922E56"/>
    <w:rsid w:val="00924257"/>
    <w:rsid w:val="00924D8B"/>
    <w:rsid w:val="00924E7C"/>
    <w:rsid w:val="0092572E"/>
    <w:rsid w:val="00927D48"/>
    <w:rsid w:val="00930FC9"/>
    <w:rsid w:val="00932202"/>
    <w:rsid w:val="00932800"/>
    <w:rsid w:val="0093282E"/>
    <w:rsid w:val="00933507"/>
    <w:rsid w:val="00933DBE"/>
    <w:rsid w:val="00934CCE"/>
    <w:rsid w:val="0093535B"/>
    <w:rsid w:val="00935E04"/>
    <w:rsid w:val="00936863"/>
    <w:rsid w:val="00936E8D"/>
    <w:rsid w:val="00937177"/>
    <w:rsid w:val="009376DD"/>
    <w:rsid w:val="0093776C"/>
    <w:rsid w:val="00940B64"/>
    <w:rsid w:val="00940E4D"/>
    <w:rsid w:val="0094361C"/>
    <w:rsid w:val="00945ABC"/>
    <w:rsid w:val="009464D5"/>
    <w:rsid w:val="00946657"/>
    <w:rsid w:val="00947B89"/>
    <w:rsid w:val="009502CD"/>
    <w:rsid w:val="009507EE"/>
    <w:rsid w:val="009512C2"/>
    <w:rsid w:val="0095137B"/>
    <w:rsid w:val="009518B0"/>
    <w:rsid w:val="00951E4B"/>
    <w:rsid w:val="0095248C"/>
    <w:rsid w:val="00955437"/>
    <w:rsid w:val="00955E3A"/>
    <w:rsid w:val="009574E5"/>
    <w:rsid w:val="009603C1"/>
    <w:rsid w:val="009611EB"/>
    <w:rsid w:val="009624DA"/>
    <w:rsid w:val="00962759"/>
    <w:rsid w:val="00963A03"/>
    <w:rsid w:val="00964A03"/>
    <w:rsid w:val="00964B4C"/>
    <w:rsid w:val="00964D39"/>
    <w:rsid w:val="009659F2"/>
    <w:rsid w:val="0096670E"/>
    <w:rsid w:val="00966ACF"/>
    <w:rsid w:val="00967058"/>
    <w:rsid w:val="00967F9C"/>
    <w:rsid w:val="00967FBF"/>
    <w:rsid w:val="00972AC7"/>
    <w:rsid w:val="009733F7"/>
    <w:rsid w:val="00973C9F"/>
    <w:rsid w:val="00973DC2"/>
    <w:rsid w:val="009761E3"/>
    <w:rsid w:val="00980348"/>
    <w:rsid w:val="00980E8C"/>
    <w:rsid w:val="00982246"/>
    <w:rsid w:val="0098482A"/>
    <w:rsid w:val="00985792"/>
    <w:rsid w:val="00985CEB"/>
    <w:rsid w:val="00986431"/>
    <w:rsid w:val="00986A31"/>
    <w:rsid w:val="00986E05"/>
    <w:rsid w:val="0098703F"/>
    <w:rsid w:val="009875E4"/>
    <w:rsid w:val="009876C3"/>
    <w:rsid w:val="00991445"/>
    <w:rsid w:val="0099173F"/>
    <w:rsid w:val="00992167"/>
    <w:rsid w:val="00992FAC"/>
    <w:rsid w:val="00993DBB"/>
    <w:rsid w:val="009944C0"/>
    <w:rsid w:val="0099474B"/>
    <w:rsid w:val="00994CE3"/>
    <w:rsid w:val="0099582F"/>
    <w:rsid w:val="0099743A"/>
    <w:rsid w:val="0099796C"/>
    <w:rsid w:val="009A0F0E"/>
    <w:rsid w:val="009A2151"/>
    <w:rsid w:val="009A22E0"/>
    <w:rsid w:val="009A2766"/>
    <w:rsid w:val="009A386B"/>
    <w:rsid w:val="009A548F"/>
    <w:rsid w:val="009A569D"/>
    <w:rsid w:val="009A7644"/>
    <w:rsid w:val="009A7F01"/>
    <w:rsid w:val="009B1D75"/>
    <w:rsid w:val="009B1ED8"/>
    <w:rsid w:val="009B2B6B"/>
    <w:rsid w:val="009B5880"/>
    <w:rsid w:val="009B6028"/>
    <w:rsid w:val="009C042F"/>
    <w:rsid w:val="009C1C08"/>
    <w:rsid w:val="009C20F0"/>
    <w:rsid w:val="009C332E"/>
    <w:rsid w:val="009C3491"/>
    <w:rsid w:val="009C3830"/>
    <w:rsid w:val="009C38E8"/>
    <w:rsid w:val="009C53C5"/>
    <w:rsid w:val="009C6117"/>
    <w:rsid w:val="009C690F"/>
    <w:rsid w:val="009C7907"/>
    <w:rsid w:val="009D00F8"/>
    <w:rsid w:val="009D0B68"/>
    <w:rsid w:val="009D1E7F"/>
    <w:rsid w:val="009D21FB"/>
    <w:rsid w:val="009D33AF"/>
    <w:rsid w:val="009D3518"/>
    <w:rsid w:val="009D40DD"/>
    <w:rsid w:val="009D47D8"/>
    <w:rsid w:val="009D7F6F"/>
    <w:rsid w:val="009E076D"/>
    <w:rsid w:val="009E24DD"/>
    <w:rsid w:val="009E2980"/>
    <w:rsid w:val="009E2D6A"/>
    <w:rsid w:val="009E4AF8"/>
    <w:rsid w:val="009E4EF3"/>
    <w:rsid w:val="009E5259"/>
    <w:rsid w:val="009E5F7D"/>
    <w:rsid w:val="009E6643"/>
    <w:rsid w:val="009E6A35"/>
    <w:rsid w:val="009E75D5"/>
    <w:rsid w:val="009E7703"/>
    <w:rsid w:val="009F0D6F"/>
    <w:rsid w:val="009F1863"/>
    <w:rsid w:val="009F21D1"/>
    <w:rsid w:val="009F259C"/>
    <w:rsid w:val="009F2625"/>
    <w:rsid w:val="009F2B00"/>
    <w:rsid w:val="009F30C3"/>
    <w:rsid w:val="009F352F"/>
    <w:rsid w:val="009F358E"/>
    <w:rsid w:val="009F3C28"/>
    <w:rsid w:val="009F68FC"/>
    <w:rsid w:val="009F73B2"/>
    <w:rsid w:val="00A0146C"/>
    <w:rsid w:val="00A017DF"/>
    <w:rsid w:val="00A01F37"/>
    <w:rsid w:val="00A03B9B"/>
    <w:rsid w:val="00A0569D"/>
    <w:rsid w:val="00A05C05"/>
    <w:rsid w:val="00A070B1"/>
    <w:rsid w:val="00A10210"/>
    <w:rsid w:val="00A10F11"/>
    <w:rsid w:val="00A118BD"/>
    <w:rsid w:val="00A118E7"/>
    <w:rsid w:val="00A11BAB"/>
    <w:rsid w:val="00A127B4"/>
    <w:rsid w:val="00A12EDF"/>
    <w:rsid w:val="00A13156"/>
    <w:rsid w:val="00A13794"/>
    <w:rsid w:val="00A156D1"/>
    <w:rsid w:val="00A15D73"/>
    <w:rsid w:val="00A20014"/>
    <w:rsid w:val="00A20E2C"/>
    <w:rsid w:val="00A2193F"/>
    <w:rsid w:val="00A21EDF"/>
    <w:rsid w:val="00A2266D"/>
    <w:rsid w:val="00A22FC4"/>
    <w:rsid w:val="00A2304D"/>
    <w:rsid w:val="00A24D55"/>
    <w:rsid w:val="00A255CD"/>
    <w:rsid w:val="00A259E8"/>
    <w:rsid w:val="00A26597"/>
    <w:rsid w:val="00A30001"/>
    <w:rsid w:val="00A30F43"/>
    <w:rsid w:val="00A31558"/>
    <w:rsid w:val="00A31D44"/>
    <w:rsid w:val="00A31EEB"/>
    <w:rsid w:val="00A32ECA"/>
    <w:rsid w:val="00A33B68"/>
    <w:rsid w:val="00A33BAB"/>
    <w:rsid w:val="00A34079"/>
    <w:rsid w:val="00A34185"/>
    <w:rsid w:val="00A34C08"/>
    <w:rsid w:val="00A35554"/>
    <w:rsid w:val="00A35C46"/>
    <w:rsid w:val="00A35DF3"/>
    <w:rsid w:val="00A35F02"/>
    <w:rsid w:val="00A36FE7"/>
    <w:rsid w:val="00A37B04"/>
    <w:rsid w:val="00A40A6D"/>
    <w:rsid w:val="00A4158E"/>
    <w:rsid w:val="00A418D2"/>
    <w:rsid w:val="00A4321B"/>
    <w:rsid w:val="00A432FD"/>
    <w:rsid w:val="00A4383B"/>
    <w:rsid w:val="00A44C32"/>
    <w:rsid w:val="00A45010"/>
    <w:rsid w:val="00A4505C"/>
    <w:rsid w:val="00A4506E"/>
    <w:rsid w:val="00A4651A"/>
    <w:rsid w:val="00A473BD"/>
    <w:rsid w:val="00A47C87"/>
    <w:rsid w:val="00A5014B"/>
    <w:rsid w:val="00A50216"/>
    <w:rsid w:val="00A50808"/>
    <w:rsid w:val="00A51089"/>
    <w:rsid w:val="00A51D81"/>
    <w:rsid w:val="00A525FB"/>
    <w:rsid w:val="00A535BE"/>
    <w:rsid w:val="00A55592"/>
    <w:rsid w:val="00A608BE"/>
    <w:rsid w:val="00A6097C"/>
    <w:rsid w:val="00A60CCF"/>
    <w:rsid w:val="00A63123"/>
    <w:rsid w:val="00A64E2C"/>
    <w:rsid w:val="00A6594B"/>
    <w:rsid w:val="00A6739D"/>
    <w:rsid w:val="00A7044E"/>
    <w:rsid w:val="00A71261"/>
    <w:rsid w:val="00A7302F"/>
    <w:rsid w:val="00A7534B"/>
    <w:rsid w:val="00A75727"/>
    <w:rsid w:val="00A76B70"/>
    <w:rsid w:val="00A76DF8"/>
    <w:rsid w:val="00A8065D"/>
    <w:rsid w:val="00A80F5B"/>
    <w:rsid w:val="00A820A3"/>
    <w:rsid w:val="00A82428"/>
    <w:rsid w:val="00A82A65"/>
    <w:rsid w:val="00A83C1B"/>
    <w:rsid w:val="00A84BDB"/>
    <w:rsid w:val="00A851AB"/>
    <w:rsid w:val="00A85686"/>
    <w:rsid w:val="00A85EF0"/>
    <w:rsid w:val="00A861CB"/>
    <w:rsid w:val="00A87F7C"/>
    <w:rsid w:val="00A905EE"/>
    <w:rsid w:val="00A906B6"/>
    <w:rsid w:val="00A925EB"/>
    <w:rsid w:val="00A9574E"/>
    <w:rsid w:val="00A95D7E"/>
    <w:rsid w:val="00A96169"/>
    <w:rsid w:val="00A971EC"/>
    <w:rsid w:val="00A97200"/>
    <w:rsid w:val="00A97228"/>
    <w:rsid w:val="00AA2086"/>
    <w:rsid w:val="00AA2F35"/>
    <w:rsid w:val="00AA3DD5"/>
    <w:rsid w:val="00AA44C5"/>
    <w:rsid w:val="00AA4A50"/>
    <w:rsid w:val="00AA4CBD"/>
    <w:rsid w:val="00AA4DFA"/>
    <w:rsid w:val="00AA5423"/>
    <w:rsid w:val="00AA631F"/>
    <w:rsid w:val="00AA7994"/>
    <w:rsid w:val="00AB1BBD"/>
    <w:rsid w:val="00AB2F7D"/>
    <w:rsid w:val="00AB42EB"/>
    <w:rsid w:val="00AB4BA7"/>
    <w:rsid w:val="00AB4E44"/>
    <w:rsid w:val="00AB4EF3"/>
    <w:rsid w:val="00AB5089"/>
    <w:rsid w:val="00AB5A45"/>
    <w:rsid w:val="00AB5C61"/>
    <w:rsid w:val="00AB652F"/>
    <w:rsid w:val="00AC0438"/>
    <w:rsid w:val="00AC0CB7"/>
    <w:rsid w:val="00AC0D9A"/>
    <w:rsid w:val="00AC0F62"/>
    <w:rsid w:val="00AC10A8"/>
    <w:rsid w:val="00AC12BA"/>
    <w:rsid w:val="00AC1871"/>
    <w:rsid w:val="00AC1E32"/>
    <w:rsid w:val="00AC3451"/>
    <w:rsid w:val="00AC3545"/>
    <w:rsid w:val="00AC38B3"/>
    <w:rsid w:val="00AC446A"/>
    <w:rsid w:val="00AC4DE1"/>
    <w:rsid w:val="00AC6AF3"/>
    <w:rsid w:val="00AC6CCE"/>
    <w:rsid w:val="00AC7D82"/>
    <w:rsid w:val="00AD022E"/>
    <w:rsid w:val="00AD1054"/>
    <w:rsid w:val="00AD12FC"/>
    <w:rsid w:val="00AD18EF"/>
    <w:rsid w:val="00AD230D"/>
    <w:rsid w:val="00AD28EB"/>
    <w:rsid w:val="00AD3E34"/>
    <w:rsid w:val="00AD4108"/>
    <w:rsid w:val="00AD4B7E"/>
    <w:rsid w:val="00AD4F19"/>
    <w:rsid w:val="00AD71E5"/>
    <w:rsid w:val="00AD7782"/>
    <w:rsid w:val="00AD78AF"/>
    <w:rsid w:val="00AD7B0C"/>
    <w:rsid w:val="00AE0383"/>
    <w:rsid w:val="00AE0970"/>
    <w:rsid w:val="00AE128C"/>
    <w:rsid w:val="00AE1D46"/>
    <w:rsid w:val="00AE2C51"/>
    <w:rsid w:val="00AE6D05"/>
    <w:rsid w:val="00AE7464"/>
    <w:rsid w:val="00AE7887"/>
    <w:rsid w:val="00AE7BD9"/>
    <w:rsid w:val="00AE7CD3"/>
    <w:rsid w:val="00AF061A"/>
    <w:rsid w:val="00AF0627"/>
    <w:rsid w:val="00AF1C2A"/>
    <w:rsid w:val="00AF201C"/>
    <w:rsid w:val="00AF21BC"/>
    <w:rsid w:val="00AF311E"/>
    <w:rsid w:val="00AF3A7E"/>
    <w:rsid w:val="00AF405A"/>
    <w:rsid w:val="00AF43CD"/>
    <w:rsid w:val="00AF4E15"/>
    <w:rsid w:val="00AF5372"/>
    <w:rsid w:val="00AF5635"/>
    <w:rsid w:val="00AF59BA"/>
    <w:rsid w:val="00B008E3"/>
    <w:rsid w:val="00B0147E"/>
    <w:rsid w:val="00B0186C"/>
    <w:rsid w:val="00B02265"/>
    <w:rsid w:val="00B02EE0"/>
    <w:rsid w:val="00B02F7E"/>
    <w:rsid w:val="00B030E9"/>
    <w:rsid w:val="00B03FC4"/>
    <w:rsid w:val="00B04049"/>
    <w:rsid w:val="00B04898"/>
    <w:rsid w:val="00B0797F"/>
    <w:rsid w:val="00B07E9E"/>
    <w:rsid w:val="00B120AC"/>
    <w:rsid w:val="00B125FE"/>
    <w:rsid w:val="00B1262D"/>
    <w:rsid w:val="00B1313A"/>
    <w:rsid w:val="00B13166"/>
    <w:rsid w:val="00B13E2E"/>
    <w:rsid w:val="00B140AE"/>
    <w:rsid w:val="00B1442B"/>
    <w:rsid w:val="00B14963"/>
    <w:rsid w:val="00B14A17"/>
    <w:rsid w:val="00B15341"/>
    <w:rsid w:val="00B15DA2"/>
    <w:rsid w:val="00B1702C"/>
    <w:rsid w:val="00B17705"/>
    <w:rsid w:val="00B20148"/>
    <w:rsid w:val="00B20E67"/>
    <w:rsid w:val="00B213F4"/>
    <w:rsid w:val="00B21A6E"/>
    <w:rsid w:val="00B228AF"/>
    <w:rsid w:val="00B24526"/>
    <w:rsid w:val="00B27059"/>
    <w:rsid w:val="00B2797F"/>
    <w:rsid w:val="00B30710"/>
    <w:rsid w:val="00B3072E"/>
    <w:rsid w:val="00B308D6"/>
    <w:rsid w:val="00B31D19"/>
    <w:rsid w:val="00B31F6D"/>
    <w:rsid w:val="00B3201D"/>
    <w:rsid w:val="00B332FE"/>
    <w:rsid w:val="00B348C8"/>
    <w:rsid w:val="00B358F4"/>
    <w:rsid w:val="00B36E03"/>
    <w:rsid w:val="00B40A32"/>
    <w:rsid w:val="00B40F65"/>
    <w:rsid w:val="00B41683"/>
    <w:rsid w:val="00B41798"/>
    <w:rsid w:val="00B42A20"/>
    <w:rsid w:val="00B42AE5"/>
    <w:rsid w:val="00B4389B"/>
    <w:rsid w:val="00B438C4"/>
    <w:rsid w:val="00B43AA3"/>
    <w:rsid w:val="00B44B06"/>
    <w:rsid w:val="00B451AE"/>
    <w:rsid w:val="00B45209"/>
    <w:rsid w:val="00B4554C"/>
    <w:rsid w:val="00B45C54"/>
    <w:rsid w:val="00B46EB5"/>
    <w:rsid w:val="00B47889"/>
    <w:rsid w:val="00B502B8"/>
    <w:rsid w:val="00B50370"/>
    <w:rsid w:val="00B54AAD"/>
    <w:rsid w:val="00B552E5"/>
    <w:rsid w:val="00B56B8C"/>
    <w:rsid w:val="00B56CDB"/>
    <w:rsid w:val="00B57938"/>
    <w:rsid w:val="00B57B35"/>
    <w:rsid w:val="00B62D55"/>
    <w:rsid w:val="00B62DAF"/>
    <w:rsid w:val="00B64FEC"/>
    <w:rsid w:val="00B67877"/>
    <w:rsid w:val="00B706BE"/>
    <w:rsid w:val="00B710D1"/>
    <w:rsid w:val="00B71B06"/>
    <w:rsid w:val="00B71DBD"/>
    <w:rsid w:val="00B72F48"/>
    <w:rsid w:val="00B7341E"/>
    <w:rsid w:val="00B73E88"/>
    <w:rsid w:val="00B74104"/>
    <w:rsid w:val="00B75420"/>
    <w:rsid w:val="00B7616C"/>
    <w:rsid w:val="00B76B44"/>
    <w:rsid w:val="00B8035A"/>
    <w:rsid w:val="00B808F7"/>
    <w:rsid w:val="00B80991"/>
    <w:rsid w:val="00B80FE3"/>
    <w:rsid w:val="00B81B2B"/>
    <w:rsid w:val="00B84509"/>
    <w:rsid w:val="00B84EFF"/>
    <w:rsid w:val="00B8715B"/>
    <w:rsid w:val="00B901F9"/>
    <w:rsid w:val="00B90756"/>
    <w:rsid w:val="00B92F44"/>
    <w:rsid w:val="00B93974"/>
    <w:rsid w:val="00B93E17"/>
    <w:rsid w:val="00B949C9"/>
    <w:rsid w:val="00B965E5"/>
    <w:rsid w:val="00B96FD4"/>
    <w:rsid w:val="00B972F7"/>
    <w:rsid w:val="00B97A4D"/>
    <w:rsid w:val="00BA1007"/>
    <w:rsid w:val="00BA2A4F"/>
    <w:rsid w:val="00BA2AE3"/>
    <w:rsid w:val="00BA325F"/>
    <w:rsid w:val="00BA37AD"/>
    <w:rsid w:val="00BA3FFF"/>
    <w:rsid w:val="00BA45FE"/>
    <w:rsid w:val="00BA591D"/>
    <w:rsid w:val="00BA67B6"/>
    <w:rsid w:val="00BA6F96"/>
    <w:rsid w:val="00BB1291"/>
    <w:rsid w:val="00BB3948"/>
    <w:rsid w:val="00BB4BE0"/>
    <w:rsid w:val="00BB5486"/>
    <w:rsid w:val="00BB5A5B"/>
    <w:rsid w:val="00BB6F4A"/>
    <w:rsid w:val="00BB70FB"/>
    <w:rsid w:val="00BB77F8"/>
    <w:rsid w:val="00BB79C7"/>
    <w:rsid w:val="00BB7C1A"/>
    <w:rsid w:val="00BC0417"/>
    <w:rsid w:val="00BC30BC"/>
    <w:rsid w:val="00BD0AAD"/>
    <w:rsid w:val="00BD1066"/>
    <w:rsid w:val="00BD139A"/>
    <w:rsid w:val="00BD218E"/>
    <w:rsid w:val="00BD25B2"/>
    <w:rsid w:val="00BD3350"/>
    <w:rsid w:val="00BD5E2D"/>
    <w:rsid w:val="00BD7B9D"/>
    <w:rsid w:val="00BD7F6B"/>
    <w:rsid w:val="00BE0058"/>
    <w:rsid w:val="00BE02B2"/>
    <w:rsid w:val="00BE0641"/>
    <w:rsid w:val="00BE0F6C"/>
    <w:rsid w:val="00BE0FB1"/>
    <w:rsid w:val="00BE12BF"/>
    <w:rsid w:val="00BE1B75"/>
    <w:rsid w:val="00BE513C"/>
    <w:rsid w:val="00BE524A"/>
    <w:rsid w:val="00BE5AA8"/>
    <w:rsid w:val="00BF0504"/>
    <w:rsid w:val="00BF0C4B"/>
    <w:rsid w:val="00BF0D19"/>
    <w:rsid w:val="00BF154A"/>
    <w:rsid w:val="00BF24DA"/>
    <w:rsid w:val="00BF3080"/>
    <w:rsid w:val="00BF367C"/>
    <w:rsid w:val="00BF3B74"/>
    <w:rsid w:val="00BF5352"/>
    <w:rsid w:val="00BF56A0"/>
    <w:rsid w:val="00BF6403"/>
    <w:rsid w:val="00BF725E"/>
    <w:rsid w:val="00C006EC"/>
    <w:rsid w:val="00C01214"/>
    <w:rsid w:val="00C01AC9"/>
    <w:rsid w:val="00C02810"/>
    <w:rsid w:val="00C02A67"/>
    <w:rsid w:val="00C02F4B"/>
    <w:rsid w:val="00C03D0F"/>
    <w:rsid w:val="00C04924"/>
    <w:rsid w:val="00C04D49"/>
    <w:rsid w:val="00C074A9"/>
    <w:rsid w:val="00C07A18"/>
    <w:rsid w:val="00C13C37"/>
    <w:rsid w:val="00C14C5D"/>
    <w:rsid w:val="00C14D26"/>
    <w:rsid w:val="00C16CFF"/>
    <w:rsid w:val="00C16DFE"/>
    <w:rsid w:val="00C16F31"/>
    <w:rsid w:val="00C20153"/>
    <w:rsid w:val="00C21895"/>
    <w:rsid w:val="00C23319"/>
    <w:rsid w:val="00C23494"/>
    <w:rsid w:val="00C23BC3"/>
    <w:rsid w:val="00C23CDD"/>
    <w:rsid w:val="00C25158"/>
    <w:rsid w:val="00C26D77"/>
    <w:rsid w:val="00C319A5"/>
    <w:rsid w:val="00C3216D"/>
    <w:rsid w:val="00C32D37"/>
    <w:rsid w:val="00C330A1"/>
    <w:rsid w:val="00C3320B"/>
    <w:rsid w:val="00C34224"/>
    <w:rsid w:val="00C34D1F"/>
    <w:rsid w:val="00C351DF"/>
    <w:rsid w:val="00C3553B"/>
    <w:rsid w:val="00C3556A"/>
    <w:rsid w:val="00C35EDB"/>
    <w:rsid w:val="00C36A60"/>
    <w:rsid w:val="00C36ED1"/>
    <w:rsid w:val="00C37AF8"/>
    <w:rsid w:val="00C37BC0"/>
    <w:rsid w:val="00C402EE"/>
    <w:rsid w:val="00C4059D"/>
    <w:rsid w:val="00C40626"/>
    <w:rsid w:val="00C418EB"/>
    <w:rsid w:val="00C43603"/>
    <w:rsid w:val="00C437A2"/>
    <w:rsid w:val="00C45C1D"/>
    <w:rsid w:val="00C472D1"/>
    <w:rsid w:val="00C476FC"/>
    <w:rsid w:val="00C47A7B"/>
    <w:rsid w:val="00C47D12"/>
    <w:rsid w:val="00C50BCA"/>
    <w:rsid w:val="00C50D05"/>
    <w:rsid w:val="00C50EA4"/>
    <w:rsid w:val="00C52E6D"/>
    <w:rsid w:val="00C55547"/>
    <w:rsid w:val="00C56756"/>
    <w:rsid w:val="00C575DB"/>
    <w:rsid w:val="00C6070A"/>
    <w:rsid w:val="00C611A1"/>
    <w:rsid w:val="00C61570"/>
    <w:rsid w:val="00C61EC0"/>
    <w:rsid w:val="00C6332F"/>
    <w:rsid w:val="00C63DC2"/>
    <w:rsid w:val="00C65F88"/>
    <w:rsid w:val="00C66380"/>
    <w:rsid w:val="00C66406"/>
    <w:rsid w:val="00C6645B"/>
    <w:rsid w:val="00C66947"/>
    <w:rsid w:val="00C67064"/>
    <w:rsid w:val="00C670FB"/>
    <w:rsid w:val="00C705F1"/>
    <w:rsid w:val="00C7071E"/>
    <w:rsid w:val="00C71092"/>
    <w:rsid w:val="00C723FD"/>
    <w:rsid w:val="00C72CDB"/>
    <w:rsid w:val="00C7411F"/>
    <w:rsid w:val="00C7499B"/>
    <w:rsid w:val="00C754B1"/>
    <w:rsid w:val="00C75E8C"/>
    <w:rsid w:val="00C77279"/>
    <w:rsid w:val="00C8104F"/>
    <w:rsid w:val="00C82CDF"/>
    <w:rsid w:val="00C82F8F"/>
    <w:rsid w:val="00C8452B"/>
    <w:rsid w:val="00C8495D"/>
    <w:rsid w:val="00C8518C"/>
    <w:rsid w:val="00C856B4"/>
    <w:rsid w:val="00C87086"/>
    <w:rsid w:val="00C901C2"/>
    <w:rsid w:val="00C90F6D"/>
    <w:rsid w:val="00C9104D"/>
    <w:rsid w:val="00C91206"/>
    <w:rsid w:val="00C91E94"/>
    <w:rsid w:val="00C935C0"/>
    <w:rsid w:val="00C9432C"/>
    <w:rsid w:val="00C97695"/>
    <w:rsid w:val="00CA012C"/>
    <w:rsid w:val="00CA0417"/>
    <w:rsid w:val="00CA0D62"/>
    <w:rsid w:val="00CA33F4"/>
    <w:rsid w:val="00CA6C90"/>
    <w:rsid w:val="00CB0861"/>
    <w:rsid w:val="00CB1075"/>
    <w:rsid w:val="00CB3DAD"/>
    <w:rsid w:val="00CB3EE6"/>
    <w:rsid w:val="00CB408E"/>
    <w:rsid w:val="00CB542F"/>
    <w:rsid w:val="00CB56FA"/>
    <w:rsid w:val="00CB598D"/>
    <w:rsid w:val="00CB696D"/>
    <w:rsid w:val="00CC0574"/>
    <w:rsid w:val="00CC072B"/>
    <w:rsid w:val="00CC0DA3"/>
    <w:rsid w:val="00CC1271"/>
    <w:rsid w:val="00CC17C8"/>
    <w:rsid w:val="00CC17E7"/>
    <w:rsid w:val="00CC3CA0"/>
    <w:rsid w:val="00CC3E60"/>
    <w:rsid w:val="00CC535C"/>
    <w:rsid w:val="00CC6D21"/>
    <w:rsid w:val="00CC7795"/>
    <w:rsid w:val="00CD193D"/>
    <w:rsid w:val="00CD2D49"/>
    <w:rsid w:val="00CD48F9"/>
    <w:rsid w:val="00CD50C9"/>
    <w:rsid w:val="00CD623F"/>
    <w:rsid w:val="00CD67A6"/>
    <w:rsid w:val="00CD79DC"/>
    <w:rsid w:val="00CE0729"/>
    <w:rsid w:val="00CE0856"/>
    <w:rsid w:val="00CE0CFB"/>
    <w:rsid w:val="00CE11C4"/>
    <w:rsid w:val="00CE18F5"/>
    <w:rsid w:val="00CE3580"/>
    <w:rsid w:val="00CE4893"/>
    <w:rsid w:val="00CE4D28"/>
    <w:rsid w:val="00CE5054"/>
    <w:rsid w:val="00CE6DDA"/>
    <w:rsid w:val="00CE7D82"/>
    <w:rsid w:val="00CF0180"/>
    <w:rsid w:val="00CF0623"/>
    <w:rsid w:val="00CF22FA"/>
    <w:rsid w:val="00CF3578"/>
    <w:rsid w:val="00CF3CDD"/>
    <w:rsid w:val="00CF4334"/>
    <w:rsid w:val="00CF6E2B"/>
    <w:rsid w:val="00CF6F55"/>
    <w:rsid w:val="00CF7862"/>
    <w:rsid w:val="00D013B4"/>
    <w:rsid w:val="00D01785"/>
    <w:rsid w:val="00D020BD"/>
    <w:rsid w:val="00D0312C"/>
    <w:rsid w:val="00D03F36"/>
    <w:rsid w:val="00D05CA4"/>
    <w:rsid w:val="00D05DEF"/>
    <w:rsid w:val="00D06578"/>
    <w:rsid w:val="00D0787F"/>
    <w:rsid w:val="00D10037"/>
    <w:rsid w:val="00D104EE"/>
    <w:rsid w:val="00D1085D"/>
    <w:rsid w:val="00D11078"/>
    <w:rsid w:val="00D1348F"/>
    <w:rsid w:val="00D13712"/>
    <w:rsid w:val="00D13BCE"/>
    <w:rsid w:val="00D14953"/>
    <w:rsid w:val="00D14AEA"/>
    <w:rsid w:val="00D14CBA"/>
    <w:rsid w:val="00D14D9A"/>
    <w:rsid w:val="00D15E31"/>
    <w:rsid w:val="00D178F1"/>
    <w:rsid w:val="00D214AF"/>
    <w:rsid w:val="00D21779"/>
    <w:rsid w:val="00D223DE"/>
    <w:rsid w:val="00D224FB"/>
    <w:rsid w:val="00D23833"/>
    <w:rsid w:val="00D25089"/>
    <w:rsid w:val="00D25FA1"/>
    <w:rsid w:val="00D30203"/>
    <w:rsid w:val="00D308D1"/>
    <w:rsid w:val="00D32657"/>
    <w:rsid w:val="00D348FD"/>
    <w:rsid w:val="00D35BB5"/>
    <w:rsid w:val="00D3669B"/>
    <w:rsid w:val="00D375A1"/>
    <w:rsid w:val="00D376B4"/>
    <w:rsid w:val="00D376BF"/>
    <w:rsid w:val="00D37A86"/>
    <w:rsid w:val="00D40CFD"/>
    <w:rsid w:val="00D41081"/>
    <w:rsid w:val="00D429D2"/>
    <w:rsid w:val="00D42F1B"/>
    <w:rsid w:val="00D4405E"/>
    <w:rsid w:val="00D44B1C"/>
    <w:rsid w:val="00D45083"/>
    <w:rsid w:val="00D45A04"/>
    <w:rsid w:val="00D46357"/>
    <w:rsid w:val="00D478BA"/>
    <w:rsid w:val="00D50A29"/>
    <w:rsid w:val="00D51209"/>
    <w:rsid w:val="00D52D0D"/>
    <w:rsid w:val="00D52DB8"/>
    <w:rsid w:val="00D53721"/>
    <w:rsid w:val="00D55BF8"/>
    <w:rsid w:val="00D568EA"/>
    <w:rsid w:val="00D56DC8"/>
    <w:rsid w:val="00D57902"/>
    <w:rsid w:val="00D57DAE"/>
    <w:rsid w:val="00D606F9"/>
    <w:rsid w:val="00D6178A"/>
    <w:rsid w:val="00D61D15"/>
    <w:rsid w:val="00D628F9"/>
    <w:rsid w:val="00D64596"/>
    <w:rsid w:val="00D6615F"/>
    <w:rsid w:val="00D67107"/>
    <w:rsid w:val="00D67569"/>
    <w:rsid w:val="00D67BDF"/>
    <w:rsid w:val="00D67DCE"/>
    <w:rsid w:val="00D700E5"/>
    <w:rsid w:val="00D71B0C"/>
    <w:rsid w:val="00D73649"/>
    <w:rsid w:val="00D737C0"/>
    <w:rsid w:val="00D7473F"/>
    <w:rsid w:val="00D749B6"/>
    <w:rsid w:val="00D74B97"/>
    <w:rsid w:val="00D76A8F"/>
    <w:rsid w:val="00D772B2"/>
    <w:rsid w:val="00D77D83"/>
    <w:rsid w:val="00D81248"/>
    <w:rsid w:val="00D8221C"/>
    <w:rsid w:val="00D82DF3"/>
    <w:rsid w:val="00D84BFF"/>
    <w:rsid w:val="00D85097"/>
    <w:rsid w:val="00D85391"/>
    <w:rsid w:val="00D8569E"/>
    <w:rsid w:val="00D879B5"/>
    <w:rsid w:val="00D928BE"/>
    <w:rsid w:val="00D936FC"/>
    <w:rsid w:val="00D93F47"/>
    <w:rsid w:val="00D9433D"/>
    <w:rsid w:val="00D952A5"/>
    <w:rsid w:val="00D96523"/>
    <w:rsid w:val="00D96A9A"/>
    <w:rsid w:val="00D973C6"/>
    <w:rsid w:val="00D9792F"/>
    <w:rsid w:val="00D97C44"/>
    <w:rsid w:val="00DA1602"/>
    <w:rsid w:val="00DA1799"/>
    <w:rsid w:val="00DA277F"/>
    <w:rsid w:val="00DA34CA"/>
    <w:rsid w:val="00DA479C"/>
    <w:rsid w:val="00DA5034"/>
    <w:rsid w:val="00DA55A3"/>
    <w:rsid w:val="00DA5ADA"/>
    <w:rsid w:val="00DA718F"/>
    <w:rsid w:val="00DB1BB3"/>
    <w:rsid w:val="00DB4896"/>
    <w:rsid w:val="00DB5EBF"/>
    <w:rsid w:val="00DB7C68"/>
    <w:rsid w:val="00DC4D6A"/>
    <w:rsid w:val="00DC570C"/>
    <w:rsid w:val="00DC72DC"/>
    <w:rsid w:val="00DC74B6"/>
    <w:rsid w:val="00DD076A"/>
    <w:rsid w:val="00DD191D"/>
    <w:rsid w:val="00DD2239"/>
    <w:rsid w:val="00DD27F2"/>
    <w:rsid w:val="00DD2FAD"/>
    <w:rsid w:val="00DD4ED1"/>
    <w:rsid w:val="00DD5C7E"/>
    <w:rsid w:val="00DD6CED"/>
    <w:rsid w:val="00DD7414"/>
    <w:rsid w:val="00DD7886"/>
    <w:rsid w:val="00DE0467"/>
    <w:rsid w:val="00DE0AAE"/>
    <w:rsid w:val="00DE247E"/>
    <w:rsid w:val="00DE33E4"/>
    <w:rsid w:val="00DE6869"/>
    <w:rsid w:val="00DE705E"/>
    <w:rsid w:val="00DE7DEE"/>
    <w:rsid w:val="00DF0119"/>
    <w:rsid w:val="00DF05DD"/>
    <w:rsid w:val="00DF170B"/>
    <w:rsid w:val="00DF3532"/>
    <w:rsid w:val="00DF35B5"/>
    <w:rsid w:val="00DF48FC"/>
    <w:rsid w:val="00DF4AEA"/>
    <w:rsid w:val="00DF612C"/>
    <w:rsid w:val="00DF619E"/>
    <w:rsid w:val="00DF67D1"/>
    <w:rsid w:val="00DF75D1"/>
    <w:rsid w:val="00DF7964"/>
    <w:rsid w:val="00E029C2"/>
    <w:rsid w:val="00E02A56"/>
    <w:rsid w:val="00E03CB3"/>
    <w:rsid w:val="00E03F3D"/>
    <w:rsid w:val="00E0417C"/>
    <w:rsid w:val="00E04503"/>
    <w:rsid w:val="00E04A0B"/>
    <w:rsid w:val="00E04B4A"/>
    <w:rsid w:val="00E05EE5"/>
    <w:rsid w:val="00E07A19"/>
    <w:rsid w:val="00E1001C"/>
    <w:rsid w:val="00E114C3"/>
    <w:rsid w:val="00E11635"/>
    <w:rsid w:val="00E11787"/>
    <w:rsid w:val="00E12AF3"/>
    <w:rsid w:val="00E12E9D"/>
    <w:rsid w:val="00E14980"/>
    <w:rsid w:val="00E14B5C"/>
    <w:rsid w:val="00E16423"/>
    <w:rsid w:val="00E1693A"/>
    <w:rsid w:val="00E1753A"/>
    <w:rsid w:val="00E175F3"/>
    <w:rsid w:val="00E20A1F"/>
    <w:rsid w:val="00E24F21"/>
    <w:rsid w:val="00E24F35"/>
    <w:rsid w:val="00E2788C"/>
    <w:rsid w:val="00E27A87"/>
    <w:rsid w:val="00E31BA3"/>
    <w:rsid w:val="00E32885"/>
    <w:rsid w:val="00E334A6"/>
    <w:rsid w:val="00E3433E"/>
    <w:rsid w:val="00E346FB"/>
    <w:rsid w:val="00E34ED5"/>
    <w:rsid w:val="00E37877"/>
    <w:rsid w:val="00E408CB"/>
    <w:rsid w:val="00E40A3C"/>
    <w:rsid w:val="00E40C98"/>
    <w:rsid w:val="00E4116B"/>
    <w:rsid w:val="00E41319"/>
    <w:rsid w:val="00E421BA"/>
    <w:rsid w:val="00E428D7"/>
    <w:rsid w:val="00E43E07"/>
    <w:rsid w:val="00E44349"/>
    <w:rsid w:val="00E4446A"/>
    <w:rsid w:val="00E44D13"/>
    <w:rsid w:val="00E46431"/>
    <w:rsid w:val="00E51A20"/>
    <w:rsid w:val="00E52372"/>
    <w:rsid w:val="00E53614"/>
    <w:rsid w:val="00E536C6"/>
    <w:rsid w:val="00E53870"/>
    <w:rsid w:val="00E542C6"/>
    <w:rsid w:val="00E54653"/>
    <w:rsid w:val="00E54E85"/>
    <w:rsid w:val="00E56018"/>
    <w:rsid w:val="00E5721A"/>
    <w:rsid w:val="00E60FEA"/>
    <w:rsid w:val="00E6152D"/>
    <w:rsid w:val="00E62056"/>
    <w:rsid w:val="00E62280"/>
    <w:rsid w:val="00E625D6"/>
    <w:rsid w:val="00E63021"/>
    <w:rsid w:val="00E6319F"/>
    <w:rsid w:val="00E63722"/>
    <w:rsid w:val="00E648A7"/>
    <w:rsid w:val="00E660F6"/>
    <w:rsid w:val="00E674E0"/>
    <w:rsid w:val="00E716B9"/>
    <w:rsid w:val="00E71ADF"/>
    <w:rsid w:val="00E73D1E"/>
    <w:rsid w:val="00E74569"/>
    <w:rsid w:val="00E76725"/>
    <w:rsid w:val="00E775C4"/>
    <w:rsid w:val="00E80471"/>
    <w:rsid w:val="00E80BBA"/>
    <w:rsid w:val="00E81C21"/>
    <w:rsid w:val="00E837E3"/>
    <w:rsid w:val="00E838E5"/>
    <w:rsid w:val="00E8555A"/>
    <w:rsid w:val="00E86EDB"/>
    <w:rsid w:val="00E87302"/>
    <w:rsid w:val="00E87628"/>
    <w:rsid w:val="00E8768A"/>
    <w:rsid w:val="00E87B73"/>
    <w:rsid w:val="00E90450"/>
    <w:rsid w:val="00E90D4C"/>
    <w:rsid w:val="00E91422"/>
    <w:rsid w:val="00E916FD"/>
    <w:rsid w:val="00E918F3"/>
    <w:rsid w:val="00E9221B"/>
    <w:rsid w:val="00E92ADC"/>
    <w:rsid w:val="00E92C93"/>
    <w:rsid w:val="00E93313"/>
    <w:rsid w:val="00E972C2"/>
    <w:rsid w:val="00E97FDA"/>
    <w:rsid w:val="00EA0033"/>
    <w:rsid w:val="00EA0F1E"/>
    <w:rsid w:val="00EA12FD"/>
    <w:rsid w:val="00EA2D45"/>
    <w:rsid w:val="00EA4C19"/>
    <w:rsid w:val="00EA4F3D"/>
    <w:rsid w:val="00EA7D02"/>
    <w:rsid w:val="00EB05A1"/>
    <w:rsid w:val="00EB1521"/>
    <w:rsid w:val="00EB1CAA"/>
    <w:rsid w:val="00EB1CDC"/>
    <w:rsid w:val="00EB3385"/>
    <w:rsid w:val="00EB39B1"/>
    <w:rsid w:val="00EB4490"/>
    <w:rsid w:val="00EB4573"/>
    <w:rsid w:val="00EB5554"/>
    <w:rsid w:val="00EB5A9C"/>
    <w:rsid w:val="00EB5FFA"/>
    <w:rsid w:val="00EB680C"/>
    <w:rsid w:val="00EB7907"/>
    <w:rsid w:val="00EB7E20"/>
    <w:rsid w:val="00EC0D11"/>
    <w:rsid w:val="00EC0E7F"/>
    <w:rsid w:val="00EC114E"/>
    <w:rsid w:val="00EC1B94"/>
    <w:rsid w:val="00EC1DA4"/>
    <w:rsid w:val="00EC215C"/>
    <w:rsid w:val="00EC2633"/>
    <w:rsid w:val="00EC460A"/>
    <w:rsid w:val="00EC4C48"/>
    <w:rsid w:val="00EC4D5A"/>
    <w:rsid w:val="00EC6894"/>
    <w:rsid w:val="00EC6F89"/>
    <w:rsid w:val="00ED0363"/>
    <w:rsid w:val="00ED03EC"/>
    <w:rsid w:val="00ED0548"/>
    <w:rsid w:val="00ED269D"/>
    <w:rsid w:val="00ED2953"/>
    <w:rsid w:val="00ED5946"/>
    <w:rsid w:val="00ED7A49"/>
    <w:rsid w:val="00ED7B36"/>
    <w:rsid w:val="00ED7EC7"/>
    <w:rsid w:val="00EE087A"/>
    <w:rsid w:val="00EE3567"/>
    <w:rsid w:val="00EE3D35"/>
    <w:rsid w:val="00EE6024"/>
    <w:rsid w:val="00EF1D4C"/>
    <w:rsid w:val="00EF3550"/>
    <w:rsid w:val="00EF3B14"/>
    <w:rsid w:val="00EF3CB8"/>
    <w:rsid w:val="00EF3D05"/>
    <w:rsid w:val="00EF4C58"/>
    <w:rsid w:val="00EF5BD7"/>
    <w:rsid w:val="00EF7A43"/>
    <w:rsid w:val="00F05378"/>
    <w:rsid w:val="00F067D1"/>
    <w:rsid w:val="00F0685C"/>
    <w:rsid w:val="00F075EE"/>
    <w:rsid w:val="00F0775C"/>
    <w:rsid w:val="00F07DA5"/>
    <w:rsid w:val="00F100F4"/>
    <w:rsid w:val="00F10BB9"/>
    <w:rsid w:val="00F124CE"/>
    <w:rsid w:val="00F1255A"/>
    <w:rsid w:val="00F12944"/>
    <w:rsid w:val="00F12EDE"/>
    <w:rsid w:val="00F1437A"/>
    <w:rsid w:val="00F14DEE"/>
    <w:rsid w:val="00F14EBA"/>
    <w:rsid w:val="00F16A3B"/>
    <w:rsid w:val="00F17693"/>
    <w:rsid w:val="00F200CE"/>
    <w:rsid w:val="00F221FD"/>
    <w:rsid w:val="00F2224A"/>
    <w:rsid w:val="00F233C5"/>
    <w:rsid w:val="00F233D2"/>
    <w:rsid w:val="00F23E7B"/>
    <w:rsid w:val="00F23FD5"/>
    <w:rsid w:val="00F24C4D"/>
    <w:rsid w:val="00F24CEF"/>
    <w:rsid w:val="00F25DB7"/>
    <w:rsid w:val="00F26FF4"/>
    <w:rsid w:val="00F27753"/>
    <w:rsid w:val="00F300E2"/>
    <w:rsid w:val="00F326FB"/>
    <w:rsid w:val="00F338D0"/>
    <w:rsid w:val="00F33C1B"/>
    <w:rsid w:val="00F36065"/>
    <w:rsid w:val="00F36FE8"/>
    <w:rsid w:val="00F37396"/>
    <w:rsid w:val="00F37550"/>
    <w:rsid w:val="00F378AB"/>
    <w:rsid w:val="00F4067D"/>
    <w:rsid w:val="00F43A3F"/>
    <w:rsid w:val="00F43A68"/>
    <w:rsid w:val="00F44799"/>
    <w:rsid w:val="00F454AF"/>
    <w:rsid w:val="00F458B7"/>
    <w:rsid w:val="00F46F59"/>
    <w:rsid w:val="00F47CBB"/>
    <w:rsid w:val="00F503F4"/>
    <w:rsid w:val="00F50434"/>
    <w:rsid w:val="00F51284"/>
    <w:rsid w:val="00F513E3"/>
    <w:rsid w:val="00F51BCD"/>
    <w:rsid w:val="00F52278"/>
    <w:rsid w:val="00F52D6C"/>
    <w:rsid w:val="00F556C6"/>
    <w:rsid w:val="00F55F0B"/>
    <w:rsid w:val="00F56215"/>
    <w:rsid w:val="00F563A5"/>
    <w:rsid w:val="00F5642E"/>
    <w:rsid w:val="00F578F6"/>
    <w:rsid w:val="00F60A1F"/>
    <w:rsid w:val="00F61A88"/>
    <w:rsid w:val="00F61CD8"/>
    <w:rsid w:val="00F64857"/>
    <w:rsid w:val="00F654EA"/>
    <w:rsid w:val="00F667AB"/>
    <w:rsid w:val="00F67038"/>
    <w:rsid w:val="00F67D49"/>
    <w:rsid w:val="00F703AD"/>
    <w:rsid w:val="00F713A2"/>
    <w:rsid w:val="00F7236E"/>
    <w:rsid w:val="00F72BCB"/>
    <w:rsid w:val="00F73A4C"/>
    <w:rsid w:val="00F73A71"/>
    <w:rsid w:val="00F74B38"/>
    <w:rsid w:val="00F764E7"/>
    <w:rsid w:val="00F76FFC"/>
    <w:rsid w:val="00F80155"/>
    <w:rsid w:val="00F80A95"/>
    <w:rsid w:val="00F8141D"/>
    <w:rsid w:val="00F81B3F"/>
    <w:rsid w:val="00F81F27"/>
    <w:rsid w:val="00F82FAC"/>
    <w:rsid w:val="00F835F1"/>
    <w:rsid w:val="00F843C9"/>
    <w:rsid w:val="00F856FE"/>
    <w:rsid w:val="00F86F33"/>
    <w:rsid w:val="00F8771F"/>
    <w:rsid w:val="00F9000A"/>
    <w:rsid w:val="00F9006C"/>
    <w:rsid w:val="00F930C5"/>
    <w:rsid w:val="00F932E1"/>
    <w:rsid w:val="00F93F90"/>
    <w:rsid w:val="00F94488"/>
    <w:rsid w:val="00F94F1A"/>
    <w:rsid w:val="00F95055"/>
    <w:rsid w:val="00F95BD6"/>
    <w:rsid w:val="00F95F5A"/>
    <w:rsid w:val="00F96EE7"/>
    <w:rsid w:val="00FA12D7"/>
    <w:rsid w:val="00FA13B7"/>
    <w:rsid w:val="00FA1969"/>
    <w:rsid w:val="00FA1D01"/>
    <w:rsid w:val="00FA2960"/>
    <w:rsid w:val="00FA4031"/>
    <w:rsid w:val="00FA578E"/>
    <w:rsid w:val="00FA6417"/>
    <w:rsid w:val="00FA67AA"/>
    <w:rsid w:val="00FA6B45"/>
    <w:rsid w:val="00FB0A07"/>
    <w:rsid w:val="00FB1573"/>
    <w:rsid w:val="00FB1597"/>
    <w:rsid w:val="00FB334A"/>
    <w:rsid w:val="00FB35CF"/>
    <w:rsid w:val="00FB35D6"/>
    <w:rsid w:val="00FB45D2"/>
    <w:rsid w:val="00FB4819"/>
    <w:rsid w:val="00FB48AF"/>
    <w:rsid w:val="00FB5344"/>
    <w:rsid w:val="00FB59A1"/>
    <w:rsid w:val="00FB62E4"/>
    <w:rsid w:val="00FB65F3"/>
    <w:rsid w:val="00FB6F9C"/>
    <w:rsid w:val="00FC0264"/>
    <w:rsid w:val="00FC095A"/>
    <w:rsid w:val="00FC103C"/>
    <w:rsid w:val="00FC14A4"/>
    <w:rsid w:val="00FC1D37"/>
    <w:rsid w:val="00FC3B8E"/>
    <w:rsid w:val="00FC4D38"/>
    <w:rsid w:val="00FC5B55"/>
    <w:rsid w:val="00FC5EF4"/>
    <w:rsid w:val="00FC6FA7"/>
    <w:rsid w:val="00FC7D67"/>
    <w:rsid w:val="00FD06B9"/>
    <w:rsid w:val="00FD0A29"/>
    <w:rsid w:val="00FD2F3E"/>
    <w:rsid w:val="00FD3703"/>
    <w:rsid w:val="00FD4138"/>
    <w:rsid w:val="00FD50A0"/>
    <w:rsid w:val="00FD5147"/>
    <w:rsid w:val="00FD60C3"/>
    <w:rsid w:val="00FD6174"/>
    <w:rsid w:val="00FD6983"/>
    <w:rsid w:val="00FE0291"/>
    <w:rsid w:val="00FE144A"/>
    <w:rsid w:val="00FE1B48"/>
    <w:rsid w:val="00FE1E7B"/>
    <w:rsid w:val="00FE339F"/>
    <w:rsid w:val="00FE399B"/>
    <w:rsid w:val="00FE3F9D"/>
    <w:rsid w:val="00FE60DD"/>
    <w:rsid w:val="00FE7537"/>
    <w:rsid w:val="00FF2611"/>
    <w:rsid w:val="00FF2C7E"/>
    <w:rsid w:val="00FF2D50"/>
    <w:rsid w:val="00FF3720"/>
    <w:rsid w:val="00FF3769"/>
    <w:rsid w:val="00FF449E"/>
    <w:rsid w:val="00FF4CAA"/>
    <w:rsid w:val="00FF52CE"/>
    <w:rsid w:val="00FF57E1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  <w14:docId w14:val="151B783F"/>
  <w15:docId w15:val="{33CAA76A-3977-4E66-BAB9-2FB0C4A4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488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7E41FC"/>
    <w:pPr>
      <w:keepNext/>
      <w:bidi w:val="0"/>
      <w:spacing w:line="300" w:lineRule="exact"/>
      <w:jc w:val="center"/>
      <w:outlineLvl w:val="0"/>
    </w:pPr>
    <w:rPr>
      <w:rFonts w:ascii="Times" w:hAnsi="Times" w:cs="Times"/>
      <w:b/>
      <w:bCs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41F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E41FC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rsid w:val="007E41FC"/>
    <w:pPr>
      <w:bidi w:val="0"/>
      <w:spacing w:line="300" w:lineRule="exact"/>
      <w:ind w:firstLine="240"/>
      <w:jc w:val="both"/>
    </w:pPr>
    <w:rPr>
      <w:rFonts w:ascii="Times" w:hAnsi="Times" w:cs="Times"/>
      <w:lang w:eastAsia="zh-CN" w:bidi="ar-SA"/>
    </w:rPr>
  </w:style>
  <w:style w:type="character" w:styleId="Hyperlink">
    <w:name w:val="Hyperlink"/>
    <w:uiPriority w:val="99"/>
    <w:rsid w:val="007E41FC"/>
    <w:rPr>
      <w:color w:val="0000FF"/>
      <w:u w:val="single"/>
    </w:rPr>
  </w:style>
  <w:style w:type="character" w:styleId="a5">
    <w:name w:val="page number"/>
    <w:basedOn w:val="a0"/>
    <w:rsid w:val="00E32885"/>
  </w:style>
  <w:style w:type="paragraph" w:styleId="a6">
    <w:name w:val="Balloon Text"/>
    <w:basedOn w:val="a"/>
    <w:semiHidden/>
    <w:rsid w:val="00616EC6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9D47D8"/>
    <w:rPr>
      <w:sz w:val="20"/>
      <w:szCs w:val="20"/>
    </w:rPr>
  </w:style>
  <w:style w:type="character" w:styleId="a8">
    <w:name w:val="footnote reference"/>
    <w:semiHidden/>
    <w:rsid w:val="009D47D8"/>
    <w:rPr>
      <w:vertAlign w:val="superscript"/>
    </w:rPr>
  </w:style>
  <w:style w:type="paragraph" w:styleId="a9">
    <w:name w:val="Document Map"/>
    <w:basedOn w:val="a"/>
    <w:semiHidden/>
    <w:rsid w:val="00801E32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57653C"/>
    <w:rPr>
      <w:color w:val="800080"/>
      <w:u w:val="single"/>
    </w:rPr>
  </w:style>
  <w:style w:type="table" w:styleId="aa">
    <w:name w:val="Table Grid"/>
    <w:basedOn w:val="a1"/>
    <w:rsid w:val="00707FB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614B4"/>
    <w:pPr>
      <w:ind w:left="720"/>
    </w:pPr>
  </w:style>
  <w:style w:type="paragraph" w:styleId="ac">
    <w:name w:val="Title"/>
    <w:basedOn w:val="a"/>
    <w:next w:val="a"/>
    <w:link w:val="ad"/>
    <w:qFormat/>
    <w:rsid w:val="006448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כותרת טקסט תו"/>
    <w:basedOn w:val="a0"/>
    <w:link w:val="ac"/>
    <w:rsid w:val="006448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Strong"/>
    <w:basedOn w:val="a0"/>
    <w:qFormat/>
    <w:rsid w:val="006448E2"/>
    <w:rPr>
      <w:b/>
      <w:bCs/>
    </w:rPr>
  </w:style>
  <w:style w:type="character" w:styleId="af">
    <w:name w:val="annotation reference"/>
    <w:basedOn w:val="a0"/>
    <w:rsid w:val="00A861CB"/>
    <w:rPr>
      <w:sz w:val="16"/>
      <w:szCs w:val="16"/>
    </w:rPr>
  </w:style>
  <w:style w:type="paragraph" w:styleId="af0">
    <w:name w:val="annotation text"/>
    <w:basedOn w:val="a"/>
    <w:link w:val="af1"/>
    <w:rsid w:val="00A861CB"/>
    <w:rPr>
      <w:sz w:val="20"/>
      <w:szCs w:val="20"/>
    </w:rPr>
  </w:style>
  <w:style w:type="character" w:customStyle="1" w:styleId="af1">
    <w:name w:val="טקסט הערה תו"/>
    <w:basedOn w:val="a0"/>
    <w:link w:val="af0"/>
    <w:rsid w:val="00A861CB"/>
  </w:style>
  <w:style w:type="paragraph" w:styleId="af2">
    <w:name w:val="annotation subject"/>
    <w:basedOn w:val="af0"/>
    <w:next w:val="af0"/>
    <w:link w:val="af3"/>
    <w:rsid w:val="00A861CB"/>
    <w:rPr>
      <w:b/>
      <w:bCs/>
    </w:rPr>
  </w:style>
  <w:style w:type="character" w:customStyle="1" w:styleId="af3">
    <w:name w:val="נושא הערה תו"/>
    <w:basedOn w:val="af1"/>
    <w:link w:val="af2"/>
    <w:rsid w:val="00A861CB"/>
    <w:rPr>
      <w:b/>
      <w:bCs/>
    </w:rPr>
  </w:style>
  <w:style w:type="paragraph" w:customStyle="1" w:styleId="LetterheadBOI">
    <w:name w:val="Letterhead BOI"/>
    <w:basedOn w:val="regpar"/>
    <w:link w:val="LetterheadBOIChar"/>
    <w:qFormat/>
    <w:rsid w:val="00D772B2"/>
    <w:pPr>
      <w:spacing w:line="300" w:lineRule="atLeast"/>
      <w:ind w:firstLine="0"/>
      <w:jc w:val="center"/>
    </w:pPr>
    <w:rPr>
      <w:rFonts w:ascii="Times New Roman" w:hAnsi="Times New Roman" w:cs="David"/>
      <w:b/>
      <w:lang w:eastAsia="en-US" w:bidi="he-IL"/>
    </w:rPr>
  </w:style>
  <w:style w:type="paragraph" w:customStyle="1" w:styleId="Letterhead2">
    <w:name w:val="Letterhead 2"/>
    <w:basedOn w:val="regpar"/>
    <w:link w:val="Letterhead2Char"/>
    <w:qFormat/>
    <w:rsid w:val="00D772B2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  <w:lang w:eastAsia="en-US" w:bidi="he-IL"/>
    </w:rPr>
  </w:style>
  <w:style w:type="character" w:customStyle="1" w:styleId="LetterheadBOIChar">
    <w:name w:val="Letterhead BOI Char"/>
    <w:basedOn w:val="a0"/>
    <w:link w:val="LetterheadBOI"/>
    <w:rsid w:val="00D772B2"/>
    <w:rPr>
      <w:rFonts w:cs="David"/>
      <w:b/>
      <w:sz w:val="24"/>
      <w:szCs w:val="24"/>
    </w:rPr>
  </w:style>
  <w:style w:type="paragraph" w:customStyle="1" w:styleId="PressReleaseTitle">
    <w:name w:val="Press Release Title"/>
    <w:basedOn w:val="a"/>
    <w:link w:val="PressReleaseTitleChar"/>
    <w:qFormat/>
    <w:rsid w:val="00D772B2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Letterhead2Char">
    <w:name w:val="Letterhead 2 Char"/>
    <w:basedOn w:val="a0"/>
    <w:link w:val="Letterhead2"/>
    <w:rsid w:val="00D772B2"/>
    <w:rPr>
      <w:sz w:val="26"/>
      <w:szCs w:val="26"/>
    </w:rPr>
  </w:style>
  <w:style w:type="character" w:customStyle="1" w:styleId="PressReleaseTitleChar">
    <w:name w:val="Press Release Title Char"/>
    <w:basedOn w:val="a0"/>
    <w:link w:val="PressReleaseTitle"/>
    <w:rsid w:val="00D772B2"/>
    <w:rPr>
      <w:rFonts w:cs="David"/>
      <w:b/>
      <w:bCs/>
      <w:sz w:val="26"/>
      <w:szCs w:val="26"/>
    </w:rPr>
  </w:style>
  <w:style w:type="paragraph" w:styleId="af4">
    <w:name w:val="endnote text"/>
    <w:basedOn w:val="a"/>
    <w:link w:val="af5"/>
    <w:semiHidden/>
    <w:unhideWhenUsed/>
    <w:rsid w:val="00396A86"/>
    <w:rPr>
      <w:sz w:val="20"/>
      <w:szCs w:val="20"/>
    </w:rPr>
  </w:style>
  <w:style w:type="character" w:customStyle="1" w:styleId="af5">
    <w:name w:val="טקסט הערת סיום תו"/>
    <w:basedOn w:val="a0"/>
    <w:link w:val="af4"/>
    <w:semiHidden/>
    <w:rsid w:val="00396A86"/>
  </w:style>
  <w:style w:type="character" w:styleId="af6">
    <w:name w:val="endnote reference"/>
    <w:basedOn w:val="a0"/>
    <w:semiHidden/>
    <w:unhideWhenUsed/>
    <w:rsid w:val="00396A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5AC1D-0175-462F-8A54-763DA8EC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1243</Words>
  <Characters>6553</Characters>
  <Application>Microsoft Office Word</Application>
  <DocSecurity>4</DocSecurity>
  <Lines>54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Interest Rate Decision – February 20, 2006</vt:lpstr>
      <vt:lpstr>Interest Rate Decision – February 20, 2006</vt:lpstr>
    </vt:vector>
  </TitlesOfParts>
  <Company>BOI</Company>
  <LinksUpToDate>false</LinksUpToDate>
  <CharactersWithSpaces>7781</CharactersWithSpaces>
  <SharedDoc>false</SharedDoc>
  <HLinks>
    <vt:vector size="6" baseType="variant">
      <vt:variant>
        <vt:i4>3080238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http://www.boi.org.il/en/DataAndStatistics/Pages/MainPage.aspx?Level=2&amp;Sid=15&amp;SubjectType=1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Decision – February 20, 2006</dc:title>
  <dc:creator>SFisher</dc:creator>
  <cp:lastModifiedBy>מיטל רולניצקי</cp:lastModifiedBy>
  <cp:revision>2</cp:revision>
  <cp:lastPrinted>2015-12-09T14:43:00Z</cp:lastPrinted>
  <dcterms:created xsi:type="dcterms:W3CDTF">2024-12-25T11:40:00Z</dcterms:created>
  <dcterms:modified xsi:type="dcterms:W3CDTF">2024-12-25T11:40:00Z</dcterms:modified>
</cp:coreProperties>
</file>